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033F1" w14:textId="77777777" w:rsidR="001412F5" w:rsidRDefault="00CD22D4" w:rsidP="00F85AC0">
      <w:r>
        <w:tab/>
      </w:r>
    </w:p>
    <w:p w14:paraId="21155E19" w14:textId="77777777" w:rsidR="001412F5" w:rsidRDefault="001412F5" w:rsidP="00F85AC0"/>
    <w:p w14:paraId="4BC7ABBD" w14:textId="77777777" w:rsidR="001412F5" w:rsidRDefault="001412F5" w:rsidP="00F85AC0"/>
    <w:p w14:paraId="46145683" w14:textId="77777777" w:rsidR="001412F5" w:rsidRDefault="001412F5" w:rsidP="00F85AC0"/>
    <w:p w14:paraId="1547CC2A" w14:textId="77777777" w:rsidR="001412F5" w:rsidRDefault="001412F5" w:rsidP="00F85AC0"/>
    <w:p w14:paraId="7E70224C" w14:textId="77777777" w:rsidR="001412F5" w:rsidRDefault="001412F5" w:rsidP="00F85AC0"/>
    <w:p w14:paraId="2EE0C2E8" w14:textId="77777777" w:rsidR="001412F5" w:rsidRDefault="001412F5" w:rsidP="00F85AC0"/>
    <w:p w14:paraId="7FA21D83" w14:textId="77777777" w:rsidR="001412F5" w:rsidRPr="002E129B" w:rsidRDefault="00C16CC2" w:rsidP="002E129B">
      <w:pPr>
        <w:pStyle w:val="Title"/>
      </w:pPr>
      <w:r w:rsidRPr="002E129B">
        <w:t>Energy Efficiency Potential and Goals Study for 201</w:t>
      </w:r>
      <w:r w:rsidR="009900DE" w:rsidRPr="002E129B">
        <w:t>8</w:t>
      </w:r>
      <w:r w:rsidRPr="002E129B">
        <w:t xml:space="preserve"> and Beyond</w:t>
      </w:r>
    </w:p>
    <w:p w14:paraId="55D7287E" w14:textId="040347E0" w:rsidR="001412F5" w:rsidRPr="001D4FF7" w:rsidRDefault="00F01EB1" w:rsidP="00BE543D">
      <w:pPr>
        <w:pStyle w:val="Subtitle"/>
        <w:rPr>
          <w:rFonts w:ascii="Arial Bold" w:hAnsi="Arial Bold"/>
        </w:rPr>
      </w:pPr>
      <w:r>
        <w:rPr>
          <w:rFonts w:ascii="Arial Bold" w:hAnsi="Arial Bold"/>
          <w:spacing w:val="0"/>
        </w:rPr>
        <w:t>Final</w:t>
      </w:r>
      <w:r w:rsidRPr="009B4B73">
        <w:rPr>
          <w:rFonts w:ascii="Arial Bold" w:hAnsi="Arial Bold"/>
          <w:spacing w:val="0"/>
        </w:rPr>
        <w:t xml:space="preserve"> </w:t>
      </w:r>
      <w:r w:rsidR="009B4B73" w:rsidRPr="009B4B73">
        <w:rPr>
          <w:rFonts w:ascii="Arial Bold" w:hAnsi="Arial Bold"/>
          <w:spacing w:val="0"/>
        </w:rPr>
        <w:t xml:space="preserve">Public </w:t>
      </w:r>
      <w:r w:rsidR="0086406C" w:rsidRPr="009B4B73">
        <w:rPr>
          <w:rFonts w:ascii="Arial Bold" w:hAnsi="Arial Bold"/>
          <w:spacing w:val="0"/>
        </w:rPr>
        <w:t>Report</w:t>
      </w:r>
    </w:p>
    <w:p w14:paraId="3A393A8C" w14:textId="77777777" w:rsidR="001412F5" w:rsidRPr="001D4FF7" w:rsidRDefault="001412F5" w:rsidP="00855231">
      <w:pPr>
        <w:pStyle w:val="Subtitle"/>
        <w:rPr>
          <w:rFonts w:ascii="Arial Bold" w:hAnsi="Arial Bold"/>
          <w:spacing w:val="0"/>
        </w:rPr>
      </w:pPr>
      <w:r w:rsidRPr="001D4FF7">
        <w:rPr>
          <w:rFonts w:ascii="Arial Bold" w:hAnsi="Arial Bold"/>
          <w:spacing w:val="0"/>
        </w:rPr>
        <w:t>Prepared for:</w:t>
      </w:r>
    </w:p>
    <w:p w14:paraId="4087DF5B" w14:textId="77777777" w:rsidR="001412F5" w:rsidRPr="001D4FF7" w:rsidRDefault="00C16CC2" w:rsidP="00855231">
      <w:pPr>
        <w:pStyle w:val="Subtitle"/>
        <w:rPr>
          <w:rFonts w:ascii="Arial Bold" w:hAnsi="Arial Bold"/>
          <w:spacing w:val="0"/>
        </w:rPr>
      </w:pPr>
      <w:r>
        <w:rPr>
          <w:rFonts w:ascii="Arial Bold" w:hAnsi="Arial Bold"/>
          <w:spacing w:val="0"/>
        </w:rPr>
        <w:t>California Public Utilities Commission</w:t>
      </w:r>
    </w:p>
    <w:p w14:paraId="37907F60" w14:textId="77777777" w:rsidR="001412F5" w:rsidRPr="00D92AA8" w:rsidRDefault="00C16CC2" w:rsidP="001412F5">
      <w:pPr>
        <w:rPr>
          <w:b/>
          <w:bCs/>
          <w:color w:val="6F6754"/>
        </w:rPr>
      </w:pPr>
      <w:r>
        <w:rPr>
          <w:b/>
          <w:bCs/>
          <w:noProof/>
          <w:color w:val="6F6754"/>
        </w:rPr>
        <w:drawing>
          <wp:inline distT="0" distB="0" distL="0" distR="0" wp14:anchorId="094EE475" wp14:editId="329F1813">
            <wp:extent cx="1642925" cy="1690777"/>
            <wp:effectExtent l="0" t="0" r="0" b="508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38863" t="31818" r="36730" b="28030"/>
                    <a:stretch>
                      <a:fillRect/>
                    </a:stretch>
                  </pic:blipFill>
                  <pic:spPr bwMode="auto">
                    <a:xfrm>
                      <a:off x="0" y="0"/>
                      <a:ext cx="1645688" cy="1693621"/>
                    </a:xfrm>
                    <a:prstGeom prst="rect">
                      <a:avLst/>
                    </a:prstGeom>
                    <a:noFill/>
                    <a:ln w="9525">
                      <a:noFill/>
                      <a:miter lim="800000"/>
                      <a:headEnd/>
                      <a:tailEnd/>
                    </a:ln>
                  </pic:spPr>
                </pic:pic>
              </a:graphicData>
            </a:graphic>
          </wp:inline>
        </w:drawing>
      </w:r>
    </w:p>
    <w:p w14:paraId="3D734D22" w14:textId="77777777" w:rsidR="001412F5" w:rsidRPr="00D92AA8" w:rsidRDefault="001412F5" w:rsidP="001412F5">
      <w:pPr>
        <w:rPr>
          <w:b/>
          <w:bCs/>
          <w:color w:val="6F6754"/>
        </w:rPr>
      </w:pPr>
    </w:p>
    <w:p w14:paraId="0B62E13B" w14:textId="77777777" w:rsidR="001412F5" w:rsidRPr="00D92AA8" w:rsidRDefault="001412F5" w:rsidP="001412F5">
      <w:pPr>
        <w:rPr>
          <w:b/>
          <w:bCs/>
          <w:color w:val="6F6754"/>
        </w:rPr>
      </w:pPr>
    </w:p>
    <w:p w14:paraId="6B6739AC" w14:textId="77777777" w:rsidR="001412F5" w:rsidRPr="00D92AA8" w:rsidRDefault="001412F5" w:rsidP="001412F5">
      <w:pPr>
        <w:rPr>
          <w:b/>
          <w:bCs/>
          <w:color w:val="6F6754"/>
        </w:rPr>
      </w:pPr>
    </w:p>
    <w:p w14:paraId="721C5FE3" w14:textId="77777777" w:rsidR="001412F5" w:rsidRPr="00D92AA8" w:rsidRDefault="001412F5" w:rsidP="001412F5">
      <w:pPr>
        <w:rPr>
          <w:b/>
          <w:bCs/>
          <w:color w:val="6F6754"/>
        </w:rPr>
      </w:pPr>
    </w:p>
    <w:p w14:paraId="45977097" w14:textId="77777777" w:rsidR="001412F5" w:rsidRPr="00D92AA8" w:rsidRDefault="001412F5" w:rsidP="001412F5">
      <w:pPr>
        <w:rPr>
          <w:b/>
          <w:bCs/>
          <w:color w:val="6F6754"/>
        </w:rPr>
      </w:pPr>
    </w:p>
    <w:p w14:paraId="5DC724B3" w14:textId="77777777" w:rsidR="001412F5" w:rsidRPr="001D4FF7" w:rsidRDefault="00AF6C48" w:rsidP="00F376CD">
      <w:pPr>
        <w:pStyle w:val="Subtitle"/>
        <w:rPr>
          <w:rStyle w:val="CoverText"/>
          <w:b w:val="0"/>
          <w:i/>
          <w:spacing w:val="0"/>
        </w:rPr>
      </w:pPr>
      <w:r w:rsidRPr="001D4FF7">
        <w:rPr>
          <w:rStyle w:val="CoverText"/>
          <w:i/>
          <w:spacing w:val="0"/>
        </w:rPr>
        <w:t>Submitted by:</w:t>
      </w:r>
    </w:p>
    <w:p w14:paraId="3BD7CAAF" w14:textId="77777777" w:rsidR="001412F5" w:rsidRPr="001D4FF7" w:rsidRDefault="001412F5" w:rsidP="001412F5">
      <w:pPr>
        <w:rPr>
          <w:rStyle w:val="CoverText"/>
        </w:rPr>
      </w:pPr>
      <w:r w:rsidRPr="001D4FF7">
        <w:rPr>
          <w:rStyle w:val="CoverText"/>
        </w:rPr>
        <w:t>Navigant Consulting, Inc.</w:t>
      </w:r>
    </w:p>
    <w:p w14:paraId="60876560" w14:textId="77777777" w:rsidR="001412F5" w:rsidRPr="001D4FF7" w:rsidRDefault="00C16CC2" w:rsidP="001412F5">
      <w:pPr>
        <w:rPr>
          <w:rStyle w:val="CoverText"/>
        </w:rPr>
      </w:pPr>
      <w:r>
        <w:rPr>
          <w:rStyle w:val="CoverText"/>
        </w:rPr>
        <w:t>1 Market Street</w:t>
      </w:r>
    </w:p>
    <w:p w14:paraId="454910DB" w14:textId="77777777" w:rsidR="001412F5" w:rsidRPr="001D4FF7" w:rsidRDefault="00C16CC2" w:rsidP="001412F5">
      <w:pPr>
        <w:rPr>
          <w:rStyle w:val="CoverText"/>
        </w:rPr>
      </w:pPr>
      <w:r>
        <w:rPr>
          <w:rStyle w:val="CoverText"/>
        </w:rPr>
        <w:t>Spear Tower, Suite 1200</w:t>
      </w:r>
    </w:p>
    <w:p w14:paraId="1F187A80" w14:textId="77777777" w:rsidR="001412F5" w:rsidRPr="001D4FF7" w:rsidRDefault="00C16CC2" w:rsidP="001412F5">
      <w:pPr>
        <w:rPr>
          <w:rStyle w:val="CoverText"/>
        </w:rPr>
      </w:pPr>
      <w:r>
        <w:rPr>
          <w:rStyle w:val="CoverText"/>
        </w:rPr>
        <w:t>San Francisco, CA 94105</w:t>
      </w:r>
    </w:p>
    <w:p w14:paraId="09204B48" w14:textId="77777777" w:rsidR="001412F5" w:rsidRPr="001D4FF7" w:rsidRDefault="001412F5" w:rsidP="001412F5">
      <w:pPr>
        <w:rPr>
          <w:rStyle w:val="CoverText"/>
        </w:rPr>
      </w:pPr>
    </w:p>
    <w:p w14:paraId="36F4C746" w14:textId="77777777" w:rsidR="001412F5" w:rsidRPr="001D4FF7" w:rsidRDefault="00C16CC2" w:rsidP="001412F5">
      <w:pPr>
        <w:rPr>
          <w:rStyle w:val="CoverText"/>
        </w:rPr>
      </w:pPr>
      <w:r>
        <w:rPr>
          <w:rStyle w:val="CoverText"/>
        </w:rPr>
        <w:t>415-356-7100</w:t>
      </w:r>
    </w:p>
    <w:p w14:paraId="678D9228" w14:textId="77777777" w:rsidR="001412F5" w:rsidRPr="001D4FF7" w:rsidRDefault="001412F5" w:rsidP="001412F5">
      <w:pPr>
        <w:rPr>
          <w:rStyle w:val="CoverText"/>
        </w:rPr>
      </w:pPr>
      <w:r w:rsidRPr="001D4FF7">
        <w:rPr>
          <w:rStyle w:val="CoverText"/>
        </w:rPr>
        <w:t>navigant.com</w:t>
      </w:r>
    </w:p>
    <w:p w14:paraId="3D2CFE8B" w14:textId="77777777" w:rsidR="001412F5" w:rsidRPr="001D4FF7" w:rsidRDefault="001412F5" w:rsidP="001412F5">
      <w:pPr>
        <w:rPr>
          <w:rStyle w:val="CoverText"/>
        </w:rPr>
      </w:pPr>
    </w:p>
    <w:p w14:paraId="022DF790" w14:textId="77777777" w:rsidR="001412F5" w:rsidRPr="001D4FF7" w:rsidRDefault="001412F5" w:rsidP="001412F5">
      <w:pPr>
        <w:rPr>
          <w:rStyle w:val="CoverText"/>
        </w:rPr>
      </w:pPr>
    </w:p>
    <w:p w14:paraId="387EF35B" w14:textId="77777777" w:rsidR="00263755" w:rsidRPr="001D4FF7" w:rsidRDefault="008D4ACD" w:rsidP="001412F5">
      <w:pPr>
        <w:rPr>
          <w:rStyle w:val="CoverText"/>
        </w:rPr>
      </w:pPr>
      <w:r w:rsidRPr="001D4FF7">
        <w:rPr>
          <w:rStyle w:val="CoverText"/>
        </w:rPr>
        <w:t xml:space="preserve">Reference No.: </w:t>
      </w:r>
      <w:r w:rsidR="00C16CC2">
        <w:rPr>
          <w:rStyle w:val="CoverText"/>
        </w:rPr>
        <w:t>174655</w:t>
      </w:r>
    </w:p>
    <w:p w14:paraId="794AABB2" w14:textId="761E9595" w:rsidR="001C0699" w:rsidRDefault="000575D0" w:rsidP="001412F5">
      <w:pPr>
        <w:rPr>
          <w:rStyle w:val="CoverText"/>
        </w:rPr>
        <w:sectPr w:rsidR="001C0699" w:rsidSect="001C0699">
          <w:headerReference w:type="default" r:id="rId12"/>
          <w:footerReference w:type="default" r:id="rId13"/>
          <w:headerReference w:type="first" r:id="rId14"/>
          <w:footerReference w:type="first" r:id="rId15"/>
          <w:pgSz w:w="12240" w:h="15840" w:code="1"/>
          <w:pgMar w:top="1440" w:right="1440" w:bottom="1440" w:left="1440" w:header="720" w:footer="720" w:gutter="0"/>
          <w:pgNumType w:fmt="lowerRoman" w:start="1"/>
          <w:cols w:space="720"/>
          <w:titlePg/>
          <w:docGrid w:linePitch="360"/>
        </w:sectPr>
      </w:pPr>
      <w:r>
        <w:rPr>
          <w:rStyle w:val="CoverText"/>
        </w:rPr>
        <w:t xml:space="preserve">August </w:t>
      </w:r>
      <w:r w:rsidR="00F17EC6">
        <w:rPr>
          <w:rStyle w:val="CoverText"/>
        </w:rPr>
        <w:t>23</w:t>
      </w:r>
      <w:r w:rsidR="00974FAC">
        <w:rPr>
          <w:rStyle w:val="CoverText"/>
        </w:rPr>
        <w:t>, 2017</w:t>
      </w:r>
    </w:p>
    <w:p w14:paraId="40A9C101" w14:textId="77777777" w:rsidR="00C16CC2" w:rsidRPr="001E5297" w:rsidRDefault="00C16CC2" w:rsidP="00C16CC2">
      <w:r w:rsidRPr="001E5297">
        <w:lastRenderedPageBreak/>
        <w:t>This study was conducted by Navigant Consulting, Inc. under contract to the California Public Utilities Commission. Principal authors include:</w:t>
      </w:r>
    </w:p>
    <w:p w14:paraId="4B5E0839" w14:textId="77777777" w:rsidR="00C16CC2" w:rsidRPr="001E5297" w:rsidRDefault="00C16CC2" w:rsidP="004E4E36">
      <w:pPr>
        <w:pStyle w:val="ListParagraph"/>
        <w:numPr>
          <w:ilvl w:val="0"/>
          <w:numId w:val="58"/>
        </w:numPr>
      </w:pPr>
      <w:r w:rsidRPr="001E5297">
        <w:t>Greg Wikler</w:t>
      </w:r>
    </w:p>
    <w:p w14:paraId="716E49C5" w14:textId="77777777" w:rsidR="00C16CC2" w:rsidRPr="001E5297" w:rsidRDefault="00C16CC2" w:rsidP="004E4E36">
      <w:pPr>
        <w:pStyle w:val="ListParagraph"/>
        <w:numPr>
          <w:ilvl w:val="0"/>
          <w:numId w:val="58"/>
        </w:numPr>
      </w:pPr>
      <w:r w:rsidRPr="001E5297">
        <w:t>Amul Sathe</w:t>
      </w:r>
    </w:p>
    <w:p w14:paraId="2F110D51" w14:textId="77777777" w:rsidR="00C16CC2" w:rsidRPr="001E5297" w:rsidRDefault="00C16CC2" w:rsidP="004E4E36">
      <w:pPr>
        <w:pStyle w:val="ListParagraph"/>
        <w:numPr>
          <w:ilvl w:val="0"/>
          <w:numId w:val="58"/>
        </w:numPr>
      </w:pPr>
      <w:r w:rsidRPr="001E5297">
        <w:t>Surya Swamy</w:t>
      </w:r>
    </w:p>
    <w:p w14:paraId="3C38B4EB" w14:textId="77777777" w:rsidR="00D168E7" w:rsidRPr="001E5297" w:rsidRDefault="00D168E7" w:rsidP="004E4E36">
      <w:pPr>
        <w:pStyle w:val="ListParagraph"/>
        <w:numPr>
          <w:ilvl w:val="0"/>
          <w:numId w:val="58"/>
        </w:numPr>
      </w:pPr>
      <w:r w:rsidRPr="001E5297">
        <w:t>Carishma Menon</w:t>
      </w:r>
    </w:p>
    <w:p w14:paraId="668162B3" w14:textId="77777777" w:rsidR="00D168E7" w:rsidRPr="001E5297" w:rsidRDefault="00D168E7" w:rsidP="004E4E36">
      <w:pPr>
        <w:pStyle w:val="ListParagraph"/>
        <w:numPr>
          <w:ilvl w:val="0"/>
          <w:numId w:val="58"/>
        </w:numPr>
      </w:pPr>
      <w:r w:rsidRPr="001E5297">
        <w:t>Debyani Ghosh</w:t>
      </w:r>
    </w:p>
    <w:p w14:paraId="0CB46A3C" w14:textId="77777777" w:rsidR="00C16CC2" w:rsidRPr="001E5297" w:rsidRDefault="00C16CC2" w:rsidP="004E4E36">
      <w:pPr>
        <w:pStyle w:val="ListParagraph"/>
        <w:numPr>
          <w:ilvl w:val="0"/>
          <w:numId w:val="58"/>
        </w:numPr>
      </w:pPr>
      <w:r w:rsidRPr="001E5297">
        <w:t>Matt O'Hare</w:t>
      </w:r>
    </w:p>
    <w:p w14:paraId="005C4748" w14:textId="77777777" w:rsidR="00D30C26" w:rsidRPr="001E5297" w:rsidRDefault="00D30C26" w:rsidP="004E4E36">
      <w:pPr>
        <w:pStyle w:val="ListParagraph"/>
        <w:numPr>
          <w:ilvl w:val="0"/>
          <w:numId w:val="58"/>
        </w:numPr>
      </w:pPr>
      <w:r w:rsidRPr="001E5297">
        <w:t>Kristin Landry</w:t>
      </w:r>
    </w:p>
    <w:p w14:paraId="6F275392" w14:textId="77777777" w:rsidR="003745E5" w:rsidRPr="001E5297" w:rsidRDefault="003745E5" w:rsidP="004E4E36">
      <w:pPr>
        <w:pStyle w:val="ListParagraph"/>
        <w:numPr>
          <w:ilvl w:val="0"/>
          <w:numId w:val="58"/>
        </w:numPr>
      </w:pPr>
      <w:r w:rsidRPr="001E5297">
        <w:t>Rosanna Ren</w:t>
      </w:r>
    </w:p>
    <w:p w14:paraId="52BDEDA4" w14:textId="77777777" w:rsidR="00C16CC2" w:rsidRPr="001E5297" w:rsidRDefault="00C16CC2" w:rsidP="004E4E36">
      <w:pPr>
        <w:pStyle w:val="ListParagraph"/>
        <w:numPr>
          <w:ilvl w:val="0"/>
          <w:numId w:val="58"/>
        </w:numPr>
      </w:pPr>
      <w:r w:rsidRPr="001E5297">
        <w:t>Julie Penning</w:t>
      </w:r>
    </w:p>
    <w:p w14:paraId="5B52A07E" w14:textId="77777777" w:rsidR="00590D0E" w:rsidRPr="001E5297" w:rsidRDefault="00590D0E" w:rsidP="004E4E36">
      <w:pPr>
        <w:pStyle w:val="ListParagraph"/>
        <w:numPr>
          <w:ilvl w:val="0"/>
          <w:numId w:val="58"/>
        </w:numPr>
      </w:pPr>
      <w:r w:rsidRPr="001E5297">
        <w:t>Nicole Reed Fry</w:t>
      </w:r>
    </w:p>
    <w:p w14:paraId="0BE3DB8B" w14:textId="77777777" w:rsidR="006B2CAA" w:rsidRPr="001E5297" w:rsidRDefault="006B2CAA" w:rsidP="004E4E36">
      <w:pPr>
        <w:pStyle w:val="ListParagraph"/>
        <w:numPr>
          <w:ilvl w:val="0"/>
          <w:numId w:val="58"/>
        </w:numPr>
      </w:pPr>
      <w:r w:rsidRPr="001E5297">
        <w:t>David Bluestein</w:t>
      </w:r>
    </w:p>
    <w:p w14:paraId="3F6A07D6" w14:textId="77777777" w:rsidR="00C16CC2" w:rsidRPr="001E5297" w:rsidRDefault="00C16CC2" w:rsidP="00C16CC2"/>
    <w:p w14:paraId="61BB7A40" w14:textId="77777777" w:rsidR="00C16CC2" w:rsidRPr="001E5297" w:rsidRDefault="00C16CC2" w:rsidP="00C16CC2">
      <w:r w:rsidRPr="001E5297">
        <w:t>Navigant was supported by:</w:t>
      </w:r>
    </w:p>
    <w:p w14:paraId="704DDD76" w14:textId="77777777" w:rsidR="00116031" w:rsidRPr="001E5297" w:rsidRDefault="00116031" w:rsidP="00116031"/>
    <w:p w14:paraId="7635ED80" w14:textId="77777777" w:rsidR="001E5297" w:rsidRPr="001E5297" w:rsidRDefault="001E5297" w:rsidP="001E5297">
      <w:r w:rsidRPr="001E5297">
        <w:t xml:space="preserve"> </w:t>
      </w:r>
      <w:r w:rsidRPr="001E5297">
        <w:rPr>
          <w:noProof/>
        </w:rPr>
        <w:drawing>
          <wp:inline distT="0" distB="0" distL="0" distR="0" wp14:anchorId="1C6B53E4" wp14:editId="5C7E1423">
            <wp:extent cx="1630988" cy="539801"/>
            <wp:effectExtent l="0" t="0" r="7620" b="0"/>
            <wp:docPr id="39" name="Picture 39" descr="C:\Users\asathe1\AppData\Local\Microsoft\Windows\Temporary Internet Files\Content.Outlook\J45ZM16Y\TierraLogoFinal2.8.1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the1\AppData\Local\Microsoft\Windows\Temporary Internet Files\Content.Outlook\J45ZM16Y\TierraLogoFinal2.8.15 (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4965" cy="544427"/>
                    </a:xfrm>
                    <a:prstGeom prst="rect">
                      <a:avLst/>
                    </a:prstGeom>
                    <a:noFill/>
                    <a:ln>
                      <a:noFill/>
                    </a:ln>
                  </pic:spPr>
                </pic:pic>
              </a:graphicData>
            </a:graphic>
          </wp:inline>
        </w:drawing>
      </w:r>
    </w:p>
    <w:p w14:paraId="0DE54E99" w14:textId="77777777" w:rsidR="001E5297" w:rsidRPr="001E5297" w:rsidRDefault="001E5297" w:rsidP="001E5297"/>
    <w:p w14:paraId="31050A3E" w14:textId="77777777" w:rsidR="001E5297" w:rsidRDefault="001E5297" w:rsidP="001E5297"/>
    <w:p w14:paraId="2966AB04" w14:textId="77777777" w:rsidR="001E5297" w:rsidRDefault="001E5297" w:rsidP="001E5297">
      <w:r w:rsidRPr="001E5297">
        <w:t>Special thanks are due to the staff of California Public Utilities Commission and the many stakeholders for providing direction, guidance, insight, and data throughout the conduct of this study.</w:t>
      </w:r>
    </w:p>
    <w:p w14:paraId="62BB7EA9" w14:textId="77777777" w:rsidR="001E5297" w:rsidRDefault="001E5297">
      <w:pPr>
        <w:spacing w:line="240" w:lineRule="auto"/>
      </w:pPr>
      <w:r>
        <w:br w:type="page"/>
      </w:r>
    </w:p>
    <w:p w14:paraId="4DF6FACD" w14:textId="77777777" w:rsidR="001412F5" w:rsidRDefault="001412F5" w:rsidP="002E129B">
      <w:pPr>
        <w:pStyle w:val="Heading7"/>
        <w:rPr>
          <w:bCs/>
        </w:rPr>
      </w:pPr>
      <w:bookmarkStart w:id="0" w:name="_Toc62272964"/>
      <w:bookmarkStart w:id="1" w:name="_Toc482634256"/>
      <w:bookmarkStart w:id="2" w:name="_Toc482626388"/>
      <w:bookmarkStart w:id="3" w:name="_Toc484092459"/>
      <w:bookmarkStart w:id="4" w:name="_Toc484172662"/>
      <w:bookmarkStart w:id="5" w:name="_Toc484182999"/>
      <w:bookmarkStart w:id="6" w:name="_Toc490225749"/>
      <w:r>
        <w:lastRenderedPageBreak/>
        <w:t>Table of Contents</w:t>
      </w:r>
      <w:bookmarkEnd w:id="0"/>
      <w:bookmarkEnd w:id="1"/>
      <w:bookmarkEnd w:id="2"/>
      <w:bookmarkEnd w:id="3"/>
      <w:bookmarkEnd w:id="4"/>
      <w:bookmarkEnd w:id="5"/>
      <w:bookmarkEnd w:id="6"/>
    </w:p>
    <w:p w14:paraId="17006969" w14:textId="334E0304" w:rsidR="007566B9" w:rsidRDefault="007B2FBD">
      <w:pPr>
        <w:pStyle w:val="TOC1"/>
        <w:rPr>
          <w:rFonts w:asciiTheme="minorHAnsi" w:eastAsiaTheme="minorEastAsia" w:hAnsiTheme="minorHAnsi" w:cstheme="minorBidi"/>
          <w:b w:val="0"/>
          <w:noProof/>
          <w:sz w:val="22"/>
        </w:rPr>
      </w:pPr>
      <w:r>
        <w:fldChar w:fldCharType="begin"/>
      </w:r>
      <w:r>
        <w:instrText xml:space="preserve"> TOC \o "1-3" \h \z \t "Heading 5,1,Heading 6,2,Heading 7,1,Heading 8,2,Heading 9,3" </w:instrText>
      </w:r>
      <w:r>
        <w:fldChar w:fldCharType="separate"/>
      </w:r>
      <w:hyperlink w:anchor="_Toc490225749" w:history="1">
        <w:r w:rsidR="007566B9" w:rsidRPr="0052213E">
          <w:rPr>
            <w:rStyle w:val="Hyperlink"/>
            <w:noProof/>
          </w:rPr>
          <w:t>Table of Contents</w:t>
        </w:r>
        <w:r w:rsidR="007566B9">
          <w:rPr>
            <w:noProof/>
            <w:webHidden/>
          </w:rPr>
          <w:tab/>
        </w:r>
        <w:r w:rsidR="007566B9">
          <w:rPr>
            <w:noProof/>
            <w:webHidden/>
          </w:rPr>
          <w:fldChar w:fldCharType="begin"/>
        </w:r>
        <w:r w:rsidR="007566B9">
          <w:rPr>
            <w:noProof/>
            <w:webHidden/>
          </w:rPr>
          <w:instrText xml:space="preserve"> PAGEREF _Toc490225749 \h </w:instrText>
        </w:r>
        <w:r w:rsidR="007566B9">
          <w:rPr>
            <w:noProof/>
            <w:webHidden/>
          </w:rPr>
        </w:r>
        <w:r w:rsidR="007566B9">
          <w:rPr>
            <w:noProof/>
            <w:webHidden/>
          </w:rPr>
          <w:fldChar w:fldCharType="separate"/>
        </w:r>
        <w:r w:rsidR="0058478E">
          <w:rPr>
            <w:noProof/>
            <w:webHidden/>
          </w:rPr>
          <w:t>ii</w:t>
        </w:r>
        <w:r w:rsidR="007566B9">
          <w:rPr>
            <w:noProof/>
            <w:webHidden/>
          </w:rPr>
          <w:fldChar w:fldCharType="end"/>
        </w:r>
      </w:hyperlink>
    </w:p>
    <w:p w14:paraId="05D899F2" w14:textId="18703F94" w:rsidR="007566B9" w:rsidRDefault="00260768">
      <w:pPr>
        <w:pStyle w:val="TOC1"/>
        <w:rPr>
          <w:rFonts w:asciiTheme="minorHAnsi" w:eastAsiaTheme="minorEastAsia" w:hAnsiTheme="minorHAnsi" w:cstheme="minorBidi"/>
          <w:b w:val="0"/>
          <w:noProof/>
          <w:sz w:val="22"/>
        </w:rPr>
      </w:pPr>
      <w:hyperlink w:anchor="_Toc490225750" w:history="1">
        <w:r w:rsidR="007566B9" w:rsidRPr="0052213E">
          <w:rPr>
            <w:rStyle w:val="Hyperlink"/>
            <w:noProof/>
          </w:rPr>
          <w:t>List of Figures and Tables</w:t>
        </w:r>
        <w:r w:rsidR="007566B9">
          <w:rPr>
            <w:noProof/>
            <w:webHidden/>
          </w:rPr>
          <w:tab/>
        </w:r>
        <w:r w:rsidR="007566B9">
          <w:rPr>
            <w:noProof/>
            <w:webHidden/>
          </w:rPr>
          <w:fldChar w:fldCharType="begin"/>
        </w:r>
        <w:r w:rsidR="007566B9">
          <w:rPr>
            <w:noProof/>
            <w:webHidden/>
          </w:rPr>
          <w:instrText xml:space="preserve"> PAGEREF _Toc490225750 \h </w:instrText>
        </w:r>
        <w:r w:rsidR="007566B9">
          <w:rPr>
            <w:noProof/>
            <w:webHidden/>
          </w:rPr>
        </w:r>
        <w:r w:rsidR="007566B9">
          <w:rPr>
            <w:noProof/>
            <w:webHidden/>
          </w:rPr>
          <w:fldChar w:fldCharType="separate"/>
        </w:r>
        <w:r w:rsidR="0058478E">
          <w:rPr>
            <w:noProof/>
            <w:webHidden/>
          </w:rPr>
          <w:t>v</w:t>
        </w:r>
        <w:r w:rsidR="007566B9">
          <w:rPr>
            <w:noProof/>
            <w:webHidden/>
          </w:rPr>
          <w:fldChar w:fldCharType="end"/>
        </w:r>
      </w:hyperlink>
    </w:p>
    <w:p w14:paraId="61968040" w14:textId="67110494" w:rsidR="007566B9" w:rsidRDefault="00260768">
      <w:pPr>
        <w:pStyle w:val="TOC1"/>
        <w:rPr>
          <w:rFonts w:asciiTheme="minorHAnsi" w:eastAsiaTheme="minorEastAsia" w:hAnsiTheme="minorHAnsi" w:cstheme="minorBidi"/>
          <w:b w:val="0"/>
          <w:noProof/>
          <w:sz w:val="22"/>
        </w:rPr>
      </w:pPr>
      <w:hyperlink w:anchor="_Toc490225751" w:history="1">
        <w:r w:rsidR="007566B9" w:rsidRPr="0052213E">
          <w:rPr>
            <w:rStyle w:val="Hyperlink"/>
            <w:noProof/>
          </w:rPr>
          <w:t>Disclaimer</w:t>
        </w:r>
        <w:r w:rsidR="007566B9">
          <w:rPr>
            <w:noProof/>
            <w:webHidden/>
          </w:rPr>
          <w:tab/>
        </w:r>
        <w:r w:rsidR="007566B9">
          <w:rPr>
            <w:noProof/>
            <w:webHidden/>
          </w:rPr>
          <w:fldChar w:fldCharType="begin"/>
        </w:r>
        <w:r w:rsidR="007566B9">
          <w:rPr>
            <w:noProof/>
            <w:webHidden/>
          </w:rPr>
          <w:instrText xml:space="preserve"> PAGEREF _Toc490225751 \h </w:instrText>
        </w:r>
        <w:r w:rsidR="007566B9">
          <w:rPr>
            <w:noProof/>
            <w:webHidden/>
          </w:rPr>
        </w:r>
        <w:r w:rsidR="007566B9">
          <w:rPr>
            <w:noProof/>
            <w:webHidden/>
          </w:rPr>
          <w:fldChar w:fldCharType="separate"/>
        </w:r>
        <w:r w:rsidR="0058478E">
          <w:rPr>
            <w:noProof/>
            <w:webHidden/>
          </w:rPr>
          <w:t>xi</w:t>
        </w:r>
        <w:r w:rsidR="007566B9">
          <w:rPr>
            <w:noProof/>
            <w:webHidden/>
          </w:rPr>
          <w:fldChar w:fldCharType="end"/>
        </w:r>
      </w:hyperlink>
    </w:p>
    <w:p w14:paraId="65C2FEF3" w14:textId="33356C9C" w:rsidR="007566B9" w:rsidRDefault="00260768">
      <w:pPr>
        <w:pStyle w:val="TOC1"/>
        <w:rPr>
          <w:rFonts w:asciiTheme="minorHAnsi" w:eastAsiaTheme="minorEastAsia" w:hAnsiTheme="minorHAnsi" w:cstheme="minorBidi"/>
          <w:b w:val="0"/>
          <w:noProof/>
          <w:sz w:val="22"/>
        </w:rPr>
      </w:pPr>
      <w:hyperlink w:anchor="_Toc490225752" w:history="1">
        <w:r w:rsidR="007566B9" w:rsidRPr="0052213E">
          <w:rPr>
            <w:rStyle w:val="Hyperlink"/>
            <w:noProof/>
          </w:rPr>
          <w:t>Executive Summary</w:t>
        </w:r>
        <w:r w:rsidR="007566B9">
          <w:rPr>
            <w:noProof/>
            <w:webHidden/>
          </w:rPr>
          <w:tab/>
        </w:r>
        <w:r w:rsidR="007566B9">
          <w:rPr>
            <w:noProof/>
            <w:webHidden/>
          </w:rPr>
          <w:fldChar w:fldCharType="begin"/>
        </w:r>
        <w:r w:rsidR="007566B9">
          <w:rPr>
            <w:noProof/>
            <w:webHidden/>
          </w:rPr>
          <w:instrText xml:space="preserve"> PAGEREF _Toc490225752 \h </w:instrText>
        </w:r>
        <w:r w:rsidR="007566B9">
          <w:rPr>
            <w:noProof/>
            <w:webHidden/>
          </w:rPr>
        </w:r>
        <w:r w:rsidR="007566B9">
          <w:rPr>
            <w:noProof/>
            <w:webHidden/>
          </w:rPr>
          <w:fldChar w:fldCharType="separate"/>
        </w:r>
        <w:r w:rsidR="0058478E">
          <w:rPr>
            <w:noProof/>
            <w:webHidden/>
          </w:rPr>
          <w:t>xii</w:t>
        </w:r>
        <w:r w:rsidR="007566B9">
          <w:rPr>
            <w:noProof/>
            <w:webHidden/>
          </w:rPr>
          <w:fldChar w:fldCharType="end"/>
        </w:r>
      </w:hyperlink>
    </w:p>
    <w:p w14:paraId="04BB991B" w14:textId="7EF55FD6" w:rsidR="007566B9" w:rsidRDefault="00260768">
      <w:pPr>
        <w:pStyle w:val="TOC2"/>
        <w:rPr>
          <w:rFonts w:asciiTheme="minorHAnsi" w:eastAsiaTheme="minorEastAsia" w:hAnsiTheme="minorHAnsi" w:cstheme="minorBidi"/>
          <w:sz w:val="22"/>
          <w:szCs w:val="22"/>
        </w:rPr>
      </w:pPr>
      <w:hyperlink w:anchor="_Toc490225753" w:history="1">
        <w:r w:rsidR="007566B9" w:rsidRPr="0052213E">
          <w:rPr>
            <w:rStyle w:val="Hyperlink"/>
          </w:rPr>
          <w:t>Background</w:t>
        </w:r>
        <w:r w:rsidR="007566B9">
          <w:rPr>
            <w:webHidden/>
          </w:rPr>
          <w:tab/>
        </w:r>
        <w:r w:rsidR="007566B9">
          <w:rPr>
            <w:webHidden/>
          </w:rPr>
          <w:fldChar w:fldCharType="begin"/>
        </w:r>
        <w:r w:rsidR="007566B9">
          <w:rPr>
            <w:webHidden/>
          </w:rPr>
          <w:instrText xml:space="preserve"> PAGEREF _Toc490225753 \h </w:instrText>
        </w:r>
        <w:r w:rsidR="007566B9">
          <w:rPr>
            <w:webHidden/>
          </w:rPr>
        </w:r>
        <w:r w:rsidR="007566B9">
          <w:rPr>
            <w:webHidden/>
          </w:rPr>
          <w:fldChar w:fldCharType="separate"/>
        </w:r>
        <w:r w:rsidR="0058478E">
          <w:rPr>
            <w:webHidden/>
          </w:rPr>
          <w:t>xii</w:t>
        </w:r>
        <w:r w:rsidR="007566B9">
          <w:rPr>
            <w:webHidden/>
          </w:rPr>
          <w:fldChar w:fldCharType="end"/>
        </w:r>
      </w:hyperlink>
    </w:p>
    <w:p w14:paraId="2BED58B5" w14:textId="760D3741" w:rsidR="007566B9" w:rsidRDefault="00260768">
      <w:pPr>
        <w:pStyle w:val="TOC2"/>
        <w:rPr>
          <w:rFonts w:asciiTheme="minorHAnsi" w:eastAsiaTheme="minorEastAsia" w:hAnsiTheme="minorHAnsi" w:cstheme="minorBidi"/>
          <w:sz w:val="22"/>
          <w:szCs w:val="22"/>
        </w:rPr>
      </w:pPr>
      <w:hyperlink w:anchor="_Toc490225754" w:history="1">
        <w:r w:rsidR="007566B9" w:rsidRPr="0052213E">
          <w:rPr>
            <w:rStyle w:val="Hyperlink"/>
          </w:rPr>
          <w:t>Scenarios</w:t>
        </w:r>
        <w:r w:rsidR="007566B9">
          <w:rPr>
            <w:webHidden/>
          </w:rPr>
          <w:tab/>
        </w:r>
        <w:r w:rsidR="007566B9">
          <w:rPr>
            <w:webHidden/>
          </w:rPr>
          <w:fldChar w:fldCharType="begin"/>
        </w:r>
        <w:r w:rsidR="007566B9">
          <w:rPr>
            <w:webHidden/>
          </w:rPr>
          <w:instrText xml:space="preserve"> PAGEREF _Toc490225754 \h </w:instrText>
        </w:r>
        <w:r w:rsidR="007566B9">
          <w:rPr>
            <w:webHidden/>
          </w:rPr>
        </w:r>
        <w:r w:rsidR="007566B9">
          <w:rPr>
            <w:webHidden/>
          </w:rPr>
          <w:fldChar w:fldCharType="separate"/>
        </w:r>
        <w:r w:rsidR="0058478E">
          <w:rPr>
            <w:webHidden/>
          </w:rPr>
          <w:t>xiv</w:t>
        </w:r>
        <w:r w:rsidR="007566B9">
          <w:rPr>
            <w:webHidden/>
          </w:rPr>
          <w:fldChar w:fldCharType="end"/>
        </w:r>
      </w:hyperlink>
    </w:p>
    <w:p w14:paraId="4B70DE90" w14:textId="28731964" w:rsidR="007566B9" w:rsidRDefault="00260768">
      <w:pPr>
        <w:pStyle w:val="TOC2"/>
        <w:rPr>
          <w:rFonts w:asciiTheme="minorHAnsi" w:eastAsiaTheme="minorEastAsia" w:hAnsiTheme="minorHAnsi" w:cstheme="minorBidi"/>
          <w:sz w:val="22"/>
          <w:szCs w:val="22"/>
        </w:rPr>
      </w:pPr>
      <w:hyperlink w:anchor="_Toc490225755" w:history="1">
        <w:r w:rsidR="007566B9" w:rsidRPr="0052213E">
          <w:rPr>
            <w:rStyle w:val="Hyperlink"/>
          </w:rPr>
          <w:t>Results</w:t>
        </w:r>
        <w:r w:rsidR="007566B9">
          <w:rPr>
            <w:webHidden/>
          </w:rPr>
          <w:tab/>
        </w:r>
        <w:r w:rsidR="007566B9">
          <w:rPr>
            <w:webHidden/>
          </w:rPr>
          <w:fldChar w:fldCharType="begin"/>
        </w:r>
        <w:r w:rsidR="007566B9">
          <w:rPr>
            <w:webHidden/>
          </w:rPr>
          <w:instrText xml:space="preserve"> PAGEREF _Toc490225755 \h </w:instrText>
        </w:r>
        <w:r w:rsidR="007566B9">
          <w:rPr>
            <w:webHidden/>
          </w:rPr>
        </w:r>
        <w:r w:rsidR="007566B9">
          <w:rPr>
            <w:webHidden/>
          </w:rPr>
          <w:fldChar w:fldCharType="separate"/>
        </w:r>
        <w:r w:rsidR="0058478E">
          <w:rPr>
            <w:webHidden/>
          </w:rPr>
          <w:t>xv</w:t>
        </w:r>
        <w:r w:rsidR="007566B9">
          <w:rPr>
            <w:webHidden/>
          </w:rPr>
          <w:fldChar w:fldCharType="end"/>
        </w:r>
      </w:hyperlink>
    </w:p>
    <w:p w14:paraId="441706BD" w14:textId="29ED14C5" w:rsidR="007566B9" w:rsidRDefault="00260768">
      <w:pPr>
        <w:pStyle w:val="TOC3"/>
        <w:rPr>
          <w:rFonts w:asciiTheme="minorHAnsi" w:eastAsiaTheme="minorEastAsia" w:hAnsiTheme="minorHAnsi" w:cstheme="minorBidi"/>
          <w:sz w:val="22"/>
          <w:szCs w:val="22"/>
        </w:rPr>
      </w:pPr>
      <w:hyperlink w:anchor="_Toc490225756" w:history="1">
        <w:r w:rsidR="007566B9" w:rsidRPr="0052213E">
          <w:rPr>
            <w:rStyle w:val="Hyperlink"/>
          </w:rPr>
          <w:t>Total Market Potential</w:t>
        </w:r>
        <w:r w:rsidR="007566B9">
          <w:rPr>
            <w:webHidden/>
          </w:rPr>
          <w:tab/>
        </w:r>
        <w:r w:rsidR="007566B9">
          <w:rPr>
            <w:webHidden/>
          </w:rPr>
          <w:fldChar w:fldCharType="begin"/>
        </w:r>
        <w:r w:rsidR="007566B9">
          <w:rPr>
            <w:webHidden/>
          </w:rPr>
          <w:instrText xml:space="preserve"> PAGEREF _Toc490225756 \h </w:instrText>
        </w:r>
        <w:r w:rsidR="007566B9">
          <w:rPr>
            <w:webHidden/>
          </w:rPr>
        </w:r>
        <w:r w:rsidR="007566B9">
          <w:rPr>
            <w:webHidden/>
          </w:rPr>
          <w:fldChar w:fldCharType="separate"/>
        </w:r>
        <w:r w:rsidR="0058478E">
          <w:rPr>
            <w:webHidden/>
          </w:rPr>
          <w:t>xv</w:t>
        </w:r>
        <w:r w:rsidR="007566B9">
          <w:rPr>
            <w:webHidden/>
          </w:rPr>
          <w:fldChar w:fldCharType="end"/>
        </w:r>
      </w:hyperlink>
    </w:p>
    <w:p w14:paraId="426A64FD" w14:textId="1D449CF5" w:rsidR="007566B9" w:rsidRDefault="00260768">
      <w:pPr>
        <w:pStyle w:val="TOC3"/>
        <w:rPr>
          <w:rFonts w:asciiTheme="minorHAnsi" w:eastAsiaTheme="minorEastAsia" w:hAnsiTheme="minorHAnsi" w:cstheme="minorBidi"/>
          <w:sz w:val="22"/>
          <w:szCs w:val="22"/>
        </w:rPr>
      </w:pPr>
      <w:hyperlink w:anchor="_Toc490225757" w:history="1">
        <w:r w:rsidR="007566B9" w:rsidRPr="0052213E">
          <w:rPr>
            <w:rStyle w:val="Hyperlink"/>
          </w:rPr>
          <w:t>Market Potential as a Percent of Sales</w:t>
        </w:r>
        <w:r w:rsidR="007566B9">
          <w:rPr>
            <w:webHidden/>
          </w:rPr>
          <w:tab/>
        </w:r>
        <w:r w:rsidR="007566B9">
          <w:rPr>
            <w:webHidden/>
          </w:rPr>
          <w:fldChar w:fldCharType="begin"/>
        </w:r>
        <w:r w:rsidR="007566B9">
          <w:rPr>
            <w:webHidden/>
          </w:rPr>
          <w:instrText xml:space="preserve"> PAGEREF _Toc490225757 \h </w:instrText>
        </w:r>
        <w:r w:rsidR="007566B9">
          <w:rPr>
            <w:webHidden/>
          </w:rPr>
        </w:r>
        <w:r w:rsidR="007566B9">
          <w:rPr>
            <w:webHidden/>
          </w:rPr>
          <w:fldChar w:fldCharType="separate"/>
        </w:r>
        <w:r w:rsidR="0058478E">
          <w:rPr>
            <w:webHidden/>
          </w:rPr>
          <w:t>xix</w:t>
        </w:r>
        <w:r w:rsidR="007566B9">
          <w:rPr>
            <w:webHidden/>
          </w:rPr>
          <w:fldChar w:fldCharType="end"/>
        </w:r>
      </w:hyperlink>
    </w:p>
    <w:p w14:paraId="06B12012" w14:textId="5D50EEAC" w:rsidR="007566B9" w:rsidRDefault="00260768">
      <w:pPr>
        <w:pStyle w:val="TOC3"/>
        <w:rPr>
          <w:rFonts w:asciiTheme="minorHAnsi" w:eastAsiaTheme="minorEastAsia" w:hAnsiTheme="minorHAnsi" w:cstheme="minorBidi"/>
          <w:sz w:val="22"/>
          <w:szCs w:val="22"/>
        </w:rPr>
      </w:pPr>
      <w:hyperlink w:anchor="_Toc490225758" w:history="1">
        <w:r w:rsidR="007566B9" w:rsidRPr="0052213E">
          <w:rPr>
            <w:rStyle w:val="Hyperlink"/>
          </w:rPr>
          <w:t>Market Potential by Sector</w:t>
        </w:r>
        <w:r w:rsidR="007566B9">
          <w:rPr>
            <w:webHidden/>
          </w:rPr>
          <w:tab/>
        </w:r>
        <w:r w:rsidR="007566B9">
          <w:rPr>
            <w:webHidden/>
          </w:rPr>
          <w:fldChar w:fldCharType="begin"/>
        </w:r>
        <w:r w:rsidR="007566B9">
          <w:rPr>
            <w:webHidden/>
          </w:rPr>
          <w:instrText xml:space="preserve"> PAGEREF _Toc490225758 \h </w:instrText>
        </w:r>
        <w:r w:rsidR="007566B9">
          <w:rPr>
            <w:webHidden/>
          </w:rPr>
        </w:r>
        <w:r w:rsidR="007566B9">
          <w:rPr>
            <w:webHidden/>
          </w:rPr>
          <w:fldChar w:fldCharType="separate"/>
        </w:r>
        <w:r w:rsidR="0058478E">
          <w:rPr>
            <w:webHidden/>
          </w:rPr>
          <w:t>xxii</w:t>
        </w:r>
        <w:r w:rsidR="007566B9">
          <w:rPr>
            <w:webHidden/>
          </w:rPr>
          <w:fldChar w:fldCharType="end"/>
        </w:r>
      </w:hyperlink>
    </w:p>
    <w:p w14:paraId="54280411" w14:textId="4DB4C289" w:rsidR="007566B9" w:rsidRDefault="00260768">
      <w:pPr>
        <w:pStyle w:val="TOC3"/>
        <w:rPr>
          <w:rFonts w:asciiTheme="minorHAnsi" w:eastAsiaTheme="minorEastAsia" w:hAnsiTheme="minorHAnsi" w:cstheme="minorBidi"/>
          <w:sz w:val="22"/>
          <w:szCs w:val="22"/>
        </w:rPr>
      </w:pPr>
      <w:hyperlink w:anchor="_Toc490225759" w:history="1">
        <w:r w:rsidR="007566B9" w:rsidRPr="0052213E">
          <w:rPr>
            <w:rStyle w:val="Hyperlink"/>
          </w:rPr>
          <w:t>Expenditures</w:t>
        </w:r>
        <w:r w:rsidR="007566B9">
          <w:rPr>
            <w:webHidden/>
          </w:rPr>
          <w:tab/>
        </w:r>
        <w:r w:rsidR="007566B9">
          <w:rPr>
            <w:webHidden/>
          </w:rPr>
          <w:fldChar w:fldCharType="begin"/>
        </w:r>
        <w:r w:rsidR="007566B9">
          <w:rPr>
            <w:webHidden/>
          </w:rPr>
          <w:instrText xml:space="preserve"> PAGEREF _Toc490225759 \h </w:instrText>
        </w:r>
        <w:r w:rsidR="007566B9">
          <w:rPr>
            <w:webHidden/>
          </w:rPr>
        </w:r>
        <w:r w:rsidR="007566B9">
          <w:rPr>
            <w:webHidden/>
          </w:rPr>
          <w:fldChar w:fldCharType="separate"/>
        </w:r>
        <w:r w:rsidR="0058478E">
          <w:rPr>
            <w:webHidden/>
          </w:rPr>
          <w:t>xxv</w:t>
        </w:r>
        <w:r w:rsidR="007566B9">
          <w:rPr>
            <w:webHidden/>
          </w:rPr>
          <w:fldChar w:fldCharType="end"/>
        </w:r>
      </w:hyperlink>
    </w:p>
    <w:p w14:paraId="1E30DC7D" w14:textId="54FF7EBE" w:rsidR="007566B9" w:rsidRDefault="00260768">
      <w:pPr>
        <w:pStyle w:val="TOC1"/>
        <w:rPr>
          <w:rFonts w:asciiTheme="minorHAnsi" w:eastAsiaTheme="minorEastAsia" w:hAnsiTheme="minorHAnsi" w:cstheme="minorBidi"/>
          <w:b w:val="0"/>
          <w:noProof/>
          <w:sz w:val="22"/>
        </w:rPr>
      </w:pPr>
      <w:hyperlink w:anchor="_Toc490225760" w:history="1">
        <w:r w:rsidR="007566B9" w:rsidRPr="0052213E">
          <w:rPr>
            <w:rStyle w:val="Hyperlink"/>
            <w:noProof/>
          </w:rPr>
          <w:t>1. Introduction</w:t>
        </w:r>
        <w:r w:rsidR="007566B9">
          <w:rPr>
            <w:noProof/>
            <w:webHidden/>
          </w:rPr>
          <w:tab/>
        </w:r>
        <w:r w:rsidR="007566B9">
          <w:rPr>
            <w:noProof/>
            <w:webHidden/>
          </w:rPr>
          <w:fldChar w:fldCharType="begin"/>
        </w:r>
        <w:r w:rsidR="007566B9">
          <w:rPr>
            <w:noProof/>
            <w:webHidden/>
          </w:rPr>
          <w:instrText xml:space="preserve"> PAGEREF _Toc490225760 \h </w:instrText>
        </w:r>
        <w:r w:rsidR="007566B9">
          <w:rPr>
            <w:noProof/>
            <w:webHidden/>
          </w:rPr>
        </w:r>
        <w:r w:rsidR="007566B9">
          <w:rPr>
            <w:noProof/>
            <w:webHidden/>
          </w:rPr>
          <w:fldChar w:fldCharType="separate"/>
        </w:r>
        <w:r w:rsidR="0058478E">
          <w:rPr>
            <w:noProof/>
            <w:webHidden/>
          </w:rPr>
          <w:t>1</w:t>
        </w:r>
        <w:r w:rsidR="007566B9">
          <w:rPr>
            <w:noProof/>
            <w:webHidden/>
          </w:rPr>
          <w:fldChar w:fldCharType="end"/>
        </w:r>
      </w:hyperlink>
    </w:p>
    <w:p w14:paraId="538778DB" w14:textId="47894838" w:rsidR="007566B9" w:rsidRDefault="00260768">
      <w:pPr>
        <w:pStyle w:val="TOC2"/>
        <w:rPr>
          <w:rFonts w:asciiTheme="minorHAnsi" w:eastAsiaTheme="minorEastAsia" w:hAnsiTheme="minorHAnsi" w:cstheme="minorBidi"/>
          <w:sz w:val="22"/>
          <w:szCs w:val="22"/>
        </w:rPr>
      </w:pPr>
      <w:hyperlink w:anchor="_Toc490225761" w:history="1">
        <w:r w:rsidR="007566B9" w:rsidRPr="0052213E">
          <w:rPr>
            <w:rStyle w:val="Hyperlink"/>
          </w:rPr>
          <w:t>1.1 Context of the Goals and Potential Study</w:t>
        </w:r>
        <w:r w:rsidR="007566B9">
          <w:rPr>
            <w:webHidden/>
          </w:rPr>
          <w:tab/>
        </w:r>
        <w:r w:rsidR="007566B9">
          <w:rPr>
            <w:webHidden/>
          </w:rPr>
          <w:fldChar w:fldCharType="begin"/>
        </w:r>
        <w:r w:rsidR="007566B9">
          <w:rPr>
            <w:webHidden/>
          </w:rPr>
          <w:instrText xml:space="preserve"> PAGEREF _Toc490225761 \h </w:instrText>
        </w:r>
        <w:r w:rsidR="007566B9">
          <w:rPr>
            <w:webHidden/>
          </w:rPr>
        </w:r>
        <w:r w:rsidR="007566B9">
          <w:rPr>
            <w:webHidden/>
          </w:rPr>
          <w:fldChar w:fldCharType="separate"/>
        </w:r>
        <w:r w:rsidR="0058478E">
          <w:rPr>
            <w:webHidden/>
          </w:rPr>
          <w:t>1</w:t>
        </w:r>
        <w:r w:rsidR="007566B9">
          <w:rPr>
            <w:webHidden/>
          </w:rPr>
          <w:fldChar w:fldCharType="end"/>
        </w:r>
      </w:hyperlink>
    </w:p>
    <w:p w14:paraId="0F345469" w14:textId="010239CD" w:rsidR="007566B9" w:rsidRDefault="00260768">
      <w:pPr>
        <w:pStyle w:val="TOC2"/>
        <w:rPr>
          <w:rFonts w:asciiTheme="minorHAnsi" w:eastAsiaTheme="minorEastAsia" w:hAnsiTheme="minorHAnsi" w:cstheme="minorBidi"/>
          <w:sz w:val="22"/>
          <w:szCs w:val="22"/>
        </w:rPr>
      </w:pPr>
      <w:hyperlink w:anchor="_Toc490225762" w:history="1">
        <w:r w:rsidR="007566B9" w:rsidRPr="0052213E">
          <w:rPr>
            <w:rStyle w:val="Hyperlink"/>
          </w:rPr>
          <w:t>1.2 Types of Potential</w:t>
        </w:r>
        <w:r w:rsidR="007566B9">
          <w:rPr>
            <w:webHidden/>
          </w:rPr>
          <w:tab/>
        </w:r>
        <w:r w:rsidR="007566B9">
          <w:rPr>
            <w:webHidden/>
          </w:rPr>
          <w:fldChar w:fldCharType="begin"/>
        </w:r>
        <w:r w:rsidR="007566B9">
          <w:rPr>
            <w:webHidden/>
          </w:rPr>
          <w:instrText xml:space="preserve"> PAGEREF _Toc490225762 \h </w:instrText>
        </w:r>
        <w:r w:rsidR="007566B9">
          <w:rPr>
            <w:webHidden/>
          </w:rPr>
        </w:r>
        <w:r w:rsidR="007566B9">
          <w:rPr>
            <w:webHidden/>
          </w:rPr>
          <w:fldChar w:fldCharType="separate"/>
        </w:r>
        <w:r w:rsidR="0058478E">
          <w:rPr>
            <w:webHidden/>
          </w:rPr>
          <w:t>3</w:t>
        </w:r>
        <w:r w:rsidR="007566B9">
          <w:rPr>
            <w:webHidden/>
          </w:rPr>
          <w:fldChar w:fldCharType="end"/>
        </w:r>
      </w:hyperlink>
    </w:p>
    <w:p w14:paraId="6596F45E" w14:textId="3BD0331C" w:rsidR="007566B9" w:rsidRDefault="00260768">
      <w:pPr>
        <w:pStyle w:val="TOC2"/>
        <w:rPr>
          <w:rFonts w:asciiTheme="minorHAnsi" w:eastAsiaTheme="minorEastAsia" w:hAnsiTheme="minorHAnsi" w:cstheme="minorBidi"/>
          <w:sz w:val="22"/>
          <w:szCs w:val="22"/>
        </w:rPr>
      </w:pPr>
      <w:hyperlink w:anchor="_Toc490225763" w:history="1">
        <w:r w:rsidR="007566B9" w:rsidRPr="0052213E">
          <w:rPr>
            <w:rStyle w:val="Hyperlink"/>
          </w:rPr>
          <w:t>1.3 Scope of this Study</w:t>
        </w:r>
        <w:r w:rsidR="007566B9">
          <w:rPr>
            <w:webHidden/>
          </w:rPr>
          <w:tab/>
        </w:r>
        <w:r w:rsidR="007566B9">
          <w:rPr>
            <w:webHidden/>
          </w:rPr>
          <w:fldChar w:fldCharType="begin"/>
        </w:r>
        <w:r w:rsidR="007566B9">
          <w:rPr>
            <w:webHidden/>
          </w:rPr>
          <w:instrText xml:space="preserve"> PAGEREF _Toc490225763 \h </w:instrText>
        </w:r>
        <w:r w:rsidR="007566B9">
          <w:rPr>
            <w:webHidden/>
          </w:rPr>
        </w:r>
        <w:r w:rsidR="007566B9">
          <w:rPr>
            <w:webHidden/>
          </w:rPr>
          <w:fldChar w:fldCharType="separate"/>
        </w:r>
        <w:r w:rsidR="0058478E">
          <w:rPr>
            <w:webHidden/>
          </w:rPr>
          <w:t>4</w:t>
        </w:r>
        <w:r w:rsidR="007566B9">
          <w:rPr>
            <w:webHidden/>
          </w:rPr>
          <w:fldChar w:fldCharType="end"/>
        </w:r>
      </w:hyperlink>
    </w:p>
    <w:p w14:paraId="6B29AB23" w14:textId="38690AD0" w:rsidR="007566B9" w:rsidRDefault="00260768">
      <w:pPr>
        <w:pStyle w:val="TOC2"/>
        <w:rPr>
          <w:rFonts w:asciiTheme="minorHAnsi" w:eastAsiaTheme="minorEastAsia" w:hAnsiTheme="minorHAnsi" w:cstheme="minorBidi"/>
          <w:sz w:val="22"/>
          <w:szCs w:val="22"/>
        </w:rPr>
      </w:pPr>
      <w:hyperlink w:anchor="_Toc490225764" w:history="1">
        <w:r w:rsidR="007566B9" w:rsidRPr="0052213E">
          <w:rPr>
            <w:rStyle w:val="Hyperlink"/>
          </w:rPr>
          <w:t>1.4 Stakeholder Engagement</w:t>
        </w:r>
        <w:r w:rsidR="007566B9">
          <w:rPr>
            <w:webHidden/>
          </w:rPr>
          <w:tab/>
        </w:r>
        <w:r w:rsidR="007566B9">
          <w:rPr>
            <w:webHidden/>
          </w:rPr>
          <w:fldChar w:fldCharType="begin"/>
        </w:r>
        <w:r w:rsidR="007566B9">
          <w:rPr>
            <w:webHidden/>
          </w:rPr>
          <w:instrText xml:space="preserve"> PAGEREF _Toc490225764 \h </w:instrText>
        </w:r>
        <w:r w:rsidR="007566B9">
          <w:rPr>
            <w:webHidden/>
          </w:rPr>
        </w:r>
        <w:r w:rsidR="007566B9">
          <w:rPr>
            <w:webHidden/>
          </w:rPr>
          <w:fldChar w:fldCharType="separate"/>
        </w:r>
        <w:r w:rsidR="0058478E">
          <w:rPr>
            <w:webHidden/>
          </w:rPr>
          <w:t>5</w:t>
        </w:r>
        <w:r w:rsidR="007566B9">
          <w:rPr>
            <w:webHidden/>
          </w:rPr>
          <w:fldChar w:fldCharType="end"/>
        </w:r>
      </w:hyperlink>
    </w:p>
    <w:p w14:paraId="38975A9F" w14:textId="24876294" w:rsidR="007566B9" w:rsidRDefault="00260768">
      <w:pPr>
        <w:pStyle w:val="TOC2"/>
        <w:rPr>
          <w:rFonts w:asciiTheme="minorHAnsi" w:eastAsiaTheme="minorEastAsia" w:hAnsiTheme="minorHAnsi" w:cstheme="minorBidi"/>
          <w:sz w:val="22"/>
          <w:szCs w:val="22"/>
        </w:rPr>
      </w:pPr>
      <w:hyperlink w:anchor="_Toc490225765" w:history="1">
        <w:r w:rsidR="007566B9" w:rsidRPr="0052213E">
          <w:rPr>
            <w:rStyle w:val="Hyperlink"/>
          </w:rPr>
          <w:t>1.5 Content of this Report</w:t>
        </w:r>
        <w:r w:rsidR="007566B9">
          <w:rPr>
            <w:webHidden/>
          </w:rPr>
          <w:tab/>
        </w:r>
        <w:r w:rsidR="007566B9">
          <w:rPr>
            <w:webHidden/>
          </w:rPr>
          <w:fldChar w:fldCharType="begin"/>
        </w:r>
        <w:r w:rsidR="007566B9">
          <w:rPr>
            <w:webHidden/>
          </w:rPr>
          <w:instrText xml:space="preserve"> PAGEREF _Toc490225765 \h </w:instrText>
        </w:r>
        <w:r w:rsidR="007566B9">
          <w:rPr>
            <w:webHidden/>
          </w:rPr>
        </w:r>
        <w:r w:rsidR="007566B9">
          <w:rPr>
            <w:webHidden/>
          </w:rPr>
          <w:fldChar w:fldCharType="separate"/>
        </w:r>
        <w:r w:rsidR="0058478E">
          <w:rPr>
            <w:webHidden/>
          </w:rPr>
          <w:t>6</w:t>
        </w:r>
        <w:r w:rsidR="007566B9">
          <w:rPr>
            <w:webHidden/>
          </w:rPr>
          <w:fldChar w:fldCharType="end"/>
        </w:r>
      </w:hyperlink>
    </w:p>
    <w:p w14:paraId="217C57CF" w14:textId="77D2DFD1" w:rsidR="007566B9" w:rsidRDefault="00260768">
      <w:pPr>
        <w:pStyle w:val="TOC1"/>
        <w:rPr>
          <w:rFonts w:asciiTheme="minorHAnsi" w:eastAsiaTheme="minorEastAsia" w:hAnsiTheme="minorHAnsi" w:cstheme="minorBidi"/>
          <w:b w:val="0"/>
          <w:noProof/>
          <w:sz w:val="22"/>
        </w:rPr>
      </w:pPr>
      <w:hyperlink w:anchor="_Toc490225766" w:history="1">
        <w:r w:rsidR="007566B9" w:rsidRPr="0052213E">
          <w:rPr>
            <w:rStyle w:val="Hyperlink"/>
            <w:noProof/>
          </w:rPr>
          <w:t>2. Study Methodology</w:t>
        </w:r>
        <w:r w:rsidR="007566B9">
          <w:rPr>
            <w:noProof/>
            <w:webHidden/>
          </w:rPr>
          <w:tab/>
        </w:r>
        <w:r w:rsidR="007566B9">
          <w:rPr>
            <w:noProof/>
            <w:webHidden/>
          </w:rPr>
          <w:fldChar w:fldCharType="begin"/>
        </w:r>
        <w:r w:rsidR="007566B9">
          <w:rPr>
            <w:noProof/>
            <w:webHidden/>
          </w:rPr>
          <w:instrText xml:space="preserve"> PAGEREF _Toc490225766 \h </w:instrText>
        </w:r>
        <w:r w:rsidR="007566B9">
          <w:rPr>
            <w:noProof/>
            <w:webHidden/>
          </w:rPr>
        </w:r>
        <w:r w:rsidR="007566B9">
          <w:rPr>
            <w:noProof/>
            <w:webHidden/>
          </w:rPr>
          <w:fldChar w:fldCharType="separate"/>
        </w:r>
        <w:r w:rsidR="0058478E">
          <w:rPr>
            <w:noProof/>
            <w:webHidden/>
          </w:rPr>
          <w:t>7</w:t>
        </w:r>
        <w:r w:rsidR="007566B9">
          <w:rPr>
            <w:noProof/>
            <w:webHidden/>
          </w:rPr>
          <w:fldChar w:fldCharType="end"/>
        </w:r>
      </w:hyperlink>
    </w:p>
    <w:p w14:paraId="3A417611" w14:textId="0749217F" w:rsidR="007566B9" w:rsidRDefault="00260768">
      <w:pPr>
        <w:pStyle w:val="TOC2"/>
        <w:rPr>
          <w:rFonts w:asciiTheme="minorHAnsi" w:eastAsiaTheme="minorEastAsia" w:hAnsiTheme="minorHAnsi" w:cstheme="minorBidi"/>
          <w:sz w:val="22"/>
          <w:szCs w:val="22"/>
        </w:rPr>
      </w:pPr>
      <w:hyperlink w:anchor="_Toc490225767" w:history="1">
        <w:r w:rsidR="007566B9" w:rsidRPr="0052213E">
          <w:rPr>
            <w:rStyle w:val="Hyperlink"/>
          </w:rPr>
          <w:t>2.1 Modeling Methods</w:t>
        </w:r>
        <w:r w:rsidR="007566B9">
          <w:rPr>
            <w:webHidden/>
          </w:rPr>
          <w:tab/>
        </w:r>
        <w:r w:rsidR="007566B9">
          <w:rPr>
            <w:webHidden/>
          </w:rPr>
          <w:fldChar w:fldCharType="begin"/>
        </w:r>
        <w:r w:rsidR="007566B9">
          <w:rPr>
            <w:webHidden/>
          </w:rPr>
          <w:instrText xml:space="preserve"> PAGEREF _Toc490225767 \h </w:instrText>
        </w:r>
        <w:r w:rsidR="007566B9">
          <w:rPr>
            <w:webHidden/>
          </w:rPr>
        </w:r>
        <w:r w:rsidR="007566B9">
          <w:rPr>
            <w:webHidden/>
          </w:rPr>
          <w:fldChar w:fldCharType="separate"/>
        </w:r>
        <w:r w:rsidR="0058478E">
          <w:rPr>
            <w:webHidden/>
          </w:rPr>
          <w:t>8</w:t>
        </w:r>
        <w:r w:rsidR="007566B9">
          <w:rPr>
            <w:webHidden/>
          </w:rPr>
          <w:fldChar w:fldCharType="end"/>
        </w:r>
      </w:hyperlink>
    </w:p>
    <w:p w14:paraId="7C5B4A28" w14:textId="21863721" w:rsidR="007566B9" w:rsidRDefault="00260768">
      <w:pPr>
        <w:pStyle w:val="TOC3"/>
        <w:rPr>
          <w:rFonts w:asciiTheme="minorHAnsi" w:eastAsiaTheme="minorEastAsia" w:hAnsiTheme="minorHAnsi" w:cstheme="minorBidi"/>
          <w:sz w:val="22"/>
          <w:szCs w:val="22"/>
        </w:rPr>
      </w:pPr>
      <w:hyperlink w:anchor="_Toc490225768" w:history="1">
        <w:r w:rsidR="007566B9" w:rsidRPr="0052213E">
          <w:rPr>
            <w:rStyle w:val="Hyperlink"/>
          </w:rPr>
          <w:t>2.1.1 Rebated Technologies</w:t>
        </w:r>
        <w:r w:rsidR="007566B9">
          <w:rPr>
            <w:webHidden/>
          </w:rPr>
          <w:tab/>
        </w:r>
        <w:r w:rsidR="007566B9">
          <w:rPr>
            <w:webHidden/>
          </w:rPr>
          <w:fldChar w:fldCharType="begin"/>
        </w:r>
        <w:r w:rsidR="007566B9">
          <w:rPr>
            <w:webHidden/>
          </w:rPr>
          <w:instrText xml:space="preserve"> PAGEREF _Toc490225768 \h </w:instrText>
        </w:r>
        <w:r w:rsidR="007566B9">
          <w:rPr>
            <w:webHidden/>
          </w:rPr>
        </w:r>
        <w:r w:rsidR="007566B9">
          <w:rPr>
            <w:webHidden/>
          </w:rPr>
          <w:fldChar w:fldCharType="separate"/>
        </w:r>
        <w:r w:rsidR="0058478E">
          <w:rPr>
            <w:webHidden/>
          </w:rPr>
          <w:t>9</w:t>
        </w:r>
        <w:r w:rsidR="007566B9">
          <w:rPr>
            <w:webHidden/>
          </w:rPr>
          <w:fldChar w:fldCharType="end"/>
        </w:r>
      </w:hyperlink>
    </w:p>
    <w:p w14:paraId="5538D485" w14:textId="4A05162F" w:rsidR="007566B9" w:rsidRDefault="00260768">
      <w:pPr>
        <w:pStyle w:val="TOC3"/>
        <w:rPr>
          <w:rFonts w:asciiTheme="minorHAnsi" w:eastAsiaTheme="minorEastAsia" w:hAnsiTheme="minorHAnsi" w:cstheme="minorBidi"/>
          <w:sz w:val="22"/>
          <w:szCs w:val="22"/>
        </w:rPr>
      </w:pPr>
      <w:hyperlink w:anchor="_Toc490225769" w:history="1">
        <w:r w:rsidR="007566B9" w:rsidRPr="0052213E">
          <w:rPr>
            <w:rStyle w:val="Hyperlink"/>
          </w:rPr>
          <w:t>2.1.2 Whole Building Packages</w:t>
        </w:r>
        <w:r w:rsidR="007566B9">
          <w:rPr>
            <w:webHidden/>
          </w:rPr>
          <w:tab/>
        </w:r>
        <w:r w:rsidR="007566B9">
          <w:rPr>
            <w:webHidden/>
          </w:rPr>
          <w:fldChar w:fldCharType="begin"/>
        </w:r>
        <w:r w:rsidR="007566B9">
          <w:rPr>
            <w:webHidden/>
          </w:rPr>
          <w:instrText xml:space="preserve"> PAGEREF _Toc490225769 \h </w:instrText>
        </w:r>
        <w:r w:rsidR="007566B9">
          <w:rPr>
            <w:webHidden/>
          </w:rPr>
        </w:r>
        <w:r w:rsidR="007566B9">
          <w:rPr>
            <w:webHidden/>
          </w:rPr>
          <w:fldChar w:fldCharType="separate"/>
        </w:r>
        <w:r w:rsidR="0058478E">
          <w:rPr>
            <w:webHidden/>
          </w:rPr>
          <w:t>20</w:t>
        </w:r>
        <w:r w:rsidR="007566B9">
          <w:rPr>
            <w:webHidden/>
          </w:rPr>
          <w:fldChar w:fldCharType="end"/>
        </w:r>
      </w:hyperlink>
    </w:p>
    <w:p w14:paraId="003DD30E" w14:textId="34689C23" w:rsidR="007566B9" w:rsidRDefault="00260768">
      <w:pPr>
        <w:pStyle w:val="TOC3"/>
        <w:rPr>
          <w:rFonts w:asciiTheme="minorHAnsi" w:eastAsiaTheme="minorEastAsia" w:hAnsiTheme="minorHAnsi" w:cstheme="minorBidi"/>
          <w:sz w:val="22"/>
          <w:szCs w:val="22"/>
        </w:rPr>
      </w:pPr>
      <w:hyperlink w:anchor="_Toc490225770" w:history="1">
        <w:r w:rsidR="007566B9" w:rsidRPr="0052213E">
          <w:rPr>
            <w:rStyle w:val="Hyperlink"/>
          </w:rPr>
          <w:t>2.1.3 Industrial and Agriculture Custom Measures and Emerging Technologies</w:t>
        </w:r>
        <w:r w:rsidR="007566B9">
          <w:rPr>
            <w:webHidden/>
          </w:rPr>
          <w:tab/>
        </w:r>
        <w:r w:rsidR="007566B9">
          <w:rPr>
            <w:webHidden/>
          </w:rPr>
          <w:fldChar w:fldCharType="begin"/>
        </w:r>
        <w:r w:rsidR="007566B9">
          <w:rPr>
            <w:webHidden/>
          </w:rPr>
          <w:instrText xml:space="preserve"> PAGEREF _Toc490225770 \h </w:instrText>
        </w:r>
        <w:r w:rsidR="007566B9">
          <w:rPr>
            <w:webHidden/>
          </w:rPr>
        </w:r>
        <w:r w:rsidR="007566B9">
          <w:rPr>
            <w:webHidden/>
          </w:rPr>
          <w:fldChar w:fldCharType="separate"/>
        </w:r>
        <w:r w:rsidR="0058478E">
          <w:rPr>
            <w:webHidden/>
          </w:rPr>
          <w:t>20</w:t>
        </w:r>
        <w:r w:rsidR="007566B9">
          <w:rPr>
            <w:webHidden/>
          </w:rPr>
          <w:fldChar w:fldCharType="end"/>
        </w:r>
      </w:hyperlink>
    </w:p>
    <w:p w14:paraId="5ED6604E" w14:textId="2689A057" w:rsidR="007566B9" w:rsidRDefault="00260768">
      <w:pPr>
        <w:pStyle w:val="TOC3"/>
        <w:rPr>
          <w:rFonts w:asciiTheme="minorHAnsi" w:eastAsiaTheme="minorEastAsia" w:hAnsiTheme="minorHAnsi" w:cstheme="minorBidi"/>
          <w:sz w:val="22"/>
          <w:szCs w:val="22"/>
        </w:rPr>
      </w:pPr>
      <w:hyperlink w:anchor="_Toc490225771" w:history="1">
        <w:r w:rsidR="007566B9" w:rsidRPr="0052213E">
          <w:rPr>
            <w:rStyle w:val="Hyperlink"/>
          </w:rPr>
          <w:t>2.1.4 Behavior, Retrocommissioning, Operational Efficiency (BROs)</w:t>
        </w:r>
        <w:r w:rsidR="007566B9">
          <w:rPr>
            <w:webHidden/>
          </w:rPr>
          <w:tab/>
        </w:r>
        <w:r w:rsidR="007566B9">
          <w:rPr>
            <w:webHidden/>
          </w:rPr>
          <w:fldChar w:fldCharType="begin"/>
        </w:r>
        <w:r w:rsidR="007566B9">
          <w:rPr>
            <w:webHidden/>
          </w:rPr>
          <w:instrText xml:space="preserve"> PAGEREF _Toc490225771 \h </w:instrText>
        </w:r>
        <w:r w:rsidR="007566B9">
          <w:rPr>
            <w:webHidden/>
          </w:rPr>
        </w:r>
        <w:r w:rsidR="007566B9">
          <w:rPr>
            <w:webHidden/>
          </w:rPr>
          <w:fldChar w:fldCharType="separate"/>
        </w:r>
        <w:r w:rsidR="0058478E">
          <w:rPr>
            <w:webHidden/>
          </w:rPr>
          <w:t>21</w:t>
        </w:r>
        <w:r w:rsidR="007566B9">
          <w:rPr>
            <w:webHidden/>
          </w:rPr>
          <w:fldChar w:fldCharType="end"/>
        </w:r>
      </w:hyperlink>
    </w:p>
    <w:p w14:paraId="61396E39" w14:textId="13343840" w:rsidR="007566B9" w:rsidRDefault="00260768">
      <w:pPr>
        <w:pStyle w:val="TOC3"/>
        <w:rPr>
          <w:rFonts w:asciiTheme="minorHAnsi" w:eastAsiaTheme="minorEastAsia" w:hAnsiTheme="minorHAnsi" w:cstheme="minorBidi"/>
          <w:sz w:val="22"/>
          <w:szCs w:val="22"/>
        </w:rPr>
      </w:pPr>
      <w:hyperlink w:anchor="_Toc490225772" w:history="1">
        <w:r w:rsidR="007566B9" w:rsidRPr="0052213E">
          <w:rPr>
            <w:rStyle w:val="Hyperlink"/>
          </w:rPr>
          <w:t>2.1.5 Residential Low Income</w:t>
        </w:r>
        <w:r w:rsidR="007566B9">
          <w:rPr>
            <w:webHidden/>
          </w:rPr>
          <w:tab/>
        </w:r>
        <w:r w:rsidR="007566B9">
          <w:rPr>
            <w:webHidden/>
          </w:rPr>
          <w:fldChar w:fldCharType="begin"/>
        </w:r>
        <w:r w:rsidR="007566B9">
          <w:rPr>
            <w:webHidden/>
          </w:rPr>
          <w:instrText xml:space="preserve"> PAGEREF _Toc490225772 \h </w:instrText>
        </w:r>
        <w:r w:rsidR="007566B9">
          <w:rPr>
            <w:webHidden/>
          </w:rPr>
        </w:r>
        <w:r w:rsidR="007566B9">
          <w:rPr>
            <w:webHidden/>
          </w:rPr>
          <w:fldChar w:fldCharType="separate"/>
        </w:r>
        <w:r w:rsidR="0058478E">
          <w:rPr>
            <w:webHidden/>
          </w:rPr>
          <w:t>23</w:t>
        </w:r>
        <w:r w:rsidR="007566B9">
          <w:rPr>
            <w:webHidden/>
          </w:rPr>
          <w:fldChar w:fldCharType="end"/>
        </w:r>
      </w:hyperlink>
    </w:p>
    <w:p w14:paraId="7346596B" w14:textId="0CD2DE3F" w:rsidR="007566B9" w:rsidRDefault="00260768">
      <w:pPr>
        <w:pStyle w:val="TOC3"/>
        <w:rPr>
          <w:rFonts w:asciiTheme="minorHAnsi" w:eastAsiaTheme="minorEastAsia" w:hAnsiTheme="minorHAnsi" w:cstheme="minorBidi"/>
          <w:sz w:val="22"/>
          <w:szCs w:val="22"/>
        </w:rPr>
      </w:pPr>
      <w:hyperlink w:anchor="_Toc490225773" w:history="1">
        <w:r w:rsidR="007566B9" w:rsidRPr="0052213E">
          <w:rPr>
            <w:rStyle w:val="Hyperlink"/>
          </w:rPr>
          <w:t>2.1.6 Codes and Standards (C&amp;S)</w:t>
        </w:r>
        <w:r w:rsidR="007566B9">
          <w:rPr>
            <w:webHidden/>
          </w:rPr>
          <w:tab/>
        </w:r>
        <w:r w:rsidR="007566B9">
          <w:rPr>
            <w:webHidden/>
          </w:rPr>
          <w:fldChar w:fldCharType="begin"/>
        </w:r>
        <w:r w:rsidR="007566B9">
          <w:rPr>
            <w:webHidden/>
          </w:rPr>
          <w:instrText xml:space="preserve"> PAGEREF _Toc490225773 \h </w:instrText>
        </w:r>
        <w:r w:rsidR="007566B9">
          <w:rPr>
            <w:webHidden/>
          </w:rPr>
        </w:r>
        <w:r w:rsidR="007566B9">
          <w:rPr>
            <w:webHidden/>
          </w:rPr>
          <w:fldChar w:fldCharType="separate"/>
        </w:r>
        <w:r w:rsidR="0058478E">
          <w:rPr>
            <w:webHidden/>
          </w:rPr>
          <w:t>23</w:t>
        </w:r>
        <w:r w:rsidR="007566B9">
          <w:rPr>
            <w:webHidden/>
          </w:rPr>
          <w:fldChar w:fldCharType="end"/>
        </w:r>
      </w:hyperlink>
    </w:p>
    <w:p w14:paraId="6CE16078" w14:textId="7A43247D" w:rsidR="007566B9" w:rsidRDefault="00260768">
      <w:pPr>
        <w:pStyle w:val="TOC3"/>
        <w:rPr>
          <w:rFonts w:asciiTheme="minorHAnsi" w:eastAsiaTheme="minorEastAsia" w:hAnsiTheme="minorHAnsi" w:cstheme="minorBidi"/>
          <w:sz w:val="22"/>
          <w:szCs w:val="22"/>
        </w:rPr>
      </w:pPr>
      <w:hyperlink w:anchor="_Toc490225774" w:history="1">
        <w:r w:rsidR="007566B9" w:rsidRPr="0052213E">
          <w:rPr>
            <w:rStyle w:val="Hyperlink"/>
          </w:rPr>
          <w:t>2.1.7 Financing</w:t>
        </w:r>
        <w:r w:rsidR="007566B9">
          <w:rPr>
            <w:webHidden/>
          </w:rPr>
          <w:tab/>
        </w:r>
        <w:r w:rsidR="007566B9">
          <w:rPr>
            <w:webHidden/>
          </w:rPr>
          <w:fldChar w:fldCharType="begin"/>
        </w:r>
        <w:r w:rsidR="007566B9">
          <w:rPr>
            <w:webHidden/>
          </w:rPr>
          <w:instrText xml:space="preserve"> PAGEREF _Toc490225774 \h </w:instrText>
        </w:r>
        <w:r w:rsidR="007566B9">
          <w:rPr>
            <w:webHidden/>
          </w:rPr>
        </w:r>
        <w:r w:rsidR="007566B9">
          <w:rPr>
            <w:webHidden/>
          </w:rPr>
          <w:fldChar w:fldCharType="separate"/>
        </w:r>
        <w:r w:rsidR="0058478E">
          <w:rPr>
            <w:webHidden/>
          </w:rPr>
          <w:t>25</w:t>
        </w:r>
        <w:r w:rsidR="007566B9">
          <w:rPr>
            <w:webHidden/>
          </w:rPr>
          <w:fldChar w:fldCharType="end"/>
        </w:r>
      </w:hyperlink>
    </w:p>
    <w:p w14:paraId="1D3ECC83" w14:textId="5EAE8CE2" w:rsidR="007566B9" w:rsidRDefault="00260768">
      <w:pPr>
        <w:pStyle w:val="TOC2"/>
        <w:rPr>
          <w:rFonts w:asciiTheme="minorHAnsi" w:eastAsiaTheme="minorEastAsia" w:hAnsiTheme="minorHAnsi" w:cstheme="minorBidi"/>
          <w:sz w:val="22"/>
          <w:szCs w:val="22"/>
        </w:rPr>
      </w:pPr>
      <w:hyperlink w:anchor="_Toc490225775" w:history="1">
        <w:r w:rsidR="007566B9" w:rsidRPr="0052213E">
          <w:rPr>
            <w:rStyle w:val="Hyperlink"/>
          </w:rPr>
          <w:t>2.2 Calibrating Rebated Technologies and Whole Building Approaches</w:t>
        </w:r>
        <w:r w:rsidR="007566B9">
          <w:rPr>
            <w:webHidden/>
          </w:rPr>
          <w:tab/>
        </w:r>
        <w:r w:rsidR="007566B9">
          <w:rPr>
            <w:webHidden/>
          </w:rPr>
          <w:fldChar w:fldCharType="begin"/>
        </w:r>
        <w:r w:rsidR="007566B9">
          <w:rPr>
            <w:webHidden/>
          </w:rPr>
          <w:instrText xml:space="preserve"> PAGEREF _Toc490225775 \h </w:instrText>
        </w:r>
        <w:r w:rsidR="007566B9">
          <w:rPr>
            <w:webHidden/>
          </w:rPr>
        </w:r>
        <w:r w:rsidR="007566B9">
          <w:rPr>
            <w:webHidden/>
          </w:rPr>
          <w:fldChar w:fldCharType="separate"/>
        </w:r>
        <w:r w:rsidR="0058478E">
          <w:rPr>
            <w:webHidden/>
          </w:rPr>
          <w:t>28</w:t>
        </w:r>
        <w:r w:rsidR="007566B9">
          <w:rPr>
            <w:webHidden/>
          </w:rPr>
          <w:fldChar w:fldCharType="end"/>
        </w:r>
      </w:hyperlink>
    </w:p>
    <w:p w14:paraId="0D388D3E" w14:textId="64BE2587" w:rsidR="007566B9" w:rsidRDefault="00260768">
      <w:pPr>
        <w:pStyle w:val="TOC2"/>
        <w:rPr>
          <w:rFonts w:asciiTheme="minorHAnsi" w:eastAsiaTheme="minorEastAsia" w:hAnsiTheme="minorHAnsi" w:cstheme="minorBidi"/>
          <w:sz w:val="22"/>
          <w:szCs w:val="22"/>
        </w:rPr>
      </w:pPr>
      <w:hyperlink w:anchor="_Toc490225776" w:history="1">
        <w:r w:rsidR="007566B9" w:rsidRPr="0052213E">
          <w:rPr>
            <w:rStyle w:val="Hyperlink"/>
          </w:rPr>
          <w:t>2.3 Scenarios</w:t>
        </w:r>
        <w:r w:rsidR="007566B9">
          <w:rPr>
            <w:webHidden/>
          </w:rPr>
          <w:tab/>
        </w:r>
        <w:r w:rsidR="007566B9">
          <w:rPr>
            <w:webHidden/>
          </w:rPr>
          <w:fldChar w:fldCharType="begin"/>
        </w:r>
        <w:r w:rsidR="007566B9">
          <w:rPr>
            <w:webHidden/>
          </w:rPr>
          <w:instrText xml:space="preserve"> PAGEREF _Toc490225776 \h </w:instrText>
        </w:r>
        <w:r w:rsidR="007566B9">
          <w:rPr>
            <w:webHidden/>
          </w:rPr>
        </w:r>
        <w:r w:rsidR="007566B9">
          <w:rPr>
            <w:webHidden/>
          </w:rPr>
          <w:fldChar w:fldCharType="separate"/>
        </w:r>
        <w:r w:rsidR="0058478E">
          <w:rPr>
            <w:webHidden/>
          </w:rPr>
          <w:t>29</w:t>
        </w:r>
        <w:r w:rsidR="007566B9">
          <w:rPr>
            <w:webHidden/>
          </w:rPr>
          <w:fldChar w:fldCharType="end"/>
        </w:r>
      </w:hyperlink>
    </w:p>
    <w:p w14:paraId="4D8F3A38" w14:textId="135C6989" w:rsidR="007566B9" w:rsidRDefault="00260768">
      <w:pPr>
        <w:pStyle w:val="TOC3"/>
        <w:rPr>
          <w:rFonts w:asciiTheme="minorHAnsi" w:eastAsiaTheme="minorEastAsia" w:hAnsiTheme="minorHAnsi" w:cstheme="minorBidi"/>
          <w:sz w:val="22"/>
          <w:szCs w:val="22"/>
        </w:rPr>
      </w:pPr>
      <w:hyperlink w:anchor="_Toc490225777" w:history="1">
        <w:r w:rsidR="007566B9" w:rsidRPr="0052213E">
          <w:rPr>
            <w:rStyle w:val="Hyperlink"/>
            <w:snapToGrid w:val="0"/>
          </w:rPr>
          <w:t>2.3.1 Stakeholder Input</w:t>
        </w:r>
        <w:r w:rsidR="007566B9">
          <w:rPr>
            <w:webHidden/>
          </w:rPr>
          <w:tab/>
        </w:r>
        <w:r w:rsidR="007566B9">
          <w:rPr>
            <w:webHidden/>
          </w:rPr>
          <w:fldChar w:fldCharType="begin"/>
        </w:r>
        <w:r w:rsidR="007566B9">
          <w:rPr>
            <w:webHidden/>
          </w:rPr>
          <w:instrText xml:space="preserve"> PAGEREF _Toc490225777 \h </w:instrText>
        </w:r>
        <w:r w:rsidR="007566B9">
          <w:rPr>
            <w:webHidden/>
          </w:rPr>
        </w:r>
        <w:r w:rsidR="007566B9">
          <w:rPr>
            <w:webHidden/>
          </w:rPr>
          <w:fldChar w:fldCharType="separate"/>
        </w:r>
        <w:r w:rsidR="0058478E">
          <w:rPr>
            <w:webHidden/>
          </w:rPr>
          <w:t>30</w:t>
        </w:r>
        <w:r w:rsidR="007566B9">
          <w:rPr>
            <w:webHidden/>
          </w:rPr>
          <w:fldChar w:fldCharType="end"/>
        </w:r>
      </w:hyperlink>
    </w:p>
    <w:p w14:paraId="0AB9671D" w14:textId="0AD0522A" w:rsidR="007566B9" w:rsidRDefault="00260768">
      <w:pPr>
        <w:pStyle w:val="TOC3"/>
        <w:rPr>
          <w:rFonts w:asciiTheme="minorHAnsi" w:eastAsiaTheme="minorEastAsia" w:hAnsiTheme="minorHAnsi" w:cstheme="minorBidi"/>
          <w:sz w:val="22"/>
          <w:szCs w:val="22"/>
        </w:rPr>
      </w:pPr>
      <w:hyperlink w:anchor="_Toc490225778" w:history="1">
        <w:r w:rsidR="007566B9" w:rsidRPr="0052213E">
          <w:rPr>
            <w:rStyle w:val="Hyperlink"/>
          </w:rPr>
          <w:t>2.3.2 Final Scenarios</w:t>
        </w:r>
        <w:r w:rsidR="007566B9">
          <w:rPr>
            <w:webHidden/>
          </w:rPr>
          <w:tab/>
        </w:r>
        <w:r w:rsidR="007566B9">
          <w:rPr>
            <w:webHidden/>
          </w:rPr>
          <w:fldChar w:fldCharType="begin"/>
        </w:r>
        <w:r w:rsidR="007566B9">
          <w:rPr>
            <w:webHidden/>
          </w:rPr>
          <w:instrText xml:space="preserve"> PAGEREF _Toc490225778 \h </w:instrText>
        </w:r>
        <w:r w:rsidR="007566B9">
          <w:rPr>
            <w:webHidden/>
          </w:rPr>
        </w:r>
        <w:r w:rsidR="007566B9">
          <w:rPr>
            <w:webHidden/>
          </w:rPr>
          <w:fldChar w:fldCharType="separate"/>
        </w:r>
        <w:r w:rsidR="0058478E">
          <w:rPr>
            <w:webHidden/>
          </w:rPr>
          <w:t>32</w:t>
        </w:r>
        <w:r w:rsidR="007566B9">
          <w:rPr>
            <w:webHidden/>
          </w:rPr>
          <w:fldChar w:fldCharType="end"/>
        </w:r>
      </w:hyperlink>
    </w:p>
    <w:p w14:paraId="05B5852D" w14:textId="2179BB92" w:rsidR="007566B9" w:rsidRDefault="00260768">
      <w:pPr>
        <w:pStyle w:val="TOC1"/>
        <w:rPr>
          <w:rFonts w:asciiTheme="minorHAnsi" w:eastAsiaTheme="minorEastAsia" w:hAnsiTheme="minorHAnsi" w:cstheme="minorBidi"/>
          <w:b w:val="0"/>
          <w:noProof/>
          <w:sz w:val="22"/>
        </w:rPr>
      </w:pPr>
      <w:hyperlink w:anchor="_Toc490225779" w:history="1">
        <w:r w:rsidR="007566B9" w:rsidRPr="0052213E">
          <w:rPr>
            <w:rStyle w:val="Hyperlink"/>
            <w:noProof/>
          </w:rPr>
          <w:t>3. Data Sources</w:t>
        </w:r>
        <w:r w:rsidR="007566B9">
          <w:rPr>
            <w:noProof/>
            <w:webHidden/>
          </w:rPr>
          <w:tab/>
        </w:r>
        <w:r w:rsidR="007566B9">
          <w:rPr>
            <w:noProof/>
            <w:webHidden/>
          </w:rPr>
          <w:fldChar w:fldCharType="begin"/>
        </w:r>
        <w:r w:rsidR="007566B9">
          <w:rPr>
            <w:noProof/>
            <w:webHidden/>
          </w:rPr>
          <w:instrText xml:space="preserve"> PAGEREF _Toc490225779 \h </w:instrText>
        </w:r>
        <w:r w:rsidR="007566B9">
          <w:rPr>
            <w:noProof/>
            <w:webHidden/>
          </w:rPr>
        </w:r>
        <w:r w:rsidR="007566B9">
          <w:rPr>
            <w:noProof/>
            <w:webHidden/>
          </w:rPr>
          <w:fldChar w:fldCharType="separate"/>
        </w:r>
        <w:r w:rsidR="0058478E">
          <w:rPr>
            <w:noProof/>
            <w:webHidden/>
          </w:rPr>
          <w:t>34</w:t>
        </w:r>
        <w:r w:rsidR="007566B9">
          <w:rPr>
            <w:noProof/>
            <w:webHidden/>
          </w:rPr>
          <w:fldChar w:fldCharType="end"/>
        </w:r>
      </w:hyperlink>
    </w:p>
    <w:p w14:paraId="1FC2C752" w14:textId="07871164" w:rsidR="007566B9" w:rsidRDefault="00260768">
      <w:pPr>
        <w:pStyle w:val="TOC2"/>
        <w:rPr>
          <w:rFonts w:asciiTheme="minorHAnsi" w:eastAsiaTheme="minorEastAsia" w:hAnsiTheme="minorHAnsi" w:cstheme="minorBidi"/>
          <w:sz w:val="22"/>
          <w:szCs w:val="22"/>
        </w:rPr>
      </w:pPr>
      <w:hyperlink w:anchor="_Toc490225780" w:history="1">
        <w:r w:rsidR="007566B9" w:rsidRPr="0052213E">
          <w:rPr>
            <w:rStyle w:val="Hyperlink"/>
          </w:rPr>
          <w:t>3.1 Global Inputs</w:t>
        </w:r>
        <w:r w:rsidR="007566B9">
          <w:rPr>
            <w:webHidden/>
          </w:rPr>
          <w:tab/>
        </w:r>
        <w:r w:rsidR="007566B9">
          <w:rPr>
            <w:webHidden/>
          </w:rPr>
          <w:fldChar w:fldCharType="begin"/>
        </w:r>
        <w:r w:rsidR="007566B9">
          <w:rPr>
            <w:webHidden/>
          </w:rPr>
          <w:instrText xml:space="preserve"> PAGEREF _Toc490225780 \h </w:instrText>
        </w:r>
        <w:r w:rsidR="007566B9">
          <w:rPr>
            <w:webHidden/>
          </w:rPr>
        </w:r>
        <w:r w:rsidR="007566B9">
          <w:rPr>
            <w:webHidden/>
          </w:rPr>
          <w:fldChar w:fldCharType="separate"/>
        </w:r>
        <w:r w:rsidR="0058478E">
          <w:rPr>
            <w:webHidden/>
          </w:rPr>
          <w:t>34</w:t>
        </w:r>
        <w:r w:rsidR="007566B9">
          <w:rPr>
            <w:webHidden/>
          </w:rPr>
          <w:fldChar w:fldCharType="end"/>
        </w:r>
      </w:hyperlink>
    </w:p>
    <w:p w14:paraId="0E656291" w14:textId="759590DE" w:rsidR="007566B9" w:rsidRDefault="00260768">
      <w:pPr>
        <w:pStyle w:val="TOC3"/>
        <w:rPr>
          <w:rFonts w:asciiTheme="minorHAnsi" w:eastAsiaTheme="minorEastAsia" w:hAnsiTheme="minorHAnsi" w:cstheme="minorBidi"/>
          <w:sz w:val="22"/>
          <w:szCs w:val="22"/>
        </w:rPr>
      </w:pPr>
      <w:hyperlink w:anchor="_Toc490225781" w:history="1">
        <w:r w:rsidR="007566B9" w:rsidRPr="0052213E">
          <w:rPr>
            <w:rStyle w:val="Hyperlink"/>
          </w:rPr>
          <w:t>3.1.1 Retail Rates and Sales Forecasts</w:t>
        </w:r>
        <w:r w:rsidR="007566B9">
          <w:rPr>
            <w:webHidden/>
          </w:rPr>
          <w:tab/>
        </w:r>
        <w:r w:rsidR="007566B9">
          <w:rPr>
            <w:webHidden/>
          </w:rPr>
          <w:fldChar w:fldCharType="begin"/>
        </w:r>
        <w:r w:rsidR="007566B9">
          <w:rPr>
            <w:webHidden/>
          </w:rPr>
          <w:instrText xml:space="preserve"> PAGEREF _Toc490225781 \h </w:instrText>
        </w:r>
        <w:r w:rsidR="007566B9">
          <w:rPr>
            <w:webHidden/>
          </w:rPr>
        </w:r>
        <w:r w:rsidR="007566B9">
          <w:rPr>
            <w:webHidden/>
          </w:rPr>
          <w:fldChar w:fldCharType="separate"/>
        </w:r>
        <w:r w:rsidR="0058478E">
          <w:rPr>
            <w:webHidden/>
          </w:rPr>
          <w:t>34</w:t>
        </w:r>
        <w:r w:rsidR="007566B9">
          <w:rPr>
            <w:webHidden/>
          </w:rPr>
          <w:fldChar w:fldCharType="end"/>
        </w:r>
      </w:hyperlink>
    </w:p>
    <w:p w14:paraId="62831CFB" w14:textId="1FA34A3F" w:rsidR="007566B9" w:rsidRDefault="00260768">
      <w:pPr>
        <w:pStyle w:val="TOC3"/>
        <w:rPr>
          <w:rFonts w:asciiTheme="minorHAnsi" w:eastAsiaTheme="minorEastAsia" w:hAnsiTheme="minorHAnsi" w:cstheme="minorBidi"/>
          <w:sz w:val="22"/>
          <w:szCs w:val="22"/>
        </w:rPr>
      </w:pPr>
      <w:hyperlink w:anchor="_Toc490225782" w:history="1">
        <w:r w:rsidR="007566B9" w:rsidRPr="0052213E">
          <w:rPr>
            <w:rStyle w:val="Hyperlink"/>
          </w:rPr>
          <w:t>3.1.2 Building Stocks</w:t>
        </w:r>
        <w:r w:rsidR="007566B9">
          <w:rPr>
            <w:webHidden/>
          </w:rPr>
          <w:tab/>
        </w:r>
        <w:r w:rsidR="007566B9">
          <w:rPr>
            <w:webHidden/>
          </w:rPr>
          <w:fldChar w:fldCharType="begin"/>
        </w:r>
        <w:r w:rsidR="007566B9">
          <w:rPr>
            <w:webHidden/>
          </w:rPr>
          <w:instrText xml:space="preserve"> PAGEREF _Toc490225782 \h </w:instrText>
        </w:r>
        <w:r w:rsidR="007566B9">
          <w:rPr>
            <w:webHidden/>
          </w:rPr>
        </w:r>
        <w:r w:rsidR="007566B9">
          <w:rPr>
            <w:webHidden/>
          </w:rPr>
          <w:fldChar w:fldCharType="separate"/>
        </w:r>
        <w:r w:rsidR="0058478E">
          <w:rPr>
            <w:webHidden/>
          </w:rPr>
          <w:t>35</w:t>
        </w:r>
        <w:r w:rsidR="007566B9">
          <w:rPr>
            <w:webHidden/>
          </w:rPr>
          <w:fldChar w:fldCharType="end"/>
        </w:r>
      </w:hyperlink>
    </w:p>
    <w:p w14:paraId="5AFBADE3" w14:textId="75B4B4DD" w:rsidR="007566B9" w:rsidRDefault="00260768">
      <w:pPr>
        <w:pStyle w:val="TOC3"/>
        <w:rPr>
          <w:rFonts w:asciiTheme="minorHAnsi" w:eastAsiaTheme="minorEastAsia" w:hAnsiTheme="minorHAnsi" w:cstheme="minorBidi"/>
          <w:sz w:val="22"/>
          <w:szCs w:val="22"/>
        </w:rPr>
      </w:pPr>
      <w:hyperlink w:anchor="_Toc490225783" w:history="1">
        <w:r w:rsidR="007566B9" w:rsidRPr="0052213E">
          <w:rPr>
            <w:rStyle w:val="Hyperlink"/>
          </w:rPr>
          <w:t>3.1.3 Historic Rebate Program Activity</w:t>
        </w:r>
        <w:r w:rsidR="007566B9">
          <w:rPr>
            <w:webHidden/>
          </w:rPr>
          <w:tab/>
        </w:r>
        <w:r w:rsidR="007566B9">
          <w:rPr>
            <w:webHidden/>
          </w:rPr>
          <w:fldChar w:fldCharType="begin"/>
        </w:r>
        <w:r w:rsidR="007566B9">
          <w:rPr>
            <w:webHidden/>
          </w:rPr>
          <w:instrText xml:space="preserve"> PAGEREF _Toc490225783 \h </w:instrText>
        </w:r>
        <w:r w:rsidR="007566B9">
          <w:rPr>
            <w:webHidden/>
          </w:rPr>
        </w:r>
        <w:r w:rsidR="007566B9">
          <w:rPr>
            <w:webHidden/>
          </w:rPr>
          <w:fldChar w:fldCharType="separate"/>
        </w:r>
        <w:r w:rsidR="0058478E">
          <w:rPr>
            <w:webHidden/>
          </w:rPr>
          <w:t>36</w:t>
        </w:r>
        <w:r w:rsidR="007566B9">
          <w:rPr>
            <w:webHidden/>
          </w:rPr>
          <w:fldChar w:fldCharType="end"/>
        </w:r>
      </w:hyperlink>
    </w:p>
    <w:p w14:paraId="044ABC1A" w14:textId="58CEA48D" w:rsidR="007566B9" w:rsidRDefault="00260768">
      <w:pPr>
        <w:pStyle w:val="TOC3"/>
        <w:rPr>
          <w:rFonts w:asciiTheme="minorHAnsi" w:eastAsiaTheme="minorEastAsia" w:hAnsiTheme="minorHAnsi" w:cstheme="minorBidi"/>
          <w:sz w:val="22"/>
          <w:szCs w:val="22"/>
        </w:rPr>
      </w:pPr>
      <w:hyperlink w:anchor="_Toc490225784" w:history="1">
        <w:r w:rsidR="007566B9" w:rsidRPr="0052213E">
          <w:rPr>
            <w:rStyle w:val="Hyperlink"/>
          </w:rPr>
          <w:t>3.1.4 Non-Incentive Program Costs</w:t>
        </w:r>
        <w:r w:rsidR="007566B9">
          <w:rPr>
            <w:webHidden/>
          </w:rPr>
          <w:tab/>
        </w:r>
        <w:r w:rsidR="007566B9">
          <w:rPr>
            <w:webHidden/>
          </w:rPr>
          <w:fldChar w:fldCharType="begin"/>
        </w:r>
        <w:r w:rsidR="007566B9">
          <w:rPr>
            <w:webHidden/>
          </w:rPr>
          <w:instrText xml:space="preserve"> PAGEREF _Toc490225784 \h </w:instrText>
        </w:r>
        <w:r w:rsidR="007566B9">
          <w:rPr>
            <w:webHidden/>
          </w:rPr>
        </w:r>
        <w:r w:rsidR="007566B9">
          <w:rPr>
            <w:webHidden/>
          </w:rPr>
          <w:fldChar w:fldCharType="separate"/>
        </w:r>
        <w:r w:rsidR="0058478E">
          <w:rPr>
            <w:webHidden/>
          </w:rPr>
          <w:t>37</w:t>
        </w:r>
        <w:r w:rsidR="007566B9">
          <w:rPr>
            <w:webHidden/>
          </w:rPr>
          <w:fldChar w:fldCharType="end"/>
        </w:r>
      </w:hyperlink>
    </w:p>
    <w:p w14:paraId="421EF4BB" w14:textId="035F7D32" w:rsidR="007566B9" w:rsidRDefault="00260768">
      <w:pPr>
        <w:pStyle w:val="TOC3"/>
        <w:rPr>
          <w:rFonts w:asciiTheme="minorHAnsi" w:eastAsiaTheme="minorEastAsia" w:hAnsiTheme="minorHAnsi" w:cstheme="minorBidi"/>
          <w:sz w:val="22"/>
          <w:szCs w:val="22"/>
        </w:rPr>
      </w:pPr>
      <w:hyperlink w:anchor="_Toc490225785" w:history="1">
        <w:r w:rsidR="007566B9" w:rsidRPr="0052213E">
          <w:rPr>
            <w:rStyle w:val="Hyperlink"/>
          </w:rPr>
          <w:t>3.1.5 Avoided Costs</w:t>
        </w:r>
        <w:r w:rsidR="007566B9">
          <w:rPr>
            <w:webHidden/>
          </w:rPr>
          <w:tab/>
        </w:r>
        <w:r w:rsidR="007566B9">
          <w:rPr>
            <w:webHidden/>
          </w:rPr>
          <w:fldChar w:fldCharType="begin"/>
        </w:r>
        <w:r w:rsidR="007566B9">
          <w:rPr>
            <w:webHidden/>
          </w:rPr>
          <w:instrText xml:space="preserve"> PAGEREF _Toc490225785 \h </w:instrText>
        </w:r>
        <w:r w:rsidR="007566B9">
          <w:rPr>
            <w:webHidden/>
          </w:rPr>
        </w:r>
        <w:r w:rsidR="007566B9">
          <w:rPr>
            <w:webHidden/>
          </w:rPr>
          <w:fldChar w:fldCharType="separate"/>
        </w:r>
        <w:r w:rsidR="0058478E">
          <w:rPr>
            <w:webHidden/>
          </w:rPr>
          <w:t>38</w:t>
        </w:r>
        <w:r w:rsidR="007566B9">
          <w:rPr>
            <w:webHidden/>
          </w:rPr>
          <w:fldChar w:fldCharType="end"/>
        </w:r>
      </w:hyperlink>
    </w:p>
    <w:p w14:paraId="389F881F" w14:textId="30CD265A" w:rsidR="007566B9" w:rsidRDefault="00260768">
      <w:pPr>
        <w:pStyle w:val="TOC2"/>
        <w:rPr>
          <w:rFonts w:asciiTheme="minorHAnsi" w:eastAsiaTheme="minorEastAsia" w:hAnsiTheme="minorHAnsi" w:cstheme="minorBidi"/>
          <w:sz w:val="22"/>
          <w:szCs w:val="22"/>
        </w:rPr>
      </w:pPr>
      <w:hyperlink w:anchor="_Toc490225786" w:history="1">
        <w:r w:rsidR="007566B9" w:rsidRPr="0052213E">
          <w:rPr>
            <w:rStyle w:val="Hyperlink"/>
          </w:rPr>
          <w:t>3.2 Residential and Commercial Technology Characterization</w:t>
        </w:r>
        <w:r w:rsidR="007566B9">
          <w:rPr>
            <w:webHidden/>
          </w:rPr>
          <w:tab/>
        </w:r>
        <w:r w:rsidR="007566B9">
          <w:rPr>
            <w:webHidden/>
          </w:rPr>
          <w:fldChar w:fldCharType="begin"/>
        </w:r>
        <w:r w:rsidR="007566B9">
          <w:rPr>
            <w:webHidden/>
          </w:rPr>
          <w:instrText xml:space="preserve"> PAGEREF _Toc490225786 \h </w:instrText>
        </w:r>
        <w:r w:rsidR="007566B9">
          <w:rPr>
            <w:webHidden/>
          </w:rPr>
        </w:r>
        <w:r w:rsidR="007566B9">
          <w:rPr>
            <w:webHidden/>
          </w:rPr>
          <w:fldChar w:fldCharType="separate"/>
        </w:r>
        <w:r w:rsidR="0058478E">
          <w:rPr>
            <w:webHidden/>
          </w:rPr>
          <w:t>41</w:t>
        </w:r>
        <w:r w:rsidR="007566B9">
          <w:rPr>
            <w:webHidden/>
          </w:rPr>
          <w:fldChar w:fldCharType="end"/>
        </w:r>
      </w:hyperlink>
    </w:p>
    <w:p w14:paraId="5B35CD19" w14:textId="2508832E" w:rsidR="007566B9" w:rsidRDefault="00260768">
      <w:pPr>
        <w:pStyle w:val="TOC3"/>
        <w:rPr>
          <w:rFonts w:asciiTheme="minorHAnsi" w:eastAsiaTheme="minorEastAsia" w:hAnsiTheme="minorHAnsi" w:cstheme="minorBidi"/>
          <w:sz w:val="22"/>
          <w:szCs w:val="22"/>
        </w:rPr>
      </w:pPr>
      <w:hyperlink w:anchor="_Toc490225787" w:history="1">
        <w:r w:rsidR="007566B9" w:rsidRPr="0052213E">
          <w:rPr>
            <w:rStyle w:val="Hyperlink"/>
          </w:rPr>
          <w:t>3.2.1 Technology Selection Process</w:t>
        </w:r>
        <w:r w:rsidR="007566B9">
          <w:rPr>
            <w:webHidden/>
          </w:rPr>
          <w:tab/>
        </w:r>
        <w:r w:rsidR="007566B9">
          <w:rPr>
            <w:webHidden/>
          </w:rPr>
          <w:fldChar w:fldCharType="begin"/>
        </w:r>
        <w:r w:rsidR="007566B9">
          <w:rPr>
            <w:webHidden/>
          </w:rPr>
          <w:instrText xml:space="preserve"> PAGEREF _Toc490225787 \h </w:instrText>
        </w:r>
        <w:r w:rsidR="007566B9">
          <w:rPr>
            <w:webHidden/>
          </w:rPr>
        </w:r>
        <w:r w:rsidR="007566B9">
          <w:rPr>
            <w:webHidden/>
          </w:rPr>
          <w:fldChar w:fldCharType="separate"/>
        </w:r>
        <w:r w:rsidR="0058478E">
          <w:rPr>
            <w:webHidden/>
          </w:rPr>
          <w:t>41</w:t>
        </w:r>
        <w:r w:rsidR="007566B9">
          <w:rPr>
            <w:webHidden/>
          </w:rPr>
          <w:fldChar w:fldCharType="end"/>
        </w:r>
      </w:hyperlink>
    </w:p>
    <w:p w14:paraId="3A0A2EFE" w14:textId="1EE59531" w:rsidR="007566B9" w:rsidRDefault="00260768">
      <w:pPr>
        <w:pStyle w:val="TOC3"/>
        <w:rPr>
          <w:rFonts w:asciiTheme="minorHAnsi" w:eastAsiaTheme="minorEastAsia" w:hAnsiTheme="minorHAnsi" w:cstheme="minorBidi"/>
          <w:sz w:val="22"/>
          <w:szCs w:val="22"/>
        </w:rPr>
      </w:pPr>
      <w:hyperlink w:anchor="_Toc490225788" w:history="1">
        <w:r w:rsidR="007566B9" w:rsidRPr="0052213E">
          <w:rPr>
            <w:rStyle w:val="Hyperlink"/>
          </w:rPr>
          <w:t>3.2.2 Comparison with Measure Characterization in the 2015 Study</w:t>
        </w:r>
        <w:r w:rsidR="007566B9">
          <w:rPr>
            <w:webHidden/>
          </w:rPr>
          <w:tab/>
        </w:r>
        <w:r w:rsidR="007566B9">
          <w:rPr>
            <w:webHidden/>
          </w:rPr>
          <w:fldChar w:fldCharType="begin"/>
        </w:r>
        <w:r w:rsidR="007566B9">
          <w:rPr>
            <w:webHidden/>
          </w:rPr>
          <w:instrText xml:space="preserve"> PAGEREF _Toc490225788 \h </w:instrText>
        </w:r>
        <w:r w:rsidR="007566B9">
          <w:rPr>
            <w:webHidden/>
          </w:rPr>
        </w:r>
        <w:r w:rsidR="007566B9">
          <w:rPr>
            <w:webHidden/>
          </w:rPr>
          <w:fldChar w:fldCharType="separate"/>
        </w:r>
        <w:r w:rsidR="0058478E">
          <w:rPr>
            <w:webHidden/>
          </w:rPr>
          <w:t>45</w:t>
        </w:r>
        <w:r w:rsidR="007566B9">
          <w:rPr>
            <w:webHidden/>
          </w:rPr>
          <w:fldChar w:fldCharType="end"/>
        </w:r>
      </w:hyperlink>
    </w:p>
    <w:p w14:paraId="33B9AA3B" w14:textId="4868C297" w:rsidR="007566B9" w:rsidRDefault="00260768">
      <w:pPr>
        <w:pStyle w:val="TOC2"/>
        <w:rPr>
          <w:rFonts w:asciiTheme="minorHAnsi" w:eastAsiaTheme="minorEastAsia" w:hAnsiTheme="minorHAnsi" w:cstheme="minorBidi"/>
          <w:sz w:val="22"/>
          <w:szCs w:val="22"/>
        </w:rPr>
      </w:pPr>
      <w:hyperlink w:anchor="_Toc490225789" w:history="1">
        <w:r w:rsidR="007566B9" w:rsidRPr="0052213E">
          <w:rPr>
            <w:rStyle w:val="Hyperlink"/>
          </w:rPr>
          <w:t>3.3 Technology Characterization</w:t>
        </w:r>
        <w:r w:rsidR="007566B9">
          <w:rPr>
            <w:webHidden/>
          </w:rPr>
          <w:tab/>
        </w:r>
        <w:r w:rsidR="007566B9">
          <w:rPr>
            <w:webHidden/>
          </w:rPr>
          <w:fldChar w:fldCharType="begin"/>
        </w:r>
        <w:r w:rsidR="007566B9">
          <w:rPr>
            <w:webHidden/>
          </w:rPr>
          <w:instrText xml:space="preserve"> PAGEREF _Toc490225789 \h </w:instrText>
        </w:r>
        <w:r w:rsidR="007566B9">
          <w:rPr>
            <w:webHidden/>
          </w:rPr>
        </w:r>
        <w:r w:rsidR="007566B9">
          <w:rPr>
            <w:webHidden/>
          </w:rPr>
          <w:fldChar w:fldCharType="separate"/>
        </w:r>
        <w:r w:rsidR="0058478E">
          <w:rPr>
            <w:webHidden/>
          </w:rPr>
          <w:t>46</w:t>
        </w:r>
        <w:r w:rsidR="007566B9">
          <w:rPr>
            <w:webHidden/>
          </w:rPr>
          <w:fldChar w:fldCharType="end"/>
        </w:r>
      </w:hyperlink>
    </w:p>
    <w:p w14:paraId="74C458BF" w14:textId="51501C81" w:rsidR="007566B9" w:rsidRDefault="00260768">
      <w:pPr>
        <w:pStyle w:val="TOC3"/>
        <w:rPr>
          <w:rFonts w:asciiTheme="minorHAnsi" w:eastAsiaTheme="minorEastAsia" w:hAnsiTheme="minorHAnsi" w:cstheme="minorBidi"/>
          <w:sz w:val="22"/>
          <w:szCs w:val="22"/>
        </w:rPr>
      </w:pPr>
      <w:hyperlink w:anchor="_Toc490225790" w:history="1">
        <w:r w:rsidR="007566B9" w:rsidRPr="0052213E">
          <w:rPr>
            <w:rStyle w:val="Hyperlink"/>
          </w:rPr>
          <w:t>3.3.1 Energy Use</w:t>
        </w:r>
        <w:r w:rsidR="007566B9">
          <w:rPr>
            <w:webHidden/>
          </w:rPr>
          <w:tab/>
        </w:r>
        <w:r w:rsidR="007566B9">
          <w:rPr>
            <w:webHidden/>
          </w:rPr>
          <w:fldChar w:fldCharType="begin"/>
        </w:r>
        <w:r w:rsidR="007566B9">
          <w:rPr>
            <w:webHidden/>
          </w:rPr>
          <w:instrText xml:space="preserve"> PAGEREF _Toc490225790 \h </w:instrText>
        </w:r>
        <w:r w:rsidR="007566B9">
          <w:rPr>
            <w:webHidden/>
          </w:rPr>
        </w:r>
        <w:r w:rsidR="007566B9">
          <w:rPr>
            <w:webHidden/>
          </w:rPr>
          <w:fldChar w:fldCharType="separate"/>
        </w:r>
        <w:r w:rsidR="0058478E">
          <w:rPr>
            <w:webHidden/>
          </w:rPr>
          <w:t>47</w:t>
        </w:r>
        <w:r w:rsidR="007566B9">
          <w:rPr>
            <w:webHidden/>
          </w:rPr>
          <w:fldChar w:fldCharType="end"/>
        </w:r>
      </w:hyperlink>
    </w:p>
    <w:p w14:paraId="2B8D83E2" w14:textId="55681FFB" w:rsidR="007566B9" w:rsidRDefault="00260768">
      <w:pPr>
        <w:pStyle w:val="TOC3"/>
        <w:rPr>
          <w:rFonts w:asciiTheme="minorHAnsi" w:eastAsiaTheme="minorEastAsia" w:hAnsiTheme="minorHAnsi" w:cstheme="minorBidi"/>
          <w:sz w:val="22"/>
          <w:szCs w:val="22"/>
        </w:rPr>
      </w:pPr>
      <w:hyperlink w:anchor="_Toc490225791" w:history="1">
        <w:r w:rsidR="007566B9" w:rsidRPr="0052213E">
          <w:rPr>
            <w:rStyle w:val="Hyperlink"/>
          </w:rPr>
          <w:t>3.3.2 Technology Costs</w:t>
        </w:r>
        <w:r w:rsidR="007566B9">
          <w:rPr>
            <w:webHidden/>
          </w:rPr>
          <w:tab/>
        </w:r>
        <w:r w:rsidR="007566B9">
          <w:rPr>
            <w:webHidden/>
          </w:rPr>
          <w:fldChar w:fldCharType="begin"/>
        </w:r>
        <w:r w:rsidR="007566B9">
          <w:rPr>
            <w:webHidden/>
          </w:rPr>
          <w:instrText xml:space="preserve"> PAGEREF _Toc490225791 \h </w:instrText>
        </w:r>
        <w:r w:rsidR="007566B9">
          <w:rPr>
            <w:webHidden/>
          </w:rPr>
        </w:r>
        <w:r w:rsidR="007566B9">
          <w:rPr>
            <w:webHidden/>
          </w:rPr>
          <w:fldChar w:fldCharType="separate"/>
        </w:r>
        <w:r w:rsidR="0058478E">
          <w:rPr>
            <w:webHidden/>
          </w:rPr>
          <w:t>49</w:t>
        </w:r>
        <w:r w:rsidR="007566B9">
          <w:rPr>
            <w:webHidden/>
          </w:rPr>
          <w:fldChar w:fldCharType="end"/>
        </w:r>
      </w:hyperlink>
    </w:p>
    <w:p w14:paraId="6F094F8A" w14:textId="2765EB5D" w:rsidR="007566B9" w:rsidRDefault="00260768">
      <w:pPr>
        <w:pStyle w:val="TOC3"/>
        <w:rPr>
          <w:rFonts w:asciiTheme="minorHAnsi" w:eastAsiaTheme="minorEastAsia" w:hAnsiTheme="minorHAnsi" w:cstheme="minorBidi"/>
          <w:sz w:val="22"/>
          <w:szCs w:val="22"/>
        </w:rPr>
      </w:pPr>
      <w:hyperlink w:anchor="_Toc490225792" w:history="1">
        <w:r w:rsidR="007566B9" w:rsidRPr="0052213E">
          <w:rPr>
            <w:rStyle w:val="Hyperlink"/>
          </w:rPr>
          <w:t>3.3.3 Market Information: Density and Saturation Values</w:t>
        </w:r>
        <w:r w:rsidR="007566B9">
          <w:rPr>
            <w:webHidden/>
          </w:rPr>
          <w:tab/>
        </w:r>
        <w:r w:rsidR="007566B9">
          <w:rPr>
            <w:webHidden/>
          </w:rPr>
          <w:fldChar w:fldCharType="begin"/>
        </w:r>
        <w:r w:rsidR="007566B9">
          <w:rPr>
            <w:webHidden/>
          </w:rPr>
          <w:instrText xml:space="preserve"> PAGEREF _Toc490225792 \h </w:instrText>
        </w:r>
        <w:r w:rsidR="007566B9">
          <w:rPr>
            <w:webHidden/>
          </w:rPr>
        </w:r>
        <w:r w:rsidR="007566B9">
          <w:rPr>
            <w:webHidden/>
          </w:rPr>
          <w:fldChar w:fldCharType="separate"/>
        </w:r>
        <w:r w:rsidR="0058478E">
          <w:rPr>
            <w:webHidden/>
          </w:rPr>
          <w:t>51</w:t>
        </w:r>
        <w:r w:rsidR="007566B9">
          <w:rPr>
            <w:webHidden/>
          </w:rPr>
          <w:fldChar w:fldCharType="end"/>
        </w:r>
      </w:hyperlink>
    </w:p>
    <w:p w14:paraId="533D4430" w14:textId="6F96A658" w:rsidR="007566B9" w:rsidRDefault="00260768">
      <w:pPr>
        <w:pStyle w:val="TOC2"/>
        <w:rPr>
          <w:rFonts w:asciiTheme="minorHAnsi" w:eastAsiaTheme="minorEastAsia" w:hAnsiTheme="minorHAnsi" w:cstheme="minorBidi"/>
          <w:sz w:val="22"/>
          <w:szCs w:val="22"/>
        </w:rPr>
      </w:pPr>
      <w:hyperlink w:anchor="_Toc490225793" w:history="1">
        <w:r w:rsidR="007566B9" w:rsidRPr="0052213E">
          <w:rPr>
            <w:rStyle w:val="Hyperlink"/>
          </w:rPr>
          <w:t>3.4 Agriculture, Industrial, Mining, and Street-lighting (AIMS) Technology Characterization</w:t>
        </w:r>
        <w:r w:rsidR="007566B9">
          <w:rPr>
            <w:webHidden/>
          </w:rPr>
          <w:tab/>
        </w:r>
        <w:r w:rsidR="007566B9">
          <w:rPr>
            <w:webHidden/>
          </w:rPr>
          <w:fldChar w:fldCharType="begin"/>
        </w:r>
        <w:r w:rsidR="007566B9">
          <w:rPr>
            <w:webHidden/>
          </w:rPr>
          <w:instrText xml:space="preserve"> PAGEREF _Toc490225793 \h </w:instrText>
        </w:r>
        <w:r w:rsidR="007566B9">
          <w:rPr>
            <w:webHidden/>
          </w:rPr>
        </w:r>
        <w:r w:rsidR="007566B9">
          <w:rPr>
            <w:webHidden/>
          </w:rPr>
          <w:fldChar w:fldCharType="separate"/>
        </w:r>
        <w:r w:rsidR="0058478E">
          <w:rPr>
            <w:webHidden/>
          </w:rPr>
          <w:t>53</w:t>
        </w:r>
        <w:r w:rsidR="007566B9">
          <w:rPr>
            <w:webHidden/>
          </w:rPr>
          <w:fldChar w:fldCharType="end"/>
        </w:r>
      </w:hyperlink>
    </w:p>
    <w:p w14:paraId="706DC45E" w14:textId="55D3978B" w:rsidR="007566B9" w:rsidRDefault="00260768">
      <w:pPr>
        <w:pStyle w:val="TOC3"/>
        <w:rPr>
          <w:rFonts w:asciiTheme="minorHAnsi" w:eastAsiaTheme="minorEastAsia" w:hAnsiTheme="minorHAnsi" w:cstheme="minorBidi"/>
          <w:sz w:val="22"/>
          <w:szCs w:val="22"/>
        </w:rPr>
      </w:pPr>
      <w:hyperlink w:anchor="_Toc490225794" w:history="1">
        <w:r w:rsidR="007566B9" w:rsidRPr="0052213E">
          <w:rPr>
            <w:rStyle w:val="Hyperlink"/>
          </w:rPr>
          <w:t>3.4.1 Agriculture and Industrial Sectors</w:t>
        </w:r>
        <w:r w:rsidR="007566B9">
          <w:rPr>
            <w:webHidden/>
          </w:rPr>
          <w:tab/>
        </w:r>
        <w:r w:rsidR="007566B9">
          <w:rPr>
            <w:webHidden/>
          </w:rPr>
          <w:fldChar w:fldCharType="begin"/>
        </w:r>
        <w:r w:rsidR="007566B9">
          <w:rPr>
            <w:webHidden/>
          </w:rPr>
          <w:instrText xml:space="preserve"> PAGEREF _Toc490225794 \h </w:instrText>
        </w:r>
        <w:r w:rsidR="007566B9">
          <w:rPr>
            <w:webHidden/>
          </w:rPr>
        </w:r>
        <w:r w:rsidR="007566B9">
          <w:rPr>
            <w:webHidden/>
          </w:rPr>
          <w:fldChar w:fldCharType="separate"/>
        </w:r>
        <w:r w:rsidR="0058478E">
          <w:rPr>
            <w:webHidden/>
          </w:rPr>
          <w:t>54</w:t>
        </w:r>
        <w:r w:rsidR="007566B9">
          <w:rPr>
            <w:webHidden/>
          </w:rPr>
          <w:fldChar w:fldCharType="end"/>
        </w:r>
      </w:hyperlink>
    </w:p>
    <w:p w14:paraId="3E134FAC" w14:textId="50B807C3" w:rsidR="007566B9" w:rsidRDefault="00260768">
      <w:pPr>
        <w:pStyle w:val="TOC3"/>
        <w:rPr>
          <w:rFonts w:asciiTheme="minorHAnsi" w:eastAsiaTheme="minorEastAsia" w:hAnsiTheme="minorHAnsi" w:cstheme="minorBidi"/>
          <w:sz w:val="22"/>
          <w:szCs w:val="22"/>
        </w:rPr>
      </w:pPr>
      <w:hyperlink w:anchor="_Toc490225795" w:history="1">
        <w:r w:rsidR="007566B9" w:rsidRPr="0052213E">
          <w:rPr>
            <w:rStyle w:val="Hyperlink"/>
          </w:rPr>
          <w:t>3.4.2 Mining Sector</w:t>
        </w:r>
        <w:r w:rsidR="007566B9">
          <w:rPr>
            <w:webHidden/>
          </w:rPr>
          <w:tab/>
        </w:r>
        <w:r w:rsidR="007566B9">
          <w:rPr>
            <w:webHidden/>
          </w:rPr>
          <w:fldChar w:fldCharType="begin"/>
        </w:r>
        <w:r w:rsidR="007566B9">
          <w:rPr>
            <w:webHidden/>
          </w:rPr>
          <w:instrText xml:space="preserve"> PAGEREF _Toc490225795 \h </w:instrText>
        </w:r>
        <w:r w:rsidR="007566B9">
          <w:rPr>
            <w:webHidden/>
          </w:rPr>
        </w:r>
        <w:r w:rsidR="007566B9">
          <w:rPr>
            <w:webHidden/>
          </w:rPr>
          <w:fldChar w:fldCharType="separate"/>
        </w:r>
        <w:r w:rsidR="0058478E">
          <w:rPr>
            <w:webHidden/>
          </w:rPr>
          <w:t>59</w:t>
        </w:r>
        <w:r w:rsidR="007566B9">
          <w:rPr>
            <w:webHidden/>
          </w:rPr>
          <w:fldChar w:fldCharType="end"/>
        </w:r>
      </w:hyperlink>
    </w:p>
    <w:p w14:paraId="05E44757" w14:textId="7412D19B" w:rsidR="007566B9" w:rsidRDefault="00260768">
      <w:pPr>
        <w:pStyle w:val="TOC3"/>
        <w:rPr>
          <w:rFonts w:asciiTheme="minorHAnsi" w:eastAsiaTheme="minorEastAsia" w:hAnsiTheme="minorHAnsi" w:cstheme="minorBidi"/>
          <w:sz w:val="22"/>
          <w:szCs w:val="22"/>
        </w:rPr>
      </w:pPr>
      <w:hyperlink w:anchor="_Toc490225796" w:history="1">
        <w:r w:rsidR="007566B9" w:rsidRPr="0052213E">
          <w:rPr>
            <w:rStyle w:val="Hyperlink"/>
          </w:rPr>
          <w:t>3.4.3 Street Lighting Sector</w:t>
        </w:r>
        <w:r w:rsidR="007566B9">
          <w:rPr>
            <w:webHidden/>
          </w:rPr>
          <w:tab/>
        </w:r>
        <w:r w:rsidR="007566B9">
          <w:rPr>
            <w:webHidden/>
          </w:rPr>
          <w:fldChar w:fldCharType="begin"/>
        </w:r>
        <w:r w:rsidR="007566B9">
          <w:rPr>
            <w:webHidden/>
          </w:rPr>
          <w:instrText xml:space="preserve"> PAGEREF _Toc490225796 \h </w:instrText>
        </w:r>
        <w:r w:rsidR="007566B9">
          <w:rPr>
            <w:webHidden/>
          </w:rPr>
        </w:r>
        <w:r w:rsidR="007566B9">
          <w:rPr>
            <w:webHidden/>
          </w:rPr>
          <w:fldChar w:fldCharType="separate"/>
        </w:r>
        <w:r w:rsidR="0058478E">
          <w:rPr>
            <w:webHidden/>
          </w:rPr>
          <w:t>59</w:t>
        </w:r>
        <w:r w:rsidR="007566B9">
          <w:rPr>
            <w:webHidden/>
          </w:rPr>
          <w:fldChar w:fldCharType="end"/>
        </w:r>
      </w:hyperlink>
    </w:p>
    <w:p w14:paraId="21917D85" w14:textId="58428217" w:rsidR="007566B9" w:rsidRDefault="00260768">
      <w:pPr>
        <w:pStyle w:val="TOC2"/>
        <w:rPr>
          <w:rFonts w:asciiTheme="minorHAnsi" w:eastAsiaTheme="minorEastAsia" w:hAnsiTheme="minorHAnsi" w:cstheme="minorBidi"/>
          <w:sz w:val="22"/>
          <w:szCs w:val="22"/>
        </w:rPr>
      </w:pPr>
      <w:hyperlink w:anchor="_Toc490225797" w:history="1">
        <w:r w:rsidR="007566B9" w:rsidRPr="0052213E">
          <w:rPr>
            <w:rStyle w:val="Hyperlink"/>
          </w:rPr>
          <w:t>3.5 Industrial and Agriculture Custom Technologies Data Sources</w:t>
        </w:r>
        <w:r w:rsidR="007566B9">
          <w:rPr>
            <w:webHidden/>
          </w:rPr>
          <w:tab/>
        </w:r>
        <w:r w:rsidR="007566B9">
          <w:rPr>
            <w:webHidden/>
          </w:rPr>
          <w:fldChar w:fldCharType="begin"/>
        </w:r>
        <w:r w:rsidR="007566B9">
          <w:rPr>
            <w:webHidden/>
          </w:rPr>
          <w:instrText xml:space="preserve"> PAGEREF _Toc490225797 \h </w:instrText>
        </w:r>
        <w:r w:rsidR="007566B9">
          <w:rPr>
            <w:webHidden/>
          </w:rPr>
        </w:r>
        <w:r w:rsidR="007566B9">
          <w:rPr>
            <w:webHidden/>
          </w:rPr>
          <w:fldChar w:fldCharType="separate"/>
        </w:r>
        <w:r w:rsidR="0058478E">
          <w:rPr>
            <w:webHidden/>
          </w:rPr>
          <w:t>60</w:t>
        </w:r>
        <w:r w:rsidR="007566B9">
          <w:rPr>
            <w:webHidden/>
          </w:rPr>
          <w:fldChar w:fldCharType="end"/>
        </w:r>
      </w:hyperlink>
    </w:p>
    <w:p w14:paraId="65891189" w14:textId="02B5099D" w:rsidR="007566B9" w:rsidRDefault="00260768">
      <w:pPr>
        <w:pStyle w:val="TOC3"/>
        <w:rPr>
          <w:rFonts w:asciiTheme="minorHAnsi" w:eastAsiaTheme="minorEastAsia" w:hAnsiTheme="minorHAnsi" w:cstheme="minorBidi"/>
          <w:sz w:val="22"/>
          <w:szCs w:val="22"/>
        </w:rPr>
      </w:pPr>
      <w:hyperlink w:anchor="_Toc490225798" w:history="1">
        <w:r w:rsidR="007566B9" w:rsidRPr="0052213E">
          <w:rPr>
            <w:rStyle w:val="Hyperlink"/>
          </w:rPr>
          <w:t>3.5.1 Generic Custom Measures</w:t>
        </w:r>
        <w:r w:rsidR="007566B9">
          <w:rPr>
            <w:webHidden/>
          </w:rPr>
          <w:tab/>
        </w:r>
        <w:r w:rsidR="007566B9">
          <w:rPr>
            <w:webHidden/>
          </w:rPr>
          <w:fldChar w:fldCharType="begin"/>
        </w:r>
        <w:r w:rsidR="007566B9">
          <w:rPr>
            <w:webHidden/>
          </w:rPr>
          <w:instrText xml:space="preserve"> PAGEREF _Toc490225798 \h </w:instrText>
        </w:r>
        <w:r w:rsidR="007566B9">
          <w:rPr>
            <w:webHidden/>
          </w:rPr>
        </w:r>
        <w:r w:rsidR="007566B9">
          <w:rPr>
            <w:webHidden/>
          </w:rPr>
          <w:fldChar w:fldCharType="separate"/>
        </w:r>
        <w:r w:rsidR="0058478E">
          <w:rPr>
            <w:webHidden/>
          </w:rPr>
          <w:t>60</w:t>
        </w:r>
        <w:r w:rsidR="007566B9">
          <w:rPr>
            <w:webHidden/>
          </w:rPr>
          <w:fldChar w:fldCharType="end"/>
        </w:r>
      </w:hyperlink>
    </w:p>
    <w:p w14:paraId="567293C7" w14:textId="53CBD706" w:rsidR="007566B9" w:rsidRDefault="00260768">
      <w:pPr>
        <w:pStyle w:val="TOC3"/>
        <w:rPr>
          <w:rFonts w:asciiTheme="minorHAnsi" w:eastAsiaTheme="minorEastAsia" w:hAnsiTheme="minorHAnsi" w:cstheme="minorBidi"/>
          <w:sz w:val="22"/>
          <w:szCs w:val="22"/>
        </w:rPr>
      </w:pPr>
      <w:hyperlink w:anchor="_Toc490225799" w:history="1">
        <w:r w:rsidR="007566B9" w:rsidRPr="0052213E">
          <w:rPr>
            <w:rStyle w:val="Hyperlink"/>
          </w:rPr>
          <w:t>3.5.2 Emerging AIMS Technologies</w:t>
        </w:r>
        <w:r w:rsidR="007566B9">
          <w:rPr>
            <w:webHidden/>
          </w:rPr>
          <w:tab/>
        </w:r>
        <w:r w:rsidR="007566B9">
          <w:rPr>
            <w:webHidden/>
          </w:rPr>
          <w:fldChar w:fldCharType="begin"/>
        </w:r>
        <w:r w:rsidR="007566B9">
          <w:rPr>
            <w:webHidden/>
          </w:rPr>
          <w:instrText xml:space="preserve"> PAGEREF _Toc490225799 \h </w:instrText>
        </w:r>
        <w:r w:rsidR="007566B9">
          <w:rPr>
            <w:webHidden/>
          </w:rPr>
        </w:r>
        <w:r w:rsidR="007566B9">
          <w:rPr>
            <w:webHidden/>
          </w:rPr>
          <w:fldChar w:fldCharType="separate"/>
        </w:r>
        <w:r w:rsidR="0058478E">
          <w:rPr>
            <w:webHidden/>
          </w:rPr>
          <w:t>61</w:t>
        </w:r>
        <w:r w:rsidR="007566B9">
          <w:rPr>
            <w:webHidden/>
          </w:rPr>
          <w:fldChar w:fldCharType="end"/>
        </w:r>
      </w:hyperlink>
    </w:p>
    <w:p w14:paraId="049C1F6D" w14:textId="79E57278" w:rsidR="007566B9" w:rsidRDefault="00260768">
      <w:pPr>
        <w:pStyle w:val="TOC2"/>
        <w:rPr>
          <w:rFonts w:asciiTheme="minorHAnsi" w:eastAsiaTheme="minorEastAsia" w:hAnsiTheme="minorHAnsi" w:cstheme="minorBidi"/>
          <w:sz w:val="22"/>
          <w:szCs w:val="22"/>
        </w:rPr>
      </w:pPr>
      <w:hyperlink w:anchor="_Toc490225800" w:history="1">
        <w:r w:rsidR="007566B9" w:rsidRPr="0052213E">
          <w:rPr>
            <w:rStyle w:val="Hyperlink"/>
          </w:rPr>
          <w:t>3.6 Whole Building Initiatives</w:t>
        </w:r>
        <w:r w:rsidR="007566B9">
          <w:rPr>
            <w:webHidden/>
          </w:rPr>
          <w:tab/>
        </w:r>
        <w:r w:rsidR="007566B9">
          <w:rPr>
            <w:webHidden/>
          </w:rPr>
          <w:fldChar w:fldCharType="begin"/>
        </w:r>
        <w:r w:rsidR="007566B9">
          <w:rPr>
            <w:webHidden/>
          </w:rPr>
          <w:instrText xml:space="preserve"> PAGEREF _Toc490225800 \h </w:instrText>
        </w:r>
        <w:r w:rsidR="007566B9">
          <w:rPr>
            <w:webHidden/>
          </w:rPr>
        </w:r>
        <w:r w:rsidR="007566B9">
          <w:rPr>
            <w:webHidden/>
          </w:rPr>
          <w:fldChar w:fldCharType="separate"/>
        </w:r>
        <w:r w:rsidR="0058478E">
          <w:rPr>
            <w:webHidden/>
          </w:rPr>
          <w:t>62</w:t>
        </w:r>
        <w:r w:rsidR="007566B9">
          <w:rPr>
            <w:webHidden/>
          </w:rPr>
          <w:fldChar w:fldCharType="end"/>
        </w:r>
      </w:hyperlink>
    </w:p>
    <w:p w14:paraId="746E3BD0" w14:textId="244E0D4D" w:rsidR="007566B9" w:rsidRDefault="00260768">
      <w:pPr>
        <w:pStyle w:val="TOC3"/>
        <w:rPr>
          <w:rFonts w:asciiTheme="minorHAnsi" w:eastAsiaTheme="minorEastAsia" w:hAnsiTheme="minorHAnsi" w:cstheme="minorBidi"/>
          <w:sz w:val="22"/>
          <w:szCs w:val="22"/>
        </w:rPr>
      </w:pPr>
      <w:hyperlink w:anchor="_Toc490225801" w:history="1">
        <w:r w:rsidR="007566B9" w:rsidRPr="0052213E">
          <w:rPr>
            <w:rStyle w:val="Hyperlink"/>
          </w:rPr>
          <w:t>3.6.1 New Construction</w:t>
        </w:r>
        <w:r w:rsidR="007566B9">
          <w:rPr>
            <w:webHidden/>
          </w:rPr>
          <w:tab/>
        </w:r>
        <w:r w:rsidR="007566B9">
          <w:rPr>
            <w:webHidden/>
          </w:rPr>
          <w:fldChar w:fldCharType="begin"/>
        </w:r>
        <w:r w:rsidR="007566B9">
          <w:rPr>
            <w:webHidden/>
          </w:rPr>
          <w:instrText xml:space="preserve"> PAGEREF _Toc490225801 \h </w:instrText>
        </w:r>
        <w:r w:rsidR="007566B9">
          <w:rPr>
            <w:webHidden/>
          </w:rPr>
        </w:r>
        <w:r w:rsidR="007566B9">
          <w:rPr>
            <w:webHidden/>
          </w:rPr>
          <w:fldChar w:fldCharType="separate"/>
        </w:r>
        <w:r w:rsidR="0058478E">
          <w:rPr>
            <w:webHidden/>
          </w:rPr>
          <w:t>63</w:t>
        </w:r>
        <w:r w:rsidR="007566B9">
          <w:rPr>
            <w:webHidden/>
          </w:rPr>
          <w:fldChar w:fldCharType="end"/>
        </w:r>
      </w:hyperlink>
    </w:p>
    <w:p w14:paraId="43F982A3" w14:textId="2AA59389" w:rsidR="007566B9" w:rsidRDefault="00260768">
      <w:pPr>
        <w:pStyle w:val="TOC3"/>
        <w:rPr>
          <w:rFonts w:asciiTheme="minorHAnsi" w:eastAsiaTheme="minorEastAsia" w:hAnsiTheme="minorHAnsi" w:cstheme="minorBidi"/>
          <w:sz w:val="22"/>
          <w:szCs w:val="22"/>
        </w:rPr>
      </w:pPr>
      <w:hyperlink w:anchor="_Toc490225802" w:history="1">
        <w:r w:rsidR="007566B9" w:rsidRPr="0052213E">
          <w:rPr>
            <w:rStyle w:val="Hyperlink"/>
          </w:rPr>
          <w:t>3.6.2 Retrofit</w:t>
        </w:r>
        <w:r w:rsidR="007566B9">
          <w:rPr>
            <w:webHidden/>
          </w:rPr>
          <w:tab/>
        </w:r>
        <w:r w:rsidR="007566B9">
          <w:rPr>
            <w:webHidden/>
          </w:rPr>
          <w:fldChar w:fldCharType="begin"/>
        </w:r>
        <w:r w:rsidR="007566B9">
          <w:rPr>
            <w:webHidden/>
          </w:rPr>
          <w:instrText xml:space="preserve"> PAGEREF _Toc490225802 \h </w:instrText>
        </w:r>
        <w:r w:rsidR="007566B9">
          <w:rPr>
            <w:webHidden/>
          </w:rPr>
        </w:r>
        <w:r w:rsidR="007566B9">
          <w:rPr>
            <w:webHidden/>
          </w:rPr>
          <w:fldChar w:fldCharType="separate"/>
        </w:r>
        <w:r w:rsidR="0058478E">
          <w:rPr>
            <w:webHidden/>
          </w:rPr>
          <w:t>65</w:t>
        </w:r>
        <w:r w:rsidR="007566B9">
          <w:rPr>
            <w:webHidden/>
          </w:rPr>
          <w:fldChar w:fldCharType="end"/>
        </w:r>
      </w:hyperlink>
    </w:p>
    <w:p w14:paraId="56158C98" w14:textId="78F6AB19" w:rsidR="007566B9" w:rsidRDefault="00260768">
      <w:pPr>
        <w:pStyle w:val="TOC2"/>
        <w:rPr>
          <w:rFonts w:asciiTheme="minorHAnsi" w:eastAsiaTheme="minorEastAsia" w:hAnsiTheme="minorHAnsi" w:cstheme="minorBidi"/>
          <w:sz w:val="22"/>
          <w:szCs w:val="22"/>
        </w:rPr>
      </w:pPr>
      <w:hyperlink w:anchor="_Toc490225803" w:history="1">
        <w:r w:rsidR="007566B9" w:rsidRPr="0052213E">
          <w:rPr>
            <w:rStyle w:val="Hyperlink"/>
          </w:rPr>
          <w:t>3.7 Codes and Standards</w:t>
        </w:r>
        <w:r w:rsidR="007566B9">
          <w:rPr>
            <w:webHidden/>
          </w:rPr>
          <w:tab/>
        </w:r>
        <w:r w:rsidR="007566B9">
          <w:rPr>
            <w:webHidden/>
          </w:rPr>
          <w:fldChar w:fldCharType="begin"/>
        </w:r>
        <w:r w:rsidR="007566B9">
          <w:rPr>
            <w:webHidden/>
          </w:rPr>
          <w:instrText xml:space="preserve"> PAGEREF _Toc490225803 \h </w:instrText>
        </w:r>
        <w:r w:rsidR="007566B9">
          <w:rPr>
            <w:webHidden/>
          </w:rPr>
        </w:r>
        <w:r w:rsidR="007566B9">
          <w:rPr>
            <w:webHidden/>
          </w:rPr>
          <w:fldChar w:fldCharType="separate"/>
        </w:r>
        <w:r w:rsidR="0058478E">
          <w:rPr>
            <w:webHidden/>
          </w:rPr>
          <w:t>67</w:t>
        </w:r>
        <w:r w:rsidR="007566B9">
          <w:rPr>
            <w:webHidden/>
          </w:rPr>
          <w:fldChar w:fldCharType="end"/>
        </w:r>
      </w:hyperlink>
    </w:p>
    <w:p w14:paraId="13BF73D8" w14:textId="4A0F9AE6" w:rsidR="007566B9" w:rsidRDefault="00260768">
      <w:pPr>
        <w:pStyle w:val="TOC2"/>
        <w:rPr>
          <w:rFonts w:asciiTheme="minorHAnsi" w:eastAsiaTheme="minorEastAsia" w:hAnsiTheme="minorHAnsi" w:cstheme="minorBidi"/>
          <w:sz w:val="22"/>
          <w:szCs w:val="22"/>
        </w:rPr>
      </w:pPr>
      <w:hyperlink w:anchor="_Toc490225804" w:history="1">
        <w:r w:rsidR="007566B9" w:rsidRPr="0052213E">
          <w:rPr>
            <w:rStyle w:val="Hyperlink"/>
          </w:rPr>
          <w:t>3.8 Behavior, Retrocommissioning, and Operational (BROs) Energy Efficiency</w:t>
        </w:r>
        <w:r w:rsidR="007566B9">
          <w:rPr>
            <w:webHidden/>
          </w:rPr>
          <w:tab/>
        </w:r>
        <w:r w:rsidR="007566B9">
          <w:rPr>
            <w:webHidden/>
          </w:rPr>
          <w:fldChar w:fldCharType="begin"/>
        </w:r>
        <w:r w:rsidR="007566B9">
          <w:rPr>
            <w:webHidden/>
          </w:rPr>
          <w:instrText xml:space="preserve"> PAGEREF _Toc490225804 \h </w:instrText>
        </w:r>
        <w:r w:rsidR="007566B9">
          <w:rPr>
            <w:webHidden/>
          </w:rPr>
        </w:r>
        <w:r w:rsidR="007566B9">
          <w:rPr>
            <w:webHidden/>
          </w:rPr>
          <w:fldChar w:fldCharType="separate"/>
        </w:r>
        <w:r w:rsidR="0058478E">
          <w:rPr>
            <w:webHidden/>
          </w:rPr>
          <w:t>71</w:t>
        </w:r>
        <w:r w:rsidR="007566B9">
          <w:rPr>
            <w:webHidden/>
          </w:rPr>
          <w:fldChar w:fldCharType="end"/>
        </w:r>
      </w:hyperlink>
    </w:p>
    <w:p w14:paraId="32CBEA07" w14:textId="7A804BA5" w:rsidR="007566B9" w:rsidRDefault="00260768">
      <w:pPr>
        <w:pStyle w:val="TOC3"/>
        <w:rPr>
          <w:rFonts w:asciiTheme="minorHAnsi" w:eastAsiaTheme="minorEastAsia" w:hAnsiTheme="minorHAnsi" w:cstheme="minorBidi"/>
          <w:sz w:val="22"/>
          <w:szCs w:val="22"/>
        </w:rPr>
      </w:pPr>
      <w:hyperlink w:anchor="_Toc490225805" w:history="1">
        <w:r w:rsidR="007566B9" w:rsidRPr="0052213E">
          <w:rPr>
            <w:rStyle w:val="Hyperlink"/>
          </w:rPr>
          <w:t>3.8.1 Stakeholder Input</w:t>
        </w:r>
        <w:r w:rsidR="007566B9">
          <w:rPr>
            <w:webHidden/>
          </w:rPr>
          <w:tab/>
        </w:r>
        <w:r w:rsidR="007566B9">
          <w:rPr>
            <w:webHidden/>
          </w:rPr>
          <w:fldChar w:fldCharType="begin"/>
        </w:r>
        <w:r w:rsidR="007566B9">
          <w:rPr>
            <w:webHidden/>
          </w:rPr>
          <w:instrText xml:space="preserve"> PAGEREF _Toc490225805 \h </w:instrText>
        </w:r>
        <w:r w:rsidR="007566B9">
          <w:rPr>
            <w:webHidden/>
          </w:rPr>
        </w:r>
        <w:r w:rsidR="007566B9">
          <w:rPr>
            <w:webHidden/>
          </w:rPr>
          <w:fldChar w:fldCharType="separate"/>
        </w:r>
        <w:r w:rsidR="0058478E">
          <w:rPr>
            <w:webHidden/>
          </w:rPr>
          <w:t>75</w:t>
        </w:r>
        <w:r w:rsidR="007566B9">
          <w:rPr>
            <w:webHidden/>
          </w:rPr>
          <w:fldChar w:fldCharType="end"/>
        </w:r>
      </w:hyperlink>
    </w:p>
    <w:p w14:paraId="53DDF019" w14:textId="396AA7F4" w:rsidR="007566B9" w:rsidRDefault="00260768">
      <w:pPr>
        <w:pStyle w:val="TOC3"/>
        <w:rPr>
          <w:rFonts w:asciiTheme="minorHAnsi" w:eastAsiaTheme="minorEastAsia" w:hAnsiTheme="minorHAnsi" w:cstheme="minorBidi"/>
          <w:sz w:val="22"/>
          <w:szCs w:val="22"/>
        </w:rPr>
      </w:pPr>
      <w:hyperlink w:anchor="_Toc490225806" w:history="1">
        <w:r w:rsidR="007566B9" w:rsidRPr="0052213E">
          <w:rPr>
            <w:rStyle w:val="Hyperlink"/>
          </w:rPr>
          <w:t>3.8.2 Data Rigor</w:t>
        </w:r>
        <w:r w:rsidR="007566B9">
          <w:rPr>
            <w:webHidden/>
          </w:rPr>
          <w:tab/>
        </w:r>
        <w:r w:rsidR="007566B9">
          <w:rPr>
            <w:webHidden/>
          </w:rPr>
          <w:fldChar w:fldCharType="begin"/>
        </w:r>
        <w:r w:rsidR="007566B9">
          <w:rPr>
            <w:webHidden/>
          </w:rPr>
          <w:instrText xml:space="preserve"> PAGEREF _Toc490225806 \h </w:instrText>
        </w:r>
        <w:r w:rsidR="007566B9">
          <w:rPr>
            <w:webHidden/>
          </w:rPr>
        </w:r>
        <w:r w:rsidR="007566B9">
          <w:rPr>
            <w:webHidden/>
          </w:rPr>
          <w:fldChar w:fldCharType="separate"/>
        </w:r>
        <w:r w:rsidR="0058478E">
          <w:rPr>
            <w:webHidden/>
          </w:rPr>
          <w:t>76</w:t>
        </w:r>
        <w:r w:rsidR="007566B9">
          <w:rPr>
            <w:webHidden/>
          </w:rPr>
          <w:fldChar w:fldCharType="end"/>
        </w:r>
      </w:hyperlink>
    </w:p>
    <w:p w14:paraId="0450DBF5" w14:textId="7F3511E9" w:rsidR="007566B9" w:rsidRDefault="00260768">
      <w:pPr>
        <w:pStyle w:val="TOC2"/>
        <w:rPr>
          <w:rFonts w:asciiTheme="minorHAnsi" w:eastAsiaTheme="minorEastAsia" w:hAnsiTheme="minorHAnsi" w:cstheme="minorBidi"/>
          <w:sz w:val="22"/>
          <w:szCs w:val="22"/>
        </w:rPr>
      </w:pPr>
      <w:hyperlink w:anchor="_Toc490225807" w:history="1">
        <w:r w:rsidR="007566B9" w:rsidRPr="0052213E">
          <w:rPr>
            <w:rStyle w:val="Hyperlink"/>
          </w:rPr>
          <w:t>3.9 Low Income Programs</w:t>
        </w:r>
        <w:r w:rsidR="007566B9">
          <w:rPr>
            <w:webHidden/>
          </w:rPr>
          <w:tab/>
        </w:r>
        <w:r w:rsidR="007566B9">
          <w:rPr>
            <w:webHidden/>
          </w:rPr>
          <w:fldChar w:fldCharType="begin"/>
        </w:r>
        <w:r w:rsidR="007566B9">
          <w:rPr>
            <w:webHidden/>
          </w:rPr>
          <w:instrText xml:space="preserve"> PAGEREF _Toc490225807 \h </w:instrText>
        </w:r>
        <w:r w:rsidR="007566B9">
          <w:rPr>
            <w:webHidden/>
          </w:rPr>
        </w:r>
        <w:r w:rsidR="007566B9">
          <w:rPr>
            <w:webHidden/>
          </w:rPr>
          <w:fldChar w:fldCharType="separate"/>
        </w:r>
        <w:r w:rsidR="0058478E">
          <w:rPr>
            <w:webHidden/>
          </w:rPr>
          <w:t>77</w:t>
        </w:r>
        <w:r w:rsidR="007566B9">
          <w:rPr>
            <w:webHidden/>
          </w:rPr>
          <w:fldChar w:fldCharType="end"/>
        </w:r>
      </w:hyperlink>
    </w:p>
    <w:p w14:paraId="2D12F68F" w14:textId="377E2049" w:rsidR="007566B9" w:rsidRDefault="00260768">
      <w:pPr>
        <w:pStyle w:val="TOC3"/>
        <w:rPr>
          <w:rFonts w:asciiTheme="minorHAnsi" w:eastAsiaTheme="minorEastAsia" w:hAnsiTheme="minorHAnsi" w:cstheme="minorBidi"/>
          <w:sz w:val="22"/>
          <w:szCs w:val="22"/>
        </w:rPr>
      </w:pPr>
      <w:hyperlink w:anchor="_Toc490225808" w:history="1">
        <w:r w:rsidR="007566B9" w:rsidRPr="0052213E">
          <w:rPr>
            <w:rStyle w:val="Hyperlink"/>
          </w:rPr>
          <w:t>3.9.1 Households Treated</w:t>
        </w:r>
        <w:r w:rsidR="007566B9">
          <w:rPr>
            <w:webHidden/>
          </w:rPr>
          <w:tab/>
        </w:r>
        <w:r w:rsidR="007566B9">
          <w:rPr>
            <w:webHidden/>
          </w:rPr>
          <w:fldChar w:fldCharType="begin"/>
        </w:r>
        <w:r w:rsidR="007566B9">
          <w:rPr>
            <w:webHidden/>
          </w:rPr>
          <w:instrText xml:space="preserve"> PAGEREF _Toc490225808 \h </w:instrText>
        </w:r>
        <w:r w:rsidR="007566B9">
          <w:rPr>
            <w:webHidden/>
          </w:rPr>
        </w:r>
        <w:r w:rsidR="007566B9">
          <w:rPr>
            <w:webHidden/>
          </w:rPr>
          <w:fldChar w:fldCharType="separate"/>
        </w:r>
        <w:r w:rsidR="0058478E">
          <w:rPr>
            <w:webHidden/>
          </w:rPr>
          <w:t>77</w:t>
        </w:r>
        <w:r w:rsidR="007566B9">
          <w:rPr>
            <w:webHidden/>
          </w:rPr>
          <w:fldChar w:fldCharType="end"/>
        </w:r>
      </w:hyperlink>
    </w:p>
    <w:p w14:paraId="4B899A66" w14:textId="20D86891" w:rsidR="007566B9" w:rsidRDefault="00260768">
      <w:pPr>
        <w:pStyle w:val="TOC3"/>
        <w:rPr>
          <w:rFonts w:asciiTheme="minorHAnsi" w:eastAsiaTheme="minorEastAsia" w:hAnsiTheme="minorHAnsi" w:cstheme="minorBidi"/>
          <w:sz w:val="22"/>
          <w:szCs w:val="22"/>
        </w:rPr>
      </w:pPr>
      <w:hyperlink w:anchor="_Toc490225809" w:history="1">
        <w:r w:rsidR="007566B9" w:rsidRPr="0052213E">
          <w:rPr>
            <w:rStyle w:val="Hyperlink"/>
          </w:rPr>
          <w:t>3.9.2 Unit Energy Savings</w:t>
        </w:r>
        <w:r w:rsidR="007566B9">
          <w:rPr>
            <w:webHidden/>
          </w:rPr>
          <w:tab/>
        </w:r>
        <w:r w:rsidR="007566B9">
          <w:rPr>
            <w:webHidden/>
          </w:rPr>
          <w:fldChar w:fldCharType="begin"/>
        </w:r>
        <w:r w:rsidR="007566B9">
          <w:rPr>
            <w:webHidden/>
          </w:rPr>
          <w:instrText xml:space="preserve"> PAGEREF _Toc490225809 \h </w:instrText>
        </w:r>
        <w:r w:rsidR="007566B9">
          <w:rPr>
            <w:webHidden/>
          </w:rPr>
        </w:r>
        <w:r w:rsidR="007566B9">
          <w:rPr>
            <w:webHidden/>
          </w:rPr>
          <w:fldChar w:fldCharType="separate"/>
        </w:r>
        <w:r w:rsidR="0058478E">
          <w:rPr>
            <w:webHidden/>
          </w:rPr>
          <w:t>78</w:t>
        </w:r>
        <w:r w:rsidR="007566B9">
          <w:rPr>
            <w:webHidden/>
          </w:rPr>
          <w:fldChar w:fldCharType="end"/>
        </w:r>
      </w:hyperlink>
    </w:p>
    <w:p w14:paraId="78F51BB6" w14:textId="4C9B02CE" w:rsidR="007566B9" w:rsidRDefault="00260768">
      <w:pPr>
        <w:pStyle w:val="TOC2"/>
        <w:rPr>
          <w:rFonts w:asciiTheme="minorHAnsi" w:eastAsiaTheme="minorEastAsia" w:hAnsiTheme="minorHAnsi" w:cstheme="minorBidi"/>
          <w:sz w:val="22"/>
          <w:szCs w:val="22"/>
        </w:rPr>
      </w:pPr>
      <w:hyperlink w:anchor="_Toc490225810" w:history="1">
        <w:r w:rsidR="007566B9" w:rsidRPr="0052213E">
          <w:rPr>
            <w:rStyle w:val="Hyperlink"/>
          </w:rPr>
          <w:t>3.10 Energy Efficiency Financing</w:t>
        </w:r>
        <w:r w:rsidR="007566B9">
          <w:rPr>
            <w:webHidden/>
          </w:rPr>
          <w:tab/>
        </w:r>
        <w:r w:rsidR="007566B9">
          <w:rPr>
            <w:webHidden/>
          </w:rPr>
          <w:fldChar w:fldCharType="begin"/>
        </w:r>
        <w:r w:rsidR="007566B9">
          <w:rPr>
            <w:webHidden/>
          </w:rPr>
          <w:instrText xml:space="preserve"> PAGEREF _Toc490225810 \h </w:instrText>
        </w:r>
        <w:r w:rsidR="007566B9">
          <w:rPr>
            <w:webHidden/>
          </w:rPr>
        </w:r>
        <w:r w:rsidR="007566B9">
          <w:rPr>
            <w:webHidden/>
          </w:rPr>
          <w:fldChar w:fldCharType="separate"/>
        </w:r>
        <w:r w:rsidR="0058478E">
          <w:rPr>
            <w:webHidden/>
          </w:rPr>
          <w:t>78</w:t>
        </w:r>
        <w:r w:rsidR="007566B9">
          <w:rPr>
            <w:webHidden/>
          </w:rPr>
          <w:fldChar w:fldCharType="end"/>
        </w:r>
      </w:hyperlink>
    </w:p>
    <w:p w14:paraId="6E34FB18" w14:textId="45459A4C" w:rsidR="007566B9" w:rsidRDefault="00260768">
      <w:pPr>
        <w:pStyle w:val="TOC3"/>
        <w:rPr>
          <w:rFonts w:asciiTheme="minorHAnsi" w:eastAsiaTheme="minorEastAsia" w:hAnsiTheme="minorHAnsi" w:cstheme="minorBidi"/>
          <w:sz w:val="22"/>
          <w:szCs w:val="22"/>
        </w:rPr>
      </w:pPr>
      <w:hyperlink w:anchor="_Toc490225811" w:history="1">
        <w:r w:rsidR="007566B9" w:rsidRPr="0052213E">
          <w:rPr>
            <w:rStyle w:val="Hyperlink"/>
          </w:rPr>
          <w:t>3.10.1 Residential Inputs</w:t>
        </w:r>
        <w:r w:rsidR="007566B9">
          <w:rPr>
            <w:webHidden/>
          </w:rPr>
          <w:tab/>
        </w:r>
        <w:r w:rsidR="007566B9">
          <w:rPr>
            <w:webHidden/>
          </w:rPr>
          <w:fldChar w:fldCharType="begin"/>
        </w:r>
        <w:r w:rsidR="007566B9">
          <w:rPr>
            <w:webHidden/>
          </w:rPr>
          <w:instrText xml:space="preserve"> PAGEREF _Toc490225811 \h </w:instrText>
        </w:r>
        <w:r w:rsidR="007566B9">
          <w:rPr>
            <w:webHidden/>
          </w:rPr>
        </w:r>
        <w:r w:rsidR="007566B9">
          <w:rPr>
            <w:webHidden/>
          </w:rPr>
          <w:fldChar w:fldCharType="separate"/>
        </w:r>
        <w:r w:rsidR="0058478E">
          <w:rPr>
            <w:webHidden/>
          </w:rPr>
          <w:t>78</w:t>
        </w:r>
        <w:r w:rsidR="007566B9">
          <w:rPr>
            <w:webHidden/>
          </w:rPr>
          <w:fldChar w:fldCharType="end"/>
        </w:r>
      </w:hyperlink>
    </w:p>
    <w:p w14:paraId="0191A9CE" w14:textId="21EF33F9" w:rsidR="007566B9" w:rsidRDefault="00260768">
      <w:pPr>
        <w:pStyle w:val="TOC3"/>
        <w:rPr>
          <w:rFonts w:asciiTheme="minorHAnsi" w:eastAsiaTheme="minorEastAsia" w:hAnsiTheme="minorHAnsi" w:cstheme="minorBidi"/>
          <w:sz w:val="22"/>
          <w:szCs w:val="22"/>
        </w:rPr>
      </w:pPr>
      <w:hyperlink w:anchor="_Toc490225812" w:history="1">
        <w:r w:rsidR="007566B9" w:rsidRPr="0052213E">
          <w:rPr>
            <w:rStyle w:val="Hyperlink"/>
          </w:rPr>
          <w:t>3.10.2 Commercial Inputs</w:t>
        </w:r>
        <w:r w:rsidR="007566B9">
          <w:rPr>
            <w:webHidden/>
          </w:rPr>
          <w:tab/>
        </w:r>
        <w:r w:rsidR="007566B9">
          <w:rPr>
            <w:webHidden/>
          </w:rPr>
          <w:fldChar w:fldCharType="begin"/>
        </w:r>
        <w:r w:rsidR="007566B9">
          <w:rPr>
            <w:webHidden/>
          </w:rPr>
          <w:instrText xml:space="preserve"> PAGEREF _Toc490225812 \h </w:instrText>
        </w:r>
        <w:r w:rsidR="007566B9">
          <w:rPr>
            <w:webHidden/>
          </w:rPr>
        </w:r>
        <w:r w:rsidR="007566B9">
          <w:rPr>
            <w:webHidden/>
          </w:rPr>
          <w:fldChar w:fldCharType="separate"/>
        </w:r>
        <w:r w:rsidR="0058478E">
          <w:rPr>
            <w:webHidden/>
          </w:rPr>
          <w:t>80</w:t>
        </w:r>
        <w:r w:rsidR="007566B9">
          <w:rPr>
            <w:webHidden/>
          </w:rPr>
          <w:fldChar w:fldCharType="end"/>
        </w:r>
      </w:hyperlink>
    </w:p>
    <w:p w14:paraId="4C2BEE78" w14:textId="5989AA9D" w:rsidR="007566B9" w:rsidRDefault="00260768">
      <w:pPr>
        <w:pStyle w:val="TOC1"/>
        <w:rPr>
          <w:rFonts w:asciiTheme="minorHAnsi" w:eastAsiaTheme="minorEastAsia" w:hAnsiTheme="minorHAnsi" w:cstheme="minorBidi"/>
          <w:b w:val="0"/>
          <w:noProof/>
          <w:sz w:val="22"/>
        </w:rPr>
      </w:pPr>
      <w:hyperlink w:anchor="_Toc490225813" w:history="1">
        <w:r w:rsidR="007566B9" w:rsidRPr="0052213E">
          <w:rPr>
            <w:rStyle w:val="Hyperlink"/>
            <w:noProof/>
          </w:rPr>
          <w:t>4. 2018 Study Results</w:t>
        </w:r>
        <w:r w:rsidR="007566B9">
          <w:rPr>
            <w:noProof/>
            <w:webHidden/>
          </w:rPr>
          <w:tab/>
        </w:r>
        <w:r w:rsidR="007566B9">
          <w:rPr>
            <w:noProof/>
            <w:webHidden/>
          </w:rPr>
          <w:fldChar w:fldCharType="begin"/>
        </w:r>
        <w:r w:rsidR="007566B9">
          <w:rPr>
            <w:noProof/>
            <w:webHidden/>
          </w:rPr>
          <w:instrText xml:space="preserve"> PAGEREF _Toc490225813 \h </w:instrText>
        </w:r>
        <w:r w:rsidR="007566B9">
          <w:rPr>
            <w:noProof/>
            <w:webHidden/>
          </w:rPr>
        </w:r>
        <w:r w:rsidR="007566B9">
          <w:rPr>
            <w:noProof/>
            <w:webHidden/>
          </w:rPr>
          <w:fldChar w:fldCharType="separate"/>
        </w:r>
        <w:r w:rsidR="0058478E">
          <w:rPr>
            <w:noProof/>
            <w:webHidden/>
          </w:rPr>
          <w:t>82</w:t>
        </w:r>
        <w:r w:rsidR="007566B9">
          <w:rPr>
            <w:noProof/>
            <w:webHidden/>
          </w:rPr>
          <w:fldChar w:fldCharType="end"/>
        </w:r>
      </w:hyperlink>
    </w:p>
    <w:p w14:paraId="4C6858FF" w14:textId="3B930A0E" w:rsidR="007566B9" w:rsidRDefault="00260768">
      <w:pPr>
        <w:pStyle w:val="TOC2"/>
        <w:rPr>
          <w:rFonts w:asciiTheme="minorHAnsi" w:eastAsiaTheme="minorEastAsia" w:hAnsiTheme="minorHAnsi" w:cstheme="minorBidi"/>
          <w:sz w:val="22"/>
          <w:szCs w:val="22"/>
        </w:rPr>
      </w:pPr>
      <w:hyperlink w:anchor="_Toc490225814" w:history="1">
        <w:r w:rsidR="007566B9" w:rsidRPr="0052213E">
          <w:rPr>
            <w:rStyle w:val="Hyperlink"/>
          </w:rPr>
          <w:t>4.1 Incentive Program Savings</w:t>
        </w:r>
        <w:r w:rsidR="007566B9">
          <w:rPr>
            <w:webHidden/>
          </w:rPr>
          <w:tab/>
        </w:r>
        <w:r w:rsidR="007566B9">
          <w:rPr>
            <w:webHidden/>
          </w:rPr>
          <w:fldChar w:fldCharType="begin"/>
        </w:r>
        <w:r w:rsidR="007566B9">
          <w:rPr>
            <w:webHidden/>
          </w:rPr>
          <w:instrText xml:space="preserve"> PAGEREF _Toc490225814 \h </w:instrText>
        </w:r>
        <w:r w:rsidR="007566B9">
          <w:rPr>
            <w:webHidden/>
          </w:rPr>
        </w:r>
        <w:r w:rsidR="007566B9">
          <w:rPr>
            <w:webHidden/>
          </w:rPr>
          <w:fldChar w:fldCharType="separate"/>
        </w:r>
        <w:r w:rsidR="0058478E">
          <w:rPr>
            <w:webHidden/>
          </w:rPr>
          <w:t>82</w:t>
        </w:r>
        <w:r w:rsidR="007566B9">
          <w:rPr>
            <w:webHidden/>
          </w:rPr>
          <w:fldChar w:fldCharType="end"/>
        </w:r>
      </w:hyperlink>
    </w:p>
    <w:p w14:paraId="5A2B070D" w14:textId="344E6F62" w:rsidR="007566B9" w:rsidRDefault="00260768">
      <w:pPr>
        <w:pStyle w:val="TOC3"/>
        <w:rPr>
          <w:rFonts w:asciiTheme="minorHAnsi" w:eastAsiaTheme="minorEastAsia" w:hAnsiTheme="minorHAnsi" w:cstheme="minorBidi"/>
          <w:sz w:val="22"/>
          <w:szCs w:val="22"/>
        </w:rPr>
      </w:pPr>
      <w:hyperlink w:anchor="_Toc490225815" w:history="1">
        <w:r w:rsidR="007566B9" w:rsidRPr="0052213E">
          <w:rPr>
            <w:rStyle w:val="Hyperlink"/>
          </w:rPr>
          <w:t>4.1.1 Total Savings and Spending by Scenario</w:t>
        </w:r>
        <w:r w:rsidR="007566B9">
          <w:rPr>
            <w:webHidden/>
          </w:rPr>
          <w:tab/>
        </w:r>
        <w:r w:rsidR="007566B9">
          <w:rPr>
            <w:webHidden/>
          </w:rPr>
          <w:fldChar w:fldCharType="begin"/>
        </w:r>
        <w:r w:rsidR="007566B9">
          <w:rPr>
            <w:webHidden/>
          </w:rPr>
          <w:instrText xml:space="preserve"> PAGEREF _Toc490225815 \h </w:instrText>
        </w:r>
        <w:r w:rsidR="007566B9">
          <w:rPr>
            <w:webHidden/>
          </w:rPr>
        </w:r>
        <w:r w:rsidR="007566B9">
          <w:rPr>
            <w:webHidden/>
          </w:rPr>
          <w:fldChar w:fldCharType="separate"/>
        </w:r>
        <w:r w:rsidR="0058478E">
          <w:rPr>
            <w:webHidden/>
          </w:rPr>
          <w:t>82</w:t>
        </w:r>
        <w:r w:rsidR="007566B9">
          <w:rPr>
            <w:webHidden/>
          </w:rPr>
          <w:fldChar w:fldCharType="end"/>
        </w:r>
      </w:hyperlink>
    </w:p>
    <w:p w14:paraId="3FBA6473" w14:textId="77049C9E" w:rsidR="007566B9" w:rsidRDefault="00260768">
      <w:pPr>
        <w:pStyle w:val="TOC3"/>
        <w:rPr>
          <w:rFonts w:asciiTheme="minorHAnsi" w:eastAsiaTheme="minorEastAsia" w:hAnsiTheme="minorHAnsi" w:cstheme="minorBidi"/>
          <w:sz w:val="22"/>
          <w:szCs w:val="22"/>
        </w:rPr>
      </w:pPr>
      <w:hyperlink w:anchor="_Toc490225816" w:history="1">
        <w:r w:rsidR="007566B9" w:rsidRPr="0052213E">
          <w:rPr>
            <w:rStyle w:val="Hyperlink"/>
          </w:rPr>
          <w:t>4.1.2 Total Savings and Spending by Sector</w:t>
        </w:r>
        <w:r w:rsidR="007566B9">
          <w:rPr>
            <w:webHidden/>
          </w:rPr>
          <w:tab/>
        </w:r>
        <w:r w:rsidR="007566B9">
          <w:rPr>
            <w:webHidden/>
          </w:rPr>
          <w:fldChar w:fldCharType="begin"/>
        </w:r>
        <w:r w:rsidR="007566B9">
          <w:rPr>
            <w:webHidden/>
          </w:rPr>
          <w:instrText xml:space="preserve"> PAGEREF _Toc490225816 \h </w:instrText>
        </w:r>
        <w:r w:rsidR="007566B9">
          <w:rPr>
            <w:webHidden/>
          </w:rPr>
        </w:r>
        <w:r w:rsidR="007566B9">
          <w:rPr>
            <w:webHidden/>
          </w:rPr>
          <w:fldChar w:fldCharType="separate"/>
        </w:r>
        <w:r w:rsidR="0058478E">
          <w:rPr>
            <w:webHidden/>
          </w:rPr>
          <w:t>88</w:t>
        </w:r>
        <w:r w:rsidR="007566B9">
          <w:rPr>
            <w:webHidden/>
          </w:rPr>
          <w:fldChar w:fldCharType="end"/>
        </w:r>
      </w:hyperlink>
    </w:p>
    <w:p w14:paraId="6CAC6ABD" w14:textId="7C63919F" w:rsidR="007566B9" w:rsidRDefault="00260768">
      <w:pPr>
        <w:pStyle w:val="TOC3"/>
        <w:rPr>
          <w:rFonts w:asciiTheme="minorHAnsi" w:eastAsiaTheme="minorEastAsia" w:hAnsiTheme="minorHAnsi" w:cstheme="minorBidi"/>
          <w:sz w:val="22"/>
          <w:szCs w:val="22"/>
        </w:rPr>
      </w:pPr>
      <w:hyperlink w:anchor="_Toc490225817" w:history="1">
        <w:r w:rsidR="007566B9" w:rsidRPr="0052213E">
          <w:rPr>
            <w:rStyle w:val="Hyperlink"/>
          </w:rPr>
          <w:t>4.1.3 Equipment Rebate Program Results</w:t>
        </w:r>
        <w:r w:rsidR="007566B9">
          <w:rPr>
            <w:webHidden/>
          </w:rPr>
          <w:tab/>
        </w:r>
        <w:r w:rsidR="007566B9">
          <w:rPr>
            <w:webHidden/>
          </w:rPr>
          <w:fldChar w:fldCharType="begin"/>
        </w:r>
        <w:r w:rsidR="007566B9">
          <w:rPr>
            <w:webHidden/>
          </w:rPr>
          <w:instrText xml:space="preserve"> PAGEREF _Toc490225817 \h </w:instrText>
        </w:r>
        <w:r w:rsidR="007566B9">
          <w:rPr>
            <w:webHidden/>
          </w:rPr>
        </w:r>
        <w:r w:rsidR="007566B9">
          <w:rPr>
            <w:webHidden/>
          </w:rPr>
          <w:fldChar w:fldCharType="separate"/>
        </w:r>
        <w:r w:rsidR="0058478E">
          <w:rPr>
            <w:webHidden/>
          </w:rPr>
          <w:t>96</w:t>
        </w:r>
        <w:r w:rsidR="007566B9">
          <w:rPr>
            <w:webHidden/>
          </w:rPr>
          <w:fldChar w:fldCharType="end"/>
        </w:r>
      </w:hyperlink>
    </w:p>
    <w:p w14:paraId="2D87C222" w14:textId="35B7AA38" w:rsidR="007566B9" w:rsidRDefault="00260768">
      <w:pPr>
        <w:pStyle w:val="TOC3"/>
        <w:rPr>
          <w:rFonts w:asciiTheme="minorHAnsi" w:eastAsiaTheme="minorEastAsia" w:hAnsiTheme="minorHAnsi" w:cstheme="minorBidi"/>
          <w:sz w:val="22"/>
          <w:szCs w:val="22"/>
        </w:rPr>
      </w:pPr>
      <w:hyperlink w:anchor="_Toc490225818" w:history="1">
        <w:r w:rsidR="007566B9" w:rsidRPr="0052213E">
          <w:rPr>
            <w:rStyle w:val="Hyperlink"/>
          </w:rPr>
          <w:t>4.1.4 BROS Scenario Results</w:t>
        </w:r>
        <w:r w:rsidR="007566B9">
          <w:rPr>
            <w:webHidden/>
          </w:rPr>
          <w:tab/>
        </w:r>
        <w:r w:rsidR="007566B9">
          <w:rPr>
            <w:webHidden/>
          </w:rPr>
          <w:fldChar w:fldCharType="begin"/>
        </w:r>
        <w:r w:rsidR="007566B9">
          <w:rPr>
            <w:webHidden/>
          </w:rPr>
          <w:instrText xml:space="preserve"> PAGEREF _Toc490225818 \h </w:instrText>
        </w:r>
        <w:r w:rsidR="007566B9">
          <w:rPr>
            <w:webHidden/>
          </w:rPr>
        </w:r>
        <w:r w:rsidR="007566B9">
          <w:rPr>
            <w:webHidden/>
          </w:rPr>
          <w:fldChar w:fldCharType="separate"/>
        </w:r>
        <w:r w:rsidR="0058478E">
          <w:rPr>
            <w:webHidden/>
          </w:rPr>
          <w:t>123</w:t>
        </w:r>
        <w:r w:rsidR="007566B9">
          <w:rPr>
            <w:webHidden/>
          </w:rPr>
          <w:fldChar w:fldCharType="end"/>
        </w:r>
      </w:hyperlink>
    </w:p>
    <w:p w14:paraId="4C2F545D" w14:textId="11441A64" w:rsidR="007566B9" w:rsidRDefault="00260768">
      <w:pPr>
        <w:pStyle w:val="TOC2"/>
        <w:rPr>
          <w:rFonts w:asciiTheme="minorHAnsi" w:eastAsiaTheme="minorEastAsia" w:hAnsiTheme="minorHAnsi" w:cstheme="minorBidi"/>
          <w:sz w:val="22"/>
          <w:szCs w:val="22"/>
        </w:rPr>
      </w:pPr>
      <w:hyperlink w:anchor="_Toc490225819" w:history="1">
        <w:r w:rsidR="007566B9" w:rsidRPr="0052213E">
          <w:rPr>
            <w:rStyle w:val="Hyperlink"/>
          </w:rPr>
          <w:t>4.2 C&amp;S Savings</w:t>
        </w:r>
        <w:r w:rsidR="007566B9">
          <w:rPr>
            <w:webHidden/>
          </w:rPr>
          <w:tab/>
        </w:r>
        <w:r w:rsidR="007566B9">
          <w:rPr>
            <w:webHidden/>
          </w:rPr>
          <w:fldChar w:fldCharType="begin"/>
        </w:r>
        <w:r w:rsidR="007566B9">
          <w:rPr>
            <w:webHidden/>
          </w:rPr>
          <w:instrText xml:space="preserve"> PAGEREF _Toc490225819 \h </w:instrText>
        </w:r>
        <w:r w:rsidR="007566B9">
          <w:rPr>
            <w:webHidden/>
          </w:rPr>
        </w:r>
        <w:r w:rsidR="007566B9">
          <w:rPr>
            <w:webHidden/>
          </w:rPr>
          <w:fldChar w:fldCharType="separate"/>
        </w:r>
        <w:r w:rsidR="0058478E">
          <w:rPr>
            <w:webHidden/>
          </w:rPr>
          <w:t>126</w:t>
        </w:r>
        <w:r w:rsidR="007566B9">
          <w:rPr>
            <w:webHidden/>
          </w:rPr>
          <w:fldChar w:fldCharType="end"/>
        </w:r>
      </w:hyperlink>
    </w:p>
    <w:p w14:paraId="4EC44E99" w14:textId="3E48BCC7" w:rsidR="007566B9" w:rsidRDefault="00260768">
      <w:pPr>
        <w:pStyle w:val="TOC2"/>
        <w:rPr>
          <w:rFonts w:asciiTheme="minorHAnsi" w:eastAsiaTheme="minorEastAsia" w:hAnsiTheme="minorHAnsi" w:cstheme="minorBidi"/>
          <w:sz w:val="22"/>
          <w:szCs w:val="22"/>
        </w:rPr>
      </w:pPr>
      <w:hyperlink w:anchor="_Toc490225820" w:history="1">
        <w:r w:rsidR="007566B9" w:rsidRPr="0052213E">
          <w:rPr>
            <w:rStyle w:val="Hyperlink"/>
          </w:rPr>
          <w:t>4.3 Detailed Study Results</w:t>
        </w:r>
        <w:r w:rsidR="007566B9">
          <w:rPr>
            <w:webHidden/>
          </w:rPr>
          <w:tab/>
        </w:r>
        <w:r w:rsidR="007566B9">
          <w:rPr>
            <w:webHidden/>
          </w:rPr>
          <w:fldChar w:fldCharType="begin"/>
        </w:r>
        <w:r w:rsidR="007566B9">
          <w:rPr>
            <w:webHidden/>
          </w:rPr>
          <w:instrText xml:space="preserve"> PAGEREF _Toc490225820 \h </w:instrText>
        </w:r>
        <w:r w:rsidR="007566B9">
          <w:rPr>
            <w:webHidden/>
          </w:rPr>
        </w:r>
        <w:r w:rsidR="007566B9">
          <w:rPr>
            <w:webHidden/>
          </w:rPr>
          <w:fldChar w:fldCharType="separate"/>
        </w:r>
        <w:r w:rsidR="0058478E">
          <w:rPr>
            <w:webHidden/>
          </w:rPr>
          <w:t>127</w:t>
        </w:r>
        <w:r w:rsidR="007566B9">
          <w:rPr>
            <w:webHidden/>
          </w:rPr>
          <w:fldChar w:fldCharType="end"/>
        </w:r>
      </w:hyperlink>
    </w:p>
    <w:p w14:paraId="5C08231D" w14:textId="0E4B0FBC" w:rsidR="007566B9" w:rsidRDefault="00260768">
      <w:pPr>
        <w:pStyle w:val="TOC1"/>
        <w:rPr>
          <w:rFonts w:asciiTheme="minorHAnsi" w:eastAsiaTheme="minorEastAsia" w:hAnsiTheme="minorHAnsi" w:cstheme="minorBidi"/>
          <w:b w:val="0"/>
          <w:noProof/>
          <w:sz w:val="22"/>
        </w:rPr>
      </w:pPr>
      <w:hyperlink w:anchor="_Toc490225821" w:history="1">
        <w:r w:rsidR="007566B9" w:rsidRPr="0052213E">
          <w:rPr>
            <w:rStyle w:val="Hyperlink"/>
            <w:noProof/>
          </w:rPr>
          <w:t>5. Comparision to 2015 Study</w:t>
        </w:r>
        <w:r w:rsidR="007566B9">
          <w:rPr>
            <w:noProof/>
            <w:webHidden/>
          </w:rPr>
          <w:tab/>
        </w:r>
        <w:r w:rsidR="007566B9">
          <w:rPr>
            <w:noProof/>
            <w:webHidden/>
          </w:rPr>
          <w:fldChar w:fldCharType="begin"/>
        </w:r>
        <w:r w:rsidR="007566B9">
          <w:rPr>
            <w:noProof/>
            <w:webHidden/>
          </w:rPr>
          <w:instrText xml:space="preserve"> PAGEREF _Toc490225821 \h </w:instrText>
        </w:r>
        <w:r w:rsidR="007566B9">
          <w:rPr>
            <w:noProof/>
            <w:webHidden/>
          </w:rPr>
        </w:r>
        <w:r w:rsidR="007566B9">
          <w:rPr>
            <w:noProof/>
            <w:webHidden/>
          </w:rPr>
          <w:fldChar w:fldCharType="separate"/>
        </w:r>
        <w:r w:rsidR="0058478E">
          <w:rPr>
            <w:noProof/>
            <w:webHidden/>
          </w:rPr>
          <w:t>133</w:t>
        </w:r>
        <w:r w:rsidR="007566B9">
          <w:rPr>
            <w:noProof/>
            <w:webHidden/>
          </w:rPr>
          <w:fldChar w:fldCharType="end"/>
        </w:r>
      </w:hyperlink>
    </w:p>
    <w:p w14:paraId="3F380014" w14:textId="54F4E24F" w:rsidR="007566B9" w:rsidRDefault="00260768">
      <w:pPr>
        <w:pStyle w:val="TOC1"/>
        <w:rPr>
          <w:rFonts w:asciiTheme="minorHAnsi" w:eastAsiaTheme="minorEastAsia" w:hAnsiTheme="minorHAnsi" w:cstheme="minorBidi"/>
          <w:b w:val="0"/>
          <w:noProof/>
          <w:sz w:val="22"/>
        </w:rPr>
      </w:pPr>
      <w:hyperlink w:anchor="_Toc490225822" w:history="1">
        <w:r w:rsidR="007566B9" w:rsidRPr="0052213E">
          <w:rPr>
            <w:rStyle w:val="Hyperlink"/>
            <w:noProof/>
          </w:rPr>
          <w:t>Appendix A. Calibration</w:t>
        </w:r>
        <w:r w:rsidR="007566B9">
          <w:rPr>
            <w:noProof/>
            <w:webHidden/>
          </w:rPr>
          <w:tab/>
        </w:r>
        <w:r w:rsidR="007566B9">
          <w:rPr>
            <w:noProof/>
            <w:webHidden/>
          </w:rPr>
          <w:fldChar w:fldCharType="begin"/>
        </w:r>
        <w:r w:rsidR="007566B9">
          <w:rPr>
            <w:noProof/>
            <w:webHidden/>
          </w:rPr>
          <w:instrText xml:space="preserve"> PAGEREF _Toc490225822 \h </w:instrText>
        </w:r>
        <w:r w:rsidR="007566B9">
          <w:rPr>
            <w:noProof/>
            <w:webHidden/>
          </w:rPr>
        </w:r>
        <w:r w:rsidR="007566B9">
          <w:rPr>
            <w:noProof/>
            <w:webHidden/>
          </w:rPr>
          <w:fldChar w:fldCharType="separate"/>
        </w:r>
        <w:r w:rsidR="0058478E">
          <w:rPr>
            <w:noProof/>
            <w:webHidden/>
          </w:rPr>
          <w:t>A-1</w:t>
        </w:r>
        <w:r w:rsidR="007566B9">
          <w:rPr>
            <w:noProof/>
            <w:webHidden/>
          </w:rPr>
          <w:fldChar w:fldCharType="end"/>
        </w:r>
      </w:hyperlink>
    </w:p>
    <w:p w14:paraId="6267D25C" w14:textId="2679C0E5" w:rsidR="007566B9" w:rsidRDefault="00260768">
      <w:pPr>
        <w:pStyle w:val="TOC2"/>
        <w:rPr>
          <w:rFonts w:asciiTheme="minorHAnsi" w:eastAsiaTheme="minorEastAsia" w:hAnsiTheme="minorHAnsi" w:cstheme="minorBidi"/>
          <w:sz w:val="22"/>
          <w:szCs w:val="22"/>
        </w:rPr>
      </w:pPr>
      <w:hyperlink w:anchor="_Toc490225823" w:history="1">
        <w:r w:rsidR="007566B9" w:rsidRPr="0052213E">
          <w:rPr>
            <w:rStyle w:val="Hyperlink"/>
          </w:rPr>
          <w:t>A.1 Overview</w:t>
        </w:r>
        <w:r w:rsidR="007566B9">
          <w:rPr>
            <w:webHidden/>
          </w:rPr>
          <w:tab/>
        </w:r>
        <w:r w:rsidR="007566B9">
          <w:rPr>
            <w:webHidden/>
          </w:rPr>
          <w:fldChar w:fldCharType="begin"/>
        </w:r>
        <w:r w:rsidR="007566B9">
          <w:rPr>
            <w:webHidden/>
          </w:rPr>
          <w:instrText xml:space="preserve"> PAGEREF _Toc490225823 \h </w:instrText>
        </w:r>
        <w:r w:rsidR="007566B9">
          <w:rPr>
            <w:webHidden/>
          </w:rPr>
        </w:r>
        <w:r w:rsidR="007566B9">
          <w:rPr>
            <w:webHidden/>
          </w:rPr>
          <w:fldChar w:fldCharType="separate"/>
        </w:r>
        <w:r w:rsidR="0058478E">
          <w:rPr>
            <w:webHidden/>
          </w:rPr>
          <w:t>A-1</w:t>
        </w:r>
        <w:r w:rsidR="007566B9">
          <w:rPr>
            <w:webHidden/>
          </w:rPr>
          <w:fldChar w:fldCharType="end"/>
        </w:r>
      </w:hyperlink>
    </w:p>
    <w:p w14:paraId="43FDFE1F" w14:textId="70442374" w:rsidR="007566B9" w:rsidRDefault="00260768">
      <w:pPr>
        <w:pStyle w:val="TOC2"/>
        <w:rPr>
          <w:rFonts w:asciiTheme="minorHAnsi" w:eastAsiaTheme="minorEastAsia" w:hAnsiTheme="minorHAnsi" w:cstheme="minorBidi"/>
          <w:sz w:val="22"/>
          <w:szCs w:val="22"/>
        </w:rPr>
      </w:pPr>
      <w:hyperlink w:anchor="_Toc490225824" w:history="1">
        <w:r w:rsidR="007566B9" w:rsidRPr="0052213E">
          <w:rPr>
            <w:rStyle w:val="Hyperlink"/>
          </w:rPr>
          <w:t>A.2 Necessity of Calibration</w:t>
        </w:r>
        <w:r w:rsidR="007566B9">
          <w:rPr>
            <w:webHidden/>
          </w:rPr>
          <w:tab/>
        </w:r>
        <w:r w:rsidR="007566B9">
          <w:rPr>
            <w:webHidden/>
          </w:rPr>
          <w:fldChar w:fldCharType="begin"/>
        </w:r>
        <w:r w:rsidR="007566B9">
          <w:rPr>
            <w:webHidden/>
          </w:rPr>
          <w:instrText xml:space="preserve"> PAGEREF _Toc490225824 \h </w:instrText>
        </w:r>
        <w:r w:rsidR="007566B9">
          <w:rPr>
            <w:webHidden/>
          </w:rPr>
        </w:r>
        <w:r w:rsidR="007566B9">
          <w:rPr>
            <w:webHidden/>
          </w:rPr>
          <w:fldChar w:fldCharType="separate"/>
        </w:r>
        <w:r w:rsidR="0058478E">
          <w:rPr>
            <w:webHidden/>
          </w:rPr>
          <w:t>A-1</w:t>
        </w:r>
        <w:r w:rsidR="007566B9">
          <w:rPr>
            <w:webHidden/>
          </w:rPr>
          <w:fldChar w:fldCharType="end"/>
        </w:r>
      </w:hyperlink>
    </w:p>
    <w:p w14:paraId="020AB7EB" w14:textId="15E6607D" w:rsidR="007566B9" w:rsidRDefault="00260768">
      <w:pPr>
        <w:pStyle w:val="TOC2"/>
        <w:rPr>
          <w:rFonts w:asciiTheme="minorHAnsi" w:eastAsiaTheme="minorEastAsia" w:hAnsiTheme="minorHAnsi" w:cstheme="minorBidi"/>
          <w:sz w:val="22"/>
          <w:szCs w:val="22"/>
        </w:rPr>
      </w:pPr>
      <w:hyperlink w:anchor="_Toc490225825" w:history="1">
        <w:r w:rsidR="007566B9" w:rsidRPr="0052213E">
          <w:rPr>
            <w:rStyle w:val="Hyperlink"/>
          </w:rPr>
          <w:t>A.3 Interpreting Calibration</w:t>
        </w:r>
        <w:r w:rsidR="007566B9">
          <w:rPr>
            <w:webHidden/>
          </w:rPr>
          <w:tab/>
        </w:r>
        <w:r w:rsidR="007566B9">
          <w:rPr>
            <w:webHidden/>
          </w:rPr>
          <w:fldChar w:fldCharType="begin"/>
        </w:r>
        <w:r w:rsidR="007566B9">
          <w:rPr>
            <w:webHidden/>
          </w:rPr>
          <w:instrText xml:space="preserve"> PAGEREF _Toc490225825 \h </w:instrText>
        </w:r>
        <w:r w:rsidR="007566B9">
          <w:rPr>
            <w:webHidden/>
          </w:rPr>
        </w:r>
        <w:r w:rsidR="007566B9">
          <w:rPr>
            <w:webHidden/>
          </w:rPr>
          <w:fldChar w:fldCharType="separate"/>
        </w:r>
        <w:r w:rsidR="0058478E">
          <w:rPr>
            <w:webHidden/>
          </w:rPr>
          <w:t>A-3</w:t>
        </w:r>
        <w:r w:rsidR="007566B9">
          <w:rPr>
            <w:webHidden/>
          </w:rPr>
          <w:fldChar w:fldCharType="end"/>
        </w:r>
      </w:hyperlink>
    </w:p>
    <w:p w14:paraId="703E5EE0" w14:textId="323640D1" w:rsidR="007566B9" w:rsidRDefault="00260768">
      <w:pPr>
        <w:pStyle w:val="TOC2"/>
        <w:rPr>
          <w:rFonts w:asciiTheme="minorHAnsi" w:eastAsiaTheme="minorEastAsia" w:hAnsiTheme="minorHAnsi" w:cstheme="minorBidi"/>
          <w:sz w:val="22"/>
          <w:szCs w:val="22"/>
        </w:rPr>
      </w:pPr>
      <w:hyperlink w:anchor="_Toc490225826" w:history="1">
        <w:r w:rsidR="007566B9" w:rsidRPr="0052213E">
          <w:rPr>
            <w:rStyle w:val="Hyperlink"/>
          </w:rPr>
          <w:t>A.4 Implementing Calibration</w:t>
        </w:r>
        <w:r w:rsidR="007566B9">
          <w:rPr>
            <w:webHidden/>
          </w:rPr>
          <w:tab/>
        </w:r>
        <w:r w:rsidR="007566B9">
          <w:rPr>
            <w:webHidden/>
          </w:rPr>
          <w:fldChar w:fldCharType="begin"/>
        </w:r>
        <w:r w:rsidR="007566B9">
          <w:rPr>
            <w:webHidden/>
          </w:rPr>
          <w:instrText xml:space="preserve"> PAGEREF _Toc490225826 \h </w:instrText>
        </w:r>
        <w:r w:rsidR="007566B9">
          <w:rPr>
            <w:webHidden/>
          </w:rPr>
        </w:r>
        <w:r w:rsidR="007566B9">
          <w:rPr>
            <w:webHidden/>
          </w:rPr>
          <w:fldChar w:fldCharType="separate"/>
        </w:r>
        <w:r w:rsidR="0058478E">
          <w:rPr>
            <w:webHidden/>
          </w:rPr>
          <w:t>A-4</w:t>
        </w:r>
        <w:r w:rsidR="007566B9">
          <w:rPr>
            <w:webHidden/>
          </w:rPr>
          <w:fldChar w:fldCharType="end"/>
        </w:r>
      </w:hyperlink>
    </w:p>
    <w:p w14:paraId="23CAB389" w14:textId="0D51B885" w:rsidR="007566B9" w:rsidRDefault="00260768">
      <w:pPr>
        <w:pStyle w:val="TOC1"/>
        <w:rPr>
          <w:rFonts w:asciiTheme="minorHAnsi" w:eastAsiaTheme="minorEastAsia" w:hAnsiTheme="minorHAnsi" w:cstheme="minorBidi"/>
          <w:b w:val="0"/>
          <w:noProof/>
          <w:sz w:val="22"/>
        </w:rPr>
      </w:pPr>
      <w:hyperlink w:anchor="_Toc490225827" w:history="1">
        <w:r w:rsidR="007566B9" w:rsidRPr="0052213E">
          <w:rPr>
            <w:rStyle w:val="Hyperlink"/>
            <w:noProof/>
          </w:rPr>
          <w:t>Appendix B. Technical, Economic and Cumulative Market Potential for Equipment Rebate Programs</w:t>
        </w:r>
        <w:r w:rsidR="007566B9">
          <w:rPr>
            <w:noProof/>
            <w:webHidden/>
          </w:rPr>
          <w:tab/>
        </w:r>
        <w:r w:rsidR="007566B9">
          <w:rPr>
            <w:noProof/>
            <w:webHidden/>
          </w:rPr>
          <w:fldChar w:fldCharType="begin"/>
        </w:r>
        <w:r w:rsidR="007566B9">
          <w:rPr>
            <w:noProof/>
            <w:webHidden/>
          </w:rPr>
          <w:instrText xml:space="preserve"> PAGEREF _Toc490225827 \h </w:instrText>
        </w:r>
        <w:r w:rsidR="007566B9">
          <w:rPr>
            <w:noProof/>
            <w:webHidden/>
          </w:rPr>
        </w:r>
        <w:r w:rsidR="007566B9">
          <w:rPr>
            <w:noProof/>
            <w:webHidden/>
          </w:rPr>
          <w:fldChar w:fldCharType="separate"/>
        </w:r>
        <w:r w:rsidR="0058478E">
          <w:rPr>
            <w:noProof/>
            <w:webHidden/>
          </w:rPr>
          <w:t>B-6</w:t>
        </w:r>
        <w:r w:rsidR="007566B9">
          <w:rPr>
            <w:noProof/>
            <w:webHidden/>
          </w:rPr>
          <w:fldChar w:fldCharType="end"/>
        </w:r>
      </w:hyperlink>
    </w:p>
    <w:p w14:paraId="3256586D" w14:textId="471534F8" w:rsidR="007566B9" w:rsidRDefault="00260768">
      <w:pPr>
        <w:pStyle w:val="TOC1"/>
        <w:rPr>
          <w:rFonts w:asciiTheme="minorHAnsi" w:eastAsiaTheme="minorEastAsia" w:hAnsiTheme="minorHAnsi" w:cstheme="minorBidi"/>
          <w:b w:val="0"/>
          <w:noProof/>
          <w:sz w:val="22"/>
        </w:rPr>
      </w:pPr>
      <w:hyperlink w:anchor="_Toc490225828" w:history="1">
        <w:r w:rsidR="007566B9" w:rsidRPr="0052213E">
          <w:rPr>
            <w:rStyle w:val="Hyperlink"/>
            <w:noProof/>
          </w:rPr>
          <w:t>Appendix C. BROS</w:t>
        </w:r>
        <w:r w:rsidR="007566B9">
          <w:rPr>
            <w:noProof/>
            <w:webHidden/>
          </w:rPr>
          <w:tab/>
        </w:r>
        <w:r w:rsidR="007566B9">
          <w:rPr>
            <w:noProof/>
            <w:webHidden/>
          </w:rPr>
          <w:fldChar w:fldCharType="begin"/>
        </w:r>
        <w:r w:rsidR="007566B9">
          <w:rPr>
            <w:noProof/>
            <w:webHidden/>
          </w:rPr>
          <w:instrText xml:space="preserve"> PAGEREF _Toc490225828 \h </w:instrText>
        </w:r>
        <w:r w:rsidR="007566B9">
          <w:rPr>
            <w:noProof/>
            <w:webHidden/>
          </w:rPr>
        </w:r>
        <w:r w:rsidR="007566B9">
          <w:rPr>
            <w:noProof/>
            <w:webHidden/>
          </w:rPr>
          <w:fldChar w:fldCharType="separate"/>
        </w:r>
        <w:r w:rsidR="0058478E">
          <w:rPr>
            <w:noProof/>
            <w:webHidden/>
          </w:rPr>
          <w:t>C-1</w:t>
        </w:r>
        <w:r w:rsidR="007566B9">
          <w:rPr>
            <w:noProof/>
            <w:webHidden/>
          </w:rPr>
          <w:fldChar w:fldCharType="end"/>
        </w:r>
      </w:hyperlink>
    </w:p>
    <w:p w14:paraId="358B1647" w14:textId="48CC00FC" w:rsidR="007566B9" w:rsidRDefault="00260768">
      <w:pPr>
        <w:pStyle w:val="TOC2"/>
        <w:rPr>
          <w:rFonts w:asciiTheme="minorHAnsi" w:eastAsiaTheme="minorEastAsia" w:hAnsiTheme="minorHAnsi" w:cstheme="minorBidi"/>
          <w:sz w:val="22"/>
          <w:szCs w:val="22"/>
        </w:rPr>
      </w:pPr>
      <w:hyperlink w:anchor="_Toc490225829" w:history="1">
        <w:r w:rsidR="007566B9" w:rsidRPr="0052213E">
          <w:rPr>
            <w:rStyle w:val="Hyperlink"/>
          </w:rPr>
          <w:t>C.1 Residential - Home Energy Reports</w:t>
        </w:r>
        <w:r w:rsidR="007566B9">
          <w:rPr>
            <w:webHidden/>
          </w:rPr>
          <w:tab/>
        </w:r>
        <w:r w:rsidR="007566B9">
          <w:rPr>
            <w:webHidden/>
          </w:rPr>
          <w:fldChar w:fldCharType="begin"/>
        </w:r>
        <w:r w:rsidR="007566B9">
          <w:rPr>
            <w:webHidden/>
          </w:rPr>
          <w:instrText xml:space="preserve"> PAGEREF _Toc490225829 \h </w:instrText>
        </w:r>
        <w:r w:rsidR="007566B9">
          <w:rPr>
            <w:webHidden/>
          </w:rPr>
        </w:r>
        <w:r w:rsidR="007566B9">
          <w:rPr>
            <w:webHidden/>
          </w:rPr>
          <w:fldChar w:fldCharType="separate"/>
        </w:r>
        <w:r w:rsidR="0058478E">
          <w:rPr>
            <w:webHidden/>
          </w:rPr>
          <w:t>C-1</w:t>
        </w:r>
        <w:r w:rsidR="007566B9">
          <w:rPr>
            <w:webHidden/>
          </w:rPr>
          <w:fldChar w:fldCharType="end"/>
        </w:r>
      </w:hyperlink>
    </w:p>
    <w:p w14:paraId="33E282FA" w14:textId="5FA5F1E8" w:rsidR="007566B9" w:rsidRDefault="00260768">
      <w:pPr>
        <w:pStyle w:val="TOC2"/>
        <w:rPr>
          <w:rFonts w:asciiTheme="minorHAnsi" w:eastAsiaTheme="minorEastAsia" w:hAnsiTheme="minorHAnsi" w:cstheme="minorBidi"/>
          <w:sz w:val="22"/>
          <w:szCs w:val="22"/>
        </w:rPr>
      </w:pPr>
      <w:hyperlink w:anchor="_Toc490225830" w:history="1">
        <w:r w:rsidR="007566B9" w:rsidRPr="0052213E">
          <w:rPr>
            <w:rStyle w:val="Hyperlink"/>
          </w:rPr>
          <w:t>C.2 Residential - Real-Time Feedback: In Home Displays and Online Portals</w:t>
        </w:r>
        <w:r w:rsidR="007566B9">
          <w:rPr>
            <w:webHidden/>
          </w:rPr>
          <w:tab/>
        </w:r>
        <w:r w:rsidR="007566B9">
          <w:rPr>
            <w:webHidden/>
          </w:rPr>
          <w:fldChar w:fldCharType="begin"/>
        </w:r>
        <w:r w:rsidR="007566B9">
          <w:rPr>
            <w:webHidden/>
          </w:rPr>
          <w:instrText xml:space="preserve"> PAGEREF _Toc490225830 \h </w:instrText>
        </w:r>
        <w:r w:rsidR="007566B9">
          <w:rPr>
            <w:webHidden/>
          </w:rPr>
        </w:r>
        <w:r w:rsidR="007566B9">
          <w:rPr>
            <w:webHidden/>
          </w:rPr>
          <w:fldChar w:fldCharType="separate"/>
        </w:r>
        <w:r w:rsidR="0058478E">
          <w:rPr>
            <w:webHidden/>
          </w:rPr>
          <w:t>C-3</w:t>
        </w:r>
        <w:r w:rsidR="007566B9">
          <w:rPr>
            <w:webHidden/>
          </w:rPr>
          <w:fldChar w:fldCharType="end"/>
        </w:r>
      </w:hyperlink>
    </w:p>
    <w:p w14:paraId="13C77ADA" w14:textId="0B510ED0" w:rsidR="007566B9" w:rsidRDefault="00260768">
      <w:pPr>
        <w:pStyle w:val="TOC2"/>
        <w:rPr>
          <w:rFonts w:asciiTheme="minorHAnsi" w:eastAsiaTheme="minorEastAsia" w:hAnsiTheme="minorHAnsi" w:cstheme="minorBidi"/>
          <w:sz w:val="22"/>
          <w:szCs w:val="22"/>
        </w:rPr>
      </w:pPr>
      <w:hyperlink w:anchor="_Toc490225831" w:history="1">
        <w:r w:rsidR="007566B9" w:rsidRPr="0052213E">
          <w:rPr>
            <w:rStyle w:val="Hyperlink"/>
          </w:rPr>
          <w:t>C.3 Residential - Competitions: Large and Small</w:t>
        </w:r>
        <w:r w:rsidR="007566B9">
          <w:rPr>
            <w:webHidden/>
          </w:rPr>
          <w:tab/>
        </w:r>
        <w:r w:rsidR="007566B9">
          <w:rPr>
            <w:webHidden/>
          </w:rPr>
          <w:fldChar w:fldCharType="begin"/>
        </w:r>
        <w:r w:rsidR="007566B9">
          <w:rPr>
            <w:webHidden/>
          </w:rPr>
          <w:instrText xml:space="preserve"> PAGEREF _Toc490225831 \h </w:instrText>
        </w:r>
        <w:r w:rsidR="007566B9">
          <w:rPr>
            <w:webHidden/>
          </w:rPr>
        </w:r>
        <w:r w:rsidR="007566B9">
          <w:rPr>
            <w:webHidden/>
          </w:rPr>
          <w:fldChar w:fldCharType="separate"/>
        </w:r>
        <w:r w:rsidR="0058478E">
          <w:rPr>
            <w:webHidden/>
          </w:rPr>
          <w:t>C-5</w:t>
        </w:r>
        <w:r w:rsidR="007566B9">
          <w:rPr>
            <w:webHidden/>
          </w:rPr>
          <w:fldChar w:fldCharType="end"/>
        </w:r>
      </w:hyperlink>
    </w:p>
    <w:p w14:paraId="66C0C25A" w14:textId="589ED169" w:rsidR="007566B9" w:rsidRDefault="00260768">
      <w:pPr>
        <w:pStyle w:val="TOC2"/>
        <w:rPr>
          <w:rFonts w:asciiTheme="minorHAnsi" w:eastAsiaTheme="minorEastAsia" w:hAnsiTheme="minorHAnsi" w:cstheme="minorBidi"/>
          <w:sz w:val="22"/>
          <w:szCs w:val="22"/>
        </w:rPr>
      </w:pPr>
      <w:hyperlink w:anchor="_Toc490225832" w:history="1">
        <w:r w:rsidR="007566B9" w:rsidRPr="0052213E">
          <w:rPr>
            <w:rStyle w:val="Hyperlink"/>
          </w:rPr>
          <w:t>C.4 Commercial - Strategic Energy Management</w:t>
        </w:r>
        <w:r w:rsidR="007566B9">
          <w:rPr>
            <w:webHidden/>
          </w:rPr>
          <w:tab/>
        </w:r>
        <w:r w:rsidR="007566B9">
          <w:rPr>
            <w:webHidden/>
          </w:rPr>
          <w:fldChar w:fldCharType="begin"/>
        </w:r>
        <w:r w:rsidR="007566B9">
          <w:rPr>
            <w:webHidden/>
          </w:rPr>
          <w:instrText xml:space="preserve"> PAGEREF _Toc490225832 \h </w:instrText>
        </w:r>
        <w:r w:rsidR="007566B9">
          <w:rPr>
            <w:webHidden/>
          </w:rPr>
        </w:r>
        <w:r w:rsidR="007566B9">
          <w:rPr>
            <w:webHidden/>
          </w:rPr>
          <w:fldChar w:fldCharType="separate"/>
        </w:r>
        <w:r w:rsidR="0058478E">
          <w:rPr>
            <w:webHidden/>
          </w:rPr>
          <w:t>C-8</w:t>
        </w:r>
        <w:r w:rsidR="007566B9">
          <w:rPr>
            <w:webHidden/>
          </w:rPr>
          <w:fldChar w:fldCharType="end"/>
        </w:r>
      </w:hyperlink>
    </w:p>
    <w:p w14:paraId="0BECE9A4" w14:textId="67159020" w:rsidR="007566B9" w:rsidRDefault="00260768">
      <w:pPr>
        <w:pStyle w:val="TOC2"/>
        <w:rPr>
          <w:rFonts w:asciiTheme="minorHAnsi" w:eastAsiaTheme="minorEastAsia" w:hAnsiTheme="minorHAnsi" w:cstheme="minorBidi"/>
          <w:sz w:val="22"/>
          <w:szCs w:val="22"/>
        </w:rPr>
      </w:pPr>
      <w:hyperlink w:anchor="_Toc490225833" w:history="1">
        <w:r w:rsidR="007566B9" w:rsidRPr="0052213E">
          <w:rPr>
            <w:rStyle w:val="Hyperlink"/>
          </w:rPr>
          <w:t>C.5 Commercial - Building Operator Certification</w:t>
        </w:r>
        <w:r w:rsidR="007566B9">
          <w:rPr>
            <w:webHidden/>
          </w:rPr>
          <w:tab/>
        </w:r>
        <w:r w:rsidR="007566B9">
          <w:rPr>
            <w:webHidden/>
          </w:rPr>
          <w:fldChar w:fldCharType="begin"/>
        </w:r>
        <w:r w:rsidR="007566B9">
          <w:rPr>
            <w:webHidden/>
          </w:rPr>
          <w:instrText xml:space="preserve"> PAGEREF _Toc490225833 \h </w:instrText>
        </w:r>
        <w:r w:rsidR="007566B9">
          <w:rPr>
            <w:webHidden/>
          </w:rPr>
        </w:r>
        <w:r w:rsidR="007566B9">
          <w:rPr>
            <w:webHidden/>
          </w:rPr>
          <w:fldChar w:fldCharType="separate"/>
        </w:r>
        <w:r w:rsidR="0058478E">
          <w:rPr>
            <w:webHidden/>
          </w:rPr>
          <w:t>C-10</w:t>
        </w:r>
        <w:r w:rsidR="007566B9">
          <w:rPr>
            <w:webHidden/>
          </w:rPr>
          <w:fldChar w:fldCharType="end"/>
        </w:r>
      </w:hyperlink>
    </w:p>
    <w:p w14:paraId="1ACBDE1F" w14:textId="73DE7601" w:rsidR="007566B9" w:rsidRDefault="00260768">
      <w:pPr>
        <w:pStyle w:val="TOC2"/>
        <w:rPr>
          <w:rFonts w:asciiTheme="minorHAnsi" w:eastAsiaTheme="minorEastAsia" w:hAnsiTheme="minorHAnsi" w:cstheme="minorBidi"/>
          <w:sz w:val="22"/>
          <w:szCs w:val="22"/>
        </w:rPr>
      </w:pPr>
      <w:hyperlink w:anchor="_Toc490225834" w:history="1">
        <w:r w:rsidR="007566B9" w:rsidRPr="0052213E">
          <w:rPr>
            <w:rStyle w:val="Hyperlink"/>
          </w:rPr>
          <w:t>C.6 Commercial - Building Energy and Information Management Systems</w:t>
        </w:r>
        <w:r w:rsidR="007566B9">
          <w:rPr>
            <w:webHidden/>
          </w:rPr>
          <w:tab/>
        </w:r>
        <w:r w:rsidR="007566B9">
          <w:rPr>
            <w:webHidden/>
          </w:rPr>
          <w:fldChar w:fldCharType="begin"/>
        </w:r>
        <w:r w:rsidR="007566B9">
          <w:rPr>
            <w:webHidden/>
          </w:rPr>
          <w:instrText xml:space="preserve"> PAGEREF _Toc490225834 \h </w:instrText>
        </w:r>
        <w:r w:rsidR="007566B9">
          <w:rPr>
            <w:webHidden/>
          </w:rPr>
        </w:r>
        <w:r w:rsidR="007566B9">
          <w:rPr>
            <w:webHidden/>
          </w:rPr>
          <w:fldChar w:fldCharType="separate"/>
        </w:r>
        <w:r w:rsidR="0058478E">
          <w:rPr>
            <w:webHidden/>
          </w:rPr>
          <w:t>C-12</w:t>
        </w:r>
        <w:r w:rsidR="007566B9">
          <w:rPr>
            <w:webHidden/>
          </w:rPr>
          <w:fldChar w:fldCharType="end"/>
        </w:r>
      </w:hyperlink>
    </w:p>
    <w:p w14:paraId="1A14FED1" w14:textId="5AD15D1C" w:rsidR="007566B9" w:rsidRDefault="00260768">
      <w:pPr>
        <w:pStyle w:val="TOC2"/>
        <w:rPr>
          <w:rFonts w:asciiTheme="minorHAnsi" w:eastAsiaTheme="minorEastAsia" w:hAnsiTheme="minorHAnsi" w:cstheme="minorBidi"/>
          <w:sz w:val="22"/>
          <w:szCs w:val="22"/>
        </w:rPr>
      </w:pPr>
      <w:hyperlink w:anchor="_Toc490225835" w:history="1">
        <w:r w:rsidR="007566B9" w:rsidRPr="0052213E">
          <w:rPr>
            <w:rStyle w:val="Hyperlink"/>
          </w:rPr>
          <w:t>C.7 Commercial - Business Energy Reports</w:t>
        </w:r>
        <w:r w:rsidR="007566B9">
          <w:rPr>
            <w:webHidden/>
          </w:rPr>
          <w:tab/>
        </w:r>
        <w:r w:rsidR="007566B9">
          <w:rPr>
            <w:webHidden/>
          </w:rPr>
          <w:fldChar w:fldCharType="begin"/>
        </w:r>
        <w:r w:rsidR="007566B9">
          <w:rPr>
            <w:webHidden/>
          </w:rPr>
          <w:instrText xml:space="preserve"> PAGEREF _Toc490225835 \h </w:instrText>
        </w:r>
        <w:r w:rsidR="007566B9">
          <w:rPr>
            <w:webHidden/>
          </w:rPr>
        </w:r>
        <w:r w:rsidR="007566B9">
          <w:rPr>
            <w:webHidden/>
          </w:rPr>
          <w:fldChar w:fldCharType="separate"/>
        </w:r>
        <w:r w:rsidR="0058478E">
          <w:rPr>
            <w:webHidden/>
          </w:rPr>
          <w:t>C-14</w:t>
        </w:r>
        <w:r w:rsidR="007566B9">
          <w:rPr>
            <w:webHidden/>
          </w:rPr>
          <w:fldChar w:fldCharType="end"/>
        </w:r>
      </w:hyperlink>
    </w:p>
    <w:p w14:paraId="32804A34" w14:textId="32A09125" w:rsidR="007566B9" w:rsidRDefault="00260768">
      <w:pPr>
        <w:pStyle w:val="TOC2"/>
        <w:rPr>
          <w:rFonts w:asciiTheme="minorHAnsi" w:eastAsiaTheme="minorEastAsia" w:hAnsiTheme="minorHAnsi" w:cstheme="minorBidi"/>
          <w:sz w:val="22"/>
          <w:szCs w:val="22"/>
        </w:rPr>
      </w:pPr>
      <w:hyperlink w:anchor="_Toc490225836" w:history="1">
        <w:r w:rsidR="007566B9" w:rsidRPr="0052213E">
          <w:rPr>
            <w:rStyle w:val="Hyperlink"/>
          </w:rPr>
          <w:t>C.8 Commercial - Benchmarking</w:t>
        </w:r>
        <w:r w:rsidR="007566B9">
          <w:rPr>
            <w:webHidden/>
          </w:rPr>
          <w:tab/>
        </w:r>
        <w:r w:rsidR="007566B9">
          <w:rPr>
            <w:webHidden/>
          </w:rPr>
          <w:fldChar w:fldCharType="begin"/>
        </w:r>
        <w:r w:rsidR="007566B9">
          <w:rPr>
            <w:webHidden/>
          </w:rPr>
          <w:instrText xml:space="preserve"> PAGEREF _Toc490225836 \h </w:instrText>
        </w:r>
        <w:r w:rsidR="007566B9">
          <w:rPr>
            <w:webHidden/>
          </w:rPr>
        </w:r>
        <w:r w:rsidR="007566B9">
          <w:rPr>
            <w:webHidden/>
          </w:rPr>
          <w:fldChar w:fldCharType="separate"/>
        </w:r>
        <w:r w:rsidR="0058478E">
          <w:rPr>
            <w:webHidden/>
          </w:rPr>
          <w:t>C-16</w:t>
        </w:r>
        <w:r w:rsidR="007566B9">
          <w:rPr>
            <w:webHidden/>
          </w:rPr>
          <w:fldChar w:fldCharType="end"/>
        </w:r>
      </w:hyperlink>
    </w:p>
    <w:p w14:paraId="7EAB8228" w14:textId="49B327E2" w:rsidR="007566B9" w:rsidRDefault="00260768">
      <w:pPr>
        <w:pStyle w:val="TOC2"/>
        <w:rPr>
          <w:rFonts w:asciiTheme="minorHAnsi" w:eastAsiaTheme="minorEastAsia" w:hAnsiTheme="minorHAnsi" w:cstheme="minorBidi"/>
          <w:sz w:val="22"/>
          <w:szCs w:val="22"/>
        </w:rPr>
      </w:pPr>
      <w:hyperlink w:anchor="_Toc490225837" w:history="1">
        <w:r w:rsidR="007566B9" w:rsidRPr="0052213E">
          <w:rPr>
            <w:rStyle w:val="Hyperlink"/>
          </w:rPr>
          <w:t>C.9 Commercial - Competitions</w:t>
        </w:r>
        <w:r w:rsidR="007566B9">
          <w:rPr>
            <w:webHidden/>
          </w:rPr>
          <w:tab/>
        </w:r>
        <w:r w:rsidR="007566B9">
          <w:rPr>
            <w:webHidden/>
          </w:rPr>
          <w:fldChar w:fldCharType="begin"/>
        </w:r>
        <w:r w:rsidR="007566B9">
          <w:rPr>
            <w:webHidden/>
          </w:rPr>
          <w:instrText xml:space="preserve"> PAGEREF _Toc490225837 \h </w:instrText>
        </w:r>
        <w:r w:rsidR="007566B9">
          <w:rPr>
            <w:webHidden/>
          </w:rPr>
        </w:r>
        <w:r w:rsidR="007566B9">
          <w:rPr>
            <w:webHidden/>
          </w:rPr>
          <w:fldChar w:fldCharType="separate"/>
        </w:r>
        <w:r w:rsidR="0058478E">
          <w:rPr>
            <w:webHidden/>
          </w:rPr>
          <w:t>C-17</w:t>
        </w:r>
        <w:r w:rsidR="007566B9">
          <w:rPr>
            <w:webHidden/>
          </w:rPr>
          <w:fldChar w:fldCharType="end"/>
        </w:r>
      </w:hyperlink>
    </w:p>
    <w:p w14:paraId="14AD2D7F" w14:textId="7FB0969E" w:rsidR="007566B9" w:rsidRDefault="00260768">
      <w:pPr>
        <w:pStyle w:val="TOC2"/>
        <w:rPr>
          <w:rFonts w:asciiTheme="minorHAnsi" w:eastAsiaTheme="minorEastAsia" w:hAnsiTheme="minorHAnsi" w:cstheme="minorBidi"/>
          <w:sz w:val="22"/>
          <w:szCs w:val="22"/>
        </w:rPr>
      </w:pPr>
      <w:hyperlink w:anchor="_Toc490225838" w:history="1">
        <w:r w:rsidR="007566B9" w:rsidRPr="0052213E">
          <w:rPr>
            <w:rStyle w:val="Hyperlink"/>
          </w:rPr>
          <w:t>C.10 Commercial - Retrocommissioning</w:t>
        </w:r>
        <w:r w:rsidR="007566B9">
          <w:rPr>
            <w:webHidden/>
          </w:rPr>
          <w:tab/>
        </w:r>
        <w:r w:rsidR="007566B9">
          <w:rPr>
            <w:webHidden/>
          </w:rPr>
          <w:fldChar w:fldCharType="begin"/>
        </w:r>
        <w:r w:rsidR="007566B9">
          <w:rPr>
            <w:webHidden/>
          </w:rPr>
          <w:instrText xml:space="preserve"> PAGEREF _Toc490225838 \h </w:instrText>
        </w:r>
        <w:r w:rsidR="007566B9">
          <w:rPr>
            <w:webHidden/>
          </w:rPr>
        </w:r>
        <w:r w:rsidR="007566B9">
          <w:rPr>
            <w:webHidden/>
          </w:rPr>
          <w:fldChar w:fldCharType="separate"/>
        </w:r>
        <w:r w:rsidR="0058478E">
          <w:rPr>
            <w:webHidden/>
          </w:rPr>
          <w:t>C-19</w:t>
        </w:r>
        <w:r w:rsidR="007566B9">
          <w:rPr>
            <w:webHidden/>
          </w:rPr>
          <w:fldChar w:fldCharType="end"/>
        </w:r>
      </w:hyperlink>
    </w:p>
    <w:p w14:paraId="52B72971" w14:textId="62E2B005" w:rsidR="007566B9" w:rsidRDefault="00260768">
      <w:pPr>
        <w:pStyle w:val="TOC2"/>
        <w:rPr>
          <w:rFonts w:asciiTheme="minorHAnsi" w:eastAsiaTheme="minorEastAsia" w:hAnsiTheme="minorHAnsi" w:cstheme="minorBidi"/>
          <w:sz w:val="22"/>
          <w:szCs w:val="22"/>
        </w:rPr>
      </w:pPr>
      <w:hyperlink w:anchor="_Toc490225839" w:history="1">
        <w:r w:rsidR="007566B9" w:rsidRPr="0052213E">
          <w:rPr>
            <w:rStyle w:val="Hyperlink"/>
          </w:rPr>
          <w:t>C.11 Industrial/Agriculture - Strategic Energy Management</w:t>
        </w:r>
        <w:r w:rsidR="007566B9">
          <w:rPr>
            <w:webHidden/>
          </w:rPr>
          <w:tab/>
        </w:r>
        <w:r w:rsidR="007566B9">
          <w:rPr>
            <w:webHidden/>
          </w:rPr>
          <w:fldChar w:fldCharType="begin"/>
        </w:r>
        <w:r w:rsidR="007566B9">
          <w:rPr>
            <w:webHidden/>
          </w:rPr>
          <w:instrText xml:space="preserve"> PAGEREF _Toc490225839 \h </w:instrText>
        </w:r>
        <w:r w:rsidR="007566B9">
          <w:rPr>
            <w:webHidden/>
          </w:rPr>
        </w:r>
        <w:r w:rsidR="007566B9">
          <w:rPr>
            <w:webHidden/>
          </w:rPr>
          <w:fldChar w:fldCharType="separate"/>
        </w:r>
        <w:r w:rsidR="0058478E">
          <w:rPr>
            <w:webHidden/>
          </w:rPr>
          <w:t>C-21</w:t>
        </w:r>
        <w:r w:rsidR="007566B9">
          <w:rPr>
            <w:webHidden/>
          </w:rPr>
          <w:fldChar w:fldCharType="end"/>
        </w:r>
      </w:hyperlink>
    </w:p>
    <w:p w14:paraId="57BDB8C1" w14:textId="04B863F9" w:rsidR="007566B9" w:rsidRDefault="00260768">
      <w:pPr>
        <w:pStyle w:val="TOC2"/>
        <w:rPr>
          <w:rFonts w:asciiTheme="minorHAnsi" w:eastAsiaTheme="minorEastAsia" w:hAnsiTheme="minorHAnsi" w:cstheme="minorBidi"/>
          <w:sz w:val="22"/>
          <w:szCs w:val="22"/>
        </w:rPr>
      </w:pPr>
      <w:hyperlink w:anchor="_Toc490225840" w:history="1">
        <w:r w:rsidR="007566B9" w:rsidRPr="0052213E">
          <w:rPr>
            <w:rStyle w:val="Hyperlink"/>
          </w:rPr>
          <w:t>C.12 Other Data Sources and References</w:t>
        </w:r>
        <w:r w:rsidR="007566B9">
          <w:rPr>
            <w:webHidden/>
          </w:rPr>
          <w:tab/>
        </w:r>
        <w:r w:rsidR="007566B9">
          <w:rPr>
            <w:webHidden/>
          </w:rPr>
          <w:fldChar w:fldCharType="begin"/>
        </w:r>
        <w:r w:rsidR="007566B9">
          <w:rPr>
            <w:webHidden/>
          </w:rPr>
          <w:instrText xml:space="preserve"> PAGEREF _Toc490225840 \h </w:instrText>
        </w:r>
        <w:r w:rsidR="007566B9">
          <w:rPr>
            <w:webHidden/>
          </w:rPr>
        </w:r>
        <w:r w:rsidR="007566B9">
          <w:rPr>
            <w:webHidden/>
          </w:rPr>
          <w:fldChar w:fldCharType="separate"/>
        </w:r>
        <w:r w:rsidR="0058478E">
          <w:rPr>
            <w:webHidden/>
          </w:rPr>
          <w:t>C-26</w:t>
        </w:r>
        <w:r w:rsidR="007566B9">
          <w:rPr>
            <w:webHidden/>
          </w:rPr>
          <w:fldChar w:fldCharType="end"/>
        </w:r>
      </w:hyperlink>
    </w:p>
    <w:p w14:paraId="2465A2C0" w14:textId="1D208B69" w:rsidR="007566B9" w:rsidRDefault="00260768">
      <w:pPr>
        <w:pStyle w:val="TOC1"/>
        <w:rPr>
          <w:rFonts w:asciiTheme="minorHAnsi" w:eastAsiaTheme="minorEastAsia" w:hAnsiTheme="minorHAnsi" w:cstheme="minorBidi"/>
          <w:b w:val="0"/>
          <w:noProof/>
          <w:sz w:val="22"/>
        </w:rPr>
      </w:pPr>
      <w:hyperlink w:anchor="_Toc490225841" w:history="1">
        <w:r w:rsidR="007566B9" w:rsidRPr="0052213E">
          <w:rPr>
            <w:rStyle w:val="Hyperlink"/>
            <w:noProof/>
          </w:rPr>
          <w:t>Appendix D. AIMS Sectors</w:t>
        </w:r>
        <w:r w:rsidR="007566B9">
          <w:rPr>
            <w:noProof/>
            <w:webHidden/>
          </w:rPr>
          <w:tab/>
        </w:r>
        <w:r w:rsidR="007566B9">
          <w:rPr>
            <w:noProof/>
            <w:webHidden/>
          </w:rPr>
          <w:fldChar w:fldCharType="begin"/>
        </w:r>
        <w:r w:rsidR="007566B9">
          <w:rPr>
            <w:noProof/>
            <w:webHidden/>
          </w:rPr>
          <w:instrText xml:space="preserve"> PAGEREF _Toc490225841 \h </w:instrText>
        </w:r>
        <w:r w:rsidR="007566B9">
          <w:rPr>
            <w:noProof/>
            <w:webHidden/>
          </w:rPr>
        </w:r>
        <w:r w:rsidR="007566B9">
          <w:rPr>
            <w:noProof/>
            <w:webHidden/>
          </w:rPr>
          <w:fldChar w:fldCharType="separate"/>
        </w:r>
        <w:r w:rsidR="0058478E">
          <w:rPr>
            <w:noProof/>
            <w:webHidden/>
          </w:rPr>
          <w:t>D-1</w:t>
        </w:r>
        <w:r w:rsidR="007566B9">
          <w:rPr>
            <w:noProof/>
            <w:webHidden/>
          </w:rPr>
          <w:fldChar w:fldCharType="end"/>
        </w:r>
      </w:hyperlink>
    </w:p>
    <w:p w14:paraId="6A216309" w14:textId="38942320" w:rsidR="007566B9" w:rsidRDefault="00260768">
      <w:pPr>
        <w:pStyle w:val="TOC2"/>
        <w:rPr>
          <w:rFonts w:asciiTheme="minorHAnsi" w:eastAsiaTheme="minorEastAsia" w:hAnsiTheme="minorHAnsi" w:cstheme="minorBidi"/>
          <w:sz w:val="22"/>
          <w:szCs w:val="22"/>
        </w:rPr>
      </w:pPr>
      <w:hyperlink w:anchor="_Toc490225842" w:history="1">
        <w:r w:rsidR="007566B9" w:rsidRPr="0052213E">
          <w:rPr>
            <w:rStyle w:val="Hyperlink"/>
          </w:rPr>
          <w:t>D.1 Industrial</w:t>
        </w:r>
        <w:r w:rsidR="007566B9">
          <w:rPr>
            <w:webHidden/>
          </w:rPr>
          <w:tab/>
        </w:r>
        <w:r w:rsidR="007566B9">
          <w:rPr>
            <w:webHidden/>
          </w:rPr>
          <w:fldChar w:fldCharType="begin"/>
        </w:r>
        <w:r w:rsidR="007566B9">
          <w:rPr>
            <w:webHidden/>
          </w:rPr>
          <w:instrText xml:space="preserve"> PAGEREF _Toc490225842 \h </w:instrText>
        </w:r>
        <w:r w:rsidR="007566B9">
          <w:rPr>
            <w:webHidden/>
          </w:rPr>
        </w:r>
        <w:r w:rsidR="007566B9">
          <w:rPr>
            <w:webHidden/>
          </w:rPr>
          <w:fldChar w:fldCharType="separate"/>
        </w:r>
        <w:r w:rsidR="0058478E">
          <w:rPr>
            <w:webHidden/>
          </w:rPr>
          <w:t>D-1</w:t>
        </w:r>
        <w:r w:rsidR="007566B9">
          <w:rPr>
            <w:webHidden/>
          </w:rPr>
          <w:fldChar w:fldCharType="end"/>
        </w:r>
      </w:hyperlink>
    </w:p>
    <w:p w14:paraId="1DE12E75" w14:textId="102F564A" w:rsidR="007566B9" w:rsidRDefault="00260768">
      <w:pPr>
        <w:pStyle w:val="TOC2"/>
        <w:rPr>
          <w:rFonts w:asciiTheme="minorHAnsi" w:eastAsiaTheme="minorEastAsia" w:hAnsiTheme="minorHAnsi" w:cstheme="minorBidi"/>
          <w:sz w:val="22"/>
          <w:szCs w:val="22"/>
        </w:rPr>
      </w:pPr>
      <w:hyperlink w:anchor="_Toc490225843" w:history="1">
        <w:r w:rsidR="007566B9" w:rsidRPr="0052213E">
          <w:rPr>
            <w:rStyle w:val="Hyperlink"/>
          </w:rPr>
          <w:t>D.2 Agriculture</w:t>
        </w:r>
        <w:r w:rsidR="007566B9">
          <w:rPr>
            <w:webHidden/>
          </w:rPr>
          <w:tab/>
        </w:r>
        <w:r w:rsidR="007566B9">
          <w:rPr>
            <w:webHidden/>
          </w:rPr>
          <w:fldChar w:fldCharType="begin"/>
        </w:r>
        <w:r w:rsidR="007566B9">
          <w:rPr>
            <w:webHidden/>
          </w:rPr>
          <w:instrText xml:space="preserve"> PAGEREF _Toc490225843 \h </w:instrText>
        </w:r>
        <w:r w:rsidR="007566B9">
          <w:rPr>
            <w:webHidden/>
          </w:rPr>
        </w:r>
        <w:r w:rsidR="007566B9">
          <w:rPr>
            <w:webHidden/>
          </w:rPr>
          <w:fldChar w:fldCharType="separate"/>
        </w:r>
        <w:r w:rsidR="0058478E">
          <w:rPr>
            <w:webHidden/>
          </w:rPr>
          <w:t>D-3</w:t>
        </w:r>
        <w:r w:rsidR="007566B9">
          <w:rPr>
            <w:webHidden/>
          </w:rPr>
          <w:fldChar w:fldCharType="end"/>
        </w:r>
      </w:hyperlink>
    </w:p>
    <w:p w14:paraId="62BFFE57" w14:textId="634524FE" w:rsidR="007566B9" w:rsidRDefault="00260768">
      <w:pPr>
        <w:pStyle w:val="TOC1"/>
        <w:rPr>
          <w:rFonts w:asciiTheme="minorHAnsi" w:eastAsiaTheme="minorEastAsia" w:hAnsiTheme="minorHAnsi" w:cstheme="minorBidi"/>
          <w:b w:val="0"/>
          <w:noProof/>
          <w:sz w:val="22"/>
        </w:rPr>
      </w:pPr>
      <w:hyperlink w:anchor="_Toc490225844" w:history="1">
        <w:r w:rsidR="007566B9" w:rsidRPr="0052213E">
          <w:rPr>
            <w:rStyle w:val="Hyperlink"/>
            <w:noProof/>
          </w:rPr>
          <w:t>Appendix E. Codes &amp; Standards</w:t>
        </w:r>
        <w:r w:rsidR="007566B9">
          <w:rPr>
            <w:noProof/>
            <w:webHidden/>
          </w:rPr>
          <w:tab/>
        </w:r>
        <w:r w:rsidR="007566B9">
          <w:rPr>
            <w:noProof/>
            <w:webHidden/>
          </w:rPr>
          <w:fldChar w:fldCharType="begin"/>
        </w:r>
        <w:r w:rsidR="007566B9">
          <w:rPr>
            <w:noProof/>
            <w:webHidden/>
          </w:rPr>
          <w:instrText xml:space="preserve"> PAGEREF _Toc490225844 \h </w:instrText>
        </w:r>
        <w:r w:rsidR="007566B9">
          <w:rPr>
            <w:noProof/>
            <w:webHidden/>
          </w:rPr>
        </w:r>
        <w:r w:rsidR="007566B9">
          <w:rPr>
            <w:noProof/>
            <w:webHidden/>
          </w:rPr>
          <w:fldChar w:fldCharType="separate"/>
        </w:r>
        <w:r w:rsidR="0058478E">
          <w:rPr>
            <w:noProof/>
            <w:webHidden/>
          </w:rPr>
          <w:t>E-1</w:t>
        </w:r>
        <w:r w:rsidR="007566B9">
          <w:rPr>
            <w:noProof/>
            <w:webHidden/>
          </w:rPr>
          <w:fldChar w:fldCharType="end"/>
        </w:r>
      </w:hyperlink>
    </w:p>
    <w:p w14:paraId="7A8D4683" w14:textId="51F6558B" w:rsidR="007566B9" w:rsidRDefault="00260768">
      <w:pPr>
        <w:pStyle w:val="TOC1"/>
        <w:rPr>
          <w:rFonts w:asciiTheme="minorHAnsi" w:eastAsiaTheme="minorEastAsia" w:hAnsiTheme="minorHAnsi" w:cstheme="minorBidi"/>
          <w:b w:val="0"/>
          <w:noProof/>
          <w:sz w:val="22"/>
        </w:rPr>
      </w:pPr>
      <w:hyperlink w:anchor="_Toc490225845" w:history="1">
        <w:r w:rsidR="007566B9" w:rsidRPr="0052213E">
          <w:rPr>
            <w:rStyle w:val="Hyperlink"/>
            <w:noProof/>
          </w:rPr>
          <w:t>Appendix F. Ind/Ag Generic Custom &amp; Emerging Technologies</w:t>
        </w:r>
        <w:r w:rsidR="007566B9">
          <w:rPr>
            <w:noProof/>
            <w:webHidden/>
          </w:rPr>
          <w:tab/>
        </w:r>
        <w:r w:rsidR="007566B9">
          <w:rPr>
            <w:noProof/>
            <w:webHidden/>
          </w:rPr>
          <w:fldChar w:fldCharType="begin"/>
        </w:r>
        <w:r w:rsidR="007566B9">
          <w:rPr>
            <w:noProof/>
            <w:webHidden/>
          </w:rPr>
          <w:instrText xml:space="preserve"> PAGEREF _Toc490225845 \h </w:instrText>
        </w:r>
        <w:r w:rsidR="007566B9">
          <w:rPr>
            <w:noProof/>
            <w:webHidden/>
          </w:rPr>
        </w:r>
        <w:r w:rsidR="007566B9">
          <w:rPr>
            <w:noProof/>
            <w:webHidden/>
          </w:rPr>
          <w:fldChar w:fldCharType="separate"/>
        </w:r>
        <w:r w:rsidR="0058478E">
          <w:rPr>
            <w:noProof/>
            <w:webHidden/>
          </w:rPr>
          <w:t>F-1</w:t>
        </w:r>
        <w:r w:rsidR="007566B9">
          <w:rPr>
            <w:noProof/>
            <w:webHidden/>
          </w:rPr>
          <w:fldChar w:fldCharType="end"/>
        </w:r>
      </w:hyperlink>
    </w:p>
    <w:p w14:paraId="18D719E9" w14:textId="18E7ADD8" w:rsidR="007566B9" w:rsidRDefault="00260768">
      <w:pPr>
        <w:pStyle w:val="TOC2"/>
        <w:rPr>
          <w:rFonts w:asciiTheme="minorHAnsi" w:eastAsiaTheme="minorEastAsia" w:hAnsiTheme="minorHAnsi" w:cstheme="minorBidi"/>
          <w:sz w:val="22"/>
          <w:szCs w:val="22"/>
        </w:rPr>
      </w:pPr>
      <w:hyperlink w:anchor="_Toc490225846" w:history="1">
        <w:r w:rsidR="007566B9" w:rsidRPr="0052213E">
          <w:rPr>
            <w:rStyle w:val="Hyperlink"/>
          </w:rPr>
          <w:t>F.1 Ind/Ag Generic Custom Measure Forecast Methodology</w:t>
        </w:r>
        <w:r w:rsidR="007566B9">
          <w:rPr>
            <w:webHidden/>
          </w:rPr>
          <w:tab/>
        </w:r>
        <w:r w:rsidR="007566B9">
          <w:rPr>
            <w:webHidden/>
          </w:rPr>
          <w:fldChar w:fldCharType="begin"/>
        </w:r>
        <w:r w:rsidR="007566B9">
          <w:rPr>
            <w:webHidden/>
          </w:rPr>
          <w:instrText xml:space="preserve"> PAGEREF _Toc490225846 \h </w:instrText>
        </w:r>
        <w:r w:rsidR="007566B9">
          <w:rPr>
            <w:webHidden/>
          </w:rPr>
        </w:r>
        <w:r w:rsidR="007566B9">
          <w:rPr>
            <w:webHidden/>
          </w:rPr>
          <w:fldChar w:fldCharType="separate"/>
        </w:r>
        <w:r w:rsidR="0058478E">
          <w:rPr>
            <w:webHidden/>
          </w:rPr>
          <w:t>F-1</w:t>
        </w:r>
        <w:r w:rsidR="007566B9">
          <w:rPr>
            <w:webHidden/>
          </w:rPr>
          <w:fldChar w:fldCharType="end"/>
        </w:r>
      </w:hyperlink>
    </w:p>
    <w:p w14:paraId="0F09BF1D" w14:textId="02B0F379" w:rsidR="007566B9" w:rsidRDefault="00260768">
      <w:pPr>
        <w:pStyle w:val="TOC2"/>
        <w:rPr>
          <w:rFonts w:asciiTheme="minorHAnsi" w:eastAsiaTheme="minorEastAsia" w:hAnsiTheme="minorHAnsi" w:cstheme="minorBidi"/>
          <w:sz w:val="22"/>
          <w:szCs w:val="22"/>
        </w:rPr>
      </w:pPr>
      <w:hyperlink w:anchor="_Toc490225847" w:history="1">
        <w:r w:rsidR="007566B9" w:rsidRPr="0052213E">
          <w:rPr>
            <w:rStyle w:val="Hyperlink"/>
          </w:rPr>
          <w:t>F.2 Ind/Ag Emerging Technology Measures</w:t>
        </w:r>
        <w:r w:rsidR="007566B9">
          <w:rPr>
            <w:webHidden/>
          </w:rPr>
          <w:tab/>
        </w:r>
        <w:r w:rsidR="007566B9">
          <w:rPr>
            <w:webHidden/>
          </w:rPr>
          <w:fldChar w:fldCharType="begin"/>
        </w:r>
        <w:r w:rsidR="007566B9">
          <w:rPr>
            <w:webHidden/>
          </w:rPr>
          <w:instrText xml:space="preserve"> PAGEREF _Toc490225847 \h </w:instrText>
        </w:r>
        <w:r w:rsidR="007566B9">
          <w:rPr>
            <w:webHidden/>
          </w:rPr>
        </w:r>
        <w:r w:rsidR="007566B9">
          <w:rPr>
            <w:webHidden/>
          </w:rPr>
          <w:fldChar w:fldCharType="separate"/>
        </w:r>
        <w:r w:rsidR="0058478E">
          <w:rPr>
            <w:webHidden/>
          </w:rPr>
          <w:t>F-3</w:t>
        </w:r>
        <w:r w:rsidR="007566B9">
          <w:rPr>
            <w:webHidden/>
          </w:rPr>
          <w:fldChar w:fldCharType="end"/>
        </w:r>
      </w:hyperlink>
    </w:p>
    <w:p w14:paraId="03F5693F" w14:textId="636393E1" w:rsidR="007566B9" w:rsidRDefault="00260768">
      <w:pPr>
        <w:pStyle w:val="TOC1"/>
        <w:rPr>
          <w:rFonts w:asciiTheme="minorHAnsi" w:eastAsiaTheme="minorEastAsia" w:hAnsiTheme="minorHAnsi" w:cstheme="minorBidi"/>
          <w:b w:val="0"/>
          <w:noProof/>
          <w:sz w:val="22"/>
        </w:rPr>
      </w:pPr>
      <w:hyperlink w:anchor="_Toc490225848" w:history="1">
        <w:r w:rsidR="007566B9" w:rsidRPr="0052213E">
          <w:rPr>
            <w:rStyle w:val="Hyperlink"/>
            <w:noProof/>
          </w:rPr>
          <w:t>Appendix G. Low Income Programs</w:t>
        </w:r>
        <w:r w:rsidR="007566B9">
          <w:rPr>
            <w:noProof/>
            <w:webHidden/>
          </w:rPr>
          <w:tab/>
        </w:r>
        <w:r w:rsidR="007566B9">
          <w:rPr>
            <w:noProof/>
            <w:webHidden/>
          </w:rPr>
          <w:fldChar w:fldCharType="begin"/>
        </w:r>
        <w:r w:rsidR="007566B9">
          <w:rPr>
            <w:noProof/>
            <w:webHidden/>
          </w:rPr>
          <w:instrText xml:space="preserve"> PAGEREF _Toc490225848 \h </w:instrText>
        </w:r>
        <w:r w:rsidR="007566B9">
          <w:rPr>
            <w:noProof/>
            <w:webHidden/>
          </w:rPr>
        </w:r>
        <w:r w:rsidR="007566B9">
          <w:rPr>
            <w:noProof/>
            <w:webHidden/>
          </w:rPr>
          <w:fldChar w:fldCharType="separate"/>
        </w:r>
        <w:r w:rsidR="0058478E">
          <w:rPr>
            <w:noProof/>
            <w:webHidden/>
          </w:rPr>
          <w:t>G-1</w:t>
        </w:r>
        <w:r w:rsidR="007566B9">
          <w:rPr>
            <w:noProof/>
            <w:webHidden/>
          </w:rPr>
          <w:fldChar w:fldCharType="end"/>
        </w:r>
      </w:hyperlink>
    </w:p>
    <w:p w14:paraId="78D341B7" w14:textId="0CA25C7D" w:rsidR="007566B9" w:rsidRDefault="00260768">
      <w:pPr>
        <w:pStyle w:val="TOC2"/>
        <w:rPr>
          <w:rFonts w:asciiTheme="minorHAnsi" w:eastAsiaTheme="minorEastAsia" w:hAnsiTheme="minorHAnsi" w:cstheme="minorBidi"/>
          <w:sz w:val="22"/>
          <w:szCs w:val="22"/>
        </w:rPr>
      </w:pPr>
      <w:hyperlink w:anchor="_Toc490225849" w:history="1">
        <w:r w:rsidR="007566B9" w:rsidRPr="0052213E">
          <w:rPr>
            <w:rStyle w:val="Hyperlink"/>
          </w:rPr>
          <w:t>G.1 PG&amp;E</w:t>
        </w:r>
        <w:r w:rsidR="007566B9">
          <w:rPr>
            <w:webHidden/>
          </w:rPr>
          <w:tab/>
        </w:r>
        <w:r w:rsidR="007566B9">
          <w:rPr>
            <w:webHidden/>
          </w:rPr>
          <w:fldChar w:fldCharType="begin"/>
        </w:r>
        <w:r w:rsidR="007566B9">
          <w:rPr>
            <w:webHidden/>
          </w:rPr>
          <w:instrText xml:space="preserve"> PAGEREF _Toc490225849 \h </w:instrText>
        </w:r>
        <w:r w:rsidR="007566B9">
          <w:rPr>
            <w:webHidden/>
          </w:rPr>
        </w:r>
        <w:r w:rsidR="007566B9">
          <w:rPr>
            <w:webHidden/>
          </w:rPr>
          <w:fldChar w:fldCharType="separate"/>
        </w:r>
        <w:r w:rsidR="0058478E">
          <w:rPr>
            <w:webHidden/>
          </w:rPr>
          <w:t>G-1</w:t>
        </w:r>
        <w:r w:rsidR="007566B9">
          <w:rPr>
            <w:webHidden/>
          </w:rPr>
          <w:fldChar w:fldCharType="end"/>
        </w:r>
      </w:hyperlink>
    </w:p>
    <w:p w14:paraId="5B8D13A6" w14:textId="1CE9C018" w:rsidR="007566B9" w:rsidRDefault="00260768">
      <w:pPr>
        <w:pStyle w:val="TOC2"/>
        <w:rPr>
          <w:rFonts w:asciiTheme="minorHAnsi" w:eastAsiaTheme="minorEastAsia" w:hAnsiTheme="minorHAnsi" w:cstheme="minorBidi"/>
          <w:sz w:val="22"/>
          <w:szCs w:val="22"/>
        </w:rPr>
      </w:pPr>
      <w:hyperlink w:anchor="_Toc490225850" w:history="1">
        <w:r w:rsidR="007566B9" w:rsidRPr="0052213E">
          <w:rPr>
            <w:rStyle w:val="Hyperlink"/>
          </w:rPr>
          <w:t>G.2 SCE</w:t>
        </w:r>
        <w:r w:rsidR="007566B9">
          <w:rPr>
            <w:webHidden/>
          </w:rPr>
          <w:tab/>
        </w:r>
        <w:r w:rsidR="007566B9">
          <w:rPr>
            <w:webHidden/>
          </w:rPr>
          <w:fldChar w:fldCharType="begin"/>
        </w:r>
        <w:r w:rsidR="007566B9">
          <w:rPr>
            <w:webHidden/>
          </w:rPr>
          <w:instrText xml:space="preserve"> PAGEREF _Toc490225850 \h </w:instrText>
        </w:r>
        <w:r w:rsidR="007566B9">
          <w:rPr>
            <w:webHidden/>
          </w:rPr>
        </w:r>
        <w:r w:rsidR="007566B9">
          <w:rPr>
            <w:webHidden/>
          </w:rPr>
          <w:fldChar w:fldCharType="separate"/>
        </w:r>
        <w:r w:rsidR="0058478E">
          <w:rPr>
            <w:webHidden/>
          </w:rPr>
          <w:t>G-2</w:t>
        </w:r>
        <w:r w:rsidR="007566B9">
          <w:rPr>
            <w:webHidden/>
          </w:rPr>
          <w:fldChar w:fldCharType="end"/>
        </w:r>
      </w:hyperlink>
    </w:p>
    <w:p w14:paraId="4E379F0C" w14:textId="10C1AD04" w:rsidR="007566B9" w:rsidRDefault="00260768">
      <w:pPr>
        <w:pStyle w:val="TOC2"/>
        <w:rPr>
          <w:rFonts w:asciiTheme="minorHAnsi" w:eastAsiaTheme="minorEastAsia" w:hAnsiTheme="minorHAnsi" w:cstheme="minorBidi"/>
          <w:sz w:val="22"/>
          <w:szCs w:val="22"/>
        </w:rPr>
      </w:pPr>
      <w:hyperlink w:anchor="_Toc490225851" w:history="1">
        <w:r w:rsidR="007566B9" w:rsidRPr="0052213E">
          <w:rPr>
            <w:rStyle w:val="Hyperlink"/>
          </w:rPr>
          <w:t>G.3 SCG</w:t>
        </w:r>
        <w:r w:rsidR="007566B9">
          <w:rPr>
            <w:webHidden/>
          </w:rPr>
          <w:tab/>
        </w:r>
        <w:r w:rsidR="007566B9">
          <w:rPr>
            <w:webHidden/>
          </w:rPr>
          <w:fldChar w:fldCharType="begin"/>
        </w:r>
        <w:r w:rsidR="007566B9">
          <w:rPr>
            <w:webHidden/>
          </w:rPr>
          <w:instrText xml:space="preserve"> PAGEREF _Toc490225851 \h </w:instrText>
        </w:r>
        <w:r w:rsidR="007566B9">
          <w:rPr>
            <w:webHidden/>
          </w:rPr>
        </w:r>
        <w:r w:rsidR="007566B9">
          <w:rPr>
            <w:webHidden/>
          </w:rPr>
          <w:fldChar w:fldCharType="separate"/>
        </w:r>
        <w:r w:rsidR="0058478E">
          <w:rPr>
            <w:webHidden/>
          </w:rPr>
          <w:t>G-3</w:t>
        </w:r>
        <w:r w:rsidR="007566B9">
          <w:rPr>
            <w:webHidden/>
          </w:rPr>
          <w:fldChar w:fldCharType="end"/>
        </w:r>
      </w:hyperlink>
    </w:p>
    <w:p w14:paraId="46DD5DBC" w14:textId="4E265424" w:rsidR="007566B9" w:rsidRDefault="00260768">
      <w:pPr>
        <w:pStyle w:val="TOC2"/>
        <w:rPr>
          <w:rFonts w:asciiTheme="minorHAnsi" w:eastAsiaTheme="minorEastAsia" w:hAnsiTheme="minorHAnsi" w:cstheme="minorBidi"/>
          <w:sz w:val="22"/>
          <w:szCs w:val="22"/>
        </w:rPr>
      </w:pPr>
      <w:hyperlink w:anchor="_Toc490225852" w:history="1">
        <w:r w:rsidR="007566B9" w:rsidRPr="0052213E">
          <w:rPr>
            <w:rStyle w:val="Hyperlink"/>
          </w:rPr>
          <w:t>G.4 SDG&amp;E</w:t>
        </w:r>
        <w:r w:rsidR="007566B9">
          <w:rPr>
            <w:webHidden/>
          </w:rPr>
          <w:tab/>
        </w:r>
        <w:r w:rsidR="007566B9">
          <w:rPr>
            <w:webHidden/>
          </w:rPr>
          <w:fldChar w:fldCharType="begin"/>
        </w:r>
        <w:r w:rsidR="007566B9">
          <w:rPr>
            <w:webHidden/>
          </w:rPr>
          <w:instrText xml:space="preserve"> PAGEREF _Toc490225852 \h </w:instrText>
        </w:r>
        <w:r w:rsidR="007566B9">
          <w:rPr>
            <w:webHidden/>
          </w:rPr>
        </w:r>
        <w:r w:rsidR="007566B9">
          <w:rPr>
            <w:webHidden/>
          </w:rPr>
          <w:fldChar w:fldCharType="separate"/>
        </w:r>
        <w:r w:rsidR="0058478E">
          <w:rPr>
            <w:webHidden/>
          </w:rPr>
          <w:t>G-4</w:t>
        </w:r>
        <w:r w:rsidR="007566B9">
          <w:rPr>
            <w:webHidden/>
          </w:rPr>
          <w:fldChar w:fldCharType="end"/>
        </w:r>
      </w:hyperlink>
    </w:p>
    <w:p w14:paraId="3561CEFD" w14:textId="55F1A7D0" w:rsidR="007566B9" w:rsidRDefault="00260768">
      <w:pPr>
        <w:pStyle w:val="TOC2"/>
        <w:rPr>
          <w:rFonts w:asciiTheme="minorHAnsi" w:eastAsiaTheme="minorEastAsia" w:hAnsiTheme="minorHAnsi" w:cstheme="minorBidi"/>
          <w:sz w:val="22"/>
          <w:szCs w:val="22"/>
        </w:rPr>
      </w:pPr>
      <w:hyperlink w:anchor="_Toc490225853" w:history="1">
        <w:r w:rsidR="007566B9" w:rsidRPr="0052213E">
          <w:rPr>
            <w:rStyle w:val="Hyperlink"/>
          </w:rPr>
          <w:t>G.5 Effective Useful Life</w:t>
        </w:r>
        <w:r w:rsidR="007566B9">
          <w:rPr>
            <w:webHidden/>
          </w:rPr>
          <w:tab/>
        </w:r>
        <w:r w:rsidR="007566B9">
          <w:rPr>
            <w:webHidden/>
          </w:rPr>
          <w:fldChar w:fldCharType="begin"/>
        </w:r>
        <w:r w:rsidR="007566B9">
          <w:rPr>
            <w:webHidden/>
          </w:rPr>
          <w:instrText xml:space="preserve"> PAGEREF _Toc490225853 \h </w:instrText>
        </w:r>
        <w:r w:rsidR="007566B9">
          <w:rPr>
            <w:webHidden/>
          </w:rPr>
        </w:r>
        <w:r w:rsidR="007566B9">
          <w:rPr>
            <w:webHidden/>
          </w:rPr>
          <w:fldChar w:fldCharType="separate"/>
        </w:r>
        <w:r w:rsidR="0058478E">
          <w:rPr>
            <w:webHidden/>
          </w:rPr>
          <w:t>G-5</w:t>
        </w:r>
        <w:r w:rsidR="007566B9">
          <w:rPr>
            <w:webHidden/>
          </w:rPr>
          <w:fldChar w:fldCharType="end"/>
        </w:r>
      </w:hyperlink>
    </w:p>
    <w:p w14:paraId="044E83A6" w14:textId="321D0ACE" w:rsidR="007566B9" w:rsidRDefault="00260768">
      <w:pPr>
        <w:pStyle w:val="TOC1"/>
        <w:rPr>
          <w:rFonts w:asciiTheme="minorHAnsi" w:eastAsiaTheme="minorEastAsia" w:hAnsiTheme="minorHAnsi" w:cstheme="minorBidi"/>
          <w:b w:val="0"/>
          <w:noProof/>
          <w:sz w:val="22"/>
        </w:rPr>
      </w:pPr>
      <w:hyperlink w:anchor="_Toc490225854" w:history="1">
        <w:r w:rsidR="007566B9" w:rsidRPr="0052213E">
          <w:rPr>
            <w:rStyle w:val="Hyperlink"/>
            <w:noProof/>
          </w:rPr>
          <w:t>Appendix H. Detailed Scenario Results</w:t>
        </w:r>
        <w:r w:rsidR="007566B9">
          <w:rPr>
            <w:noProof/>
            <w:webHidden/>
          </w:rPr>
          <w:tab/>
        </w:r>
        <w:r w:rsidR="007566B9">
          <w:rPr>
            <w:noProof/>
            <w:webHidden/>
          </w:rPr>
          <w:fldChar w:fldCharType="begin"/>
        </w:r>
        <w:r w:rsidR="007566B9">
          <w:rPr>
            <w:noProof/>
            <w:webHidden/>
          </w:rPr>
          <w:instrText xml:space="preserve"> PAGEREF _Toc490225854 \h </w:instrText>
        </w:r>
        <w:r w:rsidR="007566B9">
          <w:rPr>
            <w:noProof/>
            <w:webHidden/>
          </w:rPr>
        </w:r>
        <w:r w:rsidR="007566B9">
          <w:rPr>
            <w:noProof/>
            <w:webHidden/>
          </w:rPr>
          <w:fldChar w:fldCharType="separate"/>
        </w:r>
        <w:r w:rsidR="0058478E">
          <w:rPr>
            <w:noProof/>
            <w:webHidden/>
          </w:rPr>
          <w:t>H-1</w:t>
        </w:r>
        <w:r w:rsidR="007566B9">
          <w:rPr>
            <w:noProof/>
            <w:webHidden/>
          </w:rPr>
          <w:fldChar w:fldCharType="end"/>
        </w:r>
      </w:hyperlink>
    </w:p>
    <w:p w14:paraId="531D3292" w14:textId="14E646DC" w:rsidR="007566B9" w:rsidRDefault="00260768">
      <w:pPr>
        <w:pStyle w:val="TOC2"/>
        <w:rPr>
          <w:rFonts w:asciiTheme="minorHAnsi" w:eastAsiaTheme="minorEastAsia" w:hAnsiTheme="minorHAnsi" w:cstheme="minorBidi"/>
          <w:sz w:val="22"/>
          <w:szCs w:val="22"/>
        </w:rPr>
      </w:pPr>
      <w:hyperlink w:anchor="_Toc490225855" w:history="1">
        <w:r w:rsidR="007566B9" w:rsidRPr="0052213E">
          <w:rPr>
            <w:rStyle w:val="Hyperlink"/>
          </w:rPr>
          <w:t>H.1 PG&amp;E</w:t>
        </w:r>
        <w:r w:rsidR="007566B9">
          <w:rPr>
            <w:webHidden/>
          </w:rPr>
          <w:tab/>
        </w:r>
        <w:r w:rsidR="007566B9">
          <w:rPr>
            <w:webHidden/>
          </w:rPr>
          <w:fldChar w:fldCharType="begin"/>
        </w:r>
        <w:r w:rsidR="007566B9">
          <w:rPr>
            <w:webHidden/>
          </w:rPr>
          <w:instrText xml:space="preserve"> PAGEREF _Toc490225855 \h </w:instrText>
        </w:r>
        <w:r w:rsidR="007566B9">
          <w:rPr>
            <w:webHidden/>
          </w:rPr>
        </w:r>
        <w:r w:rsidR="007566B9">
          <w:rPr>
            <w:webHidden/>
          </w:rPr>
          <w:fldChar w:fldCharType="separate"/>
        </w:r>
        <w:r w:rsidR="0058478E">
          <w:rPr>
            <w:webHidden/>
          </w:rPr>
          <w:t>H-1</w:t>
        </w:r>
        <w:r w:rsidR="007566B9">
          <w:rPr>
            <w:webHidden/>
          </w:rPr>
          <w:fldChar w:fldCharType="end"/>
        </w:r>
      </w:hyperlink>
    </w:p>
    <w:p w14:paraId="2229FEE1" w14:textId="69424AB5" w:rsidR="007566B9" w:rsidRDefault="00260768">
      <w:pPr>
        <w:pStyle w:val="TOC2"/>
        <w:rPr>
          <w:rFonts w:asciiTheme="minorHAnsi" w:eastAsiaTheme="minorEastAsia" w:hAnsiTheme="minorHAnsi" w:cstheme="minorBidi"/>
          <w:sz w:val="22"/>
          <w:szCs w:val="22"/>
        </w:rPr>
      </w:pPr>
      <w:hyperlink w:anchor="_Toc490225856" w:history="1">
        <w:r w:rsidR="007566B9" w:rsidRPr="0052213E">
          <w:rPr>
            <w:rStyle w:val="Hyperlink"/>
          </w:rPr>
          <w:t>H.2 SCE</w:t>
        </w:r>
        <w:r w:rsidR="007566B9">
          <w:rPr>
            <w:webHidden/>
          </w:rPr>
          <w:tab/>
        </w:r>
        <w:r w:rsidR="007566B9">
          <w:rPr>
            <w:webHidden/>
          </w:rPr>
          <w:fldChar w:fldCharType="begin"/>
        </w:r>
        <w:r w:rsidR="007566B9">
          <w:rPr>
            <w:webHidden/>
          </w:rPr>
          <w:instrText xml:space="preserve"> PAGEREF _Toc490225856 \h </w:instrText>
        </w:r>
        <w:r w:rsidR="007566B9">
          <w:rPr>
            <w:webHidden/>
          </w:rPr>
        </w:r>
        <w:r w:rsidR="007566B9">
          <w:rPr>
            <w:webHidden/>
          </w:rPr>
          <w:fldChar w:fldCharType="separate"/>
        </w:r>
        <w:r w:rsidR="0058478E">
          <w:rPr>
            <w:webHidden/>
          </w:rPr>
          <w:t>H-7</w:t>
        </w:r>
        <w:r w:rsidR="007566B9">
          <w:rPr>
            <w:webHidden/>
          </w:rPr>
          <w:fldChar w:fldCharType="end"/>
        </w:r>
      </w:hyperlink>
    </w:p>
    <w:p w14:paraId="4023D089" w14:textId="7E9B33D8" w:rsidR="007566B9" w:rsidRDefault="00260768">
      <w:pPr>
        <w:pStyle w:val="TOC2"/>
        <w:rPr>
          <w:rFonts w:asciiTheme="minorHAnsi" w:eastAsiaTheme="minorEastAsia" w:hAnsiTheme="minorHAnsi" w:cstheme="minorBidi"/>
          <w:sz w:val="22"/>
          <w:szCs w:val="22"/>
        </w:rPr>
      </w:pPr>
      <w:hyperlink w:anchor="_Toc490225857" w:history="1">
        <w:r w:rsidR="007566B9" w:rsidRPr="0052213E">
          <w:rPr>
            <w:rStyle w:val="Hyperlink"/>
          </w:rPr>
          <w:t>H.3 SCG</w:t>
        </w:r>
        <w:r w:rsidR="007566B9">
          <w:rPr>
            <w:webHidden/>
          </w:rPr>
          <w:tab/>
        </w:r>
        <w:r w:rsidR="007566B9">
          <w:rPr>
            <w:webHidden/>
          </w:rPr>
          <w:fldChar w:fldCharType="begin"/>
        </w:r>
        <w:r w:rsidR="007566B9">
          <w:rPr>
            <w:webHidden/>
          </w:rPr>
          <w:instrText xml:space="preserve"> PAGEREF _Toc490225857 \h </w:instrText>
        </w:r>
        <w:r w:rsidR="007566B9">
          <w:rPr>
            <w:webHidden/>
          </w:rPr>
        </w:r>
        <w:r w:rsidR="007566B9">
          <w:rPr>
            <w:webHidden/>
          </w:rPr>
          <w:fldChar w:fldCharType="separate"/>
        </w:r>
        <w:r w:rsidR="0058478E">
          <w:rPr>
            <w:webHidden/>
          </w:rPr>
          <w:t>H-11</w:t>
        </w:r>
        <w:r w:rsidR="007566B9">
          <w:rPr>
            <w:webHidden/>
          </w:rPr>
          <w:fldChar w:fldCharType="end"/>
        </w:r>
      </w:hyperlink>
    </w:p>
    <w:p w14:paraId="3903E698" w14:textId="191E0EFF" w:rsidR="007566B9" w:rsidRDefault="00260768">
      <w:pPr>
        <w:pStyle w:val="TOC2"/>
        <w:rPr>
          <w:rFonts w:asciiTheme="minorHAnsi" w:eastAsiaTheme="minorEastAsia" w:hAnsiTheme="minorHAnsi" w:cstheme="minorBidi"/>
          <w:sz w:val="22"/>
          <w:szCs w:val="22"/>
        </w:rPr>
      </w:pPr>
      <w:hyperlink w:anchor="_Toc490225858" w:history="1">
        <w:r w:rsidR="007566B9" w:rsidRPr="0052213E">
          <w:rPr>
            <w:rStyle w:val="Hyperlink"/>
          </w:rPr>
          <w:t>H.4 SDG&amp;E</w:t>
        </w:r>
        <w:r w:rsidR="007566B9">
          <w:rPr>
            <w:webHidden/>
          </w:rPr>
          <w:tab/>
        </w:r>
        <w:r w:rsidR="007566B9">
          <w:rPr>
            <w:webHidden/>
          </w:rPr>
          <w:fldChar w:fldCharType="begin"/>
        </w:r>
        <w:r w:rsidR="007566B9">
          <w:rPr>
            <w:webHidden/>
          </w:rPr>
          <w:instrText xml:space="preserve"> PAGEREF _Toc490225858 \h </w:instrText>
        </w:r>
        <w:r w:rsidR="007566B9">
          <w:rPr>
            <w:webHidden/>
          </w:rPr>
        </w:r>
        <w:r w:rsidR="007566B9">
          <w:rPr>
            <w:webHidden/>
          </w:rPr>
          <w:fldChar w:fldCharType="separate"/>
        </w:r>
        <w:r w:rsidR="0058478E">
          <w:rPr>
            <w:webHidden/>
          </w:rPr>
          <w:t>H-13</w:t>
        </w:r>
        <w:r w:rsidR="007566B9">
          <w:rPr>
            <w:webHidden/>
          </w:rPr>
          <w:fldChar w:fldCharType="end"/>
        </w:r>
      </w:hyperlink>
    </w:p>
    <w:p w14:paraId="65B2325A" w14:textId="3FAA79FE" w:rsidR="007566B9" w:rsidRDefault="00260768">
      <w:pPr>
        <w:pStyle w:val="TOC1"/>
        <w:rPr>
          <w:rFonts w:asciiTheme="minorHAnsi" w:eastAsiaTheme="minorEastAsia" w:hAnsiTheme="minorHAnsi" w:cstheme="minorBidi"/>
          <w:b w:val="0"/>
          <w:noProof/>
          <w:sz w:val="22"/>
        </w:rPr>
      </w:pPr>
      <w:hyperlink w:anchor="_Toc490225859" w:history="1">
        <w:r w:rsidR="007566B9" w:rsidRPr="0052213E">
          <w:rPr>
            <w:rStyle w:val="Hyperlink"/>
            <w:noProof/>
          </w:rPr>
          <w:t>Appendix I. Summary of Stakeholder Inputs</w:t>
        </w:r>
        <w:r w:rsidR="007566B9">
          <w:rPr>
            <w:noProof/>
            <w:webHidden/>
          </w:rPr>
          <w:tab/>
        </w:r>
        <w:r w:rsidR="007566B9">
          <w:rPr>
            <w:noProof/>
            <w:webHidden/>
          </w:rPr>
          <w:fldChar w:fldCharType="begin"/>
        </w:r>
        <w:r w:rsidR="007566B9">
          <w:rPr>
            <w:noProof/>
            <w:webHidden/>
          </w:rPr>
          <w:instrText xml:space="preserve"> PAGEREF _Toc490225859 \h </w:instrText>
        </w:r>
        <w:r w:rsidR="007566B9">
          <w:rPr>
            <w:noProof/>
            <w:webHidden/>
          </w:rPr>
        </w:r>
        <w:r w:rsidR="007566B9">
          <w:rPr>
            <w:noProof/>
            <w:webHidden/>
          </w:rPr>
          <w:fldChar w:fldCharType="separate"/>
        </w:r>
        <w:r w:rsidR="0058478E">
          <w:rPr>
            <w:noProof/>
            <w:webHidden/>
          </w:rPr>
          <w:t>I-19</w:t>
        </w:r>
        <w:r w:rsidR="007566B9">
          <w:rPr>
            <w:noProof/>
            <w:webHidden/>
          </w:rPr>
          <w:fldChar w:fldCharType="end"/>
        </w:r>
      </w:hyperlink>
    </w:p>
    <w:p w14:paraId="00429E6F" w14:textId="77777777" w:rsidR="00E3636E" w:rsidRDefault="007B2FBD" w:rsidP="001412F5">
      <w:r>
        <w:rPr>
          <w:b/>
          <w:noProof/>
          <w:snapToGrid w:val="0"/>
          <w:sz w:val="24"/>
        </w:rPr>
        <w:fldChar w:fldCharType="end"/>
      </w:r>
    </w:p>
    <w:p w14:paraId="16C4C5D8" w14:textId="77777777" w:rsidR="00B9017B" w:rsidRDefault="00B9017B"/>
    <w:p w14:paraId="15E6A7D2" w14:textId="77777777" w:rsidR="00681B72" w:rsidRDefault="00681B72" w:rsidP="002D7723"/>
    <w:p w14:paraId="4CC0D58C" w14:textId="77777777" w:rsidR="00CB6DF9" w:rsidRDefault="00CB6DF9" w:rsidP="00CB6DF9">
      <w:pPr>
        <w:pStyle w:val="TOCHeading"/>
      </w:pPr>
      <w:r>
        <w:br w:type="page"/>
      </w:r>
    </w:p>
    <w:p w14:paraId="1CCD38FB" w14:textId="77777777" w:rsidR="00BF3438" w:rsidRDefault="00CB6DF9" w:rsidP="002E129B">
      <w:pPr>
        <w:pStyle w:val="Heading7"/>
      </w:pPr>
      <w:bookmarkStart w:id="7" w:name="_Toc482634257"/>
      <w:bookmarkStart w:id="8" w:name="_Toc482626389"/>
      <w:bookmarkStart w:id="9" w:name="_Toc484092460"/>
      <w:bookmarkStart w:id="10" w:name="_Toc484172663"/>
      <w:bookmarkStart w:id="11" w:name="_Toc484183000"/>
      <w:bookmarkStart w:id="12" w:name="_Toc490225750"/>
      <w:r>
        <w:lastRenderedPageBreak/>
        <w:t>List of Figures and Tables</w:t>
      </w:r>
      <w:bookmarkEnd w:id="7"/>
      <w:bookmarkEnd w:id="8"/>
      <w:bookmarkEnd w:id="9"/>
      <w:bookmarkEnd w:id="10"/>
      <w:bookmarkEnd w:id="11"/>
      <w:bookmarkEnd w:id="12"/>
    </w:p>
    <w:p w14:paraId="080FA810" w14:textId="77777777" w:rsidR="00CB6DF9" w:rsidRPr="00957936" w:rsidRDefault="00CB6DF9" w:rsidP="00CB6DF9">
      <w:pPr>
        <w:pStyle w:val="Headerinfo"/>
        <w:rPr>
          <w:b/>
          <w:color w:val="auto"/>
          <w:sz w:val="20"/>
          <w:szCs w:val="20"/>
        </w:rPr>
      </w:pPr>
      <w:r w:rsidRPr="00957936">
        <w:rPr>
          <w:b/>
          <w:color w:val="auto"/>
          <w:sz w:val="20"/>
          <w:szCs w:val="20"/>
        </w:rPr>
        <w:t>Executive Summary Figures</w:t>
      </w:r>
    </w:p>
    <w:p w14:paraId="5BAF2E1A" w14:textId="61E94799" w:rsidR="007566B9" w:rsidRDefault="00A81D9C">
      <w:pPr>
        <w:pStyle w:val="TableofFigures"/>
        <w:rPr>
          <w:rFonts w:asciiTheme="minorHAnsi" w:eastAsiaTheme="minorEastAsia" w:hAnsiTheme="minorHAnsi" w:cstheme="minorBidi"/>
          <w:noProof/>
          <w:sz w:val="22"/>
          <w:szCs w:val="22"/>
        </w:rPr>
      </w:pPr>
      <w:r>
        <w:rPr>
          <w:rFonts w:cs="Arial"/>
          <w:szCs w:val="20"/>
        </w:rPr>
        <w:fldChar w:fldCharType="begin"/>
      </w:r>
      <w:r>
        <w:rPr>
          <w:rFonts w:cs="Arial"/>
          <w:szCs w:val="20"/>
        </w:rPr>
        <w:instrText xml:space="preserve"> TOC \h \z \c "Figure ES-" </w:instrText>
      </w:r>
      <w:r>
        <w:rPr>
          <w:rFonts w:cs="Arial"/>
          <w:szCs w:val="20"/>
        </w:rPr>
        <w:fldChar w:fldCharType="separate"/>
      </w:r>
      <w:hyperlink w:anchor="_Toc490225860" w:history="1">
        <w:r w:rsidR="007566B9" w:rsidRPr="004557AD">
          <w:rPr>
            <w:rStyle w:val="Hyperlink"/>
            <w:noProof/>
          </w:rPr>
          <w:t>Figure ES-1. Statewide Incremental Electric Savings by Scenario</w:t>
        </w:r>
        <w:r w:rsidR="007566B9">
          <w:rPr>
            <w:noProof/>
            <w:webHidden/>
          </w:rPr>
          <w:tab/>
        </w:r>
        <w:r w:rsidR="007566B9">
          <w:rPr>
            <w:noProof/>
            <w:webHidden/>
          </w:rPr>
          <w:fldChar w:fldCharType="begin"/>
        </w:r>
        <w:r w:rsidR="007566B9">
          <w:rPr>
            <w:noProof/>
            <w:webHidden/>
          </w:rPr>
          <w:instrText xml:space="preserve"> PAGEREF _Toc490225860 \h </w:instrText>
        </w:r>
        <w:r w:rsidR="007566B9">
          <w:rPr>
            <w:noProof/>
            <w:webHidden/>
          </w:rPr>
        </w:r>
        <w:r w:rsidR="007566B9">
          <w:rPr>
            <w:noProof/>
            <w:webHidden/>
          </w:rPr>
          <w:fldChar w:fldCharType="separate"/>
        </w:r>
        <w:r w:rsidR="00BE543D">
          <w:rPr>
            <w:noProof/>
            <w:webHidden/>
          </w:rPr>
          <w:t>xvii</w:t>
        </w:r>
        <w:r w:rsidR="007566B9">
          <w:rPr>
            <w:noProof/>
            <w:webHidden/>
          </w:rPr>
          <w:fldChar w:fldCharType="end"/>
        </w:r>
      </w:hyperlink>
    </w:p>
    <w:p w14:paraId="6A886F70" w14:textId="3FA5F3F3" w:rsidR="007566B9" w:rsidRDefault="00260768">
      <w:pPr>
        <w:pStyle w:val="TableofFigures"/>
        <w:rPr>
          <w:rFonts w:asciiTheme="minorHAnsi" w:eastAsiaTheme="minorEastAsia" w:hAnsiTheme="minorHAnsi" w:cstheme="minorBidi"/>
          <w:noProof/>
          <w:sz w:val="22"/>
          <w:szCs w:val="22"/>
        </w:rPr>
      </w:pPr>
      <w:hyperlink w:anchor="_Toc490225861" w:history="1">
        <w:r w:rsidR="007566B9" w:rsidRPr="004557AD">
          <w:rPr>
            <w:rStyle w:val="Hyperlink"/>
            <w:noProof/>
          </w:rPr>
          <w:t>Figure ES-2. Statewide Incremental Gas Savings by Scenario</w:t>
        </w:r>
        <w:r w:rsidR="007566B9">
          <w:rPr>
            <w:noProof/>
            <w:webHidden/>
          </w:rPr>
          <w:tab/>
        </w:r>
        <w:r w:rsidR="007566B9">
          <w:rPr>
            <w:noProof/>
            <w:webHidden/>
          </w:rPr>
          <w:fldChar w:fldCharType="begin"/>
        </w:r>
        <w:r w:rsidR="007566B9">
          <w:rPr>
            <w:noProof/>
            <w:webHidden/>
          </w:rPr>
          <w:instrText xml:space="preserve"> PAGEREF _Toc490225861 \h </w:instrText>
        </w:r>
        <w:r w:rsidR="007566B9">
          <w:rPr>
            <w:noProof/>
            <w:webHidden/>
          </w:rPr>
        </w:r>
        <w:r w:rsidR="007566B9">
          <w:rPr>
            <w:noProof/>
            <w:webHidden/>
          </w:rPr>
          <w:fldChar w:fldCharType="separate"/>
        </w:r>
        <w:r w:rsidR="00BE543D">
          <w:rPr>
            <w:noProof/>
            <w:webHidden/>
          </w:rPr>
          <w:t>xviii</w:t>
        </w:r>
        <w:r w:rsidR="007566B9">
          <w:rPr>
            <w:noProof/>
            <w:webHidden/>
          </w:rPr>
          <w:fldChar w:fldCharType="end"/>
        </w:r>
      </w:hyperlink>
    </w:p>
    <w:p w14:paraId="0F280D48" w14:textId="499EFDB6" w:rsidR="007566B9" w:rsidRDefault="00260768">
      <w:pPr>
        <w:pStyle w:val="TableofFigures"/>
        <w:rPr>
          <w:rFonts w:asciiTheme="minorHAnsi" w:eastAsiaTheme="minorEastAsia" w:hAnsiTheme="minorHAnsi" w:cstheme="minorBidi"/>
          <w:noProof/>
          <w:sz w:val="22"/>
          <w:szCs w:val="22"/>
        </w:rPr>
      </w:pPr>
      <w:hyperlink w:anchor="_Toc490225862" w:history="1">
        <w:r w:rsidR="007566B9" w:rsidRPr="004557AD">
          <w:rPr>
            <w:rStyle w:val="Hyperlink"/>
            <w:noProof/>
          </w:rPr>
          <w:t>Figure ES-3. Incremental Electric Market Potential as a Percent of Sales</w:t>
        </w:r>
        <w:r w:rsidR="007566B9">
          <w:rPr>
            <w:noProof/>
            <w:webHidden/>
          </w:rPr>
          <w:tab/>
        </w:r>
        <w:r w:rsidR="007566B9">
          <w:rPr>
            <w:noProof/>
            <w:webHidden/>
          </w:rPr>
          <w:fldChar w:fldCharType="begin"/>
        </w:r>
        <w:r w:rsidR="007566B9">
          <w:rPr>
            <w:noProof/>
            <w:webHidden/>
          </w:rPr>
          <w:instrText xml:space="preserve"> PAGEREF _Toc490225862 \h </w:instrText>
        </w:r>
        <w:r w:rsidR="007566B9">
          <w:rPr>
            <w:noProof/>
            <w:webHidden/>
          </w:rPr>
        </w:r>
        <w:r w:rsidR="007566B9">
          <w:rPr>
            <w:noProof/>
            <w:webHidden/>
          </w:rPr>
          <w:fldChar w:fldCharType="separate"/>
        </w:r>
        <w:r w:rsidR="00BE543D">
          <w:rPr>
            <w:noProof/>
            <w:webHidden/>
          </w:rPr>
          <w:t>xx</w:t>
        </w:r>
        <w:r w:rsidR="007566B9">
          <w:rPr>
            <w:noProof/>
            <w:webHidden/>
          </w:rPr>
          <w:fldChar w:fldCharType="end"/>
        </w:r>
      </w:hyperlink>
    </w:p>
    <w:p w14:paraId="0E9244B9" w14:textId="0B9BAAAD" w:rsidR="007566B9" w:rsidRDefault="00260768">
      <w:pPr>
        <w:pStyle w:val="TableofFigures"/>
        <w:rPr>
          <w:rFonts w:asciiTheme="minorHAnsi" w:eastAsiaTheme="minorEastAsia" w:hAnsiTheme="minorHAnsi" w:cstheme="minorBidi"/>
          <w:noProof/>
          <w:sz w:val="22"/>
          <w:szCs w:val="22"/>
        </w:rPr>
      </w:pPr>
      <w:hyperlink w:anchor="_Toc490225863" w:history="1">
        <w:r w:rsidR="007566B9" w:rsidRPr="004557AD">
          <w:rPr>
            <w:rStyle w:val="Hyperlink"/>
            <w:noProof/>
          </w:rPr>
          <w:t>Figure ES-4. Incremental Gas Market Potential as a Percent of Sales</w:t>
        </w:r>
        <w:r w:rsidR="007566B9">
          <w:rPr>
            <w:noProof/>
            <w:webHidden/>
          </w:rPr>
          <w:tab/>
        </w:r>
        <w:r w:rsidR="007566B9">
          <w:rPr>
            <w:noProof/>
            <w:webHidden/>
          </w:rPr>
          <w:fldChar w:fldCharType="begin"/>
        </w:r>
        <w:r w:rsidR="007566B9">
          <w:rPr>
            <w:noProof/>
            <w:webHidden/>
          </w:rPr>
          <w:instrText xml:space="preserve"> PAGEREF _Toc490225863 \h </w:instrText>
        </w:r>
        <w:r w:rsidR="007566B9">
          <w:rPr>
            <w:noProof/>
            <w:webHidden/>
          </w:rPr>
        </w:r>
        <w:r w:rsidR="007566B9">
          <w:rPr>
            <w:noProof/>
            <w:webHidden/>
          </w:rPr>
          <w:fldChar w:fldCharType="separate"/>
        </w:r>
        <w:r w:rsidR="00BE543D">
          <w:rPr>
            <w:noProof/>
            <w:webHidden/>
          </w:rPr>
          <w:t>xxi</w:t>
        </w:r>
        <w:r w:rsidR="007566B9">
          <w:rPr>
            <w:noProof/>
            <w:webHidden/>
          </w:rPr>
          <w:fldChar w:fldCharType="end"/>
        </w:r>
      </w:hyperlink>
    </w:p>
    <w:p w14:paraId="1C631E36" w14:textId="76E067B1" w:rsidR="007566B9" w:rsidRDefault="00260768">
      <w:pPr>
        <w:pStyle w:val="TableofFigures"/>
        <w:rPr>
          <w:rFonts w:asciiTheme="minorHAnsi" w:eastAsiaTheme="minorEastAsia" w:hAnsiTheme="minorHAnsi" w:cstheme="minorBidi"/>
          <w:noProof/>
          <w:sz w:val="22"/>
          <w:szCs w:val="22"/>
        </w:rPr>
      </w:pPr>
      <w:hyperlink w:anchor="_Toc490225864" w:history="1">
        <w:r w:rsidR="007566B9" w:rsidRPr="004557AD">
          <w:rPr>
            <w:rStyle w:val="Hyperlink"/>
            <w:noProof/>
          </w:rPr>
          <w:t>Figure ES- 5. Statewide Incremental Electric Market Potential for Incentive Programs by Sector for the TRC Reference Scenario</w:t>
        </w:r>
        <w:r w:rsidR="007566B9">
          <w:rPr>
            <w:noProof/>
            <w:webHidden/>
          </w:rPr>
          <w:tab/>
        </w:r>
        <w:r w:rsidR="007566B9">
          <w:rPr>
            <w:noProof/>
            <w:webHidden/>
          </w:rPr>
          <w:fldChar w:fldCharType="begin"/>
        </w:r>
        <w:r w:rsidR="007566B9">
          <w:rPr>
            <w:noProof/>
            <w:webHidden/>
          </w:rPr>
          <w:instrText xml:space="preserve"> PAGEREF _Toc490225864 \h </w:instrText>
        </w:r>
        <w:r w:rsidR="007566B9">
          <w:rPr>
            <w:noProof/>
            <w:webHidden/>
          </w:rPr>
        </w:r>
        <w:r w:rsidR="007566B9">
          <w:rPr>
            <w:noProof/>
            <w:webHidden/>
          </w:rPr>
          <w:fldChar w:fldCharType="separate"/>
        </w:r>
        <w:r w:rsidR="00BE543D">
          <w:rPr>
            <w:noProof/>
            <w:webHidden/>
          </w:rPr>
          <w:t>xxiii</w:t>
        </w:r>
        <w:r w:rsidR="007566B9">
          <w:rPr>
            <w:noProof/>
            <w:webHidden/>
          </w:rPr>
          <w:fldChar w:fldCharType="end"/>
        </w:r>
      </w:hyperlink>
    </w:p>
    <w:p w14:paraId="218ACF84" w14:textId="081C6593" w:rsidR="007566B9" w:rsidRDefault="00260768">
      <w:pPr>
        <w:pStyle w:val="TableofFigures"/>
        <w:rPr>
          <w:rFonts w:asciiTheme="minorHAnsi" w:eastAsiaTheme="minorEastAsia" w:hAnsiTheme="minorHAnsi" w:cstheme="minorBidi"/>
          <w:noProof/>
          <w:sz w:val="22"/>
          <w:szCs w:val="22"/>
        </w:rPr>
      </w:pPr>
      <w:hyperlink w:anchor="_Toc490225865" w:history="1">
        <w:r w:rsidR="007566B9" w:rsidRPr="004557AD">
          <w:rPr>
            <w:rStyle w:val="Hyperlink"/>
            <w:noProof/>
          </w:rPr>
          <w:t>Figure ES- 6. Statewide Incremental Gas Market Potential for Incentive Programs by Sector for the TRC Reference Scenario</w:t>
        </w:r>
        <w:r w:rsidR="007566B9">
          <w:rPr>
            <w:noProof/>
            <w:webHidden/>
          </w:rPr>
          <w:tab/>
        </w:r>
        <w:r w:rsidR="007566B9">
          <w:rPr>
            <w:noProof/>
            <w:webHidden/>
          </w:rPr>
          <w:fldChar w:fldCharType="begin"/>
        </w:r>
        <w:r w:rsidR="007566B9">
          <w:rPr>
            <w:noProof/>
            <w:webHidden/>
          </w:rPr>
          <w:instrText xml:space="preserve"> PAGEREF _Toc490225865 \h </w:instrText>
        </w:r>
        <w:r w:rsidR="007566B9">
          <w:rPr>
            <w:noProof/>
            <w:webHidden/>
          </w:rPr>
        </w:r>
        <w:r w:rsidR="007566B9">
          <w:rPr>
            <w:noProof/>
            <w:webHidden/>
          </w:rPr>
          <w:fldChar w:fldCharType="separate"/>
        </w:r>
        <w:r w:rsidR="00BE543D">
          <w:rPr>
            <w:noProof/>
            <w:webHidden/>
          </w:rPr>
          <w:t>xxiv</w:t>
        </w:r>
        <w:r w:rsidR="007566B9">
          <w:rPr>
            <w:noProof/>
            <w:webHidden/>
          </w:rPr>
          <w:fldChar w:fldCharType="end"/>
        </w:r>
      </w:hyperlink>
    </w:p>
    <w:p w14:paraId="6547C2E2" w14:textId="0D76BCE4" w:rsidR="007566B9" w:rsidRDefault="00260768">
      <w:pPr>
        <w:pStyle w:val="TableofFigures"/>
        <w:rPr>
          <w:rFonts w:asciiTheme="minorHAnsi" w:eastAsiaTheme="minorEastAsia" w:hAnsiTheme="minorHAnsi" w:cstheme="minorBidi"/>
          <w:noProof/>
          <w:sz w:val="22"/>
          <w:szCs w:val="22"/>
        </w:rPr>
      </w:pPr>
      <w:hyperlink w:anchor="_Toc490225866" w:history="1">
        <w:r w:rsidR="007566B9" w:rsidRPr="004557AD">
          <w:rPr>
            <w:rStyle w:val="Hyperlink"/>
            <w:noProof/>
          </w:rPr>
          <w:t>Figure ES- 7. Statewide Program Expenditures by Scenario for Incentive Programs</w:t>
        </w:r>
        <w:r w:rsidR="007566B9">
          <w:rPr>
            <w:noProof/>
            <w:webHidden/>
          </w:rPr>
          <w:tab/>
        </w:r>
        <w:r w:rsidR="007566B9">
          <w:rPr>
            <w:noProof/>
            <w:webHidden/>
          </w:rPr>
          <w:fldChar w:fldCharType="begin"/>
        </w:r>
        <w:r w:rsidR="007566B9">
          <w:rPr>
            <w:noProof/>
            <w:webHidden/>
          </w:rPr>
          <w:instrText xml:space="preserve"> PAGEREF _Toc490225866 \h </w:instrText>
        </w:r>
        <w:r w:rsidR="007566B9">
          <w:rPr>
            <w:noProof/>
            <w:webHidden/>
          </w:rPr>
        </w:r>
        <w:r w:rsidR="007566B9">
          <w:rPr>
            <w:noProof/>
            <w:webHidden/>
          </w:rPr>
          <w:fldChar w:fldCharType="separate"/>
        </w:r>
        <w:r w:rsidR="00BE543D">
          <w:rPr>
            <w:noProof/>
            <w:webHidden/>
          </w:rPr>
          <w:t>xxv</w:t>
        </w:r>
        <w:r w:rsidR="007566B9">
          <w:rPr>
            <w:noProof/>
            <w:webHidden/>
          </w:rPr>
          <w:fldChar w:fldCharType="end"/>
        </w:r>
      </w:hyperlink>
    </w:p>
    <w:p w14:paraId="0D0C4055" w14:textId="77777777" w:rsidR="00A81D9C" w:rsidRPr="00957936" w:rsidRDefault="00A81D9C" w:rsidP="00CB6DF9">
      <w:pPr>
        <w:rPr>
          <w:rFonts w:cs="Arial"/>
          <w:szCs w:val="20"/>
        </w:rPr>
      </w:pPr>
      <w:r>
        <w:rPr>
          <w:rFonts w:cs="Arial"/>
          <w:szCs w:val="20"/>
        </w:rPr>
        <w:fldChar w:fldCharType="end"/>
      </w:r>
    </w:p>
    <w:p w14:paraId="2A0CA365" w14:textId="77777777" w:rsidR="00CB6DF9" w:rsidRDefault="00CB6DF9" w:rsidP="00CB6DF9">
      <w:pPr>
        <w:pStyle w:val="Headerinfo"/>
        <w:rPr>
          <w:b/>
          <w:color w:val="auto"/>
          <w:sz w:val="20"/>
          <w:szCs w:val="20"/>
        </w:rPr>
      </w:pPr>
      <w:r w:rsidRPr="00957936">
        <w:rPr>
          <w:b/>
          <w:color w:val="auto"/>
          <w:sz w:val="20"/>
          <w:szCs w:val="20"/>
        </w:rPr>
        <w:t>Executive Summary Tables</w:t>
      </w:r>
    </w:p>
    <w:p w14:paraId="41E51B1B" w14:textId="3EA9912D" w:rsidR="007566B9" w:rsidRDefault="00A81D9C">
      <w:pPr>
        <w:pStyle w:val="TableofFigures"/>
        <w:rPr>
          <w:rFonts w:asciiTheme="minorHAnsi" w:eastAsiaTheme="minorEastAsia" w:hAnsiTheme="minorHAnsi" w:cstheme="minorBidi"/>
          <w:noProof/>
          <w:sz w:val="22"/>
          <w:szCs w:val="22"/>
        </w:rPr>
      </w:pPr>
      <w:r>
        <w:rPr>
          <w:b/>
          <w:szCs w:val="20"/>
        </w:rPr>
        <w:fldChar w:fldCharType="begin"/>
      </w:r>
      <w:r>
        <w:rPr>
          <w:b/>
          <w:szCs w:val="20"/>
        </w:rPr>
        <w:instrText xml:space="preserve"> TOC \h \z \c "Table ES-" </w:instrText>
      </w:r>
      <w:r>
        <w:rPr>
          <w:b/>
          <w:szCs w:val="20"/>
        </w:rPr>
        <w:fldChar w:fldCharType="separate"/>
      </w:r>
      <w:hyperlink w:anchor="_Toc490226065" w:history="1">
        <w:r w:rsidR="007566B9" w:rsidRPr="00C70146">
          <w:rPr>
            <w:rStyle w:val="Hyperlink"/>
            <w:noProof/>
          </w:rPr>
          <w:t>Table ES- 1. Scenarios for Energy Efficiency Market Potential</w:t>
        </w:r>
        <w:r w:rsidR="007566B9">
          <w:rPr>
            <w:noProof/>
            <w:webHidden/>
          </w:rPr>
          <w:tab/>
        </w:r>
        <w:r w:rsidR="007566B9">
          <w:rPr>
            <w:noProof/>
            <w:webHidden/>
          </w:rPr>
          <w:fldChar w:fldCharType="begin"/>
        </w:r>
        <w:r w:rsidR="007566B9">
          <w:rPr>
            <w:noProof/>
            <w:webHidden/>
          </w:rPr>
          <w:instrText xml:space="preserve"> PAGEREF _Toc490226065 \h </w:instrText>
        </w:r>
        <w:r w:rsidR="007566B9">
          <w:rPr>
            <w:noProof/>
            <w:webHidden/>
          </w:rPr>
        </w:r>
        <w:r w:rsidR="007566B9">
          <w:rPr>
            <w:noProof/>
            <w:webHidden/>
          </w:rPr>
          <w:fldChar w:fldCharType="separate"/>
        </w:r>
        <w:r w:rsidR="00BE543D">
          <w:rPr>
            <w:noProof/>
            <w:webHidden/>
          </w:rPr>
          <w:t>xiv</w:t>
        </w:r>
        <w:r w:rsidR="007566B9">
          <w:rPr>
            <w:noProof/>
            <w:webHidden/>
          </w:rPr>
          <w:fldChar w:fldCharType="end"/>
        </w:r>
      </w:hyperlink>
    </w:p>
    <w:p w14:paraId="0D4DA43E" w14:textId="78A9877C" w:rsidR="007566B9" w:rsidRDefault="00260768">
      <w:pPr>
        <w:pStyle w:val="TableofFigures"/>
        <w:rPr>
          <w:rFonts w:asciiTheme="minorHAnsi" w:eastAsiaTheme="minorEastAsia" w:hAnsiTheme="minorHAnsi" w:cstheme="minorBidi"/>
          <w:noProof/>
          <w:sz w:val="22"/>
          <w:szCs w:val="22"/>
        </w:rPr>
      </w:pPr>
      <w:hyperlink w:anchor="_Toc490226066" w:history="1">
        <w:r w:rsidR="007566B9" w:rsidRPr="00C70146">
          <w:rPr>
            <w:rStyle w:val="Hyperlink"/>
            <w:noProof/>
          </w:rPr>
          <w:t>Table ES- 2. Statewide Incremental Electric Savings by Scenario</w:t>
        </w:r>
        <w:r w:rsidR="007566B9">
          <w:rPr>
            <w:noProof/>
            <w:webHidden/>
          </w:rPr>
          <w:tab/>
        </w:r>
        <w:r w:rsidR="007566B9">
          <w:rPr>
            <w:noProof/>
            <w:webHidden/>
          </w:rPr>
          <w:fldChar w:fldCharType="begin"/>
        </w:r>
        <w:r w:rsidR="007566B9">
          <w:rPr>
            <w:noProof/>
            <w:webHidden/>
          </w:rPr>
          <w:instrText xml:space="preserve"> PAGEREF _Toc490226066 \h </w:instrText>
        </w:r>
        <w:r w:rsidR="007566B9">
          <w:rPr>
            <w:noProof/>
            <w:webHidden/>
          </w:rPr>
        </w:r>
        <w:r w:rsidR="007566B9">
          <w:rPr>
            <w:noProof/>
            <w:webHidden/>
          </w:rPr>
          <w:fldChar w:fldCharType="separate"/>
        </w:r>
        <w:r w:rsidR="00BE543D">
          <w:rPr>
            <w:noProof/>
            <w:webHidden/>
          </w:rPr>
          <w:t>xvii</w:t>
        </w:r>
        <w:r w:rsidR="007566B9">
          <w:rPr>
            <w:noProof/>
            <w:webHidden/>
          </w:rPr>
          <w:fldChar w:fldCharType="end"/>
        </w:r>
      </w:hyperlink>
    </w:p>
    <w:p w14:paraId="76A2924C" w14:textId="179DF1C4" w:rsidR="007566B9" w:rsidRDefault="00260768">
      <w:pPr>
        <w:pStyle w:val="TableofFigures"/>
        <w:rPr>
          <w:rFonts w:asciiTheme="minorHAnsi" w:eastAsiaTheme="minorEastAsia" w:hAnsiTheme="minorHAnsi" w:cstheme="minorBidi"/>
          <w:noProof/>
          <w:sz w:val="22"/>
          <w:szCs w:val="22"/>
        </w:rPr>
      </w:pPr>
      <w:hyperlink w:anchor="_Toc490226067" w:history="1">
        <w:r w:rsidR="007566B9" w:rsidRPr="00C70146">
          <w:rPr>
            <w:rStyle w:val="Hyperlink"/>
            <w:noProof/>
          </w:rPr>
          <w:t>Table ES- 3. Statewide Incremental Gas Savings by Scenario</w:t>
        </w:r>
        <w:r w:rsidR="007566B9">
          <w:rPr>
            <w:noProof/>
            <w:webHidden/>
          </w:rPr>
          <w:tab/>
        </w:r>
        <w:r w:rsidR="007566B9">
          <w:rPr>
            <w:noProof/>
            <w:webHidden/>
          </w:rPr>
          <w:fldChar w:fldCharType="begin"/>
        </w:r>
        <w:r w:rsidR="007566B9">
          <w:rPr>
            <w:noProof/>
            <w:webHidden/>
          </w:rPr>
          <w:instrText xml:space="preserve"> PAGEREF _Toc490226067 \h </w:instrText>
        </w:r>
        <w:r w:rsidR="007566B9">
          <w:rPr>
            <w:noProof/>
            <w:webHidden/>
          </w:rPr>
        </w:r>
        <w:r w:rsidR="007566B9">
          <w:rPr>
            <w:noProof/>
            <w:webHidden/>
          </w:rPr>
          <w:fldChar w:fldCharType="separate"/>
        </w:r>
        <w:r w:rsidR="00BE543D">
          <w:rPr>
            <w:noProof/>
            <w:webHidden/>
          </w:rPr>
          <w:t>xviii</w:t>
        </w:r>
        <w:r w:rsidR="007566B9">
          <w:rPr>
            <w:noProof/>
            <w:webHidden/>
          </w:rPr>
          <w:fldChar w:fldCharType="end"/>
        </w:r>
      </w:hyperlink>
    </w:p>
    <w:p w14:paraId="55D35B27" w14:textId="2E63AAA6" w:rsidR="007566B9" w:rsidRDefault="00260768">
      <w:pPr>
        <w:pStyle w:val="TableofFigures"/>
        <w:rPr>
          <w:rFonts w:asciiTheme="minorHAnsi" w:eastAsiaTheme="minorEastAsia" w:hAnsiTheme="minorHAnsi" w:cstheme="minorBidi"/>
          <w:noProof/>
          <w:sz w:val="22"/>
          <w:szCs w:val="22"/>
        </w:rPr>
      </w:pPr>
      <w:hyperlink w:anchor="_Toc490226068" w:history="1">
        <w:r w:rsidR="007566B9" w:rsidRPr="00C70146">
          <w:rPr>
            <w:rStyle w:val="Hyperlink"/>
            <w:noProof/>
          </w:rPr>
          <w:t>Table ES- 4. Incremental Electric Market Potential as a Percent of Sales</w:t>
        </w:r>
        <w:r w:rsidR="007566B9">
          <w:rPr>
            <w:noProof/>
            <w:webHidden/>
          </w:rPr>
          <w:tab/>
        </w:r>
        <w:r w:rsidR="007566B9">
          <w:rPr>
            <w:noProof/>
            <w:webHidden/>
          </w:rPr>
          <w:fldChar w:fldCharType="begin"/>
        </w:r>
        <w:r w:rsidR="007566B9">
          <w:rPr>
            <w:noProof/>
            <w:webHidden/>
          </w:rPr>
          <w:instrText xml:space="preserve"> PAGEREF _Toc490226068 \h </w:instrText>
        </w:r>
        <w:r w:rsidR="007566B9">
          <w:rPr>
            <w:noProof/>
            <w:webHidden/>
          </w:rPr>
        </w:r>
        <w:r w:rsidR="007566B9">
          <w:rPr>
            <w:noProof/>
            <w:webHidden/>
          </w:rPr>
          <w:fldChar w:fldCharType="separate"/>
        </w:r>
        <w:r w:rsidR="00BE543D">
          <w:rPr>
            <w:noProof/>
            <w:webHidden/>
          </w:rPr>
          <w:t>xx</w:t>
        </w:r>
        <w:r w:rsidR="007566B9">
          <w:rPr>
            <w:noProof/>
            <w:webHidden/>
          </w:rPr>
          <w:fldChar w:fldCharType="end"/>
        </w:r>
      </w:hyperlink>
    </w:p>
    <w:p w14:paraId="285CD697" w14:textId="6159A2A5" w:rsidR="007566B9" w:rsidRDefault="00260768">
      <w:pPr>
        <w:pStyle w:val="TableofFigures"/>
        <w:rPr>
          <w:rFonts w:asciiTheme="minorHAnsi" w:eastAsiaTheme="minorEastAsia" w:hAnsiTheme="minorHAnsi" w:cstheme="minorBidi"/>
          <w:noProof/>
          <w:sz w:val="22"/>
          <w:szCs w:val="22"/>
        </w:rPr>
      </w:pPr>
      <w:hyperlink w:anchor="_Toc490226069" w:history="1">
        <w:r w:rsidR="007566B9" w:rsidRPr="00C70146">
          <w:rPr>
            <w:rStyle w:val="Hyperlink"/>
            <w:noProof/>
          </w:rPr>
          <w:t>Table ES- 5. Incremental Gas Market Potential as a Percent of Sales</w:t>
        </w:r>
        <w:r w:rsidR="007566B9">
          <w:rPr>
            <w:noProof/>
            <w:webHidden/>
          </w:rPr>
          <w:tab/>
        </w:r>
        <w:r w:rsidR="007566B9">
          <w:rPr>
            <w:noProof/>
            <w:webHidden/>
          </w:rPr>
          <w:fldChar w:fldCharType="begin"/>
        </w:r>
        <w:r w:rsidR="007566B9">
          <w:rPr>
            <w:noProof/>
            <w:webHidden/>
          </w:rPr>
          <w:instrText xml:space="preserve"> PAGEREF _Toc490226069 \h </w:instrText>
        </w:r>
        <w:r w:rsidR="007566B9">
          <w:rPr>
            <w:noProof/>
            <w:webHidden/>
          </w:rPr>
        </w:r>
        <w:r w:rsidR="007566B9">
          <w:rPr>
            <w:noProof/>
            <w:webHidden/>
          </w:rPr>
          <w:fldChar w:fldCharType="separate"/>
        </w:r>
        <w:r w:rsidR="00BE543D">
          <w:rPr>
            <w:noProof/>
            <w:webHidden/>
          </w:rPr>
          <w:t>xxi</w:t>
        </w:r>
        <w:r w:rsidR="007566B9">
          <w:rPr>
            <w:noProof/>
            <w:webHidden/>
          </w:rPr>
          <w:fldChar w:fldCharType="end"/>
        </w:r>
      </w:hyperlink>
    </w:p>
    <w:p w14:paraId="0CA11628" w14:textId="602DE489" w:rsidR="007566B9" w:rsidRDefault="00260768">
      <w:pPr>
        <w:pStyle w:val="TableofFigures"/>
        <w:rPr>
          <w:rFonts w:asciiTheme="minorHAnsi" w:eastAsiaTheme="minorEastAsia" w:hAnsiTheme="minorHAnsi" w:cstheme="minorBidi"/>
          <w:noProof/>
          <w:sz w:val="22"/>
          <w:szCs w:val="22"/>
        </w:rPr>
      </w:pPr>
      <w:hyperlink w:anchor="_Toc490226070" w:history="1">
        <w:r w:rsidR="007566B9" w:rsidRPr="00C70146">
          <w:rPr>
            <w:rStyle w:val="Hyperlink"/>
            <w:noProof/>
          </w:rPr>
          <w:t>Table ES- 6. Statewide Incremental Electric Market Potential for Incentive Programs by Sector for the TRC Reference Scenario</w:t>
        </w:r>
        <w:r w:rsidR="007566B9">
          <w:rPr>
            <w:noProof/>
            <w:webHidden/>
          </w:rPr>
          <w:tab/>
        </w:r>
        <w:r w:rsidR="007566B9">
          <w:rPr>
            <w:noProof/>
            <w:webHidden/>
          </w:rPr>
          <w:fldChar w:fldCharType="begin"/>
        </w:r>
        <w:r w:rsidR="007566B9">
          <w:rPr>
            <w:noProof/>
            <w:webHidden/>
          </w:rPr>
          <w:instrText xml:space="preserve"> PAGEREF _Toc490226070 \h </w:instrText>
        </w:r>
        <w:r w:rsidR="007566B9">
          <w:rPr>
            <w:noProof/>
            <w:webHidden/>
          </w:rPr>
        </w:r>
        <w:r w:rsidR="007566B9">
          <w:rPr>
            <w:noProof/>
            <w:webHidden/>
          </w:rPr>
          <w:fldChar w:fldCharType="separate"/>
        </w:r>
        <w:r w:rsidR="00BE543D">
          <w:rPr>
            <w:noProof/>
            <w:webHidden/>
          </w:rPr>
          <w:t>xxiii</w:t>
        </w:r>
        <w:r w:rsidR="007566B9">
          <w:rPr>
            <w:noProof/>
            <w:webHidden/>
          </w:rPr>
          <w:fldChar w:fldCharType="end"/>
        </w:r>
      </w:hyperlink>
    </w:p>
    <w:p w14:paraId="1ADBB1F5" w14:textId="54195F71" w:rsidR="007566B9" w:rsidRDefault="00260768">
      <w:pPr>
        <w:pStyle w:val="TableofFigures"/>
        <w:rPr>
          <w:rFonts w:asciiTheme="minorHAnsi" w:eastAsiaTheme="minorEastAsia" w:hAnsiTheme="minorHAnsi" w:cstheme="minorBidi"/>
          <w:noProof/>
          <w:sz w:val="22"/>
          <w:szCs w:val="22"/>
        </w:rPr>
      </w:pPr>
      <w:hyperlink w:anchor="_Toc490226071" w:history="1">
        <w:r w:rsidR="007566B9" w:rsidRPr="00C70146">
          <w:rPr>
            <w:rStyle w:val="Hyperlink"/>
            <w:noProof/>
          </w:rPr>
          <w:t>Table ES- 7. Statewide Incremental Gas Market Potential for Incentive Programs by Sector for the TRC Reference Scenario</w:t>
        </w:r>
        <w:r w:rsidR="007566B9">
          <w:rPr>
            <w:noProof/>
            <w:webHidden/>
          </w:rPr>
          <w:tab/>
        </w:r>
        <w:r w:rsidR="007566B9">
          <w:rPr>
            <w:noProof/>
            <w:webHidden/>
          </w:rPr>
          <w:fldChar w:fldCharType="begin"/>
        </w:r>
        <w:r w:rsidR="007566B9">
          <w:rPr>
            <w:noProof/>
            <w:webHidden/>
          </w:rPr>
          <w:instrText xml:space="preserve"> PAGEREF _Toc490226071 \h </w:instrText>
        </w:r>
        <w:r w:rsidR="007566B9">
          <w:rPr>
            <w:noProof/>
            <w:webHidden/>
          </w:rPr>
        </w:r>
        <w:r w:rsidR="007566B9">
          <w:rPr>
            <w:noProof/>
            <w:webHidden/>
          </w:rPr>
          <w:fldChar w:fldCharType="separate"/>
        </w:r>
        <w:r w:rsidR="00BE543D">
          <w:rPr>
            <w:noProof/>
            <w:webHidden/>
          </w:rPr>
          <w:t>xxiv</w:t>
        </w:r>
        <w:r w:rsidR="007566B9">
          <w:rPr>
            <w:noProof/>
            <w:webHidden/>
          </w:rPr>
          <w:fldChar w:fldCharType="end"/>
        </w:r>
      </w:hyperlink>
    </w:p>
    <w:p w14:paraId="7946CB08" w14:textId="5E5D312C" w:rsidR="007566B9" w:rsidRDefault="00260768">
      <w:pPr>
        <w:pStyle w:val="TableofFigures"/>
        <w:rPr>
          <w:rFonts w:asciiTheme="minorHAnsi" w:eastAsiaTheme="minorEastAsia" w:hAnsiTheme="minorHAnsi" w:cstheme="minorBidi"/>
          <w:noProof/>
          <w:sz w:val="22"/>
          <w:szCs w:val="22"/>
        </w:rPr>
      </w:pPr>
      <w:hyperlink w:anchor="_Toc490226072" w:history="1">
        <w:r w:rsidR="007566B9" w:rsidRPr="00C70146">
          <w:rPr>
            <w:rStyle w:val="Hyperlink"/>
            <w:noProof/>
          </w:rPr>
          <w:t>Table ES- 8. Statewide Spending by Scenario for IOU Rebate Programs (Million $)</w:t>
        </w:r>
        <w:r w:rsidR="007566B9">
          <w:rPr>
            <w:noProof/>
            <w:webHidden/>
          </w:rPr>
          <w:tab/>
        </w:r>
        <w:r w:rsidR="007566B9">
          <w:rPr>
            <w:noProof/>
            <w:webHidden/>
          </w:rPr>
          <w:fldChar w:fldCharType="begin"/>
        </w:r>
        <w:r w:rsidR="007566B9">
          <w:rPr>
            <w:noProof/>
            <w:webHidden/>
          </w:rPr>
          <w:instrText xml:space="preserve"> PAGEREF _Toc490226072 \h </w:instrText>
        </w:r>
        <w:r w:rsidR="007566B9">
          <w:rPr>
            <w:noProof/>
            <w:webHidden/>
          </w:rPr>
        </w:r>
        <w:r w:rsidR="007566B9">
          <w:rPr>
            <w:noProof/>
            <w:webHidden/>
          </w:rPr>
          <w:fldChar w:fldCharType="separate"/>
        </w:r>
        <w:r w:rsidR="00BE543D">
          <w:rPr>
            <w:noProof/>
            <w:webHidden/>
          </w:rPr>
          <w:t>xxvi</w:t>
        </w:r>
        <w:r w:rsidR="007566B9">
          <w:rPr>
            <w:noProof/>
            <w:webHidden/>
          </w:rPr>
          <w:fldChar w:fldCharType="end"/>
        </w:r>
      </w:hyperlink>
    </w:p>
    <w:p w14:paraId="2BE7F99A" w14:textId="77777777" w:rsidR="00957936" w:rsidRPr="00957936" w:rsidRDefault="00A81D9C" w:rsidP="00CB6DF9">
      <w:pPr>
        <w:pStyle w:val="Headerinfo"/>
        <w:rPr>
          <w:color w:val="auto"/>
          <w:sz w:val="20"/>
          <w:szCs w:val="20"/>
        </w:rPr>
      </w:pPr>
      <w:r>
        <w:rPr>
          <w:b/>
          <w:color w:val="auto"/>
          <w:sz w:val="20"/>
          <w:szCs w:val="20"/>
        </w:rPr>
        <w:fldChar w:fldCharType="end"/>
      </w:r>
    </w:p>
    <w:p w14:paraId="7D5F60FC" w14:textId="77777777" w:rsidR="00CB6DF9" w:rsidRPr="00957936" w:rsidRDefault="00CB6DF9" w:rsidP="00CB6DF9">
      <w:pPr>
        <w:pStyle w:val="Headerinfo"/>
        <w:rPr>
          <w:b/>
          <w:color w:val="auto"/>
          <w:sz w:val="20"/>
          <w:szCs w:val="20"/>
        </w:rPr>
      </w:pPr>
      <w:r w:rsidRPr="00957936">
        <w:rPr>
          <w:b/>
          <w:color w:val="auto"/>
          <w:sz w:val="20"/>
          <w:szCs w:val="20"/>
        </w:rPr>
        <w:t>Figures</w:t>
      </w:r>
    </w:p>
    <w:p w14:paraId="43FEF4A8" w14:textId="4CEBEF0A" w:rsidR="007F4CCF" w:rsidRDefault="00CB6DF9">
      <w:pPr>
        <w:pStyle w:val="TableofFigures"/>
        <w:rPr>
          <w:rFonts w:asciiTheme="minorHAnsi" w:eastAsiaTheme="minorEastAsia" w:hAnsiTheme="minorHAnsi" w:cstheme="minorBidi"/>
          <w:noProof/>
          <w:sz w:val="22"/>
          <w:szCs w:val="22"/>
        </w:rPr>
      </w:pPr>
      <w:r w:rsidRPr="00957936">
        <w:rPr>
          <w:rFonts w:cs="Arial"/>
          <w:szCs w:val="20"/>
        </w:rPr>
        <w:fldChar w:fldCharType="begin"/>
      </w:r>
      <w:r w:rsidRPr="00957936">
        <w:rPr>
          <w:rFonts w:cs="Arial"/>
          <w:szCs w:val="20"/>
        </w:rPr>
        <w:instrText xml:space="preserve"> TOC \c "Figure" </w:instrText>
      </w:r>
      <w:r w:rsidRPr="00957936">
        <w:rPr>
          <w:rFonts w:cs="Arial"/>
          <w:szCs w:val="20"/>
        </w:rPr>
        <w:fldChar w:fldCharType="separate"/>
      </w:r>
      <w:r w:rsidR="007F4CCF">
        <w:rPr>
          <w:noProof/>
        </w:rPr>
        <w:t>Figure 2</w:t>
      </w:r>
      <w:r w:rsidR="007F4CCF">
        <w:rPr>
          <w:noProof/>
        </w:rPr>
        <w:noBreakHyphen/>
        <w:t>1. Stock Flow within a Technology Group</w:t>
      </w:r>
      <w:r w:rsidR="007F4CCF">
        <w:rPr>
          <w:noProof/>
        </w:rPr>
        <w:tab/>
      </w:r>
      <w:r w:rsidR="007F4CCF">
        <w:rPr>
          <w:noProof/>
        </w:rPr>
        <w:fldChar w:fldCharType="begin"/>
      </w:r>
      <w:r w:rsidR="007F4CCF">
        <w:rPr>
          <w:noProof/>
        </w:rPr>
        <w:instrText xml:space="preserve"> PAGEREF _Toc490491717 \h </w:instrText>
      </w:r>
      <w:r w:rsidR="007F4CCF">
        <w:rPr>
          <w:noProof/>
        </w:rPr>
      </w:r>
      <w:r w:rsidR="007F4CCF">
        <w:rPr>
          <w:noProof/>
        </w:rPr>
        <w:fldChar w:fldCharType="separate"/>
      </w:r>
      <w:r w:rsidR="0058478E">
        <w:rPr>
          <w:noProof/>
        </w:rPr>
        <w:t>11</w:t>
      </w:r>
      <w:r w:rsidR="007F4CCF">
        <w:rPr>
          <w:noProof/>
        </w:rPr>
        <w:fldChar w:fldCharType="end"/>
      </w:r>
    </w:p>
    <w:p w14:paraId="26FCB4FD" w14:textId="765F6E13" w:rsidR="007F4CCF" w:rsidRDefault="007F4CCF">
      <w:pPr>
        <w:pStyle w:val="TableofFigures"/>
        <w:rPr>
          <w:rFonts w:asciiTheme="minorHAnsi" w:eastAsiaTheme="minorEastAsia" w:hAnsiTheme="minorHAnsi" w:cstheme="minorBidi"/>
          <w:noProof/>
          <w:sz w:val="22"/>
          <w:szCs w:val="22"/>
        </w:rPr>
      </w:pPr>
      <w:r>
        <w:rPr>
          <w:noProof/>
        </w:rPr>
        <w:t>Figure 2</w:t>
      </w:r>
      <w:r>
        <w:rPr>
          <w:noProof/>
        </w:rPr>
        <w:noBreakHyphen/>
        <w:t>2. Three-Step Approach to Calculating Market Potential for Rebated Measures</w:t>
      </w:r>
      <w:r>
        <w:rPr>
          <w:noProof/>
        </w:rPr>
        <w:tab/>
      </w:r>
      <w:r>
        <w:rPr>
          <w:noProof/>
        </w:rPr>
        <w:fldChar w:fldCharType="begin"/>
      </w:r>
      <w:r>
        <w:rPr>
          <w:noProof/>
        </w:rPr>
        <w:instrText xml:space="preserve"> PAGEREF _Toc490491718 \h </w:instrText>
      </w:r>
      <w:r>
        <w:rPr>
          <w:noProof/>
        </w:rPr>
      </w:r>
      <w:r>
        <w:rPr>
          <w:noProof/>
        </w:rPr>
        <w:fldChar w:fldCharType="separate"/>
      </w:r>
      <w:r w:rsidR="0058478E">
        <w:rPr>
          <w:noProof/>
        </w:rPr>
        <w:t>12</w:t>
      </w:r>
      <w:r>
        <w:rPr>
          <w:noProof/>
        </w:rPr>
        <w:fldChar w:fldCharType="end"/>
      </w:r>
    </w:p>
    <w:p w14:paraId="47B80D39" w14:textId="3F716479" w:rsidR="007F4CCF" w:rsidRDefault="007F4CCF">
      <w:pPr>
        <w:pStyle w:val="TableofFigures"/>
        <w:rPr>
          <w:rFonts w:asciiTheme="minorHAnsi" w:eastAsiaTheme="minorEastAsia" w:hAnsiTheme="minorHAnsi" w:cstheme="minorBidi"/>
          <w:noProof/>
          <w:sz w:val="22"/>
          <w:szCs w:val="22"/>
        </w:rPr>
      </w:pPr>
      <w:r>
        <w:rPr>
          <w:noProof/>
        </w:rPr>
        <w:t>Figure 2</w:t>
      </w:r>
      <w:r>
        <w:rPr>
          <w:noProof/>
        </w:rPr>
        <w:noBreakHyphen/>
        <w:t>3. The Bass Diffusion Framework: A Dynamic Approach to Calculating Measure Adoption</w:t>
      </w:r>
      <w:r>
        <w:rPr>
          <w:noProof/>
        </w:rPr>
        <w:tab/>
      </w:r>
      <w:r>
        <w:rPr>
          <w:noProof/>
        </w:rPr>
        <w:fldChar w:fldCharType="begin"/>
      </w:r>
      <w:r>
        <w:rPr>
          <w:noProof/>
        </w:rPr>
        <w:instrText xml:space="preserve"> PAGEREF _Toc490491719 \h </w:instrText>
      </w:r>
      <w:r>
        <w:rPr>
          <w:noProof/>
        </w:rPr>
      </w:r>
      <w:r>
        <w:rPr>
          <w:noProof/>
        </w:rPr>
        <w:fldChar w:fldCharType="separate"/>
      </w:r>
      <w:r w:rsidR="0058478E">
        <w:rPr>
          <w:noProof/>
        </w:rPr>
        <w:t>13</w:t>
      </w:r>
      <w:r>
        <w:rPr>
          <w:noProof/>
        </w:rPr>
        <w:fldChar w:fldCharType="end"/>
      </w:r>
    </w:p>
    <w:p w14:paraId="7AE03033" w14:textId="2FE389CB" w:rsidR="007F4CCF" w:rsidRDefault="007F4CCF">
      <w:pPr>
        <w:pStyle w:val="TableofFigures"/>
        <w:rPr>
          <w:rFonts w:asciiTheme="minorHAnsi" w:eastAsiaTheme="minorEastAsia" w:hAnsiTheme="minorHAnsi" w:cstheme="minorBidi"/>
          <w:noProof/>
          <w:sz w:val="22"/>
          <w:szCs w:val="22"/>
        </w:rPr>
      </w:pPr>
      <w:r>
        <w:rPr>
          <w:noProof/>
        </w:rPr>
        <w:t>Figure 2</w:t>
      </w:r>
      <w:r>
        <w:rPr>
          <w:noProof/>
        </w:rPr>
        <w:noBreakHyphen/>
        <w:t>4. Illustration of Logit Willingness Curve</w:t>
      </w:r>
      <w:r>
        <w:rPr>
          <w:noProof/>
        </w:rPr>
        <w:tab/>
      </w:r>
      <w:r>
        <w:rPr>
          <w:noProof/>
        </w:rPr>
        <w:fldChar w:fldCharType="begin"/>
      </w:r>
      <w:r>
        <w:rPr>
          <w:noProof/>
        </w:rPr>
        <w:instrText xml:space="preserve"> PAGEREF _Toc490491720 \h </w:instrText>
      </w:r>
      <w:r>
        <w:rPr>
          <w:noProof/>
        </w:rPr>
      </w:r>
      <w:r>
        <w:rPr>
          <w:noProof/>
        </w:rPr>
        <w:fldChar w:fldCharType="separate"/>
      </w:r>
      <w:r w:rsidR="0058478E">
        <w:rPr>
          <w:noProof/>
        </w:rPr>
        <w:t>15</w:t>
      </w:r>
      <w:r>
        <w:rPr>
          <w:noProof/>
        </w:rPr>
        <w:fldChar w:fldCharType="end"/>
      </w:r>
    </w:p>
    <w:p w14:paraId="05A61555" w14:textId="31A2FCA6" w:rsidR="007F4CCF" w:rsidRDefault="007F4CCF">
      <w:pPr>
        <w:pStyle w:val="TableofFigures"/>
        <w:rPr>
          <w:rFonts w:asciiTheme="minorHAnsi" w:eastAsiaTheme="minorEastAsia" w:hAnsiTheme="minorHAnsi" w:cstheme="minorBidi"/>
          <w:noProof/>
          <w:sz w:val="22"/>
          <w:szCs w:val="22"/>
        </w:rPr>
      </w:pPr>
      <w:r>
        <w:rPr>
          <w:noProof/>
        </w:rPr>
        <w:t>Figure 2</w:t>
      </w:r>
      <w:r>
        <w:rPr>
          <w:noProof/>
        </w:rPr>
        <w:noBreakHyphen/>
        <w:t>5. Payback Acceptance Curve for AIMS sectors</w:t>
      </w:r>
      <w:r>
        <w:rPr>
          <w:noProof/>
        </w:rPr>
        <w:tab/>
      </w:r>
      <w:r>
        <w:rPr>
          <w:noProof/>
        </w:rPr>
        <w:fldChar w:fldCharType="begin"/>
      </w:r>
      <w:r>
        <w:rPr>
          <w:noProof/>
        </w:rPr>
        <w:instrText xml:space="preserve"> PAGEREF _Toc490491721 \h </w:instrText>
      </w:r>
      <w:r>
        <w:rPr>
          <w:noProof/>
        </w:rPr>
      </w:r>
      <w:r>
        <w:rPr>
          <w:noProof/>
        </w:rPr>
        <w:fldChar w:fldCharType="separate"/>
      </w:r>
      <w:r w:rsidR="0058478E">
        <w:rPr>
          <w:noProof/>
        </w:rPr>
        <w:t>16</w:t>
      </w:r>
      <w:r>
        <w:rPr>
          <w:noProof/>
        </w:rPr>
        <w:fldChar w:fldCharType="end"/>
      </w:r>
    </w:p>
    <w:p w14:paraId="4F8D1AA5" w14:textId="628389D1" w:rsidR="007F4CCF" w:rsidRDefault="007F4CCF">
      <w:pPr>
        <w:pStyle w:val="TableofFigures"/>
        <w:rPr>
          <w:rFonts w:asciiTheme="minorHAnsi" w:eastAsiaTheme="minorEastAsia" w:hAnsiTheme="minorHAnsi" w:cstheme="minorBidi"/>
          <w:noProof/>
          <w:sz w:val="22"/>
          <w:szCs w:val="22"/>
        </w:rPr>
      </w:pPr>
      <w:r>
        <w:rPr>
          <w:noProof/>
        </w:rPr>
        <w:t>Figure 2</w:t>
      </w:r>
      <w:r>
        <w:rPr>
          <w:noProof/>
        </w:rPr>
        <w:noBreakHyphen/>
        <w:t>6. Cumulative Savings Illustration</w:t>
      </w:r>
      <w:r>
        <w:rPr>
          <w:noProof/>
        </w:rPr>
        <w:tab/>
      </w:r>
      <w:r>
        <w:rPr>
          <w:noProof/>
        </w:rPr>
        <w:fldChar w:fldCharType="begin"/>
      </w:r>
      <w:r>
        <w:rPr>
          <w:noProof/>
        </w:rPr>
        <w:instrText xml:space="preserve"> PAGEREF _Toc490491722 \h </w:instrText>
      </w:r>
      <w:r>
        <w:rPr>
          <w:noProof/>
        </w:rPr>
      </w:r>
      <w:r>
        <w:rPr>
          <w:noProof/>
        </w:rPr>
        <w:fldChar w:fldCharType="separate"/>
      </w:r>
      <w:r w:rsidR="0058478E">
        <w:rPr>
          <w:noProof/>
        </w:rPr>
        <w:t>17</w:t>
      </w:r>
      <w:r>
        <w:rPr>
          <w:noProof/>
        </w:rPr>
        <w:fldChar w:fldCharType="end"/>
      </w:r>
    </w:p>
    <w:p w14:paraId="734411B1" w14:textId="3A44A45A" w:rsidR="007F4CCF" w:rsidRDefault="007F4CCF">
      <w:pPr>
        <w:pStyle w:val="TableofFigures"/>
        <w:rPr>
          <w:rFonts w:asciiTheme="minorHAnsi" w:eastAsiaTheme="minorEastAsia" w:hAnsiTheme="minorHAnsi" w:cstheme="minorBidi"/>
          <w:noProof/>
          <w:sz w:val="22"/>
          <w:szCs w:val="22"/>
        </w:rPr>
      </w:pPr>
      <w:r>
        <w:rPr>
          <w:noProof/>
        </w:rPr>
        <w:t>Figure 2</w:t>
      </w:r>
      <w:r>
        <w:rPr>
          <w:noProof/>
        </w:rPr>
        <w:noBreakHyphen/>
        <w:t>7. Below Code NTG Illustration</w:t>
      </w:r>
      <w:r>
        <w:rPr>
          <w:noProof/>
        </w:rPr>
        <w:tab/>
      </w:r>
      <w:r>
        <w:rPr>
          <w:noProof/>
        </w:rPr>
        <w:fldChar w:fldCharType="begin"/>
      </w:r>
      <w:r>
        <w:rPr>
          <w:noProof/>
        </w:rPr>
        <w:instrText xml:space="preserve"> PAGEREF _Toc490491723 \h </w:instrText>
      </w:r>
      <w:r>
        <w:rPr>
          <w:noProof/>
        </w:rPr>
      </w:r>
      <w:r>
        <w:rPr>
          <w:noProof/>
        </w:rPr>
        <w:fldChar w:fldCharType="separate"/>
      </w:r>
      <w:r w:rsidR="0058478E">
        <w:rPr>
          <w:noProof/>
        </w:rPr>
        <w:t>18</w:t>
      </w:r>
      <w:r>
        <w:rPr>
          <w:noProof/>
        </w:rPr>
        <w:fldChar w:fldCharType="end"/>
      </w:r>
    </w:p>
    <w:p w14:paraId="1567A6C5" w14:textId="23D16E11" w:rsidR="007F4CCF" w:rsidRDefault="007F4CCF">
      <w:pPr>
        <w:pStyle w:val="TableofFigures"/>
        <w:rPr>
          <w:rFonts w:asciiTheme="minorHAnsi" w:eastAsiaTheme="minorEastAsia" w:hAnsiTheme="minorHAnsi" w:cstheme="minorBidi"/>
          <w:noProof/>
          <w:sz w:val="22"/>
          <w:szCs w:val="22"/>
        </w:rPr>
      </w:pPr>
      <w:r>
        <w:rPr>
          <w:noProof/>
        </w:rPr>
        <w:t>Figure 2</w:t>
      </w:r>
      <w:r>
        <w:rPr>
          <w:noProof/>
        </w:rPr>
        <w:noBreakHyphen/>
        <w:t>8. C&amp;S Savings Calculation Methodology</w:t>
      </w:r>
      <w:r>
        <w:rPr>
          <w:noProof/>
        </w:rPr>
        <w:tab/>
      </w:r>
      <w:r>
        <w:rPr>
          <w:noProof/>
        </w:rPr>
        <w:fldChar w:fldCharType="begin"/>
      </w:r>
      <w:r>
        <w:rPr>
          <w:noProof/>
        </w:rPr>
        <w:instrText xml:space="preserve"> PAGEREF _Toc490491724 \h </w:instrText>
      </w:r>
      <w:r>
        <w:rPr>
          <w:noProof/>
        </w:rPr>
      </w:r>
      <w:r>
        <w:rPr>
          <w:noProof/>
        </w:rPr>
        <w:fldChar w:fldCharType="separate"/>
      </w:r>
      <w:r w:rsidR="0058478E">
        <w:rPr>
          <w:noProof/>
        </w:rPr>
        <w:t>24</w:t>
      </w:r>
      <w:r>
        <w:rPr>
          <w:noProof/>
        </w:rPr>
        <w:fldChar w:fldCharType="end"/>
      </w:r>
    </w:p>
    <w:p w14:paraId="44758398" w14:textId="05557AD3" w:rsidR="007F4CCF" w:rsidRDefault="007F4CCF">
      <w:pPr>
        <w:pStyle w:val="TableofFigures"/>
        <w:rPr>
          <w:rFonts w:asciiTheme="minorHAnsi" w:eastAsiaTheme="minorEastAsia" w:hAnsiTheme="minorHAnsi" w:cstheme="minorBidi"/>
          <w:noProof/>
          <w:sz w:val="22"/>
          <w:szCs w:val="22"/>
        </w:rPr>
      </w:pPr>
      <w:r>
        <w:rPr>
          <w:noProof/>
        </w:rPr>
        <w:t>Figure 3</w:t>
      </w:r>
      <w:r>
        <w:rPr>
          <w:noProof/>
        </w:rPr>
        <w:noBreakHyphen/>
        <w:t>1. Res/Com Technology Selection Process</w:t>
      </w:r>
      <w:r>
        <w:rPr>
          <w:noProof/>
        </w:rPr>
        <w:tab/>
      </w:r>
      <w:r>
        <w:rPr>
          <w:noProof/>
        </w:rPr>
        <w:fldChar w:fldCharType="begin"/>
      </w:r>
      <w:r>
        <w:rPr>
          <w:noProof/>
        </w:rPr>
        <w:instrText xml:space="preserve"> PAGEREF _Toc490491725 \h </w:instrText>
      </w:r>
      <w:r>
        <w:rPr>
          <w:noProof/>
        </w:rPr>
      </w:r>
      <w:r>
        <w:rPr>
          <w:noProof/>
        </w:rPr>
        <w:fldChar w:fldCharType="separate"/>
      </w:r>
      <w:r w:rsidR="0058478E">
        <w:rPr>
          <w:noProof/>
        </w:rPr>
        <w:t>41</w:t>
      </w:r>
      <w:r>
        <w:rPr>
          <w:noProof/>
        </w:rPr>
        <w:fldChar w:fldCharType="end"/>
      </w:r>
    </w:p>
    <w:p w14:paraId="6B46489D" w14:textId="5D6FAFB7" w:rsidR="007F4CCF" w:rsidRDefault="007F4CCF">
      <w:pPr>
        <w:pStyle w:val="TableofFigures"/>
        <w:rPr>
          <w:rFonts w:asciiTheme="minorHAnsi" w:eastAsiaTheme="minorEastAsia" w:hAnsiTheme="minorHAnsi" w:cstheme="minorBidi"/>
          <w:noProof/>
          <w:sz w:val="22"/>
          <w:szCs w:val="22"/>
        </w:rPr>
      </w:pPr>
      <w:r>
        <w:rPr>
          <w:noProof/>
        </w:rPr>
        <w:t>Figure 3</w:t>
      </w:r>
      <w:r>
        <w:rPr>
          <w:noProof/>
        </w:rPr>
        <w:noBreakHyphen/>
        <w:t>2. Res/Com Technology List Development Process</w:t>
      </w:r>
      <w:r>
        <w:rPr>
          <w:noProof/>
        </w:rPr>
        <w:tab/>
      </w:r>
      <w:r>
        <w:rPr>
          <w:noProof/>
        </w:rPr>
        <w:fldChar w:fldCharType="begin"/>
      </w:r>
      <w:r>
        <w:rPr>
          <w:noProof/>
        </w:rPr>
        <w:instrText xml:space="preserve"> PAGEREF _Toc490491726 \h </w:instrText>
      </w:r>
      <w:r>
        <w:rPr>
          <w:noProof/>
        </w:rPr>
      </w:r>
      <w:r>
        <w:rPr>
          <w:noProof/>
        </w:rPr>
        <w:fldChar w:fldCharType="separate"/>
      </w:r>
      <w:r w:rsidR="0058478E">
        <w:rPr>
          <w:noProof/>
        </w:rPr>
        <w:t>42</w:t>
      </w:r>
      <w:r>
        <w:rPr>
          <w:noProof/>
        </w:rPr>
        <w:fldChar w:fldCharType="end"/>
      </w:r>
    </w:p>
    <w:p w14:paraId="025CAC8B" w14:textId="54D3F287" w:rsidR="007F4CCF" w:rsidRDefault="007F4CCF">
      <w:pPr>
        <w:pStyle w:val="TableofFigures"/>
        <w:rPr>
          <w:rFonts w:asciiTheme="minorHAnsi" w:eastAsiaTheme="minorEastAsia" w:hAnsiTheme="minorHAnsi" w:cstheme="minorBidi"/>
          <w:noProof/>
          <w:sz w:val="22"/>
          <w:szCs w:val="22"/>
        </w:rPr>
      </w:pPr>
      <w:r>
        <w:rPr>
          <w:noProof/>
        </w:rPr>
        <w:t>Figure 3</w:t>
      </w:r>
      <w:r>
        <w:rPr>
          <w:noProof/>
        </w:rPr>
        <w:noBreakHyphen/>
        <w:t>3. Projected LED Technology Improvements, 2013-2030</w:t>
      </w:r>
      <w:r>
        <w:rPr>
          <w:noProof/>
        </w:rPr>
        <w:tab/>
      </w:r>
      <w:r>
        <w:rPr>
          <w:noProof/>
        </w:rPr>
        <w:fldChar w:fldCharType="begin"/>
      </w:r>
      <w:r>
        <w:rPr>
          <w:noProof/>
        </w:rPr>
        <w:instrText xml:space="preserve"> PAGEREF _Toc490491727 \h </w:instrText>
      </w:r>
      <w:r>
        <w:rPr>
          <w:noProof/>
        </w:rPr>
      </w:r>
      <w:r>
        <w:rPr>
          <w:noProof/>
        </w:rPr>
        <w:fldChar w:fldCharType="separate"/>
      </w:r>
      <w:r w:rsidR="0058478E">
        <w:rPr>
          <w:noProof/>
        </w:rPr>
        <w:t>50</w:t>
      </w:r>
      <w:r>
        <w:rPr>
          <w:noProof/>
        </w:rPr>
        <w:fldChar w:fldCharType="end"/>
      </w:r>
    </w:p>
    <w:p w14:paraId="38540D90" w14:textId="054E86F6" w:rsidR="007F4CCF" w:rsidRDefault="007F4CCF">
      <w:pPr>
        <w:pStyle w:val="TableofFigures"/>
        <w:rPr>
          <w:rFonts w:asciiTheme="minorHAnsi" w:eastAsiaTheme="minorEastAsia" w:hAnsiTheme="minorHAnsi" w:cstheme="minorBidi"/>
          <w:noProof/>
          <w:sz w:val="22"/>
          <w:szCs w:val="22"/>
        </w:rPr>
      </w:pPr>
      <w:r>
        <w:rPr>
          <w:noProof/>
        </w:rPr>
        <w:t>Figure 3</w:t>
      </w:r>
      <w:r>
        <w:rPr>
          <w:noProof/>
        </w:rPr>
        <w:noBreakHyphen/>
        <w:t>4. Projected LED Cost Reduction Profiles, 2013-2030</w:t>
      </w:r>
      <w:r>
        <w:rPr>
          <w:noProof/>
        </w:rPr>
        <w:tab/>
      </w:r>
      <w:r>
        <w:rPr>
          <w:noProof/>
        </w:rPr>
        <w:fldChar w:fldCharType="begin"/>
      </w:r>
      <w:r>
        <w:rPr>
          <w:noProof/>
        </w:rPr>
        <w:instrText xml:space="preserve"> PAGEREF _Toc490491728 \h </w:instrText>
      </w:r>
      <w:r>
        <w:rPr>
          <w:noProof/>
        </w:rPr>
      </w:r>
      <w:r>
        <w:rPr>
          <w:noProof/>
        </w:rPr>
        <w:fldChar w:fldCharType="separate"/>
      </w:r>
      <w:r w:rsidR="0058478E">
        <w:rPr>
          <w:noProof/>
        </w:rPr>
        <w:t>51</w:t>
      </w:r>
      <w:r>
        <w:rPr>
          <w:noProof/>
        </w:rPr>
        <w:fldChar w:fldCharType="end"/>
      </w:r>
    </w:p>
    <w:p w14:paraId="0B992895" w14:textId="75B92F6A" w:rsidR="007F4CCF" w:rsidRDefault="007F4CCF">
      <w:pPr>
        <w:pStyle w:val="TableofFigures"/>
        <w:rPr>
          <w:rFonts w:asciiTheme="minorHAnsi" w:eastAsiaTheme="minorEastAsia" w:hAnsiTheme="minorHAnsi" w:cstheme="minorBidi"/>
          <w:noProof/>
          <w:sz w:val="22"/>
          <w:szCs w:val="22"/>
        </w:rPr>
      </w:pPr>
      <w:r>
        <w:rPr>
          <w:noProof/>
        </w:rPr>
        <w:t>Figure 3</w:t>
      </w:r>
      <w:r>
        <w:rPr>
          <w:noProof/>
        </w:rPr>
        <w:noBreakHyphen/>
        <w:t>5. Industrial and Agriculture Technology List Development Process</w:t>
      </w:r>
      <w:r>
        <w:rPr>
          <w:noProof/>
        </w:rPr>
        <w:tab/>
      </w:r>
      <w:r>
        <w:rPr>
          <w:noProof/>
        </w:rPr>
        <w:fldChar w:fldCharType="begin"/>
      </w:r>
      <w:r>
        <w:rPr>
          <w:noProof/>
        </w:rPr>
        <w:instrText xml:space="preserve"> PAGEREF _Toc490491729 \h </w:instrText>
      </w:r>
      <w:r>
        <w:rPr>
          <w:noProof/>
        </w:rPr>
      </w:r>
      <w:r>
        <w:rPr>
          <w:noProof/>
        </w:rPr>
        <w:fldChar w:fldCharType="separate"/>
      </w:r>
      <w:r w:rsidR="0058478E">
        <w:rPr>
          <w:noProof/>
        </w:rPr>
        <w:t>54</w:t>
      </w:r>
      <w:r>
        <w:rPr>
          <w:noProof/>
        </w:rPr>
        <w:fldChar w:fldCharType="end"/>
      </w:r>
    </w:p>
    <w:p w14:paraId="0DB68964" w14:textId="71DB806F" w:rsidR="007F4CCF" w:rsidRDefault="007F4CCF">
      <w:pPr>
        <w:pStyle w:val="TableofFigures"/>
        <w:rPr>
          <w:rFonts w:asciiTheme="minorHAnsi" w:eastAsiaTheme="minorEastAsia" w:hAnsiTheme="minorHAnsi" w:cstheme="minorBidi"/>
          <w:noProof/>
          <w:sz w:val="22"/>
          <w:szCs w:val="22"/>
        </w:rPr>
      </w:pPr>
      <w:r>
        <w:rPr>
          <w:noProof/>
        </w:rPr>
        <w:t>Figure 3</w:t>
      </w:r>
      <w:r>
        <w:rPr>
          <w:noProof/>
        </w:rPr>
        <w:noBreakHyphen/>
        <w:t>6. Whole Building Retrofit Savings Calculation and Viability Check</w:t>
      </w:r>
      <w:r>
        <w:rPr>
          <w:noProof/>
        </w:rPr>
        <w:tab/>
      </w:r>
      <w:r>
        <w:rPr>
          <w:noProof/>
        </w:rPr>
        <w:fldChar w:fldCharType="begin"/>
      </w:r>
      <w:r>
        <w:rPr>
          <w:noProof/>
        </w:rPr>
        <w:instrText xml:space="preserve"> PAGEREF _Toc490491730 \h </w:instrText>
      </w:r>
      <w:r>
        <w:rPr>
          <w:noProof/>
        </w:rPr>
      </w:r>
      <w:r>
        <w:rPr>
          <w:noProof/>
        </w:rPr>
        <w:fldChar w:fldCharType="separate"/>
      </w:r>
      <w:r w:rsidR="0058478E">
        <w:rPr>
          <w:noProof/>
        </w:rPr>
        <w:t>66</w:t>
      </w:r>
      <w:r>
        <w:rPr>
          <w:noProof/>
        </w:rPr>
        <w:fldChar w:fldCharType="end"/>
      </w:r>
    </w:p>
    <w:p w14:paraId="2EC169B7" w14:textId="4E04C400" w:rsidR="007F4CCF" w:rsidRDefault="007F4CCF">
      <w:pPr>
        <w:pStyle w:val="TableofFigures"/>
        <w:rPr>
          <w:rFonts w:asciiTheme="minorHAnsi" w:eastAsiaTheme="minorEastAsia" w:hAnsiTheme="minorHAnsi" w:cstheme="minorBidi"/>
          <w:noProof/>
          <w:sz w:val="22"/>
          <w:szCs w:val="22"/>
        </w:rPr>
      </w:pPr>
      <w:r>
        <w:rPr>
          <w:noProof/>
        </w:rPr>
        <w:t>Figure 3</w:t>
      </w:r>
      <w:r>
        <w:rPr>
          <w:noProof/>
        </w:rPr>
        <w:noBreakHyphen/>
        <w:t>7. Selection Process for Residential and Commercial BROs Energy Efficiency Programs</w:t>
      </w:r>
      <w:r>
        <w:rPr>
          <w:noProof/>
        </w:rPr>
        <w:tab/>
      </w:r>
      <w:r>
        <w:rPr>
          <w:noProof/>
        </w:rPr>
        <w:fldChar w:fldCharType="begin"/>
      </w:r>
      <w:r>
        <w:rPr>
          <w:noProof/>
        </w:rPr>
        <w:instrText xml:space="preserve"> PAGEREF _Toc490491731 \h </w:instrText>
      </w:r>
      <w:r>
        <w:rPr>
          <w:noProof/>
        </w:rPr>
      </w:r>
      <w:r>
        <w:rPr>
          <w:noProof/>
        </w:rPr>
        <w:fldChar w:fldCharType="separate"/>
      </w:r>
      <w:r w:rsidR="0058478E">
        <w:rPr>
          <w:noProof/>
        </w:rPr>
        <w:t>71</w:t>
      </w:r>
      <w:r>
        <w:rPr>
          <w:noProof/>
        </w:rPr>
        <w:fldChar w:fldCharType="end"/>
      </w:r>
    </w:p>
    <w:p w14:paraId="4D0167A6" w14:textId="57F5F47E" w:rsidR="007F4CCF" w:rsidRDefault="007F4CCF">
      <w:pPr>
        <w:pStyle w:val="TableofFigures"/>
        <w:rPr>
          <w:rFonts w:asciiTheme="minorHAnsi" w:eastAsiaTheme="minorEastAsia" w:hAnsiTheme="minorHAnsi" w:cstheme="minorBidi"/>
          <w:noProof/>
          <w:sz w:val="22"/>
          <w:szCs w:val="22"/>
        </w:rPr>
      </w:pPr>
      <w:r>
        <w:rPr>
          <w:noProof/>
        </w:rPr>
        <w:t>Figure 3</w:t>
      </w:r>
      <w:r>
        <w:rPr>
          <w:noProof/>
        </w:rPr>
        <w:noBreakHyphen/>
        <w:t>8. Residential BROs</w:t>
      </w:r>
      <w:r>
        <w:rPr>
          <w:noProof/>
        </w:rPr>
        <w:tab/>
      </w:r>
      <w:r>
        <w:rPr>
          <w:noProof/>
        </w:rPr>
        <w:fldChar w:fldCharType="begin"/>
      </w:r>
      <w:r>
        <w:rPr>
          <w:noProof/>
        </w:rPr>
        <w:instrText xml:space="preserve"> PAGEREF _Toc490491732 \h </w:instrText>
      </w:r>
      <w:r>
        <w:rPr>
          <w:noProof/>
        </w:rPr>
      </w:r>
      <w:r>
        <w:rPr>
          <w:noProof/>
        </w:rPr>
        <w:fldChar w:fldCharType="separate"/>
      </w:r>
      <w:r w:rsidR="0058478E">
        <w:rPr>
          <w:noProof/>
        </w:rPr>
        <w:t>73</w:t>
      </w:r>
      <w:r>
        <w:rPr>
          <w:noProof/>
        </w:rPr>
        <w:fldChar w:fldCharType="end"/>
      </w:r>
    </w:p>
    <w:p w14:paraId="49F220CC" w14:textId="60BB8D05" w:rsidR="007F4CCF" w:rsidRDefault="007F4CCF">
      <w:pPr>
        <w:pStyle w:val="TableofFigures"/>
        <w:rPr>
          <w:rFonts w:asciiTheme="minorHAnsi" w:eastAsiaTheme="minorEastAsia" w:hAnsiTheme="minorHAnsi" w:cstheme="minorBidi"/>
          <w:noProof/>
          <w:sz w:val="22"/>
          <w:szCs w:val="22"/>
        </w:rPr>
      </w:pPr>
      <w:r>
        <w:rPr>
          <w:noProof/>
        </w:rPr>
        <w:t>Figure 3</w:t>
      </w:r>
      <w:r>
        <w:rPr>
          <w:noProof/>
        </w:rPr>
        <w:noBreakHyphen/>
        <w:t>9. Commercial BROs</w:t>
      </w:r>
      <w:r>
        <w:rPr>
          <w:noProof/>
        </w:rPr>
        <w:tab/>
      </w:r>
      <w:r>
        <w:rPr>
          <w:noProof/>
        </w:rPr>
        <w:fldChar w:fldCharType="begin"/>
      </w:r>
      <w:r>
        <w:rPr>
          <w:noProof/>
        </w:rPr>
        <w:instrText xml:space="preserve"> PAGEREF _Toc490491733 \h </w:instrText>
      </w:r>
      <w:r>
        <w:rPr>
          <w:noProof/>
        </w:rPr>
      </w:r>
      <w:r>
        <w:rPr>
          <w:noProof/>
        </w:rPr>
        <w:fldChar w:fldCharType="separate"/>
      </w:r>
      <w:r w:rsidR="0058478E">
        <w:rPr>
          <w:noProof/>
        </w:rPr>
        <w:t>73</w:t>
      </w:r>
      <w:r>
        <w:rPr>
          <w:noProof/>
        </w:rPr>
        <w:fldChar w:fldCharType="end"/>
      </w:r>
    </w:p>
    <w:p w14:paraId="68E1159D" w14:textId="125ADADE" w:rsidR="007F4CCF" w:rsidRDefault="007F4CCF">
      <w:pPr>
        <w:pStyle w:val="TableofFigures"/>
        <w:rPr>
          <w:rFonts w:asciiTheme="minorHAnsi" w:eastAsiaTheme="minorEastAsia" w:hAnsiTheme="minorHAnsi" w:cstheme="minorBidi"/>
          <w:noProof/>
          <w:sz w:val="22"/>
          <w:szCs w:val="22"/>
        </w:rPr>
      </w:pPr>
      <w:r w:rsidRPr="00007B97">
        <w:rPr>
          <w:noProof/>
        </w:rPr>
        <w:t>Figure 4</w:t>
      </w:r>
      <w:r w:rsidRPr="00007B97">
        <w:rPr>
          <w:noProof/>
        </w:rPr>
        <w:noBreakHyphen/>
        <w:t>1. Incremental Electric Market Potential as a Percent of Sales</w:t>
      </w:r>
      <w:r>
        <w:rPr>
          <w:noProof/>
        </w:rPr>
        <w:tab/>
      </w:r>
      <w:r>
        <w:rPr>
          <w:noProof/>
        </w:rPr>
        <w:fldChar w:fldCharType="begin"/>
      </w:r>
      <w:r>
        <w:rPr>
          <w:noProof/>
        </w:rPr>
        <w:instrText xml:space="preserve"> PAGEREF _Toc490491734 \h </w:instrText>
      </w:r>
      <w:r>
        <w:rPr>
          <w:noProof/>
        </w:rPr>
      </w:r>
      <w:r>
        <w:rPr>
          <w:noProof/>
        </w:rPr>
        <w:fldChar w:fldCharType="separate"/>
      </w:r>
      <w:r w:rsidR="0058478E">
        <w:rPr>
          <w:noProof/>
        </w:rPr>
        <w:t>86</w:t>
      </w:r>
      <w:r>
        <w:rPr>
          <w:noProof/>
        </w:rPr>
        <w:fldChar w:fldCharType="end"/>
      </w:r>
    </w:p>
    <w:p w14:paraId="1E070A45" w14:textId="72B31E93"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2. Incremental Gas Market Potential as a Percent of Sales</w:t>
      </w:r>
      <w:r>
        <w:rPr>
          <w:noProof/>
        </w:rPr>
        <w:tab/>
      </w:r>
      <w:r>
        <w:rPr>
          <w:noProof/>
        </w:rPr>
        <w:fldChar w:fldCharType="begin"/>
      </w:r>
      <w:r>
        <w:rPr>
          <w:noProof/>
        </w:rPr>
        <w:instrText xml:space="preserve"> PAGEREF _Toc490491735 \h </w:instrText>
      </w:r>
      <w:r>
        <w:rPr>
          <w:noProof/>
        </w:rPr>
      </w:r>
      <w:r>
        <w:rPr>
          <w:noProof/>
        </w:rPr>
        <w:fldChar w:fldCharType="separate"/>
      </w:r>
      <w:r w:rsidR="0058478E">
        <w:rPr>
          <w:noProof/>
        </w:rPr>
        <w:t>87</w:t>
      </w:r>
      <w:r>
        <w:rPr>
          <w:noProof/>
        </w:rPr>
        <w:fldChar w:fldCharType="end"/>
      </w:r>
    </w:p>
    <w:p w14:paraId="0F21B191" w14:textId="569951AD"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3. Statewide Spending by Scenario for IOU Incentive Programs</w:t>
      </w:r>
      <w:r>
        <w:rPr>
          <w:noProof/>
        </w:rPr>
        <w:tab/>
      </w:r>
      <w:r>
        <w:rPr>
          <w:noProof/>
        </w:rPr>
        <w:fldChar w:fldCharType="begin"/>
      </w:r>
      <w:r>
        <w:rPr>
          <w:noProof/>
        </w:rPr>
        <w:instrText xml:space="preserve"> PAGEREF _Toc490491736 \h </w:instrText>
      </w:r>
      <w:r>
        <w:rPr>
          <w:noProof/>
        </w:rPr>
      </w:r>
      <w:r>
        <w:rPr>
          <w:noProof/>
        </w:rPr>
        <w:fldChar w:fldCharType="separate"/>
      </w:r>
      <w:r w:rsidR="0058478E">
        <w:rPr>
          <w:noProof/>
        </w:rPr>
        <w:t>87</w:t>
      </w:r>
      <w:r>
        <w:rPr>
          <w:noProof/>
        </w:rPr>
        <w:fldChar w:fldCharType="end"/>
      </w:r>
    </w:p>
    <w:p w14:paraId="1AA5B981" w14:textId="567E67BD"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4. Statewide Incremental Net Electric Market Potential by Sector for Incentive Programs in Scenario 1 (TRC Reference)</w:t>
      </w:r>
      <w:r>
        <w:rPr>
          <w:noProof/>
        </w:rPr>
        <w:tab/>
      </w:r>
      <w:r>
        <w:rPr>
          <w:noProof/>
        </w:rPr>
        <w:fldChar w:fldCharType="begin"/>
      </w:r>
      <w:r>
        <w:rPr>
          <w:noProof/>
        </w:rPr>
        <w:instrText xml:space="preserve"> PAGEREF _Toc490491737 \h </w:instrText>
      </w:r>
      <w:r>
        <w:rPr>
          <w:noProof/>
        </w:rPr>
      </w:r>
      <w:r>
        <w:rPr>
          <w:noProof/>
        </w:rPr>
        <w:fldChar w:fldCharType="separate"/>
      </w:r>
      <w:r w:rsidR="0058478E">
        <w:rPr>
          <w:noProof/>
        </w:rPr>
        <w:t>88</w:t>
      </w:r>
      <w:r>
        <w:rPr>
          <w:noProof/>
        </w:rPr>
        <w:fldChar w:fldCharType="end"/>
      </w:r>
    </w:p>
    <w:p w14:paraId="62CA5BAF" w14:textId="2D1A1651" w:rsidR="007F4CCF" w:rsidRDefault="007F4CCF">
      <w:pPr>
        <w:pStyle w:val="TableofFigures"/>
        <w:rPr>
          <w:rFonts w:asciiTheme="minorHAnsi" w:eastAsiaTheme="minorEastAsia" w:hAnsiTheme="minorHAnsi" w:cstheme="minorBidi"/>
          <w:noProof/>
          <w:sz w:val="22"/>
          <w:szCs w:val="22"/>
        </w:rPr>
      </w:pPr>
      <w:r>
        <w:rPr>
          <w:noProof/>
        </w:rPr>
        <w:lastRenderedPageBreak/>
        <w:t>Figure 4</w:t>
      </w:r>
      <w:r>
        <w:rPr>
          <w:noProof/>
        </w:rPr>
        <w:noBreakHyphen/>
        <w:t>5. Statewide Incremental Net Electric Market Potential by Sector for Incentive Programs in Scenario 2 (mTRC w/ GHG adder 1)</w:t>
      </w:r>
      <w:r>
        <w:rPr>
          <w:noProof/>
        </w:rPr>
        <w:tab/>
      </w:r>
      <w:r>
        <w:rPr>
          <w:noProof/>
        </w:rPr>
        <w:fldChar w:fldCharType="begin"/>
      </w:r>
      <w:r>
        <w:rPr>
          <w:noProof/>
        </w:rPr>
        <w:instrText xml:space="preserve"> PAGEREF _Toc490491738 \h </w:instrText>
      </w:r>
      <w:r>
        <w:rPr>
          <w:noProof/>
        </w:rPr>
      </w:r>
      <w:r>
        <w:rPr>
          <w:noProof/>
        </w:rPr>
        <w:fldChar w:fldCharType="separate"/>
      </w:r>
      <w:r w:rsidR="0058478E">
        <w:rPr>
          <w:noProof/>
        </w:rPr>
        <w:t>89</w:t>
      </w:r>
      <w:r>
        <w:rPr>
          <w:noProof/>
        </w:rPr>
        <w:fldChar w:fldCharType="end"/>
      </w:r>
    </w:p>
    <w:p w14:paraId="082C2FE7" w14:textId="3AD77AE4"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6. Statewide Incremental Electric Market Potential by Sector for Incentive Programs in Scenario 3 (mTRC w/ GHG adder 2)</w:t>
      </w:r>
      <w:r>
        <w:rPr>
          <w:noProof/>
        </w:rPr>
        <w:tab/>
      </w:r>
      <w:r>
        <w:rPr>
          <w:noProof/>
        </w:rPr>
        <w:fldChar w:fldCharType="begin"/>
      </w:r>
      <w:r>
        <w:rPr>
          <w:noProof/>
        </w:rPr>
        <w:instrText xml:space="preserve"> PAGEREF _Toc490491739 \h </w:instrText>
      </w:r>
      <w:r>
        <w:rPr>
          <w:noProof/>
        </w:rPr>
      </w:r>
      <w:r>
        <w:rPr>
          <w:noProof/>
        </w:rPr>
        <w:fldChar w:fldCharType="separate"/>
      </w:r>
      <w:r w:rsidR="0058478E">
        <w:rPr>
          <w:noProof/>
        </w:rPr>
        <w:t>89</w:t>
      </w:r>
      <w:r>
        <w:rPr>
          <w:noProof/>
        </w:rPr>
        <w:fldChar w:fldCharType="end"/>
      </w:r>
    </w:p>
    <w:p w14:paraId="223676E7" w14:textId="4108B2D7"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7. Statewide Incremental Electric Market Potential by Sector for Incentive Programs in Scenario 4 (PAC Reference)</w:t>
      </w:r>
      <w:r>
        <w:rPr>
          <w:noProof/>
        </w:rPr>
        <w:tab/>
      </w:r>
      <w:r>
        <w:rPr>
          <w:noProof/>
        </w:rPr>
        <w:fldChar w:fldCharType="begin"/>
      </w:r>
      <w:r>
        <w:rPr>
          <w:noProof/>
        </w:rPr>
        <w:instrText xml:space="preserve"> PAGEREF _Toc490491740 \h </w:instrText>
      </w:r>
      <w:r>
        <w:rPr>
          <w:noProof/>
        </w:rPr>
      </w:r>
      <w:r>
        <w:rPr>
          <w:noProof/>
        </w:rPr>
        <w:fldChar w:fldCharType="separate"/>
      </w:r>
      <w:r w:rsidR="0058478E">
        <w:rPr>
          <w:noProof/>
        </w:rPr>
        <w:t>90</w:t>
      </w:r>
      <w:r>
        <w:rPr>
          <w:noProof/>
        </w:rPr>
        <w:fldChar w:fldCharType="end"/>
      </w:r>
    </w:p>
    <w:p w14:paraId="1E7C486C" w14:textId="74E97DDC"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8. Statewide Incremental Electric Market Potential by Sector for Incentive Programs in Scenario 5 (PAC Aggressive)</w:t>
      </w:r>
      <w:r>
        <w:rPr>
          <w:noProof/>
        </w:rPr>
        <w:tab/>
      </w:r>
      <w:r>
        <w:rPr>
          <w:noProof/>
        </w:rPr>
        <w:fldChar w:fldCharType="begin"/>
      </w:r>
      <w:r>
        <w:rPr>
          <w:noProof/>
        </w:rPr>
        <w:instrText xml:space="preserve"> PAGEREF _Toc490491741 \h </w:instrText>
      </w:r>
      <w:r>
        <w:rPr>
          <w:noProof/>
        </w:rPr>
      </w:r>
      <w:r>
        <w:rPr>
          <w:noProof/>
        </w:rPr>
        <w:fldChar w:fldCharType="separate"/>
      </w:r>
      <w:r w:rsidR="0058478E">
        <w:rPr>
          <w:noProof/>
        </w:rPr>
        <w:t>90</w:t>
      </w:r>
      <w:r>
        <w:rPr>
          <w:noProof/>
        </w:rPr>
        <w:fldChar w:fldCharType="end"/>
      </w:r>
    </w:p>
    <w:p w14:paraId="20F31C2C" w14:textId="39C141F2"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9. Statewide Incremental Gas Market Potential by Sector for Incentive Programs in Scenario 1 (TRC Reference)</w:t>
      </w:r>
      <w:r>
        <w:rPr>
          <w:noProof/>
        </w:rPr>
        <w:tab/>
      </w:r>
      <w:r>
        <w:rPr>
          <w:noProof/>
        </w:rPr>
        <w:fldChar w:fldCharType="begin"/>
      </w:r>
      <w:r>
        <w:rPr>
          <w:noProof/>
        </w:rPr>
        <w:instrText xml:space="preserve"> PAGEREF _Toc490491742 \h </w:instrText>
      </w:r>
      <w:r>
        <w:rPr>
          <w:noProof/>
        </w:rPr>
      </w:r>
      <w:r>
        <w:rPr>
          <w:noProof/>
        </w:rPr>
        <w:fldChar w:fldCharType="separate"/>
      </w:r>
      <w:r w:rsidR="0058478E">
        <w:rPr>
          <w:noProof/>
        </w:rPr>
        <w:t>91</w:t>
      </w:r>
      <w:r>
        <w:rPr>
          <w:noProof/>
        </w:rPr>
        <w:fldChar w:fldCharType="end"/>
      </w:r>
    </w:p>
    <w:p w14:paraId="298C7BA8" w14:textId="4B44AD12"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10. Statewide Incremental Gas Market Potential by Sector for Incentive Programs in Scenario 2 (mTRC w/ GHG adder 1)</w:t>
      </w:r>
      <w:r>
        <w:rPr>
          <w:noProof/>
        </w:rPr>
        <w:tab/>
      </w:r>
      <w:r>
        <w:rPr>
          <w:noProof/>
        </w:rPr>
        <w:fldChar w:fldCharType="begin"/>
      </w:r>
      <w:r>
        <w:rPr>
          <w:noProof/>
        </w:rPr>
        <w:instrText xml:space="preserve"> PAGEREF _Toc490491743 \h </w:instrText>
      </w:r>
      <w:r>
        <w:rPr>
          <w:noProof/>
        </w:rPr>
      </w:r>
      <w:r>
        <w:rPr>
          <w:noProof/>
        </w:rPr>
        <w:fldChar w:fldCharType="separate"/>
      </w:r>
      <w:r w:rsidR="0058478E">
        <w:rPr>
          <w:noProof/>
        </w:rPr>
        <w:t>91</w:t>
      </w:r>
      <w:r>
        <w:rPr>
          <w:noProof/>
        </w:rPr>
        <w:fldChar w:fldCharType="end"/>
      </w:r>
    </w:p>
    <w:p w14:paraId="0D70B44D" w14:textId="1CA43DA1"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11. Statewide Incremental Gas Market Potential by Sector for Incentive Programs in Scenario 3 (mTRC w/ GHG adder 2)</w:t>
      </w:r>
      <w:r>
        <w:rPr>
          <w:noProof/>
        </w:rPr>
        <w:tab/>
      </w:r>
      <w:r>
        <w:rPr>
          <w:noProof/>
        </w:rPr>
        <w:fldChar w:fldCharType="begin"/>
      </w:r>
      <w:r>
        <w:rPr>
          <w:noProof/>
        </w:rPr>
        <w:instrText xml:space="preserve"> PAGEREF _Toc490491744 \h </w:instrText>
      </w:r>
      <w:r>
        <w:rPr>
          <w:noProof/>
        </w:rPr>
      </w:r>
      <w:r>
        <w:rPr>
          <w:noProof/>
        </w:rPr>
        <w:fldChar w:fldCharType="separate"/>
      </w:r>
      <w:r w:rsidR="0058478E">
        <w:rPr>
          <w:noProof/>
        </w:rPr>
        <w:t>92</w:t>
      </w:r>
      <w:r>
        <w:rPr>
          <w:noProof/>
        </w:rPr>
        <w:fldChar w:fldCharType="end"/>
      </w:r>
    </w:p>
    <w:p w14:paraId="37C1A066" w14:textId="33EF12B7"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12. Statewide Incremental Gas Market Potential by Sector for Incentive Programs in Scenario 4 (PAC Reference)</w:t>
      </w:r>
      <w:r>
        <w:rPr>
          <w:noProof/>
        </w:rPr>
        <w:tab/>
      </w:r>
      <w:r>
        <w:rPr>
          <w:noProof/>
        </w:rPr>
        <w:fldChar w:fldCharType="begin"/>
      </w:r>
      <w:r>
        <w:rPr>
          <w:noProof/>
        </w:rPr>
        <w:instrText xml:space="preserve"> PAGEREF _Toc490491745 \h </w:instrText>
      </w:r>
      <w:r>
        <w:rPr>
          <w:noProof/>
        </w:rPr>
      </w:r>
      <w:r>
        <w:rPr>
          <w:noProof/>
        </w:rPr>
        <w:fldChar w:fldCharType="separate"/>
      </w:r>
      <w:r w:rsidR="0058478E">
        <w:rPr>
          <w:noProof/>
        </w:rPr>
        <w:t>92</w:t>
      </w:r>
      <w:r>
        <w:rPr>
          <w:noProof/>
        </w:rPr>
        <w:fldChar w:fldCharType="end"/>
      </w:r>
    </w:p>
    <w:p w14:paraId="1A334C43" w14:textId="29513DA0"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13. Statewide Incremental Gas Market Potential by Sector for Incentive Programs in Scenario 5 (PAC Aggressive)</w:t>
      </w:r>
      <w:r>
        <w:rPr>
          <w:noProof/>
        </w:rPr>
        <w:tab/>
      </w:r>
      <w:r>
        <w:rPr>
          <w:noProof/>
        </w:rPr>
        <w:fldChar w:fldCharType="begin"/>
      </w:r>
      <w:r>
        <w:rPr>
          <w:noProof/>
        </w:rPr>
        <w:instrText xml:space="preserve"> PAGEREF _Toc490491746 \h </w:instrText>
      </w:r>
      <w:r>
        <w:rPr>
          <w:noProof/>
        </w:rPr>
      </w:r>
      <w:r>
        <w:rPr>
          <w:noProof/>
        </w:rPr>
        <w:fldChar w:fldCharType="separate"/>
      </w:r>
      <w:r w:rsidR="0058478E">
        <w:rPr>
          <w:noProof/>
        </w:rPr>
        <w:t>93</w:t>
      </w:r>
      <w:r>
        <w:rPr>
          <w:noProof/>
        </w:rPr>
        <w:fldChar w:fldCharType="end"/>
      </w:r>
    </w:p>
    <w:p w14:paraId="3D016CB3" w14:textId="59D0C2C4"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14. Statewide Spending by Sector for Incentive Programs in Scenario 1 (TRC Reference)</w:t>
      </w:r>
      <w:r>
        <w:rPr>
          <w:noProof/>
        </w:rPr>
        <w:tab/>
      </w:r>
      <w:r>
        <w:rPr>
          <w:noProof/>
        </w:rPr>
        <w:fldChar w:fldCharType="begin"/>
      </w:r>
      <w:r>
        <w:rPr>
          <w:noProof/>
        </w:rPr>
        <w:instrText xml:space="preserve"> PAGEREF _Toc490491747 \h </w:instrText>
      </w:r>
      <w:r>
        <w:rPr>
          <w:noProof/>
        </w:rPr>
      </w:r>
      <w:r>
        <w:rPr>
          <w:noProof/>
        </w:rPr>
        <w:fldChar w:fldCharType="separate"/>
      </w:r>
      <w:r w:rsidR="0058478E">
        <w:rPr>
          <w:noProof/>
        </w:rPr>
        <w:t>94</w:t>
      </w:r>
      <w:r>
        <w:rPr>
          <w:noProof/>
        </w:rPr>
        <w:fldChar w:fldCharType="end"/>
      </w:r>
    </w:p>
    <w:p w14:paraId="7AB3D801" w14:textId="2408501D"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15. Statewide Spending by Sector for Incentive Programs in Scenario 2 (mTRC w/ GHG Adder 1)</w:t>
      </w:r>
      <w:r>
        <w:rPr>
          <w:noProof/>
        </w:rPr>
        <w:tab/>
      </w:r>
      <w:r>
        <w:rPr>
          <w:noProof/>
        </w:rPr>
        <w:fldChar w:fldCharType="begin"/>
      </w:r>
      <w:r>
        <w:rPr>
          <w:noProof/>
        </w:rPr>
        <w:instrText xml:space="preserve"> PAGEREF _Toc490491748 \h </w:instrText>
      </w:r>
      <w:r>
        <w:rPr>
          <w:noProof/>
        </w:rPr>
      </w:r>
      <w:r>
        <w:rPr>
          <w:noProof/>
        </w:rPr>
        <w:fldChar w:fldCharType="separate"/>
      </w:r>
      <w:r w:rsidR="0058478E">
        <w:rPr>
          <w:noProof/>
        </w:rPr>
        <w:t>94</w:t>
      </w:r>
      <w:r>
        <w:rPr>
          <w:noProof/>
        </w:rPr>
        <w:fldChar w:fldCharType="end"/>
      </w:r>
    </w:p>
    <w:p w14:paraId="60729B6B" w14:textId="176F1BD0"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16. Statewide Spending by Sector for Incentive Programs in Scenario 3 (mTRC w/ GHG Adder 2)</w:t>
      </w:r>
      <w:r>
        <w:rPr>
          <w:noProof/>
        </w:rPr>
        <w:tab/>
      </w:r>
      <w:r>
        <w:rPr>
          <w:noProof/>
        </w:rPr>
        <w:fldChar w:fldCharType="begin"/>
      </w:r>
      <w:r>
        <w:rPr>
          <w:noProof/>
        </w:rPr>
        <w:instrText xml:space="preserve"> PAGEREF _Toc490491749 \h </w:instrText>
      </w:r>
      <w:r>
        <w:rPr>
          <w:noProof/>
        </w:rPr>
      </w:r>
      <w:r>
        <w:rPr>
          <w:noProof/>
        </w:rPr>
        <w:fldChar w:fldCharType="separate"/>
      </w:r>
      <w:r w:rsidR="0058478E">
        <w:rPr>
          <w:noProof/>
        </w:rPr>
        <w:t>95</w:t>
      </w:r>
      <w:r>
        <w:rPr>
          <w:noProof/>
        </w:rPr>
        <w:fldChar w:fldCharType="end"/>
      </w:r>
    </w:p>
    <w:p w14:paraId="27C137DB" w14:textId="12A1E083"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17. Statewide Spending by Sector for Incentive Programs in Scenario 4 (PAC Reference)</w:t>
      </w:r>
      <w:r>
        <w:rPr>
          <w:noProof/>
        </w:rPr>
        <w:tab/>
      </w:r>
      <w:r>
        <w:rPr>
          <w:noProof/>
        </w:rPr>
        <w:fldChar w:fldCharType="begin"/>
      </w:r>
      <w:r>
        <w:rPr>
          <w:noProof/>
        </w:rPr>
        <w:instrText xml:space="preserve"> PAGEREF _Toc490491750 \h </w:instrText>
      </w:r>
      <w:r>
        <w:rPr>
          <w:noProof/>
        </w:rPr>
      </w:r>
      <w:r>
        <w:rPr>
          <w:noProof/>
        </w:rPr>
        <w:fldChar w:fldCharType="separate"/>
      </w:r>
      <w:r w:rsidR="0058478E">
        <w:rPr>
          <w:noProof/>
        </w:rPr>
        <w:t>95</w:t>
      </w:r>
      <w:r>
        <w:rPr>
          <w:noProof/>
        </w:rPr>
        <w:fldChar w:fldCharType="end"/>
      </w:r>
    </w:p>
    <w:p w14:paraId="3A889A2F" w14:textId="04866EA1"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18. Statewide Spending by Sector for Incentive Programs in Scenario 5 (PAC Aggressive)</w:t>
      </w:r>
      <w:r>
        <w:rPr>
          <w:noProof/>
        </w:rPr>
        <w:tab/>
      </w:r>
      <w:r>
        <w:rPr>
          <w:noProof/>
        </w:rPr>
        <w:fldChar w:fldCharType="begin"/>
      </w:r>
      <w:r>
        <w:rPr>
          <w:noProof/>
        </w:rPr>
        <w:instrText xml:space="preserve"> PAGEREF _Toc490491751 \h </w:instrText>
      </w:r>
      <w:r>
        <w:rPr>
          <w:noProof/>
        </w:rPr>
      </w:r>
      <w:r>
        <w:rPr>
          <w:noProof/>
        </w:rPr>
        <w:fldChar w:fldCharType="separate"/>
      </w:r>
      <w:r w:rsidR="0058478E">
        <w:rPr>
          <w:noProof/>
        </w:rPr>
        <w:t>96</w:t>
      </w:r>
      <w:r>
        <w:rPr>
          <w:noProof/>
        </w:rPr>
        <w:fldChar w:fldCharType="end"/>
      </w:r>
    </w:p>
    <w:p w14:paraId="258FDDCF" w14:textId="4E30D432"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19.Statewide Incremental Electric Market Potential by Scenario</w:t>
      </w:r>
      <w:r>
        <w:rPr>
          <w:noProof/>
        </w:rPr>
        <w:tab/>
      </w:r>
      <w:r>
        <w:rPr>
          <w:noProof/>
        </w:rPr>
        <w:fldChar w:fldCharType="begin"/>
      </w:r>
      <w:r>
        <w:rPr>
          <w:noProof/>
        </w:rPr>
        <w:instrText xml:space="preserve"> PAGEREF _Toc490491752 \h </w:instrText>
      </w:r>
      <w:r>
        <w:rPr>
          <w:noProof/>
        </w:rPr>
      </w:r>
      <w:r>
        <w:rPr>
          <w:noProof/>
        </w:rPr>
        <w:fldChar w:fldCharType="separate"/>
      </w:r>
      <w:r w:rsidR="0058478E">
        <w:rPr>
          <w:noProof/>
        </w:rPr>
        <w:t>97</w:t>
      </w:r>
      <w:r>
        <w:rPr>
          <w:noProof/>
        </w:rPr>
        <w:fldChar w:fldCharType="end"/>
      </w:r>
    </w:p>
    <w:p w14:paraId="1B3D14C9" w14:textId="12642F29"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20. Statewide Incremental Gas Market Potential by Scenario</w:t>
      </w:r>
      <w:r>
        <w:rPr>
          <w:noProof/>
        </w:rPr>
        <w:tab/>
      </w:r>
      <w:r>
        <w:rPr>
          <w:noProof/>
        </w:rPr>
        <w:fldChar w:fldCharType="begin"/>
      </w:r>
      <w:r>
        <w:rPr>
          <w:noProof/>
        </w:rPr>
        <w:instrText xml:space="preserve"> PAGEREF _Toc490491753 \h </w:instrText>
      </w:r>
      <w:r>
        <w:rPr>
          <w:noProof/>
        </w:rPr>
      </w:r>
      <w:r>
        <w:rPr>
          <w:noProof/>
        </w:rPr>
        <w:fldChar w:fldCharType="separate"/>
      </w:r>
      <w:r w:rsidR="0058478E">
        <w:rPr>
          <w:noProof/>
        </w:rPr>
        <w:t>98</w:t>
      </w:r>
      <w:r>
        <w:rPr>
          <w:noProof/>
        </w:rPr>
        <w:fldChar w:fldCharType="end"/>
      </w:r>
    </w:p>
    <w:p w14:paraId="11531A8B" w14:textId="36ACDE2F"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21. Statewide Residential Incremental Electric Market Potential by End Use for Equipment Rebate Programs in Scenario 1 (TRC Reference)</w:t>
      </w:r>
      <w:r>
        <w:rPr>
          <w:noProof/>
        </w:rPr>
        <w:tab/>
      </w:r>
      <w:r>
        <w:rPr>
          <w:noProof/>
        </w:rPr>
        <w:fldChar w:fldCharType="begin"/>
      </w:r>
      <w:r>
        <w:rPr>
          <w:noProof/>
        </w:rPr>
        <w:instrText xml:space="preserve"> PAGEREF _Toc490491754 \h </w:instrText>
      </w:r>
      <w:r>
        <w:rPr>
          <w:noProof/>
        </w:rPr>
      </w:r>
      <w:r>
        <w:rPr>
          <w:noProof/>
        </w:rPr>
        <w:fldChar w:fldCharType="separate"/>
      </w:r>
      <w:r w:rsidR="0058478E">
        <w:rPr>
          <w:noProof/>
        </w:rPr>
        <w:t>99</w:t>
      </w:r>
      <w:r>
        <w:rPr>
          <w:noProof/>
        </w:rPr>
        <w:fldChar w:fldCharType="end"/>
      </w:r>
    </w:p>
    <w:p w14:paraId="3C2E10D3" w14:textId="122A63FB"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22. Statewide Residential Incremental Electric Market Potential by End Use for Equipment Rebate Programs in Scenario 2 (mTRC w/ GHG Adder 1)</w:t>
      </w:r>
      <w:r>
        <w:rPr>
          <w:noProof/>
        </w:rPr>
        <w:tab/>
      </w:r>
      <w:r>
        <w:rPr>
          <w:noProof/>
        </w:rPr>
        <w:fldChar w:fldCharType="begin"/>
      </w:r>
      <w:r>
        <w:rPr>
          <w:noProof/>
        </w:rPr>
        <w:instrText xml:space="preserve"> PAGEREF _Toc490491755 \h </w:instrText>
      </w:r>
      <w:r>
        <w:rPr>
          <w:noProof/>
        </w:rPr>
      </w:r>
      <w:r>
        <w:rPr>
          <w:noProof/>
        </w:rPr>
        <w:fldChar w:fldCharType="separate"/>
      </w:r>
      <w:r w:rsidR="0058478E">
        <w:rPr>
          <w:noProof/>
        </w:rPr>
        <w:t>100</w:t>
      </w:r>
      <w:r>
        <w:rPr>
          <w:noProof/>
        </w:rPr>
        <w:fldChar w:fldCharType="end"/>
      </w:r>
    </w:p>
    <w:p w14:paraId="4E484FAF" w14:textId="5F94F119"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23. Statewide Residential Incremental Electric Market Potential by End Use for Equipment Rebate Programs in Scenario 3 (mTRC w/ GHG Adder 2)</w:t>
      </w:r>
      <w:r>
        <w:rPr>
          <w:noProof/>
        </w:rPr>
        <w:tab/>
      </w:r>
      <w:r>
        <w:rPr>
          <w:noProof/>
        </w:rPr>
        <w:fldChar w:fldCharType="begin"/>
      </w:r>
      <w:r>
        <w:rPr>
          <w:noProof/>
        </w:rPr>
        <w:instrText xml:space="preserve"> PAGEREF _Toc490491756 \h </w:instrText>
      </w:r>
      <w:r>
        <w:rPr>
          <w:noProof/>
        </w:rPr>
      </w:r>
      <w:r>
        <w:rPr>
          <w:noProof/>
        </w:rPr>
        <w:fldChar w:fldCharType="separate"/>
      </w:r>
      <w:r w:rsidR="0058478E">
        <w:rPr>
          <w:noProof/>
        </w:rPr>
        <w:t>100</w:t>
      </w:r>
      <w:r>
        <w:rPr>
          <w:noProof/>
        </w:rPr>
        <w:fldChar w:fldCharType="end"/>
      </w:r>
    </w:p>
    <w:p w14:paraId="4725CF08" w14:textId="3C8AE805"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24. Statewide Residential Incremental Electric Market Potential by End Use for Equipment Rebate Programs in Scenario 4 (PAC Reference)</w:t>
      </w:r>
      <w:r>
        <w:rPr>
          <w:noProof/>
        </w:rPr>
        <w:tab/>
      </w:r>
      <w:r>
        <w:rPr>
          <w:noProof/>
        </w:rPr>
        <w:fldChar w:fldCharType="begin"/>
      </w:r>
      <w:r>
        <w:rPr>
          <w:noProof/>
        </w:rPr>
        <w:instrText xml:space="preserve"> PAGEREF _Toc490491757 \h </w:instrText>
      </w:r>
      <w:r>
        <w:rPr>
          <w:noProof/>
        </w:rPr>
      </w:r>
      <w:r>
        <w:rPr>
          <w:noProof/>
        </w:rPr>
        <w:fldChar w:fldCharType="separate"/>
      </w:r>
      <w:r w:rsidR="0058478E">
        <w:rPr>
          <w:noProof/>
        </w:rPr>
        <w:t>101</w:t>
      </w:r>
      <w:r>
        <w:rPr>
          <w:noProof/>
        </w:rPr>
        <w:fldChar w:fldCharType="end"/>
      </w:r>
    </w:p>
    <w:p w14:paraId="1084334F" w14:textId="230AB15C"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25. Statewide Residential Incremental Electric Market Potential by End Use for Equipment Rebate Programs in Scenario 5 (PAC Aggressive)</w:t>
      </w:r>
      <w:r>
        <w:rPr>
          <w:noProof/>
        </w:rPr>
        <w:tab/>
      </w:r>
      <w:r>
        <w:rPr>
          <w:noProof/>
        </w:rPr>
        <w:fldChar w:fldCharType="begin"/>
      </w:r>
      <w:r>
        <w:rPr>
          <w:noProof/>
        </w:rPr>
        <w:instrText xml:space="preserve"> PAGEREF _Toc490491758 \h </w:instrText>
      </w:r>
      <w:r>
        <w:rPr>
          <w:noProof/>
        </w:rPr>
      </w:r>
      <w:r>
        <w:rPr>
          <w:noProof/>
        </w:rPr>
        <w:fldChar w:fldCharType="separate"/>
      </w:r>
      <w:r w:rsidR="0058478E">
        <w:rPr>
          <w:noProof/>
        </w:rPr>
        <w:t>101</w:t>
      </w:r>
      <w:r>
        <w:rPr>
          <w:noProof/>
        </w:rPr>
        <w:fldChar w:fldCharType="end"/>
      </w:r>
    </w:p>
    <w:p w14:paraId="3AB12987" w14:textId="5B8CF41A"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26. Statewide Residential Incremental Gas Market Potential by End Use for Equipment Rebate Programs in Scenario 1 (TRC Reference)</w:t>
      </w:r>
      <w:r>
        <w:rPr>
          <w:noProof/>
        </w:rPr>
        <w:tab/>
      </w:r>
      <w:r>
        <w:rPr>
          <w:noProof/>
        </w:rPr>
        <w:fldChar w:fldCharType="begin"/>
      </w:r>
      <w:r>
        <w:rPr>
          <w:noProof/>
        </w:rPr>
        <w:instrText xml:space="preserve"> PAGEREF _Toc490491759 \h </w:instrText>
      </w:r>
      <w:r>
        <w:rPr>
          <w:noProof/>
        </w:rPr>
      </w:r>
      <w:r>
        <w:rPr>
          <w:noProof/>
        </w:rPr>
        <w:fldChar w:fldCharType="separate"/>
      </w:r>
      <w:r w:rsidR="0058478E">
        <w:rPr>
          <w:noProof/>
        </w:rPr>
        <w:t>102</w:t>
      </w:r>
      <w:r>
        <w:rPr>
          <w:noProof/>
        </w:rPr>
        <w:fldChar w:fldCharType="end"/>
      </w:r>
    </w:p>
    <w:p w14:paraId="3992F2FD" w14:textId="6C00260C"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27. Statewide Residential Incremental Gas Market Potential by End Use for Equipment Rebate Programs in Scenario 2 (mTRC w/ GHG Adder 1)</w:t>
      </w:r>
      <w:r>
        <w:rPr>
          <w:noProof/>
        </w:rPr>
        <w:tab/>
      </w:r>
      <w:r>
        <w:rPr>
          <w:noProof/>
        </w:rPr>
        <w:fldChar w:fldCharType="begin"/>
      </w:r>
      <w:r>
        <w:rPr>
          <w:noProof/>
        </w:rPr>
        <w:instrText xml:space="preserve"> PAGEREF _Toc490491760 \h </w:instrText>
      </w:r>
      <w:r>
        <w:rPr>
          <w:noProof/>
        </w:rPr>
      </w:r>
      <w:r>
        <w:rPr>
          <w:noProof/>
        </w:rPr>
        <w:fldChar w:fldCharType="separate"/>
      </w:r>
      <w:r w:rsidR="0058478E">
        <w:rPr>
          <w:noProof/>
        </w:rPr>
        <w:t>103</w:t>
      </w:r>
      <w:r>
        <w:rPr>
          <w:noProof/>
        </w:rPr>
        <w:fldChar w:fldCharType="end"/>
      </w:r>
    </w:p>
    <w:p w14:paraId="5580B0AC" w14:textId="647A921C"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28. Statewide Residential Incremental Gas Market Potential by End Use for Equipment Rebate Programs in Scenario 3 (mTRC w/ GHG Adder 2)</w:t>
      </w:r>
      <w:r>
        <w:rPr>
          <w:noProof/>
        </w:rPr>
        <w:tab/>
      </w:r>
      <w:r>
        <w:rPr>
          <w:noProof/>
        </w:rPr>
        <w:fldChar w:fldCharType="begin"/>
      </w:r>
      <w:r>
        <w:rPr>
          <w:noProof/>
        </w:rPr>
        <w:instrText xml:space="preserve"> PAGEREF _Toc490491761 \h </w:instrText>
      </w:r>
      <w:r>
        <w:rPr>
          <w:noProof/>
        </w:rPr>
      </w:r>
      <w:r>
        <w:rPr>
          <w:noProof/>
        </w:rPr>
        <w:fldChar w:fldCharType="separate"/>
      </w:r>
      <w:r w:rsidR="0058478E">
        <w:rPr>
          <w:noProof/>
        </w:rPr>
        <w:t>103</w:t>
      </w:r>
      <w:r>
        <w:rPr>
          <w:noProof/>
        </w:rPr>
        <w:fldChar w:fldCharType="end"/>
      </w:r>
    </w:p>
    <w:p w14:paraId="45068B61" w14:textId="495D93A1"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29. Statewide Residential Incremental Gas Market Potential by End Use for Equipment Rebate Programs in Scenario 4 (PAC Reference)</w:t>
      </w:r>
      <w:r>
        <w:rPr>
          <w:noProof/>
        </w:rPr>
        <w:tab/>
      </w:r>
      <w:r>
        <w:rPr>
          <w:noProof/>
        </w:rPr>
        <w:fldChar w:fldCharType="begin"/>
      </w:r>
      <w:r>
        <w:rPr>
          <w:noProof/>
        </w:rPr>
        <w:instrText xml:space="preserve"> PAGEREF _Toc490491762 \h </w:instrText>
      </w:r>
      <w:r>
        <w:rPr>
          <w:noProof/>
        </w:rPr>
      </w:r>
      <w:r>
        <w:rPr>
          <w:noProof/>
        </w:rPr>
        <w:fldChar w:fldCharType="separate"/>
      </w:r>
      <w:r w:rsidR="0058478E">
        <w:rPr>
          <w:noProof/>
        </w:rPr>
        <w:t>104</w:t>
      </w:r>
      <w:r>
        <w:rPr>
          <w:noProof/>
        </w:rPr>
        <w:fldChar w:fldCharType="end"/>
      </w:r>
    </w:p>
    <w:p w14:paraId="271DDA5D" w14:textId="540DA962"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30. Statewide Residential Incremental Gas Market Potential by End Use for Equipment Rebate Programs in Scenario 5 (PAC Aggressive)</w:t>
      </w:r>
      <w:r>
        <w:rPr>
          <w:noProof/>
        </w:rPr>
        <w:tab/>
      </w:r>
      <w:r>
        <w:rPr>
          <w:noProof/>
        </w:rPr>
        <w:fldChar w:fldCharType="begin"/>
      </w:r>
      <w:r>
        <w:rPr>
          <w:noProof/>
        </w:rPr>
        <w:instrText xml:space="preserve"> PAGEREF _Toc490491763 \h </w:instrText>
      </w:r>
      <w:r>
        <w:rPr>
          <w:noProof/>
        </w:rPr>
      </w:r>
      <w:r>
        <w:rPr>
          <w:noProof/>
        </w:rPr>
        <w:fldChar w:fldCharType="separate"/>
      </w:r>
      <w:r w:rsidR="0058478E">
        <w:rPr>
          <w:noProof/>
        </w:rPr>
        <w:t>104</w:t>
      </w:r>
      <w:r>
        <w:rPr>
          <w:noProof/>
        </w:rPr>
        <w:fldChar w:fldCharType="end"/>
      </w:r>
    </w:p>
    <w:p w14:paraId="3F4ED842" w14:textId="35551DD6"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31. Statewide Commercial Incremental Electric Market Potential by End Use for Equipment Rebate Programs in Scenario 1 (TRC Reference)</w:t>
      </w:r>
      <w:r>
        <w:rPr>
          <w:noProof/>
        </w:rPr>
        <w:tab/>
      </w:r>
      <w:r>
        <w:rPr>
          <w:noProof/>
        </w:rPr>
        <w:fldChar w:fldCharType="begin"/>
      </w:r>
      <w:r>
        <w:rPr>
          <w:noProof/>
        </w:rPr>
        <w:instrText xml:space="preserve"> PAGEREF _Toc490491764 \h </w:instrText>
      </w:r>
      <w:r>
        <w:rPr>
          <w:noProof/>
        </w:rPr>
      </w:r>
      <w:r>
        <w:rPr>
          <w:noProof/>
        </w:rPr>
        <w:fldChar w:fldCharType="separate"/>
      </w:r>
      <w:r w:rsidR="0058478E">
        <w:rPr>
          <w:noProof/>
        </w:rPr>
        <w:t>105</w:t>
      </w:r>
      <w:r>
        <w:rPr>
          <w:noProof/>
        </w:rPr>
        <w:fldChar w:fldCharType="end"/>
      </w:r>
    </w:p>
    <w:p w14:paraId="4ECB37D7" w14:textId="7DFAF0A7" w:rsidR="007F4CCF" w:rsidRDefault="007F4CCF">
      <w:pPr>
        <w:pStyle w:val="TableofFigures"/>
        <w:rPr>
          <w:rFonts w:asciiTheme="minorHAnsi" w:eastAsiaTheme="minorEastAsia" w:hAnsiTheme="minorHAnsi" w:cstheme="minorBidi"/>
          <w:noProof/>
          <w:sz w:val="22"/>
          <w:szCs w:val="22"/>
        </w:rPr>
      </w:pPr>
      <w:r>
        <w:rPr>
          <w:noProof/>
        </w:rPr>
        <w:lastRenderedPageBreak/>
        <w:t>Figure 4</w:t>
      </w:r>
      <w:r>
        <w:rPr>
          <w:noProof/>
        </w:rPr>
        <w:noBreakHyphen/>
        <w:t>32. Statewide Commercial Incremental Electric Market Potential by End Use for Equipment Rebate Programs in Scenario 2 (mTRC w/ GHG Adder 1)</w:t>
      </w:r>
      <w:r>
        <w:rPr>
          <w:noProof/>
        </w:rPr>
        <w:tab/>
      </w:r>
      <w:r>
        <w:rPr>
          <w:noProof/>
        </w:rPr>
        <w:fldChar w:fldCharType="begin"/>
      </w:r>
      <w:r>
        <w:rPr>
          <w:noProof/>
        </w:rPr>
        <w:instrText xml:space="preserve"> PAGEREF _Toc490491765 \h </w:instrText>
      </w:r>
      <w:r>
        <w:rPr>
          <w:noProof/>
        </w:rPr>
      </w:r>
      <w:r>
        <w:rPr>
          <w:noProof/>
        </w:rPr>
        <w:fldChar w:fldCharType="separate"/>
      </w:r>
      <w:r w:rsidR="0058478E">
        <w:rPr>
          <w:noProof/>
        </w:rPr>
        <w:t>106</w:t>
      </w:r>
      <w:r>
        <w:rPr>
          <w:noProof/>
        </w:rPr>
        <w:fldChar w:fldCharType="end"/>
      </w:r>
    </w:p>
    <w:p w14:paraId="652A011B" w14:textId="58444FC3"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33. Statewide Commercial Incremental Electric Market Potential by End Use for Equipment Rebate Programs in Scenario 3 (mTRC w/ GHG Adder 2)</w:t>
      </w:r>
      <w:r>
        <w:rPr>
          <w:noProof/>
        </w:rPr>
        <w:tab/>
      </w:r>
      <w:r>
        <w:rPr>
          <w:noProof/>
        </w:rPr>
        <w:fldChar w:fldCharType="begin"/>
      </w:r>
      <w:r>
        <w:rPr>
          <w:noProof/>
        </w:rPr>
        <w:instrText xml:space="preserve"> PAGEREF _Toc490491766 \h </w:instrText>
      </w:r>
      <w:r>
        <w:rPr>
          <w:noProof/>
        </w:rPr>
      </w:r>
      <w:r>
        <w:rPr>
          <w:noProof/>
        </w:rPr>
        <w:fldChar w:fldCharType="separate"/>
      </w:r>
      <w:r w:rsidR="0058478E">
        <w:rPr>
          <w:noProof/>
        </w:rPr>
        <w:t>106</w:t>
      </w:r>
      <w:r>
        <w:rPr>
          <w:noProof/>
        </w:rPr>
        <w:fldChar w:fldCharType="end"/>
      </w:r>
    </w:p>
    <w:p w14:paraId="17794606" w14:textId="67ED74E7"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34. Statewide Commercial Incremental Electric Market Potential by End Use for Equipment Rebate Programs in Scenario 4 (PAC Reference)</w:t>
      </w:r>
      <w:r>
        <w:rPr>
          <w:noProof/>
        </w:rPr>
        <w:tab/>
      </w:r>
      <w:r>
        <w:rPr>
          <w:noProof/>
        </w:rPr>
        <w:fldChar w:fldCharType="begin"/>
      </w:r>
      <w:r>
        <w:rPr>
          <w:noProof/>
        </w:rPr>
        <w:instrText xml:space="preserve"> PAGEREF _Toc490491767 \h </w:instrText>
      </w:r>
      <w:r>
        <w:rPr>
          <w:noProof/>
        </w:rPr>
      </w:r>
      <w:r>
        <w:rPr>
          <w:noProof/>
        </w:rPr>
        <w:fldChar w:fldCharType="separate"/>
      </w:r>
      <w:r w:rsidR="0058478E">
        <w:rPr>
          <w:noProof/>
        </w:rPr>
        <w:t>107</w:t>
      </w:r>
      <w:r>
        <w:rPr>
          <w:noProof/>
        </w:rPr>
        <w:fldChar w:fldCharType="end"/>
      </w:r>
    </w:p>
    <w:p w14:paraId="22800629" w14:textId="7E92EBB3"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35. Statewide Commercial Incremental Electric Market Potential by End Use for Equipment Rebate Programs in Scenario 5 (PAC Aggressive)</w:t>
      </w:r>
      <w:r>
        <w:rPr>
          <w:noProof/>
        </w:rPr>
        <w:tab/>
      </w:r>
      <w:r>
        <w:rPr>
          <w:noProof/>
        </w:rPr>
        <w:fldChar w:fldCharType="begin"/>
      </w:r>
      <w:r>
        <w:rPr>
          <w:noProof/>
        </w:rPr>
        <w:instrText xml:space="preserve"> PAGEREF _Toc490491768 \h </w:instrText>
      </w:r>
      <w:r>
        <w:rPr>
          <w:noProof/>
        </w:rPr>
      </w:r>
      <w:r>
        <w:rPr>
          <w:noProof/>
        </w:rPr>
        <w:fldChar w:fldCharType="separate"/>
      </w:r>
      <w:r w:rsidR="0058478E">
        <w:rPr>
          <w:noProof/>
        </w:rPr>
        <w:t>107</w:t>
      </w:r>
      <w:r>
        <w:rPr>
          <w:noProof/>
        </w:rPr>
        <w:fldChar w:fldCharType="end"/>
      </w:r>
    </w:p>
    <w:p w14:paraId="24790C4B" w14:textId="11036463"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36. Statewide Commercial Incremental Gas Market Potential by End Use for Equipment Rebate Programs in Scenario 1 (TRC Reference)</w:t>
      </w:r>
      <w:r>
        <w:rPr>
          <w:noProof/>
        </w:rPr>
        <w:tab/>
      </w:r>
      <w:r>
        <w:rPr>
          <w:noProof/>
        </w:rPr>
        <w:fldChar w:fldCharType="begin"/>
      </w:r>
      <w:r>
        <w:rPr>
          <w:noProof/>
        </w:rPr>
        <w:instrText xml:space="preserve"> PAGEREF _Toc490491769 \h </w:instrText>
      </w:r>
      <w:r>
        <w:rPr>
          <w:noProof/>
        </w:rPr>
      </w:r>
      <w:r>
        <w:rPr>
          <w:noProof/>
        </w:rPr>
        <w:fldChar w:fldCharType="separate"/>
      </w:r>
      <w:r w:rsidR="0058478E">
        <w:rPr>
          <w:noProof/>
        </w:rPr>
        <w:t>108</w:t>
      </w:r>
      <w:r>
        <w:rPr>
          <w:noProof/>
        </w:rPr>
        <w:fldChar w:fldCharType="end"/>
      </w:r>
    </w:p>
    <w:p w14:paraId="52D951F7" w14:textId="02EF29DB"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37. Statewide Commercial Incremental Gas Market Potential by End Use for Equipment Rebate Programs in Scenario 2 (mTRC w/ GHG Adder 1)</w:t>
      </w:r>
      <w:r>
        <w:rPr>
          <w:noProof/>
        </w:rPr>
        <w:tab/>
      </w:r>
      <w:r>
        <w:rPr>
          <w:noProof/>
        </w:rPr>
        <w:fldChar w:fldCharType="begin"/>
      </w:r>
      <w:r>
        <w:rPr>
          <w:noProof/>
        </w:rPr>
        <w:instrText xml:space="preserve"> PAGEREF _Toc490491770 \h </w:instrText>
      </w:r>
      <w:r>
        <w:rPr>
          <w:noProof/>
        </w:rPr>
      </w:r>
      <w:r>
        <w:rPr>
          <w:noProof/>
        </w:rPr>
        <w:fldChar w:fldCharType="separate"/>
      </w:r>
      <w:r w:rsidR="0058478E">
        <w:rPr>
          <w:noProof/>
        </w:rPr>
        <w:t>109</w:t>
      </w:r>
      <w:r>
        <w:rPr>
          <w:noProof/>
        </w:rPr>
        <w:fldChar w:fldCharType="end"/>
      </w:r>
    </w:p>
    <w:p w14:paraId="762A5DD3" w14:textId="32EE869C"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38. Statewide Commercial Incremental Gas Market Potential by End Use for Equipment Rebate Programs in Scenario 3 (mTRC w/ GHG Adder 2)</w:t>
      </w:r>
      <w:r>
        <w:rPr>
          <w:noProof/>
        </w:rPr>
        <w:tab/>
      </w:r>
      <w:r>
        <w:rPr>
          <w:noProof/>
        </w:rPr>
        <w:fldChar w:fldCharType="begin"/>
      </w:r>
      <w:r>
        <w:rPr>
          <w:noProof/>
        </w:rPr>
        <w:instrText xml:space="preserve"> PAGEREF _Toc490491771 \h </w:instrText>
      </w:r>
      <w:r>
        <w:rPr>
          <w:noProof/>
        </w:rPr>
      </w:r>
      <w:r>
        <w:rPr>
          <w:noProof/>
        </w:rPr>
        <w:fldChar w:fldCharType="separate"/>
      </w:r>
      <w:r w:rsidR="0058478E">
        <w:rPr>
          <w:noProof/>
        </w:rPr>
        <w:t>109</w:t>
      </w:r>
      <w:r>
        <w:rPr>
          <w:noProof/>
        </w:rPr>
        <w:fldChar w:fldCharType="end"/>
      </w:r>
    </w:p>
    <w:p w14:paraId="525E5379" w14:textId="64382802"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39. Statewide Commercial Incremental Gas Market Potential by End Use for Equipment Rebate Programs in Scenario 4 (PAC Reference)</w:t>
      </w:r>
      <w:r>
        <w:rPr>
          <w:noProof/>
        </w:rPr>
        <w:tab/>
      </w:r>
      <w:r>
        <w:rPr>
          <w:noProof/>
        </w:rPr>
        <w:fldChar w:fldCharType="begin"/>
      </w:r>
      <w:r>
        <w:rPr>
          <w:noProof/>
        </w:rPr>
        <w:instrText xml:space="preserve"> PAGEREF _Toc490491772 \h </w:instrText>
      </w:r>
      <w:r>
        <w:rPr>
          <w:noProof/>
        </w:rPr>
      </w:r>
      <w:r>
        <w:rPr>
          <w:noProof/>
        </w:rPr>
        <w:fldChar w:fldCharType="separate"/>
      </w:r>
      <w:r w:rsidR="0058478E">
        <w:rPr>
          <w:noProof/>
        </w:rPr>
        <w:t>110</w:t>
      </w:r>
      <w:r>
        <w:rPr>
          <w:noProof/>
        </w:rPr>
        <w:fldChar w:fldCharType="end"/>
      </w:r>
    </w:p>
    <w:p w14:paraId="07B5317C" w14:textId="6112B800"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40. Statewide Commercial Incremental Gas Market Potential by End Use for Equipment Rebate Programs in Scenario 5 (PAC Aggressive)</w:t>
      </w:r>
      <w:r>
        <w:rPr>
          <w:noProof/>
        </w:rPr>
        <w:tab/>
      </w:r>
      <w:r>
        <w:rPr>
          <w:noProof/>
        </w:rPr>
        <w:fldChar w:fldCharType="begin"/>
      </w:r>
      <w:r>
        <w:rPr>
          <w:noProof/>
        </w:rPr>
        <w:instrText xml:space="preserve"> PAGEREF _Toc490491773 \h </w:instrText>
      </w:r>
      <w:r>
        <w:rPr>
          <w:noProof/>
        </w:rPr>
      </w:r>
      <w:r>
        <w:rPr>
          <w:noProof/>
        </w:rPr>
        <w:fldChar w:fldCharType="separate"/>
      </w:r>
      <w:r w:rsidR="0058478E">
        <w:rPr>
          <w:noProof/>
        </w:rPr>
        <w:t>110</w:t>
      </w:r>
      <w:r>
        <w:rPr>
          <w:noProof/>
        </w:rPr>
        <w:fldChar w:fldCharType="end"/>
      </w:r>
    </w:p>
    <w:p w14:paraId="4D38246F" w14:textId="2ADCFCA8"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41. Statewide AIMS Incremental Electric Market Potential by End Use for Equipment Rebate Programs in Scenario 1 (TRC Reference)</w:t>
      </w:r>
      <w:r>
        <w:rPr>
          <w:noProof/>
        </w:rPr>
        <w:tab/>
      </w:r>
      <w:r>
        <w:rPr>
          <w:noProof/>
        </w:rPr>
        <w:fldChar w:fldCharType="begin"/>
      </w:r>
      <w:r>
        <w:rPr>
          <w:noProof/>
        </w:rPr>
        <w:instrText xml:space="preserve"> PAGEREF _Toc490491774 \h </w:instrText>
      </w:r>
      <w:r>
        <w:rPr>
          <w:noProof/>
        </w:rPr>
      </w:r>
      <w:r>
        <w:rPr>
          <w:noProof/>
        </w:rPr>
        <w:fldChar w:fldCharType="separate"/>
      </w:r>
      <w:r w:rsidR="0058478E">
        <w:rPr>
          <w:noProof/>
        </w:rPr>
        <w:t>111</w:t>
      </w:r>
      <w:r>
        <w:rPr>
          <w:noProof/>
        </w:rPr>
        <w:fldChar w:fldCharType="end"/>
      </w:r>
    </w:p>
    <w:p w14:paraId="7DDA8D9D" w14:textId="6A59F5C2"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42. Statewide AIMS Incremental Electric Market Potential by End Use for Equipment Rebate Programs in Scenario 2 (mTRC w/ GHG Adder 1)</w:t>
      </w:r>
      <w:r>
        <w:rPr>
          <w:noProof/>
        </w:rPr>
        <w:tab/>
      </w:r>
      <w:r>
        <w:rPr>
          <w:noProof/>
        </w:rPr>
        <w:fldChar w:fldCharType="begin"/>
      </w:r>
      <w:r>
        <w:rPr>
          <w:noProof/>
        </w:rPr>
        <w:instrText xml:space="preserve"> PAGEREF _Toc490491775 \h </w:instrText>
      </w:r>
      <w:r>
        <w:rPr>
          <w:noProof/>
        </w:rPr>
      </w:r>
      <w:r>
        <w:rPr>
          <w:noProof/>
        </w:rPr>
        <w:fldChar w:fldCharType="separate"/>
      </w:r>
      <w:r w:rsidR="0058478E">
        <w:rPr>
          <w:noProof/>
        </w:rPr>
        <w:t>112</w:t>
      </w:r>
      <w:r>
        <w:rPr>
          <w:noProof/>
        </w:rPr>
        <w:fldChar w:fldCharType="end"/>
      </w:r>
    </w:p>
    <w:p w14:paraId="4477B154" w14:textId="686807E3"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43. Statewide AIMS Incremental Electric Market Potential by End Use for Equipment Rebate Programs in Scenario 3 (mTRC w/ GHG Adder 2)</w:t>
      </w:r>
      <w:r>
        <w:rPr>
          <w:noProof/>
        </w:rPr>
        <w:tab/>
      </w:r>
      <w:r>
        <w:rPr>
          <w:noProof/>
        </w:rPr>
        <w:fldChar w:fldCharType="begin"/>
      </w:r>
      <w:r>
        <w:rPr>
          <w:noProof/>
        </w:rPr>
        <w:instrText xml:space="preserve"> PAGEREF _Toc490491776 \h </w:instrText>
      </w:r>
      <w:r>
        <w:rPr>
          <w:noProof/>
        </w:rPr>
      </w:r>
      <w:r>
        <w:rPr>
          <w:noProof/>
        </w:rPr>
        <w:fldChar w:fldCharType="separate"/>
      </w:r>
      <w:r w:rsidR="0058478E">
        <w:rPr>
          <w:noProof/>
        </w:rPr>
        <w:t>112</w:t>
      </w:r>
      <w:r>
        <w:rPr>
          <w:noProof/>
        </w:rPr>
        <w:fldChar w:fldCharType="end"/>
      </w:r>
    </w:p>
    <w:p w14:paraId="3EDAAF91" w14:textId="74B42FE9"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44. Statewide AIMS Incremental Electric Market Potential by End Use for Equipment Rebate Programs in Scenario 4 (PAC Reference)</w:t>
      </w:r>
      <w:r>
        <w:rPr>
          <w:noProof/>
        </w:rPr>
        <w:tab/>
      </w:r>
      <w:r>
        <w:rPr>
          <w:noProof/>
        </w:rPr>
        <w:fldChar w:fldCharType="begin"/>
      </w:r>
      <w:r>
        <w:rPr>
          <w:noProof/>
        </w:rPr>
        <w:instrText xml:space="preserve"> PAGEREF _Toc490491777 \h </w:instrText>
      </w:r>
      <w:r>
        <w:rPr>
          <w:noProof/>
        </w:rPr>
      </w:r>
      <w:r>
        <w:rPr>
          <w:noProof/>
        </w:rPr>
        <w:fldChar w:fldCharType="separate"/>
      </w:r>
      <w:r w:rsidR="0058478E">
        <w:rPr>
          <w:noProof/>
        </w:rPr>
        <w:t>113</w:t>
      </w:r>
      <w:r>
        <w:rPr>
          <w:noProof/>
        </w:rPr>
        <w:fldChar w:fldCharType="end"/>
      </w:r>
    </w:p>
    <w:p w14:paraId="668E3586" w14:textId="52CAB094"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45. Statewide AIMS Incremental Electric Market Potential by End Use for Equipment Rebate Programs in Scenario 5 (PAC Aggressive)</w:t>
      </w:r>
      <w:r>
        <w:rPr>
          <w:noProof/>
        </w:rPr>
        <w:tab/>
      </w:r>
      <w:r>
        <w:rPr>
          <w:noProof/>
        </w:rPr>
        <w:fldChar w:fldCharType="begin"/>
      </w:r>
      <w:r>
        <w:rPr>
          <w:noProof/>
        </w:rPr>
        <w:instrText xml:space="preserve"> PAGEREF _Toc490491778 \h </w:instrText>
      </w:r>
      <w:r>
        <w:rPr>
          <w:noProof/>
        </w:rPr>
      </w:r>
      <w:r>
        <w:rPr>
          <w:noProof/>
        </w:rPr>
        <w:fldChar w:fldCharType="separate"/>
      </w:r>
      <w:r w:rsidR="0058478E">
        <w:rPr>
          <w:noProof/>
        </w:rPr>
        <w:t>113</w:t>
      </w:r>
      <w:r>
        <w:rPr>
          <w:noProof/>
        </w:rPr>
        <w:fldChar w:fldCharType="end"/>
      </w:r>
    </w:p>
    <w:p w14:paraId="78A84C70" w14:textId="1D4F7A41"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46. Statewide AIMS Incremental Gas Market Potential by End Use for Equipment Rebate Programs in Scenario 1 (TRC Reference)</w:t>
      </w:r>
      <w:r>
        <w:rPr>
          <w:noProof/>
        </w:rPr>
        <w:tab/>
      </w:r>
      <w:r>
        <w:rPr>
          <w:noProof/>
        </w:rPr>
        <w:fldChar w:fldCharType="begin"/>
      </w:r>
      <w:r>
        <w:rPr>
          <w:noProof/>
        </w:rPr>
        <w:instrText xml:space="preserve"> PAGEREF _Toc490491779 \h </w:instrText>
      </w:r>
      <w:r>
        <w:rPr>
          <w:noProof/>
        </w:rPr>
      </w:r>
      <w:r>
        <w:rPr>
          <w:noProof/>
        </w:rPr>
        <w:fldChar w:fldCharType="separate"/>
      </w:r>
      <w:r w:rsidR="0058478E">
        <w:rPr>
          <w:noProof/>
        </w:rPr>
        <w:t>114</w:t>
      </w:r>
      <w:r>
        <w:rPr>
          <w:noProof/>
        </w:rPr>
        <w:fldChar w:fldCharType="end"/>
      </w:r>
    </w:p>
    <w:p w14:paraId="6B896111" w14:textId="7D6D7B69"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47. Statewide AIMS Incremental Gas Market Potential by End Use for Equipment Rebate Programs in Scenario 2 (mTRC w/ GHG Adder 1)</w:t>
      </w:r>
      <w:r>
        <w:rPr>
          <w:noProof/>
        </w:rPr>
        <w:tab/>
      </w:r>
      <w:r>
        <w:rPr>
          <w:noProof/>
        </w:rPr>
        <w:fldChar w:fldCharType="begin"/>
      </w:r>
      <w:r>
        <w:rPr>
          <w:noProof/>
        </w:rPr>
        <w:instrText xml:space="preserve"> PAGEREF _Toc490491780 \h </w:instrText>
      </w:r>
      <w:r>
        <w:rPr>
          <w:noProof/>
        </w:rPr>
      </w:r>
      <w:r>
        <w:rPr>
          <w:noProof/>
        </w:rPr>
        <w:fldChar w:fldCharType="separate"/>
      </w:r>
      <w:r w:rsidR="0058478E">
        <w:rPr>
          <w:noProof/>
        </w:rPr>
        <w:t>115</w:t>
      </w:r>
      <w:r>
        <w:rPr>
          <w:noProof/>
        </w:rPr>
        <w:fldChar w:fldCharType="end"/>
      </w:r>
    </w:p>
    <w:p w14:paraId="105DB719" w14:textId="4E001297"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48. Statewide AIMS Incremental Gas Market Potential by End Use for Equipment Rebate Programs in Scenario 3 (mTRC w/ GHG Adder 2)</w:t>
      </w:r>
      <w:r>
        <w:rPr>
          <w:noProof/>
        </w:rPr>
        <w:tab/>
      </w:r>
      <w:r>
        <w:rPr>
          <w:noProof/>
        </w:rPr>
        <w:fldChar w:fldCharType="begin"/>
      </w:r>
      <w:r>
        <w:rPr>
          <w:noProof/>
        </w:rPr>
        <w:instrText xml:space="preserve"> PAGEREF _Toc490491781 \h </w:instrText>
      </w:r>
      <w:r>
        <w:rPr>
          <w:noProof/>
        </w:rPr>
      </w:r>
      <w:r>
        <w:rPr>
          <w:noProof/>
        </w:rPr>
        <w:fldChar w:fldCharType="separate"/>
      </w:r>
      <w:r w:rsidR="0058478E">
        <w:rPr>
          <w:noProof/>
        </w:rPr>
        <w:t>115</w:t>
      </w:r>
      <w:r>
        <w:rPr>
          <w:noProof/>
        </w:rPr>
        <w:fldChar w:fldCharType="end"/>
      </w:r>
    </w:p>
    <w:p w14:paraId="7645FF8A" w14:textId="7611603A"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49. Statewide AIMS Incremental Gas Market Potential by End Use for Equipment Rebate Programs in Scenario 4 (PAC Reference)</w:t>
      </w:r>
      <w:r>
        <w:rPr>
          <w:noProof/>
        </w:rPr>
        <w:tab/>
      </w:r>
      <w:r>
        <w:rPr>
          <w:noProof/>
        </w:rPr>
        <w:fldChar w:fldCharType="begin"/>
      </w:r>
      <w:r>
        <w:rPr>
          <w:noProof/>
        </w:rPr>
        <w:instrText xml:space="preserve"> PAGEREF _Toc490491782 \h </w:instrText>
      </w:r>
      <w:r>
        <w:rPr>
          <w:noProof/>
        </w:rPr>
      </w:r>
      <w:r>
        <w:rPr>
          <w:noProof/>
        </w:rPr>
        <w:fldChar w:fldCharType="separate"/>
      </w:r>
      <w:r w:rsidR="0058478E">
        <w:rPr>
          <w:noProof/>
        </w:rPr>
        <w:t>116</w:t>
      </w:r>
      <w:r>
        <w:rPr>
          <w:noProof/>
        </w:rPr>
        <w:fldChar w:fldCharType="end"/>
      </w:r>
    </w:p>
    <w:p w14:paraId="76693994" w14:textId="517DFF48"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50. Statewide AIMS Incremental Gas Market Potential by End Use for Equipment Rebate Programs in Scenario 5 (PAC Aggressive)</w:t>
      </w:r>
      <w:r>
        <w:rPr>
          <w:noProof/>
        </w:rPr>
        <w:tab/>
      </w:r>
      <w:r>
        <w:rPr>
          <w:noProof/>
        </w:rPr>
        <w:fldChar w:fldCharType="begin"/>
      </w:r>
      <w:r>
        <w:rPr>
          <w:noProof/>
        </w:rPr>
        <w:instrText xml:space="preserve"> PAGEREF _Toc490491783 \h </w:instrText>
      </w:r>
      <w:r>
        <w:rPr>
          <w:noProof/>
        </w:rPr>
      </w:r>
      <w:r>
        <w:rPr>
          <w:noProof/>
        </w:rPr>
        <w:fldChar w:fldCharType="separate"/>
      </w:r>
      <w:r w:rsidR="0058478E">
        <w:rPr>
          <w:noProof/>
        </w:rPr>
        <w:t>116</w:t>
      </w:r>
      <w:r>
        <w:rPr>
          <w:noProof/>
        </w:rPr>
        <w:fldChar w:fldCharType="end"/>
      </w:r>
    </w:p>
    <w:p w14:paraId="3DD2EB10" w14:textId="35B8A6FE"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51. Statewide Stranded Electric Potential by End Use for all sectors in Scenario 1 (TRC Reference)</w:t>
      </w:r>
      <w:r>
        <w:rPr>
          <w:noProof/>
        </w:rPr>
        <w:tab/>
      </w:r>
      <w:r>
        <w:rPr>
          <w:noProof/>
        </w:rPr>
        <w:fldChar w:fldCharType="begin"/>
      </w:r>
      <w:r>
        <w:rPr>
          <w:noProof/>
        </w:rPr>
        <w:instrText xml:space="preserve"> PAGEREF _Toc490491784 \h </w:instrText>
      </w:r>
      <w:r>
        <w:rPr>
          <w:noProof/>
        </w:rPr>
      </w:r>
      <w:r>
        <w:rPr>
          <w:noProof/>
        </w:rPr>
        <w:fldChar w:fldCharType="separate"/>
      </w:r>
      <w:r w:rsidR="0058478E">
        <w:rPr>
          <w:noProof/>
        </w:rPr>
        <w:t>117</w:t>
      </w:r>
      <w:r>
        <w:rPr>
          <w:noProof/>
        </w:rPr>
        <w:fldChar w:fldCharType="end"/>
      </w:r>
    </w:p>
    <w:p w14:paraId="5F9087DF" w14:textId="64F16C6C"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52. Statewide Stranded Electric Potential by End Use for all sectors in Scenario 2 (mTRC w/ GHG Adder 1)</w:t>
      </w:r>
      <w:r>
        <w:rPr>
          <w:noProof/>
        </w:rPr>
        <w:tab/>
      </w:r>
      <w:r>
        <w:rPr>
          <w:noProof/>
        </w:rPr>
        <w:fldChar w:fldCharType="begin"/>
      </w:r>
      <w:r>
        <w:rPr>
          <w:noProof/>
        </w:rPr>
        <w:instrText xml:space="preserve"> PAGEREF _Toc490491785 \h </w:instrText>
      </w:r>
      <w:r>
        <w:rPr>
          <w:noProof/>
        </w:rPr>
      </w:r>
      <w:r>
        <w:rPr>
          <w:noProof/>
        </w:rPr>
        <w:fldChar w:fldCharType="separate"/>
      </w:r>
      <w:r w:rsidR="0058478E">
        <w:rPr>
          <w:noProof/>
        </w:rPr>
        <w:t>118</w:t>
      </w:r>
      <w:r>
        <w:rPr>
          <w:noProof/>
        </w:rPr>
        <w:fldChar w:fldCharType="end"/>
      </w:r>
    </w:p>
    <w:p w14:paraId="46B965A8" w14:textId="58F63C26"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53. Statewide Stranded Electric Potential by End Use for all sectors in Scenario 3 (mTRC w/ GHG Adder 2)</w:t>
      </w:r>
      <w:r>
        <w:rPr>
          <w:noProof/>
        </w:rPr>
        <w:tab/>
      </w:r>
      <w:r>
        <w:rPr>
          <w:noProof/>
        </w:rPr>
        <w:fldChar w:fldCharType="begin"/>
      </w:r>
      <w:r>
        <w:rPr>
          <w:noProof/>
        </w:rPr>
        <w:instrText xml:space="preserve"> PAGEREF _Toc490491786 \h </w:instrText>
      </w:r>
      <w:r>
        <w:rPr>
          <w:noProof/>
        </w:rPr>
      </w:r>
      <w:r>
        <w:rPr>
          <w:noProof/>
        </w:rPr>
        <w:fldChar w:fldCharType="separate"/>
      </w:r>
      <w:r w:rsidR="0058478E">
        <w:rPr>
          <w:noProof/>
        </w:rPr>
        <w:t>118</w:t>
      </w:r>
      <w:r>
        <w:rPr>
          <w:noProof/>
        </w:rPr>
        <w:fldChar w:fldCharType="end"/>
      </w:r>
    </w:p>
    <w:p w14:paraId="517DAA3C" w14:textId="187B8E3F"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54. Statewide Stranded Electric Potential by End Use for all sectors in Scenario 4 (PAC Reference)</w:t>
      </w:r>
      <w:r>
        <w:rPr>
          <w:noProof/>
        </w:rPr>
        <w:tab/>
      </w:r>
      <w:r>
        <w:rPr>
          <w:noProof/>
        </w:rPr>
        <w:fldChar w:fldCharType="begin"/>
      </w:r>
      <w:r>
        <w:rPr>
          <w:noProof/>
        </w:rPr>
        <w:instrText xml:space="preserve"> PAGEREF _Toc490491787 \h </w:instrText>
      </w:r>
      <w:r>
        <w:rPr>
          <w:noProof/>
        </w:rPr>
      </w:r>
      <w:r>
        <w:rPr>
          <w:noProof/>
        </w:rPr>
        <w:fldChar w:fldCharType="separate"/>
      </w:r>
      <w:r w:rsidR="0058478E">
        <w:rPr>
          <w:noProof/>
        </w:rPr>
        <w:t>119</w:t>
      </w:r>
      <w:r>
        <w:rPr>
          <w:noProof/>
        </w:rPr>
        <w:fldChar w:fldCharType="end"/>
      </w:r>
    </w:p>
    <w:p w14:paraId="5CF88F38" w14:textId="20393DBC"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55. Statewide Stranded Electric Potential by End Use for all sectors in Scenario 5 (PAC Aggressive)</w:t>
      </w:r>
      <w:r>
        <w:rPr>
          <w:noProof/>
        </w:rPr>
        <w:tab/>
      </w:r>
      <w:r>
        <w:rPr>
          <w:noProof/>
        </w:rPr>
        <w:fldChar w:fldCharType="begin"/>
      </w:r>
      <w:r>
        <w:rPr>
          <w:noProof/>
        </w:rPr>
        <w:instrText xml:space="preserve"> PAGEREF _Toc490491788 \h </w:instrText>
      </w:r>
      <w:r>
        <w:rPr>
          <w:noProof/>
        </w:rPr>
      </w:r>
      <w:r>
        <w:rPr>
          <w:noProof/>
        </w:rPr>
        <w:fldChar w:fldCharType="separate"/>
      </w:r>
      <w:r w:rsidR="0058478E">
        <w:rPr>
          <w:noProof/>
        </w:rPr>
        <w:t>119</w:t>
      </w:r>
      <w:r>
        <w:rPr>
          <w:noProof/>
        </w:rPr>
        <w:fldChar w:fldCharType="end"/>
      </w:r>
    </w:p>
    <w:p w14:paraId="469B45DD" w14:textId="1BC1297C" w:rsidR="007F4CCF" w:rsidRDefault="007F4CCF">
      <w:pPr>
        <w:pStyle w:val="TableofFigures"/>
        <w:rPr>
          <w:rFonts w:asciiTheme="minorHAnsi" w:eastAsiaTheme="minorEastAsia" w:hAnsiTheme="minorHAnsi" w:cstheme="minorBidi"/>
          <w:noProof/>
          <w:sz w:val="22"/>
          <w:szCs w:val="22"/>
        </w:rPr>
      </w:pPr>
      <w:r>
        <w:rPr>
          <w:noProof/>
        </w:rPr>
        <w:lastRenderedPageBreak/>
        <w:t>Figure 4</w:t>
      </w:r>
      <w:r>
        <w:rPr>
          <w:noProof/>
        </w:rPr>
        <w:noBreakHyphen/>
        <w:t>56. Statewide Stranded Gas Potential by End Use for all sectors in Scenario 1 (TRC Reference)</w:t>
      </w:r>
      <w:r>
        <w:rPr>
          <w:noProof/>
        </w:rPr>
        <w:tab/>
      </w:r>
      <w:r>
        <w:rPr>
          <w:noProof/>
        </w:rPr>
        <w:fldChar w:fldCharType="begin"/>
      </w:r>
      <w:r>
        <w:rPr>
          <w:noProof/>
        </w:rPr>
        <w:instrText xml:space="preserve"> PAGEREF _Toc490491789 \h </w:instrText>
      </w:r>
      <w:r>
        <w:rPr>
          <w:noProof/>
        </w:rPr>
      </w:r>
      <w:r>
        <w:rPr>
          <w:noProof/>
        </w:rPr>
        <w:fldChar w:fldCharType="separate"/>
      </w:r>
      <w:r w:rsidR="0058478E">
        <w:rPr>
          <w:noProof/>
        </w:rPr>
        <w:t>120</w:t>
      </w:r>
      <w:r>
        <w:rPr>
          <w:noProof/>
        </w:rPr>
        <w:fldChar w:fldCharType="end"/>
      </w:r>
    </w:p>
    <w:p w14:paraId="4DD4060D" w14:textId="1852B163"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57. Statewide Stranded Gas Potential by End Use for all sectors in Scenario 2 (mTRC w/ GHG Adder 1)</w:t>
      </w:r>
      <w:r>
        <w:rPr>
          <w:noProof/>
        </w:rPr>
        <w:tab/>
      </w:r>
      <w:r>
        <w:rPr>
          <w:noProof/>
        </w:rPr>
        <w:fldChar w:fldCharType="begin"/>
      </w:r>
      <w:r>
        <w:rPr>
          <w:noProof/>
        </w:rPr>
        <w:instrText xml:space="preserve"> PAGEREF _Toc490491790 \h </w:instrText>
      </w:r>
      <w:r>
        <w:rPr>
          <w:noProof/>
        </w:rPr>
      </w:r>
      <w:r>
        <w:rPr>
          <w:noProof/>
        </w:rPr>
        <w:fldChar w:fldCharType="separate"/>
      </w:r>
      <w:r w:rsidR="0058478E">
        <w:rPr>
          <w:noProof/>
        </w:rPr>
        <w:t>121</w:t>
      </w:r>
      <w:r>
        <w:rPr>
          <w:noProof/>
        </w:rPr>
        <w:fldChar w:fldCharType="end"/>
      </w:r>
    </w:p>
    <w:p w14:paraId="59F90799" w14:textId="4147A51E"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58. Statewide Stranded Gas Potential by End Use for all sectors in Scenario 3 (mTRC w/ GHG Adder 2)</w:t>
      </w:r>
      <w:r>
        <w:rPr>
          <w:noProof/>
        </w:rPr>
        <w:tab/>
      </w:r>
      <w:r>
        <w:rPr>
          <w:noProof/>
        </w:rPr>
        <w:fldChar w:fldCharType="begin"/>
      </w:r>
      <w:r>
        <w:rPr>
          <w:noProof/>
        </w:rPr>
        <w:instrText xml:space="preserve"> PAGEREF _Toc490491791 \h </w:instrText>
      </w:r>
      <w:r>
        <w:rPr>
          <w:noProof/>
        </w:rPr>
      </w:r>
      <w:r>
        <w:rPr>
          <w:noProof/>
        </w:rPr>
        <w:fldChar w:fldCharType="separate"/>
      </w:r>
      <w:r w:rsidR="0058478E">
        <w:rPr>
          <w:noProof/>
        </w:rPr>
        <w:t>121</w:t>
      </w:r>
      <w:r>
        <w:rPr>
          <w:noProof/>
        </w:rPr>
        <w:fldChar w:fldCharType="end"/>
      </w:r>
    </w:p>
    <w:p w14:paraId="41A5617B" w14:textId="42F9BBF5"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59. Statewide Stranded Gas Potential by End Use for all sectors in Scenario 4 (PAC Reference)</w:t>
      </w:r>
      <w:r>
        <w:rPr>
          <w:noProof/>
        </w:rPr>
        <w:tab/>
      </w:r>
      <w:r>
        <w:rPr>
          <w:noProof/>
        </w:rPr>
        <w:fldChar w:fldCharType="begin"/>
      </w:r>
      <w:r>
        <w:rPr>
          <w:noProof/>
        </w:rPr>
        <w:instrText xml:space="preserve"> PAGEREF _Toc490491792 \h </w:instrText>
      </w:r>
      <w:r>
        <w:rPr>
          <w:noProof/>
        </w:rPr>
      </w:r>
      <w:r>
        <w:rPr>
          <w:noProof/>
        </w:rPr>
        <w:fldChar w:fldCharType="separate"/>
      </w:r>
      <w:r w:rsidR="0058478E">
        <w:rPr>
          <w:noProof/>
        </w:rPr>
        <w:t>122</w:t>
      </w:r>
      <w:r>
        <w:rPr>
          <w:noProof/>
        </w:rPr>
        <w:fldChar w:fldCharType="end"/>
      </w:r>
    </w:p>
    <w:p w14:paraId="009990EA" w14:textId="4E97F6D5"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60. Statewide Stranded Gas Potential by End Use for all sectors in Scenario 5 (PAC Aggressive)</w:t>
      </w:r>
      <w:r>
        <w:rPr>
          <w:noProof/>
        </w:rPr>
        <w:tab/>
      </w:r>
      <w:r>
        <w:rPr>
          <w:noProof/>
        </w:rPr>
        <w:fldChar w:fldCharType="begin"/>
      </w:r>
      <w:r>
        <w:rPr>
          <w:noProof/>
        </w:rPr>
        <w:instrText xml:space="preserve"> PAGEREF _Toc490491793 \h </w:instrText>
      </w:r>
      <w:r>
        <w:rPr>
          <w:noProof/>
        </w:rPr>
      </w:r>
      <w:r>
        <w:rPr>
          <w:noProof/>
        </w:rPr>
        <w:fldChar w:fldCharType="separate"/>
      </w:r>
      <w:r w:rsidR="0058478E">
        <w:rPr>
          <w:noProof/>
        </w:rPr>
        <w:t>122</w:t>
      </w:r>
      <w:r>
        <w:rPr>
          <w:noProof/>
        </w:rPr>
        <w:fldChar w:fldCharType="end"/>
      </w:r>
    </w:p>
    <w:p w14:paraId="1E5923B2" w14:textId="132E19DD"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61. BROs Electric Savings – Reference Scenario</w:t>
      </w:r>
      <w:r>
        <w:rPr>
          <w:noProof/>
        </w:rPr>
        <w:tab/>
      </w:r>
      <w:r>
        <w:rPr>
          <w:noProof/>
        </w:rPr>
        <w:fldChar w:fldCharType="begin"/>
      </w:r>
      <w:r>
        <w:rPr>
          <w:noProof/>
        </w:rPr>
        <w:instrText xml:space="preserve"> PAGEREF _Toc490491794 \h </w:instrText>
      </w:r>
      <w:r>
        <w:rPr>
          <w:noProof/>
        </w:rPr>
      </w:r>
      <w:r>
        <w:rPr>
          <w:noProof/>
        </w:rPr>
        <w:fldChar w:fldCharType="separate"/>
      </w:r>
      <w:r w:rsidR="0058478E">
        <w:rPr>
          <w:noProof/>
        </w:rPr>
        <w:t>123</w:t>
      </w:r>
      <w:r>
        <w:rPr>
          <w:noProof/>
        </w:rPr>
        <w:fldChar w:fldCharType="end"/>
      </w:r>
    </w:p>
    <w:p w14:paraId="5CBB3077" w14:textId="04F1CA3C"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62. BROs Gas Savings – Reference Scenario</w:t>
      </w:r>
      <w:r>
        <w:rPr>
          <w:noProof/>
        </w:rPr>
        <w:tab/>
      </w:r>
      <w:r>
        <w:rPr>
          <w:noProof/>
        </w:rPr>
        <w:fldChar w:fldCharType="begin"/>
      </w:r>
      <w:r>
        <w:rPr>
          <w:noProof/>
        </w:rPr>
        <w:instrText xml:space="preserve"> PAGEREF _Toc490491795 \h </w:instrText>
      </w:r>
      <w:r>
        <w:rPr>
          <w:noProof/>
        </w:rPr>
      </w:r>
      <w:r>
        <w:rPr>
          <w:noProof/>
        </w:rPr>
        <w:fldChar w:fldCharType="separate"/>
      </w:r>
      <w:r w:rsidR="0058478E">
        <w:rPr>
          <w:noProof/>
        </w:rPr>
        <w:t>124</w:t>
      </w:r>
      <w:r>
        <w:rPr>
          <w:noProof/>
        </w:rPr>
        <w:fldChar w:fldCharType="end"/>
      </w:r>
    </w:p>
    <w:p w14:paraId="143F318B" w14:textId="428629A1"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63. BROs Program Spending – Reference Scenario</w:t>
      </w:r>
      <w:r>
        <w:rPr>
          <w:noProof/>
        </w:rPr>
        <w:tab/>
      </w:r>
      <w:r>
        <w:rPr>
          <w:noProof/>
        </w:rPr>
        <w:fldChar w:fldCharType="begin"/>
      </w:r>
      <w:r>
        <w:rPr>
          <w:noProof/>
        </w:rPr>
        <w:instrText xml:space="preserve"> PAGEREF _Toc490491796 \h </w:instrText>
      </w:r>
      <w:r>
        <w:rPr>
          <w:noProof/>
        </w:rPr>
      </w:r>
      <w:r>
        <w:rPr>
          <w:noProof/>
        </w:rPr>
        <w:fldChar w:fldCharType="separate"/>
      </w:r>
      <w:r w:rsidR="0058478E">
        <w:rPr>
          <w:noProof/>
        </w:rPr>
        <w:t>124</w:t>
      </w:r>
      <w:r>
        <w:rPr>
          <w:noProof/>
        </w:rPr>
        <w:fldChar w:fldCharType="end"/>
      </w:r>
    </w:p>
    <w:p w14:paraId="575C574B" w14:textId="5472FD59"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64. BROs Electric Savings – Aggressive Scenario</w:t>
      </w:r>
      <w:r>
        <w:rPr>
          <w:noProof/>
        </w:rPr>
        <w:tab/>
      </w:r>
      <w:r>
        <w:rPr>
          <w:noProof/>
        </w:rPr>
        <w:fldChar w:fldCharType="begin"/>
      </w:r>
      <w:r>
        <w:rPr>
          <w:noProof/>
        </w:rPr>
        <w:instrText xml:space="preserve"> PAGEREF _Toc490491797 \h </w:instrText>
      </w:r>
      <w:r>
        <w:rPr>
          <w:noProof/>
        </w:rPr>
      </w:r>
      <w:r>
        <w:rPr>
          <w:noProof/>
        </w:rPr>
        <w:fldChar w:fldCharType="separate"/>
      </w:r>
      <w:r w:rsidR="0058478E">
        <w:rPr>
          <w:noProof/>
        </w:rPr>
        <w:t>125</w:t>
      </w:r>
      <w:r>
        <w:rPr>
          <w:noProof/>
        </w:rPr>
        <w:fldChar w:fldCharType="end"/>
      </w:r>
    </w:p>
    <w:p w14:paraId="0C8DC220" w14:textId="4F9FBDF0"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65. BROs Gas Savings – Aggressive Scenario</w:t>
      </w:r>
      <w:r>
        <w:rPr>
          <w:noProof/>
        </w:rPr>
        <w:tab/>
      </w:r>
      <w:r>
        <w:rPr>
          <w:noProof/>
        </w:rPr>
        <w:fldChar w:fldCharType="begin"/>
      </w:r>
      <w:r>
        <w:rPr>
          <w:noProof/>
        </w:rPr>
        <w:instrText xml:space="preserve"> PAGEREF _Toc490491798 \h </w:instrText>
      </w:r>
      <w:r>
        <w:rPr>
          <w:noProof/>
        </w:rPr>
      </w:r>
      <w:r>
        <w:rPr>
          <w:noProof/>
        </w:rPr>
        <w:fldChar w:fldCharType="separate"/>
      </w:r>
      <w:r w:rsidR="0058478E">
        <w:rPr>
          <w:noProof/>
        </w:rPr>
        <w:t>125</w:t>
      </w:r>
      <w:r>
        <w:rPr>
          <w:noProof/>
        </w:rPr>
        <w:fldChar w:fldCharType="end"/>
      </w:r>
    </w:p>
    <w:p w14:paraId="355CEBFD" w14:textId="2FAD5CC3"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66. BROs Program Spending – Aggressive Scenario</w:t>
      </w:r>
      <w:r>
        <w:rPr>
          <w:noProof/>
        </w:rPr>
        <w:tab/>
      </w:r>
      <w:r>
        <w:rPr>
          <w:noProof/>
        </w:rPr>
        <w:fldChar w:fldCharType="begin"/>
      </w:r>
      <w:r>
        <w:rPr>
          <w:noProof/>
        </w:rPr>
        <w:instrText xml:space="preserve"> PAGEREF _Toc490491799 \h </w:instrText>
      </w:r>
      <w:r>
        <w:rPr>
          <w:noProof/>
        </w:rPr>
      </w:r>
      <w:r>
        <w:rPr>
          <w:noProof/>
        </w:rPr>
        <w:fldChar w:fldCharType="separate"/>
      </w:r>
      <w:r w:rsidR="0058478E">
        <w:rPr>
          <w:noProof/>
        </w:rPr>
        <w:t>126</w:t>
      </w:r>
      <w:r>
        <w:rPr>
          <w:noProof/>
        </w:rPr>
        <w:fldChar w:fldCharType="end"/>
      </w:r>
    </w:p>
    <w:p w14:paraId="48D622C0" w14:textId="44BDB212"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67. C&amp;S Electric Savings (Including Interactive Effects)</w:t>
      </w:r>
      <w:r>
        <w:rPr>
          <w:noProof/>
        </w:rPr>
        <w:tab/>
      </w:r>
      <w:r>
        <w:rPr>
          <w:noProof/>
        </w:rPr>
        <w:fldChar w:fldCharType="begin"/>
      </w:r>
      <w:r>
        <w:rPr>
          <w:noProof/>
        </w:rPr>
        <w:instrText xml:space="preserve"> PAGEREF _Toc490491800 \h </w:instrText>
      </w:r>
      <w:r>
        <w:rPr>
          <w:noProof/>
        </w:rPr>
      </w:r>
      <w:r>
        <w:rPr>
          <w:noProof/>
        </w:rPr>
        <w:fldChar w:fldCharType="separate"/>
      </w:r>
      <w:r w:rsidR="0058478E">
        <w:rPr>
          <w:noProof/>
        </w:rPr>
        <w:t>127</w:t>
      </w:r>
      <w:r>
        <w:rPr>
          <w:noProof/>
        </w:rPr>
        <w:fldChar w:fldCharType="end"/>
      </w:r>
    </w:p>
    <w:p w14:paraId="59FFF16C" w14:textId="0F3AB790"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68. C&amp;S Gas Savings (Including Interactive Effects)</w:t>
      </w:r>
      <w:r>
        <w:rPr>
          <w:noProof/>
        </w:rPr>
        <w:tab/>
      </w:r>
      <w:r>
        <w:rPr>
          <w:noProof/>
        </w:rPr>
        <w:fldChar w:fldCharType="begin"/>
      </w:r>
      <w:r>
        <w:rPr>
          <w:noProof/>
        </w:rPr>
        <w:instrText xml:space="preserve"> PAGEREF _Toc490491801 \h </w:instrText>
      </w:r>
      <w:r>
        <w:rPr>
          <w:noProof/>
        </w:rPr>
      </w:r>
      <w:r>
        <w:rPr>
          <w:noProof/>
        </w:rPr>
        <w:fldChar w:fldCharType="separate"/>
      </w:r>
      <w:r w:rsidR="0058478E">
        <w:rPr>
          <w:noProof/>
        </w:rPr>
        <w:t>127</w:t>
      </w:r>
      <w:r>
        <w:rPr>
          <w:noProof/>
        </w:rPr>
        <w:fldChar w:fldCharType="end"/>
      </w:r>
    </w:p>
    <w:p w14:paraId="4ADD95A0" w14:textId="66EFD370"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69. Results Viewer Overview Tab</w:t>
      </w:r>
      <w:r>
        <w:rPr>
          <w:noProof/>
        </w:rPr>
        <w:tab/>
      </w:r>
      <w:r>
        <w:rPr>
          <w:noProof/>
        </w:rPr>
        <w:fldChar w:fldCharType="begin"/>
      </w:r>
      <w:r>
        <w:rPr>
          <w:noProof/>
        </w:rPr>
        <w:instrText xml:space="preserve"> PAGEREF _Toc490491802 \h </w:instrText>
      </w:r>
      <w:r>
        <w:rPr>
          <w:noProof/>
        </w:rPr>
      </w:r>
      <w:r>
        <w:rPr>
          <w:noProof/>
        </w:rPr>
        <w:fldChar w:fldCharType="separate"/>
      </w:r>
      <w:r w:rsidR="0058478E">
        <w:rPr>
          <w:noProof/>
        </w:rPr>
        <w:t>130</w:t>
      </w:r>
      <w:r>
        <w:rPr>
          <w:noProof/>
        </w:rPr>
        <w:fldChar w:fldCharType="end"/>
      </w:r>
    </w:p>
    <w:p w14:paraId="31C1E95A" w14:textId="2B4097FB"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70. Results Viewer Scenario Comparison (Illustrative)</w:t>
      </w:r>
      <w:r>
        <w:rPr>
          <w:noProof/>
        </w:rPr>
        <w:tab/>
      </w:r>
      <w:r>
        <w:rPr>
          <w:noProof/>
        </w:rPr>
        <w:fldChar w:fldCharType="begin"/>
      </w:r>
      <w:r>
        <w:rPr>
          <w:noProof/>
        </w:rPr>
        <w:instrText xml:space="preserve"> PAGEREF _Toc490491803 \h </w:instrText>
      </w:r>
      <w:r>
        <w:rPr>
          <w:noProof/>
        </w:rPr>
      </w:r>
      <w:r>
        <w:rPr>
          <w:noProof/>
        </w:rPr>
        <w:fldChar w:fldCharType="separate"/>
      </w:r>
      <w:r w:rsidR="0058478E">
        <w:rPr>
          <w:noProof/>
        </w:rPr>
        <w:t>131</w:t>
      </w:r>
      <w:r>
        <w:rPr>
          <w:noProof/>
        </w:rPr>
        <w:fldChar w:fldCharType="end"/>
      </w:r>
    </w:p>
    <w:p w14:paraId="7721ED72" w14:textId="46027B96" w:rsidR="007F4CCF" w:rsidRDefault="007F4CCF">
      <w:pPr>
        <w:pStyle w:val="TableofFigures"/>
        <w:rPr>
          <w:rFonts w:asciiTheme="minorHAnsi" w:eastAsiaTheme="minorEastAsia" w:hAnsiTheme="minorHAnsi" w:cstheme="minorBidi"/>
          <w:noProof/>
          <w:sz w:val="22"/>
          <w:szCs w:val="22"/>
        </w:rPr>
      </w:pPr>
      <w:r>
        <w:rPr>
          <w:noProof/>
        </w:rPr>
        <w:t>Figure 4</w:t>
      </w:r>
      <w:r>
        <w:rPr>
          <w:noProof/>
        </w:rPr>
        <w:noBreakHyphen/>
        <w:t>71. Results Viewer End Uses (Illustrative)</w:t>
      </w:r>
      <w:r>
        <w:rPr>
          <w:noProof/>
        </w:rPr>
        <w:tab/>
      </w:r>
      <w:r>
        <w:rPr>
          <w:noProof/>
        </w:rPr>
        <w:fldChar w:fldCharType="begin"/>
      </w:r>
      <w:r>
        <w:rPr>
          <w:noProof/>
        </w:rPr>
        <w:instrText xml:space="preserve"> PAGEREF _Toc490491804 \h </w:instrText>
      </w:r>
      <w:r>
        <w:rPr>
          <w:noProof/>
        </w:rPr>
      </w:r>
      <w:r>
        <w:rPr>
          <w:noProof/>
        </w:rPr>
        <w:fldChar w:fldCharType="separate"/>
      </w:r>
      <w:r w:rsidR="0058478E">
        <w:rPr>
          <w:noProof/>
        </w:rPr>
        <w:t>132</w:t>
      </w:r>
      <w:r>
        <w:rPr>
          <w:noProof/>
        </w:rPr>
        <w:fldChar w:fldCharType="end"/>
      </w:r>
    </w:p>
    <w:p w14:paraId="28E69CB6" w14:textId="0984BACD" w:rsidR="00590D90" w:rsidRDefault="00CB6DF9" w:rsidP="00CB6DF9">
      <w:pPr>
        <w:pStyle w:val="Headerinfo"/>
        <w:rPr>
          <w:color w:val="auto"/>
          <w:sz w:val="20"/>
          <w:szCs w:val="20"/>
        </w:rPr>
      </w:pPr>
      <w:r w:rsidRPr="00957936">
        <w:rPr>
          <w:color w:val="auto"/>
          <w:sz w:val="20"/>
          <w:szCs w:val="20"/>
        </w:rPr>
        <w:fldChar w:fldCharType="end"/>
      </w:r>
    </w:p>
    <w:p w14:paraId="37A4768D" w14:textId="77777777" w:rsidR="0058478E" w:rsidRDefault="00590D90" w:rsidP="00CB6DF9">
      <w:pPr>
        <w:pStyle w:val="Headerinfo"/>
      </w:pPr>
      <w:r>
        <w:rPr>
          <w:b/>
          <w:color w:val="auto"/>
          <w:sz w:val="20"/>
          <w:szCs w:val="20"/>
        </w:rPr>
        <w:t>Appendix Figures</w:t>
      </w:r>
      <w:r w:rsidR="00CB6DF9" w:rsidRPr="00957936">
        <w:rPr>
          <w:color w:val="auto"/>
          <w:sz w:val="20"/>
          <w:szCs w:val="20"/>
        </w:rPr>
        <w:fldChar w:fldCharType="begin"/>
      </w:r>
      <w:r w:rsidR="00CB6DF9" w:rsidRPr="00957936">
        <w:rPr>
          <w:color w:val="auto"/>
          <w:sz w:val="20"/>
          <w:szCs w:val="20"/>
        </w:rPr>
        <w:instrText xml:space="preserve"> TOC \c "Figure_Apx" </w:instrText>
      </w:r>
      <w:r w:rsidR="00CB6DF9" w:rsidRPr="00957936">
        <w:rPr>
          <w:color w:val="auto"/>
          <w:sz w:val="20"/>
          <w:szCs w:val="20"/>
        </w:rPr>
        <w:fldChar w:fldCharType="separate"/>
      </w:r>
    </w:p>
    <w:p w14:paraId="3B64D64A" w14:textId="04D54747" w:rsidR="0058478E" w:rsidRDefault="0058478E">
      <w:pPr>
        <w:pStyle w:val="TableofFigures"/>
        <w:rPr>
          <w:rFonts w:asciiTheme="minorHAnsi" w:eastAsiaTheme="minorEastAsia" w:hAnsiTheme="minorHAnsi" w:cstheme="minorBidi"/>
          <w:noProof/>
          <w:sz w:val="22"/>
          <w:szCs w:val="22"/>
        </w:rPr>
      </w:pPr>
      <w:r>
        <w:rPr>
          <w:noProof/>
        </w:rPr>
        <w:t>Figure A</w:t>
      </w:r>
      <w:r>
        <w:rPr>
          <w:noProof/>
        </w:rPr>
        <w:noBreakHyphen/>
        <w:t>1. The Concept of Calibrating</w:t>
      </w:r>
      <w:r>
        <w:rPr>
          <w:noProof/>
        </w:rPr>
        <w:tab/>
      </w:r>
      <w:r>
        <w:rPr>
          <w:noProof/>
        </w:rPr>
        <w:fldChar w:fldCharType="begin"/>
      </w:r>
      <w:r>
        <w:rPr>
          <w:noProof/>
        </w:rPr>
        <w:instrText xml:space="preserve"> PAGEREF _Toc490561154 \h </w:instrText>
      </w:r>
      <w:r>
        <w:rPr>
          <w:noProof/>
        </w:rPr>
      </w:r>
      <w:r>
        <w:rPr>
          <w:noProof/>
        </w:rPr>
        <w:fldChar w:fldCharType="separate"/>
      </w:r>
      <w:r>
        <w:rPr>
          <w:noProof/>
        </w:rPr>
        <w:t>A-2</w:t>
      </w:r>
      <w:r>
        <w:rPr>
          <w:noProof/>
        </w:rPr>
        <w:fldChar w:fldCharType="end"/>
      </w:r>
    </w:p>
    <w:p w14:paraId="267DB145" w14:textId="1254F77B" w:rsidR="0058478E" w:rsidRDefault="0058478E">
      <w:pPr>
        <w:pStyle w:val="TableofFigures"/>
        <w:rPr>
          <w:rFonts w:asciiTheme="minorHAnsi" w:eastAsiaTheme="minorEastAsia" w:hAnsiTheme="minorHAnsi" w:cstheme="minorBidi"/>
          <w:noProof/>
          <w:sz w:val="22"/>
          <w:szCs w:val="22"/>
        </w:rPr>
      </w:pPr>
      <w:r>
        <w:rPr>
          <w:noProof/>
        </w:rPr>
        <w:t>Figure A</w:t>
      </w:r>
      <w:r>
        <w:rPr>
          <w:noProof/>
        </w:rPr>
        <w:noBreakHyphen/>
        <w:t>2. Illustrative 2013-2015 Calibration Targets</w:t>
      </w:r>
      <w:r>
        <w:rPr>
          <w:noProof/>
        </w:rPr>
        <w:tab/>
      </w:r>
      <w:r>
        <w:rPr>
          <w:noProof/>
        </w:rPr>
        <w:fldChar w:fldCharType="begin"/>
      </w:r>
      <w:r>
        <w:rPr>
          <w:noProof/>
        </w:rPr>
        <w:instrText xml:space="preserve"> PAGEREF _Toc490561155 \h </w:instrText>
      </w:r>
      <w:r>
        <w:rPr>
          <w:noProof/>
        </w:rPr>
      </w:r>
      <w:r>
        <w:rPr>
          <w:noProof/>
        </w:rPr>
        <w:fldChar w:fldCharType="separate"/>
      </w:r>
      <w:r>
        <w:rPr>
          <w:noProof/>
        </w:rPr>
        <w:t>A-4</w:t>
      </w:r>
      <w:r>
        <w:rPr>
          <w:noProof/>
        </w:rPr>
        <w:fldChar w:fldCharType="end"/>
      </w:r>
    </w:p>
    <w:p w14:paraId="3F067C7B" w14:textId="17686921" w:rsidR="0058478E" w:rsidRDefault="0058478E">
      <w:pPr>
        <w:pStyle w:val="TableofFigures"/>
        <w:rPr>
          <w:rFonts w:asciiTheme="minorHAnsi" w:eastAsiaTheme="minorEastAsia" w:hAnsiTheme="minorHAnsi" w:cstheme="minorBidi"/>
          <w:noProof/>
          <w:sz w:val="22"/>
          <w:szCs w:val="22"/>
        </w:rPr>
      </w:pPr>
      <w:r>
        <w:rPr>
          <w:noProof/>
        </w:rPr>
        <w:t>Figure B</w:t>
      </w:r>
      <w:r>
        <w:rPr>
          <w:noProof/>
        </w:rPr>
        <w:noBreakHyphen/>
        <w:t>1. Statewide Technical, Economic and Cumulative Electric Market Potential for Equipment Rebate Programs in Scenario 1 (TRC Reference)</w:t>
      </w:r>
      <w:r>
        <w:rPr>
          <w:noProof/>
        </w:rPr>
        <w:tab/>
      </w:r>
      <w:r>
        <w:rPr>
          <w:noProof/>
        </w:rPr>
        <w:fldChar w:fldCharType="begin"/>
      </w:r>
      <w:r>
        <w:rPr>
          <w:noProof/>
        </w:rPr>
        <w:instrText xml:space="preserve"> PAGEREF _Toc490561156 \h </w:instrText>
      </w:r>
      <w:r>
        <w:rPr>
          <w:noProof/>
        </w:rPr>
      </w:r>
      <w:r>
        <w:rPr>
          <w:noProof/>
        </w:rPr>
        <w:fldChar w:fldCharType="separate"/>
      </w:r>
      <w:r>
        <w:rPr>
          <w:noProof/>
        </w:rPr>
        <w:t>B-7</w:t>
      </w:r>
      <w:r>
        <w:rPr>
          <w:noProof/>
        </w:rPr>
        <w:fldChar w:fldCharType="end"/>
      </w:r>
    </w:p>
    <w:p w14:paraId="76E26168" w14:textId="06A52E77" w:rsidR="0058478E" w:rsidRDefault="0058478E">
      <w:pPr>
        <w:pStyle w:val="TableofFigures"/>
        <w:rPr>
          <w:rFonts w:asciiTheme="minorHAnsi" w:eastAsiaTheme="minorEastAsia" w:hAnsiTheme="minorHAnsi" w:cstheme="minorBidi"/>
          <w:noProof/>
          <w:sz w:val="22"/>
          <w:szCs w:val="22"/>
        </w:rPr>
      </w:pPr>
      <w:r>
        <w:rPr>
          <w:noProof/>
        </w:rPr>
        <w:t>Figure B</w:t>
      </w:r>
      <w:r>
        <w:rPr>
          <w:noProof/>
        </w:rPr>
        <w:noBreakHyphen/>
        <w:t>2. Statewide Technical, Economic and Cumulative Electric Market Potential for Equipment Rebate Programs in Scenario 2 (mTRC w/ GHG Adder 1)</w:t>
      </w:r>
      <w:r>
        <w:rPr>
          <w:noProof/>
        </w:rPr>
        <w:tab/>
      </w:r>
      <w:r>
        <w:rPr>
          <w:noProof/>
        </w:rPr>
        <w:fldChar w:fldCharType="begin"/>
      </w:r>
      <w:r>
        <w:rPr>
          <w:noProof/>
        </w:rPr>
        <w:instrText xml:space="preserve"> PAGEREF _Toc490561157 \h </w:instrText>
      </w:r>
      <w:r>
        <w:rPr>
          <w:noProof/>
        </w:rPr>
      </w:r>
      <w:r>
        <w:rPr>
          <w:noProof/>
        </w:rPr>
        <w:fldChar w:fldCharType="separate"/>
      </w:r>
      <w:r>
        <w:rPr>
          <w:noProof/>
        </w:rPr>
        <w:t>B-7</w:t>
      </w:r>
      <w:r>
        <w:rPr>
          <w:noProof/>
        </w:rPr>
        <w:fldChar w:fldCharType="end"/>
      </w:r>
    </w:p>
    <w:p w14:paraId="65BFD41B" w14:textId="62DB20B7" w:rsidR="0058478E" w:rsidRDefault="0058478E">
      <w:pPr>
        <w:pStyle w:val="TableofFigures"/>
        <w:rPr>
          <w:rFonts w:asciiTheme="minorHAnsi" w:eastAsiaTheme="minorEastAsia" w:hAnsiTheme="minorHAnsi" w:cstheme="minorBidi"/>
          <w:noProof/>
          <w:sz w:val="22"/>
          <w:szCs w:val="22"/>
        </w:rPr>
      </w:pPr>
      <w:r>
        <w:rPr>
          <w:noProof/>
        </w:rPr>
        <w:t>Figure B</w:t>
      </w:r>
      <w:r>
        <w:rPr>
          <w:noProof/>
        </w:rPr>
        <w:noBreakHyphen/>
        <w:t>3. Statewide Technical, Economic and Cumulative Electric Market Potential for Equipment Rebate Programs in Scenario 3 (mTRC w/ GHG Adder 2)</w:t>
      </w:r>
      <w:r>
        <w:rPr>
          <w:noProof/>
        </w:rPr>
        <w:tab/>
      </w:r>
      <w:r>
        <w:rPr>
          <w:noProof/>
        </w:rPr>
        <w:fldChar w:fldCharType="begin"/>
      </w:r>
      <w:r>
        <w:rPr>
          <w:noProof/>
        </w:rPr>
        <w:instrText xml:space="preserve"> PAGEREF _Toc490561158 \h </w:instrText>
      </w:r>
      <w:r>
        <w:rPr>
          <w:noProof/>
        </w:rPr>
      </w:r>
      <w:r>
        <w:rPr>
          <w:noProof/>
        </w:rPr>
        <w:fldChar w:fldCharType="separate"/>
      </w:r>
      <w:r>
        <w:rPr>
          <w:noProof/>
        </w:rPr>
        <w:t>B-8</w:t>
      </w:r>
      <w:r>
        <w:rPr>
          <w:noProof/>
        </w:rPr>
        <w:fldChar w:fldCharType="end"/>
      </w:r>
    </w:p>
    <w:p w14:paraId="0B38FD6F" w14:textId="416EF1E3" w:rsidR="0058478E" w:rsidRDefault="0058478E">
      <w:pPr>
        <w:pStyle w:val="TableofFigures"/>
        <w:rPr>
          <w:rFonts w:asciiTheme="minorHAnsi" w:eastAsiaTheme="minorEastAsia" w:hAnsiTheme="minorHAnsi" w:cstheme="minorBidi"/>
          <w:noProof/>
          <w:sz w:val="22"/>
          <w:szCs w:val="22"/>
        </w:rPr>
      </w:pPr>
      <w:r>
        <w:rPr>
          <w:noProof/>
        </w:rPr>
        <w:t>Figure B</w:t>
      </w:r>
      <w:r>
        <w:rPr>
          <w:noProof/>
        </w:rPr>
        <w:noBreakHyphen/>
        <w:t>4. Statewide Technical, Economic and Cumulative Electric Market Potential for Equipment Rebate Programs in Scenario 4 (PAC Reference)</w:t>
      </w:r>
      <w:r>
        <w:rPr>
          <w:noProof/>
        </w:rPr>
        <w:tab/>
      </w:r>
      <w:r>
        <w:rPr>
          <w:noProof/>
        </w:rPr>
        <w:fldChar w:fldCharType="begin"/>
      </w:r>
      <w:r>
        <w:rPr>
          <w:noProof/>
        </w:rPr>
        <w:instrText xml:space="preserve"> PAGEREF _Toc490561159 \h </w:instrText>
      </w:r>
      <w:r>
        <w:rPr>
          <w:noProof/>
        </w:rPr>
      </w:r>
      <w:r>
        <w:rPr>
          <w:noProof/>
        </w:rPr>
        <w:fldChar w:fldCharType="separate"/>
      </w:r>
      <w:r>
        <w:rPr>
          <w:noProof/>
        </w:rPr>
        <w:t>B-8</w:t>
      </w:r>
      <w:r>
        <w:rPr>
          <w:noProof/>
        </w:rPr>
        <w:fldChar w:fldCharType="end"/>
      </w:r>
    </w:p>
    <w:p w14:paraId="245F34D6" w14:textId="6DF69530" w:rsidR="0058478E" w:rsidRDefault="0058478E">
      <w:pPr>
        <w:pStyle w:val="TableofFigures"/>
        <w:rPr>
          <w:rFonts w:asciiTheme="minorHAnsi" w:eastAsiaTheme="minorEastAsia" w:hAnsiTheme="minorHAnsi" w:cstheme="minorBidi"/>
          <w:noProof/>
          <w:sz w:val="22"/>
          <w:szCs w:val="22"/>
        </w:rPr>
      </w:pPr>
      <w:r>
        <w:rPr>
          <w:noProof/>
        </w:rPr>
        <w:t>Figure B</w:t>
      </w:r>
      <w:r>
        <w:rPr>
          <w:noProof/>
        </w:rPr>
        <w:noBreakHyphen/>
        <w:t>5. Statewide Technical, Economic and Cumulative Electric Market Potential for Equipment Rebate Programs in Scenario 5 (PAC aggressive)</w:t>
      </w:r>
      <w:r>
        <w:rPr>
          <w:noProof/>
        </w:rPr>
        <w:tab/>
      </w:r>
      <w:r>
        <w:rPr>
          <w:noProof/>
        </w:rPr>
        <w:fldChar w:fldCharType="begin"/>
      </w:r>
      <w:r>
        <w:rPr>
          <w:noProof/>
        </w:rPr>
        <w:instrText xml:space="preserve"> PAGEREF _Toc490561160 \h </w:instrText>
      </w:r>
      <w:r>
        <w:rPr>
          <w:noProof/>
        </w:rPr>
      </w:r>
      <w:r>
        <w:rPr>
          <w:noProof/>
        </w:rPr>
        <w:fldChar w:fldCharType="separate"/>
      </w:r>
      <w:r>
        <w:rPr>
          <w:noProof/>
        </w:rPr>
        <w:t>B-9</w:t>
      </w:r>
      <w:r>
        <w:rPr>
          <w:noProof/>
        </w:rPr>
        <w:fldChar w:fldCharType="end"/>
      </w:r>
    </w:p>
    <w:p w14:paraId="737AC158" w14:textId="03F508D8" w:rsidR="0058478E" w:rsidRDefault="0058478E">
      <w:pPr>
        <w:pStyle w:val="TableofFigures"/>
        <w:rPr>
          <w:rFonts w:asciiTheme="minorHAnsi" w:eastAsiaTheme="minorEastAsia" w:hAnsiTheme="minorHAnsi" w:cstheme="minorBidi"/>
          <w:noProof/>
          <w:sz w:val="22"/>
          <w:szCs w:val="22"/>
        </w:rPr>
      </w:pPr>
      <w:r>
        <w:rPr>
          <w:noProof/>
        </w:rPr>
        <w:t>Figure B</w:t>
      </w:r>
      <w:r>
        <w:rPr>
          <w:noProof/>
        </w:rPr>
        <w:noBreakHyphen/>
        <w:t>6. Statewide Technical, Economic and Cumulative Gas Market Potential for Equipment Rebate Programs in Scenario 1 (TRC Reference)</w:t>
      </w:r>
      <w:r>
        <w:rPr>
          <w:noProof/>
        </w:rPr>
        <w:tab/>
      </w:r>
      <w:r>
        <w:rPr>
          <w:noProof/>
        </w:rPr>
        <w:fldChar w:fldCharType="begin"/>
      </w:r>
      <w:r>
        <w:rPr>
          <w:noProof/>
        </w:rPr>
        <w:instrText xml:space="preserve"> PAGEREF _Toc490561161 \h </w:instrText>
      </w:r>
      <w:r>
        <w:rPr>
          <w:noProof/>
        </w:rPr>
      </w:r>
      <w:r>
        <w:rPr>
          <w:noProof/>
        </w:rPr>
        <w:fldChar w:fldCharType="separate"/>
      </w:r>
      <w:r>
        <w:rPr>
          <w:noProof/>
        </w:rPr>
        <w:t>B-9</w:t>
      </w:r>
      <w:r>
        <w:rPr>
          <w:noProof/>
        </w:rPr>
        <w:fldChar w:fldCharType="end"/>
      </w:r>
    </w:p>
    <w:p w14:paraId="4758315F" w14:textId="43C0F391" w:rsidR="0058478E" w:rsidRDefault="0058478E">
      <w:pPr>
        <w:pStyle w:val="TableofFigures"/>
        <w:rPr>
          <w:rFonts w:asciiTheme="minorHAnsi" w:eastAsiaTheme="minorEastAsia" w:hAnsiTheme="minorHAnsi" w:cstheme="minorBidi"/>
          <w:noProof/>
          <w:sz w:val="22"/>
          <w:szCs w:val="22"/>
        </w:rPr>
      </w:pPr>
      <w:r>
        <w:rPr>
          <w:noProof/>
        </w:rPr>
        <w:t>Figure B</w:t>
      </w:r>
      <w:r>
        <w:rPr>
          <w:noProof/>
        </w:rPr>
        <w:noBreakHyphen/>
        <w:t xml:space="preserve">7. </w:t>
      </w:r>
      <w:r w:rsidRPr="006A50A7">
        <w:rPr>
          <w:noProof/>
        </w:rPr>
        <w:t xml:space="preserve">Statewide Technical, Economic and Cumulative </w:t>
      </w:r>
      <w:r>
        <w:rPr>
          <w:noProof/>
        </w:rPr>
        <w:t>Gas</w:t>
      </w:r>
      <w:r w:rsidRPr="006A50A7">
        <w:rPr>
          <w:noProof/>
        </w:rPr>
        <w:t xml:space="preserve"> Market Potential</w:t>
      </w:r>
      <w:r>
        <w:rPr>
          <w:noProof/>
        </w:rPr>
        <w:t xml:space="preserve"> for Equipment Rebate Programs in Scenario 2 (mTRC w/ GHG Adder 1)</w:t>
      </w:r>
      <w:r>
        <w:rPr>
          <w:noProof/>
        </w:rPr>
        <w:tab/>
      </w:r>
      <w:r>
        <w:rPr>
          <w:noProof/>
        </w:rPr>
        <w:fldChar w:fldCharType="begin"/>
      </w:r>
      <w:r>
        <w:rPr>
          <w:noProof/>
        </w:rPr>
        <w:instrText xml:space="preserve"> PAGEREF _Toc490561162 \h </w:instrText>
      </w:r>
      <w:r>
        <w:rPr>
          <w:noProof/>
        </w:rPr>
      </w:r>
      <w:r>
        <w:rPr>
          <w:noProof/>
        </w:rPr>
        <w:fldChar w:fldCharType="separate"/>
      </w:r>
      <w:r>
        <w:rPr>
          <w:noProof/>
        </w:rPr>
        <w:t>B-10</w:t>
      </w:r>
      <w:r>
        <w:rPr>
          <w:noProof/>
        </w:rPr>
        <w:fldChar w:fldCharType="end"/>
      </w:r>
    </w:p>
    <w:p w14:paraId="1D6AF2A3" w14:textId="30677AE9" w:rsidR="0058478E" w:rsidRDefault="0058478E">
      <w:pPr>
        <w:pStyle w:val="TableofFigures"/>
        <w:rPr>
          <w:rFonts w:asciiTheme="minorHAnsi" w:eastAsiaTheme="minorEastAsia" w:hAnsiTheme="minorHAnsi" w:cstheme="minorBidi"/>
          <w:noProof/>
          <w:sz w:val="22"/>
          <w:szCs w:val="22"/>
        </w:rPr>
      </w:pPr>
      <w:r>
        <w:rPr>
          <w:noProof/>
        </w:rPr>
        <w:t>Figure B</w:t>
      </w:r>
      <w:r>
        <w:rPr>
          <w:noProof/>
        </w:rPr>
        <w:noBreakHyphen/>
        <w:t xml:space="preserve">8. </w:t>
      </w:r>
      <w:r w:rsidRPr="006A50A7">
        <w:rPr>
          <w:noProof/>
          <w:color w:val="3F4042"/>
        </w:rPr>
        <w:t xml:space="preserve">Statewide Technical, Economic and Cumulative </w:t>
      </w:r>
      <w:r>
        <w:rPr>
          <w:noProof/>
        </w:rPr>
        <w:t>Gas</w:t>
      </w:r>
      <w:r w:rsidRPr="006A50A7">
        <w:rPr>
          <w:noProof/>
          <w:color w:val="3F4042"/>
        </w:rPr>
        <w:t xml:space="preserve"> Market Potential</w:t>
      </w:r>
      <w:r>
        <w:rPr>
          <w:noProof/>
        </w:rPr>
        <w:t xml:space="preserve"> for Equipment Rebate Programs in Scenario 3 (mTRC w/ GHG Adder 2)</w:t>
      </w:r>
      <w:r>
        <w:rPr>
          <w:noProof/>
        </w:rPr>
        <w:tab/>
      </w:r>
      <w:r>
        <w:rPr>
          <w:noProof/>
        </w:rPr>
        <w:fldChar w:fldCharType="begin"/>
      </w:r>
      <w:r>
        <w:rPr>
          <w:noProof/>
        </w:rPr>
        <w:instrText xml:space="preserve"> PAGEREF _Toc490561163 \h </w:instrText>
      </w:r>
      <w:r>
        <w:rPr>
          <w:noProof/>
        </w:rPr>
      </w:r>
      <w:r>
        <w:rPr>
          <w:noProof/>
        </w:rPr>
        <w:fldChar w:fldCharType="separate"/>
      </w:r>
      <w:r>
        <w:rPr>
          <w:noProof/>
        </w:rPr>
        <w:t>B-10</w:t>
      </w:r>
      <w:r>
        <w:rPr>
          <w:noProof/>
        </w:rPr>
        <w:fldChar w:fldCharType="end"/>
      </w:r>
    </w:p>
    <w:p w14:paraId="2AEB2AFC" w14:textId="682F7821" w:rsidR="0058478E" w:rsidRDefault="0058478E">
      <w:pPr>
        <w:pStyle w:val="TableofFigures"/>
        <w:rPr>
          <w:rFonts w:asciiTheme="minorHAnsi" w:eastAsiaTheme="minorEastAsia" w:hAnsiTheme="minorHAnsi" w:cstheme="minorBidi"/>
          <w:noProof/>
          <w:sz w:val="22"/>
          <w:szCs w:val="22"/>
        </w:rPr>
      </w:pPr>
      <w:r>
        <w:rPr>
          <w:noProof/>
        </w:rPr>
        <w:t>Figure B</w:t>
      </w:r>
      <w:r>
        <w:rPr>
          <w:noProof/>
        </w:rPr>
        <w:noBreakHyphen/>
        <w:t xml:space="preserve">9. </w:t>
      </w:r>
      <w:r w:rsidRPr="006A50A7">
        <w:rPr>
          <w:noProof/>
          <w:color w:val="3F4042"/>
        </w:rPr>
        <w:t xml:space="preserve">Statewide Technical, Economic and Cumulative </w:t>
      </w:r>
      <w:r>
        <w:rPr>
          <w:noProof/>
        </w:rPr>
        <w:t>Gas</w:t>
      </w:r>
      <w:r w:rsidRPr="006A50A7">
        <w:rPr>
          <w:noProof/>
          <w:color w:val="3F4042"/>
        </w:rPr>
        <w:t xml:space="preserve"> Market Potential</w:t>
      </w:r>
      <w:r>
        <w:rPr>
          <w:noProof/>
        </w:rPr>
        <w:t xml:space="preserve"> for Equipment Rebate Programs in Scenario 4 (PAC Reference)</w:t>
      </w:r>
      <w:r>
        <w:rPr>
          <w:noProof/>
        </w:rPr>
        <w:tab/>
      </w:r>
      <w:r>
        <w:rPr>
          <w:noProof/>
        </w:rPr>
        <w:fldChar w:fldCharType="begin"/>
      </w:r>
      <w:r>
        <w:rPr>
          <w:noProof/>
        </w:rPr>
        <w:instrText xml:space="preserve"> PAGEREF _Toc490561164 \h </w:instrText>
      </w:r>
      <w:r>
        <w:rPr>
          <w:noProof/>
        </w:rPr>
      </w:r>
      <w:r>
        <w:rPr>
          <w:noProof/>
        </w:rPr>
        <w:fldChar w:fldCharType="separate"/>
      </w:r>
      <w:r>
        <w:rPr>
          <w:noProof/>
        </w:rPr>
        <w:t>B-11</w:t>
      </w:r>
      <w:r>
        <w:rPr>
          <w:noProof/>
        </w:rPr>
        <w:fldChar w:fldCharType="end"/>
      </w:r>
    </w:p>
    <w:p w14:paraId="1ADCE23C" w14:textId="49F5AEB9" w:rsidR="0058478E" w:rsidRDefault="0058478E">
      <w:pPr>
        <w:pStyle w:val="TableofFigures"/>
        <w:rPr>
          <w:rFonts w:asciiTheme="minorHAnsi" w:eastAsiaTheme="minorEastAsia" w:hAnsiTheme="minorHAnsi" w:cstheme="minorBidi"/>
          <w:noProof/>
          <w:sz w:val="22"/>
          <w:szCs w:val="22"/>
        </w:rPr>
      </w:pPr>
      <w:r>
        <w:rPr>
          <w:noProof/>
        </w:rPr>
        <w:t>Figure B</w:t>
      </w:r>
      <w:r>
        <w:rPr>
          <w:noProof/>
        </w:rPr>
        <w:noBreakHyphen/>
        <w:t xml:space="preserve">10. </w:t>
      </w:r>
      <w:r w:rsidRPr="006A50A7">
        <w:rPr>
          <w:noProof/>
          <w:color w:val="3F4042"/>
        </w:rPr>
        <w:t xml:space="preserve">Statewide Technical, Economic and Cumulative </w:t>
      </w:r>
      <w:r>
        <w:rPr>
          <w:noProof/>
        </w:rPr>
        <w:t>Gas</w:t>
      </w:r>
      <w:r w:rsidRPr="006A50A7">
        <w:rPr>
          <w:noProof/>
          <w:color w:val="3F4042"/>
        </w:rPr>
        <w:t xml:space="preserve"> Market Potential</w:t>
      </w:r>
      <w:r>
        <w:rPr>
          <w:noProof/>
        </w:rPr>
        <w:t xml:space="preserve"> for Equipment Rebate Programs in Scenario 4 (PAC Aggressive)</w:t>
      </w:r>
      <w:r>
        <w:rPr>
          <w:noProof/>
        </w:rPr>
        <w:tab/>
      </w:r>
      <w:r>
        <w:rPr>
          <w:noProof/>
        </w:rPr>
        <w:fldChar w:fldCharType="begin"/>
      </w:r>
      <w:r>
        <w:rPr>
          <w:noProof/>
        </w:rPr>
        <w:instrText xml:space="preserve"> PAGEREF _Toc490561165 \h </w:instrText>
      </w:r>
      <w:r>
        <w:rPr>
          <w:noProof/>
        </w:rPr>
      </w:r>
      <w:r>
        <w:rPr>
          <w:noProof/>
        </w:rPr>
        <w:fldChar w:fldCharType="separate"/>
      </w:r>
      <w:r>
        <w:rPr>
          <w:noProof/>
        </w:rPr>
        <w:t>B-11</w:t>
      </w:r>
      <w:r>
        <w:rPr>
          <w:noProof/>
        </w:rPr>
        <w:fldChar w:fldCharType="end"/>
      </w:r>
    </w:p>
    <w:p w14:paraId="26DFE5B9" w14:textId="12614103" w:rsidR="0058478E" w:rsidRDefault="0058478E">
      <w:pPr>
        <w:pStyle w:val="TableofFigures"/>
        <w:rPr>
          <w:rFonts w:asciiTheme="minorHAnsi" w:eastAsiaTheme="minorEastAsia" w:hAnsiTheme="minorHAnsi" w:cstheme="minorBidi"/>
          <w:noProof/>
          <w:sz w:val="22"/>
          <w:szCs w:val="22"/>
        </w:rPr>
      </w:pPr>
      <w:r>
        <w:rPr>
          <w:noProof/>
        </w:rPr>
        <w:t>Figure F</w:t>
      </w:r>
      <w:r>
        <w:rPr>
          <w:noProof/>
        </w:rPr>
        <w:noBreakHyphen/>
        <w:t>1. Examples of Industrial Market Segments at Risk of Relocating Offshore</w:t>
      </w:r>
      <w:r>
        <w:rPr>
          <w:noProof/>
        </w:rPr>
        <w:tab/>
      </w:r>
      <w:r>
        <w:rPr>
          <w:noProof/>
        </w:rPr>
        <w:fldChar w:fldCharType="begin"/>
      </w:r>
      <w:r>
        <w:rPr>
          <w:noProof/>
        </w:rPr>
        <w:instrText xml:space="preserve"> PAGEREF _Toc490561166 \h </w:instrText>
      </w:r>
      <w:r>
        <w:rPr>
          <w:noProof/>
        </w:rPr>
      </w:r>
      <w:r>
        <w:rPr>
          <w:noProof/>
        </w:rPr>
        <w:fldChar w:fldCharType="separate"/>
      </w:r>
      <w:r>
        <w:rPr>
          <w:noProof/>
        </w:rPr>
        <w:t>F-7</w:t>
      </w:r>
      <w:r>
        <w:rPr>
          <w:noProof/>
        </w:rPr>
        <w:fldChar w:fldCharType="end"/>
      </w:r>
    </w:p>
    <w:p w14:paraId="767CC072" w14:textId="37B88E45" w:rsidR="0058478E" w:rsidRDefault="0058478E">
      <w:pPr>
        <w:pStyle w:val="TableofFigures"/>
        <w:rPr>
          <w:rFonts w:asciiTheme="minorHAnsi" w:eastAsiaTheme="minorEastAsia" w:hAnsiTheme="minorHAnsi" w:cstheme="minorBidi"/>
          <w:noProof/>
          <w:sz w:val="22"/>
          <w:szCs w:val="22"/>
        </w:rPr>
      </w:pPr>
      <w:r>
        <w:rPr>
          <w:noProof/>
        </w:rPr>
        <w:t>Figure F</w:t>
      </w:r>
      <w:r>
        <w:rPr>
          <w:noProof/>
        </w:rPr>
        <w:noBreakHyphen/>
        <w:t>2. Example Trends in PG&amp;E Electric Energy Usage (Indexed to 1990 Usage = 1)</w:t>
      </w:r>
      <w:r>
        <w:rPr>
          <w:noProof/>
        </w:rPr>
        <w:tab/>
      </w:r>
      <w:r>
        <w:rPr>
          <w:noProof/>
        </w:rPr>
        <w:fldChar w:fldCharType="begin"/>
      </w:r>
      <w:r>
        <w:rPr>
          <w:noProof/>
        </w:rPr>
        <w:instrText xml:space="preserve"> PAGEREF _Toc490561167 \h </w:instrText>
      </w:r>
      <w:r>
        <w:rPr>
          <w:noProof/>
        </w:rPr>
      </w:r>
      <w:r>
        <w:rPr>
          <w:noProof/>
        </w:rPr>
        <w:fldChar w:fldCharType="separate"/>
      </w:r>
      <w:r>
        <w:rPr>
          <w:noProof/>
        </w:rPr>
        <w:t>F-8</w:t>
      </w:r>
      <w:r>
        <w:rPr>
          <w:noProof/>
        </w:rPr>
        <w:fldChar w:fldCharType="end"/>
      </w:r>
    </w:p>
    <w:p w14:paraId="69B86AC0" w14:textId="77777777" w:rsidR="00CB6DF9" w:rsidRPr="00957936" w:rsidRDefault="00CB6DF9" w:rsidP="00CB6DF9">
      <w:pPr>
        <w:pStyle w:val="Headerinfo"/>
        <w:rPr>
          <w:color w:val="auto"/>
          <w:sz w:val="20"/>
          <w:szCs w:val="20"/>
        </w:rPr>
      </w:pPr>
      <w:r w:rsidRPr="00957936">
        <w:rPr>
          <w:color w:val="auto"/>
          <w:sz w:val="20"/>
          <w:szCs w:val="20"/>
        </w:rPr>
        <w:fldChar w:fldCharType="end"/>
      </w:r>
    </w:p>
    <w:p w14:paraId="62E442DB" w14:textId="77777777" w:rsidR="00CB6DF9" w:rsidRPr="00957936" w:rsidRDefault="00CB6DF9" w:rsidP="00CB6DF9">
      <w:pPr>
        <w:pStyle w:val="Headerinfo"/>
        <w:rPr>
          <w:b/>
          <w:color w:val="auto"/>
          <w:sz w:val="20"/>
          <w:szCs w:val="20"/>
        </w:rPr>
      </w:pPr>
      <w:r w:rsidRPr="00957936">
        <w:rPr>
          <w:b/>
          <w:color w:val="auto"/>
          <w:sz w:val="20"/>
          <w:szCs w:val="20"/>
        </w:rPr>
        <w:lastRenderedPageBreak/>
        <w:t>Tables</w:t>
      </w:r>
    </w:p>
    <w:p w14:paraId="7B0D8248" w14:textId="065A356B" w:rsidR="00761D20" w:rsidRDefault="00CB6DF9">
      <w:pPr>
        <w:pStyle w:val="TableofFigures"/>
        <w:rPr>
          <w:rFonts w:asciiTheme="minorHAnsi" w:eastAsiaTheme="minorEastAsia" w:hAnsiTheme="minorHAnsi" w:cstheme="minorBidi"/>
          <w:noProof/>
          <w:sz w:val="22"/>
          <w:szCs w:val="22"/>
        </w:rPr>
      </w:pPr>
      <w:r w:rsidRPr="00BB59F5">
        <w:rPr>
          <w:rFonts w:cs="Arial"/>
          <w:szCs w:val="20"/>
        </w:rPr>
        <w:fldChar w:fldCharType="begin"/>
      </w:r>
      <w:r w:rsidRPr="00BB59F5">
        <w:rPr>
          <w:rFonts w:cs="Arial"/>
          <w:szCs w:val="20"/>
        </w:rPr>
        <w:instrText xml:space="preserve"> TOC \c "Table" </w:instrText>
      </w:r>
      <w:r w:rsidRPr="00BB59F5">
        <w:rPr>
          <w:rFonts w:cs="Arial"/>
          <w:szCs w:val="20"/>
        </w:rPr>
        <w:fldChar w:fldCharType="separate"/>
      </w:r>
      <w:r w:rsidR="00761D20">
        <w:rPr>
          <w:noProof/>
        </w:rPr>
        <w:t>Table 1</w:t>
      </w:r>
      <w:r w:rsidR="00761D20">
        <w:rPr>
          <w:noProof/>
        </w:rPr>
        <w:noBreakHyphen/>
        <w:t>1: Stakeholder Meeting Schedule</w:t>
      </w:r>
      <w:r w:rsidR="00761D20">
        <w:rPr>
          <w:noProof/>
        </w:rPr>
        <w:tab/>
      </w:r>
      <w:r w:rsidR="00761D20">
        <w:rPr>
          <w:noProof/>
        </w:rPr>
        <w:fldChar w:fldCharType="begin"/>
      </w:r>
      <w:r w:rsidR="00761D20">
        <w:rPr>
          <w:noProof/>
        </w:rPr>
        <w:instrText xml:space="preserve"> PAGEREF _Toc490560650 \h </w:instrText>
      </w:r>
      <w:r w:rsidR="00761D20">
        <w:rPr>
          <w:noProof/>
        </w:rPr>
      </w:r>
      <w:r w:rsidR="00761D20">
        <w:rPr>
          <w:noProof/>
        </w:rPr>
        <w:fldChar w:fldCharType="separate"/>
      </w:r>
      <w:r w:rsidR="0058478E">
        <w:rPr>
          <w:noProof/>
        </w:rPr>
        <w:t>6</w:t>
      </w:r>
      <w:r w:rsidR="00761D20">
        <w:rPr>
          <w:noProof/>
        </w:rPr>
        <w:fldChar w:fldCharType="end"/>
      </w:r>
    </w:p>
    <w:p w14:paraId="504C0C9A" w14:textId="597E0FF8" w:rsidR="00761D20" w:rsidRDefault="00761D20">
      <w:pPr>
        <w:pStyle w:val="TableofFigures"/>
        <w:rPr>
          <w:rFonts w:asciiTheme="minorHAnsi" w:eastAsiaTheme="minorEastAsia" w:hAnsiTheme="minorHAnsi" w:cstheme="minorBidi"/>
          <w:noProof/>
          <w:sz w:val="22"/>
          <w:szCs w:val="22"/>
        </w:rPr>
      </w:pPr>
      <w:r>
        <w:rPr>
          <w:noProof/>
        </w:rPr>
        <w:t>Table 2</w:t>
      </w:r>
      <w:r>
        <w:rPr>
          <w:noProof/>
        </w:rPr>
        <w:noBreakHyphen/>
        <w:t>1. Overview of Modeling and Calibration Approach</w:t>
      </w:r>
      <w:r>
        <w:rPr>
          <w:noProof/>
        </w:rPr>
        <w:tab/>
      </w:r>
      <w:r>
        <w:rPr>
          <w:noProof/>
        </w:rPr>
        <w:fldChar w:fldCharType="begin"/>
      </w:r>
      <w:r>
        <w:rPr>
          <w:noProof/>
        </w:rPr>
        <w:instrText xml:space="preserve"> PAGEREF _Toc490560651 \h </w:instrText>
      </w:r>
      <w:r>
        <w:rPr>
          <w:noProof/>
        </w:rPr>
      </w:r>
      <w:r>
        <w:rPr>
          <w:noProof/>
        </w:rPr>
        <w:fldChar w:fldCharType="separate"/>
      </w:r>
      <w:r w:rsidR="0058478E">
        <w:rPr>
          <w:noProof/>
        </w:rPr>
        <w:t>8</w:t>
      </w:r>
      <w:r>
        <w:rPr>
          <w:noProof/>
        </w:rPr>
        <w:fldChar w:fldCharType="end"/>
      </w:r>
    </w:p>
    <w:p w14:paraId="108C40F2" w14:textId="6F9837F5" w:rsidR="00761D20" w:rsidRDefault="00761D20">
      <w:pPr>
        <w:pStyle w:val="TableofFigures"/>
        <w:rPr>
          <w:rFonts w:asciiTheme="minorHAnsi" w:eastAsiaTheme="minorEastAsia" w:hAnsiTheme="minorHAnsi" w:cstheme="minorBidi"/>
          <w:noProof/>
          <w:sz w:val="22"/>
          <w:szCs w:val="22"/>
        </w:rPr>
      </w:pPr>
      <w:r>
        <w:rPr>
          <w:noProof/>
        </w:rPr>
        <w:t>Table 2</w:t>
      </w:r>
      <w:r>
        <w:rPr>
          <w:noProof/>
        </w:rPr>
        <w:noBreakHyphen/>
        <w:t>2. Example of Technologies within a Technology Group</w:t>
      </w:r>
      <w:r>
        <w:rPr>
          <w:noProof/>
        </w:rPr>
        <w:tab/>
      </w:r>
      <w:r>
        <w:rPr>
          <w:noProof/>
        </w:rPr>
        <w:fldChar w:fldCharType="begin"/>
      </w:r>
      <w:r>
        <w:rPr>
          <w:noProof/>
        </w:rPr>
        <w:instrText xml:space="preserve"> PAGEREF _Toc490560652 \h </w:instrText>
      </w:r>
      <w:r>
        <w:rPr>
          <w:noProof/>
        </w:rPr>
      </w:r>
      <w:r>
        <w:rPr>
          <w:noProof/>
        </w:rPr>
        <w:fldChar w:fldCharType="separate"/>
      </w:r>
      <w:r w:rsidR="0058478E">
        <w:rPr>
          <w:noProof/>
        </w:rPr>
        <w:t>10</w:t>
      </w:r>
      <w:r>
        <w:rPr>
          <w:noProof/>
        </w:rPr>
        <w:fldChar w:fldCharType="end"/>
      </w:r>
    </w:p>
    <w:p w14:paraId="6FA444F3" w14:textId="64D6F3B9" w:rsidR="00761D20" w:rsidRDefault="00761D20">
      <w:pPr>
        <w:pStyle w:val="TableofFigures"/>
        <w:rPr>
          <w:rFonts w:asciiTheme="minorHAnsi" w:eastAsiaTheme="minorEastAsia" w:hAnsiTheme="minorHAnsi" w:cstheme="minorBidi"/>
          <w:noProof/>
          <w:sz w:val="22"/>
          <w:szCs w:val="22"/>
        </w:rPr>
      </w:pPr>
      <w:r>
        <w:rPr>
          <w:noProof/>
        </w:rPr>
        <w:t>Table 2</w:t>
      </w:r>
      <w:r>
        <w:rPr>
          <w:noProof/>
        </w:rPr>
        <w:noBreakHyphen/>
        <w:t>3. NTG Adjustment Factors</w:t>
      </w:r>
      <w:r>
        <w:rPr>
          <w:noProof/>
        </w:rPr>
        <w:tab/>
      </w:r>
      <w:r>
        <w:rPr>
          <w:noProof/>
        </w:rPr>
        <w:fldChar w:fldCharType="begin"/>
      </w:r>
      <w:r>
        <w:rPr>
          <w:noProof/>
        </w:rPr>
        <w:instrText xml:space="preserve"> PAGEREF _Toc490560653 \h </w:instrText>
      </w:r>
      <w:r>
        <w:rPr>
          <w:noProof/>
        </w:rPr>
      </w:r>
      <w:r>
        <w:rPr>
          <w:noProof/>
        </w:rPr>
        <w:fldChar w:fldCharType="separate"/>
      </w:r>
      <w:r w:rsidR="0058478E">
        <w:rPr>
          <w:noProof/>
        </w:rPr>
        <w:t>20</w:t>
      </w:r>
      <w:r>
        <w:rPr>
          <w:noProof/>
        </w:rPr>
        <w:fldChar w:fldCharType="end"/>
      </w:r>
    </w:p>
    <w:p w14:paraId="0BF61198" w14:textId="2E223DFC" w:rsidR="00761D20" w:rsidRDefault="00761D20">
      <w:pPr>
        <w:pStyle w:val="TableofFigures"/>
        <w:rPr>
          <w:rFonts w:asciiTheme="minorHAnsi" w:eastAsiaTheme="minorEastAsia" w:hAnsiTheme="minorHAnsi" w:cstheme="minorBidi"/>
          <w:noProof/>
          <w:sz w:val="22"/>
          <w:szCs w:val="22"/>
        </w:rPr>
      </w:pPr>
      <w:r>
        <w:rPr>
          <w:noProof/>
        </w:rPr>
        <w:t>Table 2</w:t>
      </w:r>
      <w:r>
        <w:rPr>
          <w:noProof/>
        </w:rPr>
        <w:noBreakHyphen/>
        <w:t>4. Example Present Value Comparisons for Base and Efficient Technologies and Financing</w:t>
      </w:r>
      <w:r>
        <w:rPr>
          <w:noProof/>
        </w:rPr>
        <w:tab/>
      </w:r>
      <w:r>
        <w:rPr>
          <w:noProof/>
        </w:rPr>
        <w:fldChar w:fldCharType="begin"/>
      </w:r>
      <w:r>
        <w:rPr>
          <w:noProof/>
        </w:rPr>
        <w:instrText xml:space="preserve"> PAGEREF _Toc490560654 \h </w:instrText>
      </w:r>
      <w:r>
        <w:rPr>
          <w:noProof/>
        </w:rPr>
      </w:r>
      <w:r>
        <w:rPr>
          <w:noProof/>
        </w:rPr>
        <w:fldChar w:fldCharType="separate"/>
      </w:r>
      <w:r w:rsidR="0058478E">
        <w:rPr>
          <w:noProof/>
        </w:rPr>
        <w:t>28</w:t>
      </w:r>
      <w:r>
        <w:rPr>
          <w:noProof/>
        </w:rPr>
        <w:fldChar w:fldCharType="end"/>
      </w:r>
    </w:p>
    <w:p w14:paraId="7A0DBCAC" w14:textId="7F5C1C4D" w:rsidR="00761D20" w:rsidRDefault="00761D20">
      <w:pPr>
        <w:pStyle w:val="TableofFigures"/>
        <w:rPr>
          <w:rFonts w:asciiTheme="minorHAnsi" w:eastAsiaTheme="minorEastAsia" w:hAnsiTheme="minorHAnsi" w:cstheme="minorBidi"/>
          <w:noProof/>
          <w:sz w:val="22"/>
          <w:szCs w:val="22"/>
        </w:rPr>
      </w:pPr>
      <w:r>
        <w:rPr>
          <w:noProof/>
        </w:rPr>
        <w:t>Table 2</w:t>
      </w:r>
      <w:r>
        <w:rPr>
          <w:noProof/>
        </w:rPr>
        <w:noBreakHyphen/>
        <w:t>5. Variables Affecting Energy Efficiency Potential</w:t>
      </w:r>
      <w:r>
        <w:rPr>
          <w:noProof/>
        </w:rPr>
        <w:tab/>
      </w:r>
      <w:r>
        <w:rPr>
          <w:noProof/>
        </w:rPr>
        <w:fldChar w:fldCharType="begin"/>
      </w:r>
      <w:r>
        <w:rPr>
          <w:noProof/>
        </w:rPr>
        <w:instrText xml:space="preserve"> PAGEREF _Toc490560655 \h </w:instrText>
      </w:r>
      <w:r>
        <w:rPr>
          <w:noProof/>
        </w:rPr>
      </w:r>
      <w:r>
        <w:rPr>
          <w:noProof/>
        </w:rPr>
        <w:fldChar w:fldCharType="separate"/>
      </w:r>
      <w:r w:rsidR="0058478E">
        <w:rPr>
          <w:noProof/>
        </w:rPr>
        <w:t>29</w:t>
      </w:r>
      <w:r>
        <w:rPr>
          <w:noProof/>
        </w:rPr>
        <w:fldChar w:fldCharType="end"/>
      </w:r>
    </w:p>
    <w:p w14:paraId="7C0C051F" w14:textId="7C18A6D9" w:rsidR="00761D20" w:rsidRDefault="00761D20">
      <w:pPr>
        <w:pStyle w:val="TableofFigures"/>
        <w:rPr>
          <w:rFonts w:asciiTheme="minorHAnsi" w:eastAsiaTheme="minorEastAsia" w:hAnsiTheme="minorHAnsi" w:cstheme="minorBidi"/>
          <w:noProof/>
          <w:sz w:val="22"/>
          <w:szCs w:val="22"/>
        </w:rPr>
      </w:pPr>
      <w:r>
        <w:rPr>
          <w:noProof/>
        </w:rPr>
        <w:t>Table 2</w:t>
      </w:r>
      <w:r>
        <w:rPr>
          <w:noProof/>
        </w:rPr>
        <w:noBreakHyphen/>
        <w:t>6. Stakeholder Feedback</w:t>
      </w:r>
      <w:r>
        <w:rPr>
          <w:noProof/>
        </w:rPr>
        <w:tab/>
      </w:r>
      <w:r>
        <w:rPr>
          <w:noProof/>
        </w:rPr>
        <w:fldChar w:fldCharType="begin"/>
      </w:r>
      <w:r>
        <w:rPr>
          <w:noProof/>
        </w:rPr>
        <w:instrText xml:space="preserve"> PAGEREF _Toc490560656 \h </w:instrText>
      </w:r>
      <w:r>
        <w:rPr>
          <w:noProof/>
        </w:rPr>
      </w:r>
      <w:r>
        <w:rPr>
          <w:noProof/>
        </w:rPr>
        <w:fldChar w:fldCharType="separate"/>
      </w:r>
      <w:r w:rsidR="0058478E">
        <w:rPr>
          <w:noProof/>
        </w:rPr>
        <w:t>30</w:t>
      </w:r>
      <w:r>
        <w:rPr>
          <w:noProof/>
        </w:rPr>
        <w:fldChar w:fldCharType="end"/>
      </w:r>
    </w:p>
    <w:p w14:paraId="742D732A" w14:textId="3920E7E0" w:rsidR="00761D20" w:rsidRDefault="00761D20">
      <w:pPr>
        <w:pStyle w:val="TableofFigures"/>
        <w:rPr>
          <w:rFonts w:asciiTheme="minorHAnsi" w:eastAsiaTheme="minorEastAsia" w:hAnsiTheme="minorHAnsi" w:cstheme="minorBidi"/>
          <w:noProof/>
          <w:sz w:val="22"/>
          <w:szCs w:val="22"/>
        </w:rPr>
      </w:pPr>
      <w:r>
        <w:rPr>
          <w:noProof/>
        </w:rPr>
        <w:t>Table 2</w:t>
      </w:r>
      <w:r>
        <w:rPr>
          <w:noProof/>
        </w:rPr>
        <w:noBreakHyphen/>
        <w:t>7. Final Scenarios for Energy Efficiency Potential – Summary</w:t>
      </w:r>
      <w:r>
        <w:rPr>
          <w:noProof/>
        </w:rPr>
        <w:tab/>
      </w:r>
      <w:r>
        <w:rPr>
          <w:noProof/>
        </w:rPr>
        <w:fldChar w:fldCharType="begin"/>
      </w:r>
      <w:r>
        <w:rPr>
          <w:noProof/>
        </w:rPr>
        <w:instrText xml:space="preserve"> PAGEREF _Toc490560657 \h </w:instrText>
      </w:r>
      <w:r>
        <w:rPr>
          <w:noProof/>
        </w:rPr>
      </w:r>
      <w:r>
        <w:rPr>
          <w:noProof/>
        </w:rPr>
        <w:fldChar w:fldCharType="separate"/>
      </w:r>
      <w:r w:rsidR="0058478E">
        <w:rPr>
          <w:noProof/>
        </w:rPr>
        <w:t>32</w:t>
      </w:r>
      <w:r>
        <w:rPr>
          <w:noProof/>
        </w:rPr>
        <w:fldChar w:fldCharType="end"/>
      </w:r>
    </w:p>
    <w:p w14:paraId="0EA80AAC" w14:textId="5C6DF693" w:rsidR="00761D20" w:rsidRDefault="00761D20">
      <w:pPr>
        <w:pStyle w:val="TableofFigures"/>
        <w:rPr>
          <w:rFonts w:asciiTheme="minorHAnsi" w:eastAsiaTheme="minorEastAsia" w:hAnsiTheme="minorHAnsi" w:cstheme="minorBidi"/>
          <w:noProof/>
          <w:sz w:val="22"/>
          <w:szCs w:val="22"/>
        </w:rPr>
      </w:pPr>
      <w:r>
        <w:rPr>
          <w:noProof/>
        </w:rPr>
        <w:t>Table 2</w:t>
      </w:r>
      <w:r>
        <w:rPr>
          <w:noProof/>
        </w:rPr>
        <w:noBreakHyphen/>
        <w:t>8. Reference vs. Aggressive Programs</w:t>
      </w:r>
      <w:r>
        <w:rPr>
          <w:noProof/>
        </w:rPr>
        <w:tab/>
      </w:r>
      <w:r>
        <w:rPr>
          <w:noProof/>
        </w:rPr>
        <w:fldChar w:fldCharType="begin"/>
      </w:r>
      <w:r>
        <w:rPr>
          <w:noProof/>
        </w:rPr>
        <w:instrText xml:space="preserve"> PAGEREF _Toc490560658 \h </w:instrText>
      </w:r>
      <w:r>
        <w:rPr>
          <w:noProof/>
        </w:rPr>
      </w:r>
      <w:r>
        <w:rPr>
          <w:noProof/>
        </w:rPr>
        <w:fldChar w:fldCharType="separate"/>
      </w:r>
      <w:r w:rsidR="0058478E">
        <w:rPr>
          <w:noProof/>
        </w:rPr>
        <w:t>33</w:t>
      </w:r>
      <w:r>
        <w:rPr>
          <w:noProof/>
        </w:rPr>
        <w:fldChar w:fldCharType="end"/>
      </w:r>
    </w:p>
    <w:p w14:paraId="5FAE1810" w14:textId="716944AE"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1. Overview of Global Inputs Updates and Sources</w:t>
      </w:r>
      <w:r>
        <w:rPr>
          <w:noProof/>
        </w:rPr>
        <w:tab/>
      </w:r>
      <w:r>
        <w:rPr>
          <w:noProof/>
        </w:rPr>
        <w:fldChar w:fldCharType="begin"/>
      </w:r>
      <w:r>
        <w:rPr>
          <w:noProof/>
        </w:rPr>
        <w:instrText xml:space="preserve"> PAGEREF _Toc490560659 \h </w:instrText>
      </w:r>
      <w:r>
        <w:rPr>
          <w:noProof/>
        </w:rPr>
      </w:r>
      <w:r>
        <w:rPr>
          <w:noProof/>
        </w:rPr>
        <w:fldChar w:fldCharType="separate"/>
      </w:r>
      <w:r w:rsidR="0058478E">
        <w:rPr>
          <w:noProof/>
        </w:rPr>
        <w:t>34</w:t>
      </w:r>
      <w:r>
        <w:rPr>
          <w:noProof/>
        </w:rPr>
        <w:fldChar w:fldCharType="end"/>
      </w:r>
    </w:p>
    <w:p w14:paraId="34DE04C4" w14:textId="43CA2CEB"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2.  2016 IEPR Electric Service Territory to Planning Area Adjustment Ratios</w:t>
      </w:r>
      <w:r>
        <w:rPr>
          <w:noProof/>
        </w:rPr>
        <w:tab/>
      </w:r>
      <w:r>
        <w:rPr>
          <w:noProof/>
        </w:rPr>
        <w:fldChar w:fldCharType="begin"/>
      </w:r>
      <w:r>
        <w:rPr>
          <w:noProof/>
        </w:rPr>
        <w:instrText xml:space="preserve"> PAGEREF _Toc490560660 \h </w:instrText>
      </w:r>
      <w:r>
        <w:rPr>
          <w:noProof/>
        </w:rPr>
      </w:r>
      <w:r>
        <w:rPr>
          <w:noProof/>
        </w:rPr>
        <w:fldChar w:fldCharType="separate"/>
      </w:r>
      <w:r w:rsidR="0058478E">
        <w:rPr>
          <w:noProof/>
        </w:rPr>
        <w:t>35</w:t>
      </w:r>
      <w:r>
        <w:rPr>
          <w:noProof/>
        </w:rPr>
        <w:fldChar w:fldCharType="end"/>
      </w:r>
    </w:p>
    <w:p w14:paraId="44699CB5" w14:textId="6D133041"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3.  2016 IEPR Gas Service Territory to Planning Area Adjustment Ratios</w:t>
      </w:r>
      <w:r>
        <w:rPr>
          <w:noProof/>
        </w:rPr>
        <w:tab/>
      </w:r>
      <w:r>
        <w:rPr>
          <w:noProof/>
        </w:rPr>
        <w:fldChar w:fldCharType="begin"/>
      </w:r>
      <w:r>
        <w:rPr>
          <w:noProof/>
        </w:rPr>
        <w:instrText xml:space="preserve"> PAGEREF _Toc490560661 \h </w:instrText>
      </w:r>
      <w:r>
        <w:rPr>
          <w:noProof/>
        </w:rPr>
      </w:r>
      <w:r>
        <w:rPr>
          <w:noProof/>
        </w:rPr>
        <w:fldChar w:fldCharType="separate"/>
      </w:r>
      <w:r w:rsidR="0058478E">
        <w:rPr>
          <w:noProof/>
        </w:rPr>
        <w:t>35</w:t>
      </w:r>
      <w:r>
        <w:rPr>
          <w:noProof/>
        </w:rPr>
        <w:fldChar w:fldCharType="end"/>
      </w:r>
    </w:p>
    <w:p w14:paraId="22ADACDD" w14:textId="6EA1D7D4"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4.  Mapping CEC Planning Areas to IOU Service Territories</w:t>
      </w:r>
      <w:r>
        <w:rPr>
          <w:noProof/>
        </w:rPr>
        <w:tab/>
      </w:r>
      <w:r>
        <w:rPr>
          <w:noProof/>
        </w:rPr>
        <w:fldChar w:fldCharType="begin"/>
      </w:r>
      <w:r>
        <w:rPr>
          <w:noProof/>
        </w:rPr>
        <w:instrText xml:space="preserve"> PAGEREF _Toc490560662 \h </w:instrText>
      </w:r>
      <w:r>
        <w:rPr>
          <w:noProof/>
        </w:rPr>
      </w:r>
      <w:r>
        <w:rPr>
          <w:noProof/>
        </w:rPr>
        <w:fldChar w:fldCharType="separate"/>
      </w:r>
      <w:r w:rsidR="0058478E">
        <w:rPr>
          <w:noProof/>
        </w:rPr>
        <w:t>36</w:t>
      </w:r>
      <w:r>
        <w:rPr>
          <w:noProof/>
        </w:rPr>
        <w:fldChar w:fldCharType="end"/>
      </w:r>
    </w:p>
    <w:p w14:paraId="7BCD5D58" w14:textId="5FD407FE"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5. 2013-2015 IOU-reported Portfolio Gross Program Savings</w:t>
      </w:r>
      <w:r>
        <w:rPr>
          <w:noProof/>
        </w:rPr>
        <w:tab/>
      </w:r>
      <w:r>
        <w:rPr>
          <w:noProof/>
        </w:rPr>
        <w:fldChar w:fldCharType="begin"/>
      </w:r>
      <w:r>
        <w:rPr>
          <w:noProof/>
        </w:rPr>
        <w:instrText xml:space="preserve"> PAGEREF _Toc490560663 \h </w:instrText>
      </w:r>
      <w:r>
        <w:rPr>
          <w:noProof/>
        </w:rPr>
      </w:r>
      <w:r>
        <w:rPr>
          <w:noProof/>
        </w:rPr>
        <w:fldChar w:fldCharType="separate"/>
      </w:r>
      <w:r w:rsidR="0058478E">
        <w:rPr>
          <w:noProof/>
        </w:rPr>
        <w:t>37</w:t>
      </w:r>
      <w:r>
        <w:rPr>
          <w:noProof/>
        </w:rPr>
        <w:fldChar w:fldCharType="end"/>
      </w:r>
    </w:p>
    <w:p w14:paraId="1082E89D" w14:textId="0A7AD083"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6. Non-Incentive Program Costs Summary</w:t>
      </w:r>
      <w:r>
        <w:rPr>
          <w:noProof/>
        </w:rPr>
        <w:tab/>
      </w:r>
      <w:r>
        <w:rPr>
          <w:noProof/>
        </w:rPr>
        <w:fldChar w:fldCharType="begin"/>
      </w:r>
      <w:r>
        <w:rPr>
          <w:noProof/>
        </w:rPr>
        <w:instrText xml:space="preserve"> PAGEREF _Toc490560664 \h </w:instrText>
      </w:r>
      <w:r>
        <w:rPr>
          <w:noProof/>
        </w:rPr>
      </w:r>
      <w:r>
        <w:rPr>
          <w:noProof/>
        </w:rPr>
        <w:fldChar w:fldCharType="separate"/>
      </w:r>
      <w:r w:rsidR="0058478E">
        <w:rPr>
          <w:noProof/>
        </w:rPr>
        <w:t>37</w:t>
      </w:r>
      <w:r>
        <w:rPr>
          <w:noProof/>
        </w:rPr>
        <w:fldChar w:fldCharType="end"/>
      </w:r>
    </w:p>
    <w:p w14:paraId="09229B64" w14:textId="5AAB54DA"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7. California RPS Targets, 2016-2030</w:t>
      </w:r>
      <w:r>
        <w:rPr>
          <w:noProof/>
        </w:rPr>
        <w:tab/>
      </w:r>
      <w:r>
        <w:rPr>
          <w:noProof/>
        </w:rPr>
        <w:fldChar w:fldCharType="begin"/>
      </w:r>
      <w:r>
        <w:rPr>
          <w:noProof/>
        </w:rPr>
        <w:instrText xml:space="preserve"> PAGEREF _Toc490560665 \h </w:instrText>
      </w:r>
      <w:r>
        <w:rPr>
          <w:noProof/>
        </w:rPr>
      </w:r>
      <w:r>
        <w:rPr>
          <w:noProof/>
        </w:rPr>
        <w:fldChar w:fldCharType="separate"/>
      </w:r>
      <w:r w:rsidR="0058478E">
        <w:rPr>
          <w:noProof/>
        </w:rPr>
        <w:t>39</w:t>
      </w:r>
      <w:r>
        <w:rPr>
          <w:noProof/>
        </w:rPr>
        <w:fldChar w:fldCharType="end"/>
      </w:r>
    </w:p>
    <w:p w14:paraId="0FB00254" w14:textId="1825F5B1"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8.  Costs of Carbon, 2016-2046</w:t>
      </w:r>
      <w:r>
        <w:rPr>
          <w:noProof/>
        </w:rPr>
        <w:tab/>
      </w:r>
      <w:r>
        <w:rPr>
          <w:noProof/>
        </w:rPr>
        <w:fldChar w:fldCharType="begin"/>
      </w:r>
      <w:r>
        <w:rPr>
          <w:noProof/>
        </w:rPr>
        <w:instrText xml:space="preserve"> PAGEREF _Toc490560666 \h </w:instrText>
      </w:r>
      <w:r>
        <w:rPr>
          <w:noProof/>
        </w:rPr>
      </w:r>
      <w:r>
        <w:rPr>
          <w:noProof/>
        </w:rPr>
        <w:fldChar w:fldCharType="separate"/>
      </w:r>
      <w:r w:rsidR="0058478E">
        <w:rPr>
          <w:noProof/>
        </w:rPr>
        <w:t>40</w:t>
      </w:r>
      <w:r>
        <w:rPr>
          <w:noProof/>
        </w:rPr>
        <w:fldChar w:fldCharType="end"/>
      </w:r>
    </w:p>
    <w:p w14:paraId="6E56106D" w14:textId="129CE9D0"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9.  Final List of Technology Groups (with Examples) and Individual Technologies</w:t>
      </w:r>
      <w:r>
        <w:rPr>
          <w:noProof/>
        </w:rPr>
        <w:tab/>
      </w:r>
      <w:r>
        <w:rPr>
          <w:noProof/>
        </w:rPr>
        <w:fldChar w:fldCharType="begin"/>
      </w:r>
      <w:r>
        <w:rPr>
          <w:noProof/>
        </w:rPr>
        <w:instrText xml:space="preserve"> PAGEREF _Toc490560667 \h </w:instrText>
      </w:r>
      <w:r>
        <w:rPr>
          <w:noProof/>
        </w:rPr>
      </w:r>
      <w:r>
        <w:rPr>
          <w:noProof/>
        </w:rPr>
        <w:fldChar w:fldCharType="separate"/>
      </w:r>
      <w:r w:rsidR="0058478E">
        <w:rPr>
          <w:noProof/>
        </w:rPr>
        <w:t>44</w:t>
      </w:r>
      <w:r>
        <w:rPr>
          <w:noProof/>
        </w:rPr>
        <w:fldChar w:fldCharType="end"/>
      </w:r>
    </w:p>
    <w:p w14:paraId="76C12379" w14:textId="48AF638D"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10.  Comparison of Efficient Residential and Commercial Technologies in 2015 and 2018 PG Study</w:t>
      </w:r>
      <w:r>
        <w:rPr>
          <w:noProof/>
        </w:rPr>
        <w:tab/>
      </w:r>
      <w:r>
        <w:rPr>
          <w:noProof/>
        </w:rPr>
        <w:fldChar w:fldCharType="begin"/>
      </w:r>
      <w:r>
        <w:rPr>
          <w:noProof/>
        </w:rPr>
        <w:instrText xml:space="preserve"> PAGEREF _Toc490560668 \h </w:instrText>
      </w:r>
      <w:r>
        <w:rPr>
          <w:noProof/>
        </w:rPr>
      </w:r>
      <w:r>
        <w:rPr>
          <w:noProof/>
        </w:rPr>
        <w:fldChar w:fldCharType="separate"/>
      </w:r>
      <w:r w:rsidR="0058478E">
        <w:rPr>
          <w:noProof/>
        </w:rPr>
        <w:t>45</w:t>
      </w:r>
      <w:r>
        <w:rPr>
          <w:noProof/>
        </w:rPr>
        <w:fldChar w:fldCharType="end"/>
      </w:r>
    </w:p>
    <w:p w14:paraId="6A7ADF27" w14:textId="6B1F10DF"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11. Residential and Commercial Accelerated Replacement Technology Groups</w:t>
      </w:r>
      <w:r>
        <w:rPr>
          <w:noProof/>
        </w:rPr>
        <w:tab/>
      </w:r>
      <w:r>
        <w:rPr>
          <w:noProof/>
        </w:rPr>
        <w:fldChar w:fldCharType="begin"/>
      </w:r>
      <w:r>
        <w:rPr>
          <w:noProof/>
        </w:rPr>
        <w:instrText xml:space="preserve"> PAGEREF _Toc490560669 \h </w:instrText>
      </w:r>
      <w:r>
        <w:rPr>
          <w:noProof/>
        </w:rPr>
      </w:r>
      <w:r>
        <w:rPr>
          <w:noProof/>
        </w:rPr>
        <w:fldChar w:fldCharType="separate"/>
      </w:r>
      <w:r w:rsidR="0058478E">
        <w:rPr>
          <w:noProof/>
        </w:rPr>
        <w:t>46</w:t>
      </w:r>
      <w:r>
        <w:rPr>
          <w:noProof/>
        </w:rPr>
        <w:fldChar w:fldCharType="end"/>
      </w:r>
    </w:p>
    <w:p w14:paraId="06CFC14D" w14:textId="57B72DEF"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12. Key Fields for Measure Characterization with Brief Descriptions</w:t>
      </w:r>
      <w:r>
        <w:rPr>
          <w:noProof/>
        </w:rPr>
        <w:tab/>
      </w:r>
      <w:r>
        <w:rPr>
          <w:noProof/>
        </w:rPr>
        <w:fldChar w:fldCharType="begin"/>
      </w:r>
      <w:r>
        <w:rPr>
          <w:noProof/>
        </w:rPr>
        <w:instrText xml:space="preserve"> PAGEREF _Toc490560670 \h </w:instrText>
      </w:r>
      <w:r>
        <w:rPr>
          <w:noProof/>
        </w:rPr>
      </w:r>
      <w:r>
        <w:rPr>
          <w:noProof/>
        </w:rPr>
        <w:fldChar w:fldCharType="separate"/>
      </w:r>
      <w:r w:rsidR="0058478E">
        <w:rPr>
          <w:noProof/>
        </w:rPr>
        <w:t>47</w:t>
      </w:r>
      <w:r>
        <w:rPr>
          <w:noProof/>
        </w:rPr>
        <w:fldChar w:fldCharType="end"/>
      </w:r>
    </w:p>
    <w:p w14:paraId="6B374A30" w14:textId="62A587BB"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13.  Hierarchy of Data Sources for Energy Use Information</w:t>
      </w:r>
      <w:r>
        <w:rPr>
          <w:noProof/>
        </w:rPr>
        <w:tab/>
      </w:r>
      <w:r>
        <w:rPr>
          <w:noProof/>
        </w:rPr>
        <w:fldChar w:fldCharType="begin"/>
      </w:r>
      <w:r>
        <w:rPr>
          <w:noProof/>
        </w:rPr>
        <w:instrText xml:space="preserve"> PAGEREF _Toc490560671 \h </w:instrText>
      </w:r>
      <w:r>
        <w:rPr>
          <w:noProof/>
        </w:rPr>
      </w:r>
      <w:r>
        <w:rPr>
          <w:noProof/>
        </w:rPr>
        <w:fldChar w:fldCharType="separate"/>
      </w:r>
      <w:r w:rsidR="0058478E">
        <w:rPr>
          <w:noProof/>
        </w:rPr>
        <w:t>48</w:t>
      </w:r>
      <w:r>
        <w:rPr>
          <w:noProof/>
        </w:rPr>
        <w:fldChar w:fldCharType="end"/>
      </w:r>
    </w:p>
    <w:p w14:paraId="4325FB83" w14:textId="6E01459B"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14.  Hierarchy of Data Sources for Technology Cost Information</w:t>
      </w:r>
      <w:r>
        <w:rPr>
          <w:noProof/>
        </w:rPr>
        <w:tab/>
      </w:r>
      <w:r>
        <w:rPr>
          <w:noProof/>
        </w:rPr>
        <w:fldChar w:fldCharType="begin"/>
      </w:r>
      <w:r>
        <w:rPr>
          <w:noProof/>
        </w:rPr>
        <w:instrText xml:space="preserve"> PAGEREF _Toc490560672 \h </w:instrText>
      </w:r>
      <w:r>
        <w:rPr>
          <w:noProof/>
        </w:rPr>
      </w:r>
      <w:r>
        <w:rPr>
          <w:noProof/>
        </w:rPr>
        <w:fldChar w:fldCharType="separate"/>
      </w:r>
      <w:r w:rsidR="0058478E">
        <w:rPr>
          <w:noProof/>
        </w:rPr>
        <w:t>49</w:t>
      </w:r>
      <w:r>
        <w:rPr>
          <w:noProof/>
        </w:rPr>
        <w:fldChar w:fldCharType="end"/>
      </w:r>
    </w:p>
    <w:p w14:paraId="232EB5F8" w14:textId="1E5D914E"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15.  Example of Density and Saturation Calculation</w:t>
      </w:r>
      <w:r>
        <w:rPr>
          <w:noProof/>
        </w:rPr>
        <w:tab/>
      </w:r>
      <w:r>
        <w:rPr>
          <w:noProof/>
        </w:rPr>
        <w:fldChar w:fldCharType="begin"/>
      </w:r>
      <w:r>
        <w:rPr>
          <w:noProof/>
        </w:rPr>
        <w:instrText xml:space="preserve"> PAGEREF _Toc490560673 \h </w:instrText>
      </w:r>
      <w:r>
        <w:rPr>
          <w:noProof/>
        </w:rPr>
      </w:r>
      <w:r>
        <w:rPr>
          <w:noProof/>
        </w:rPr>
        <w:fldChar w:fldCharType="separate"/>
      </w:r>
      <w:r w:rsidR="0058478E">
        <w:rPr>
          <w:noProof/>
        </w:rPr>
        <w:t>52</w:t>
      </w:r>
      <w:r>
        <w:rPr>
          <w:noProof/>
        </w:rPr>
        <w:fldChar w:fldCharType="end"/>
      </w:r>
    </w:p>
    <w:p w14:paraId="5207BBB7" w14:textId="2CF8A4D4"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16.  Sources for Density and Saturation Characterization</w:t>
      </w:r>
      <w:r>
        <w:rPr>
          <w:noProof/>
        </w:rPr>
        <w:tab/>
      </w:r>
      <w:r>
        <w:rPr>
          <w:noProof/>
        </w:rPr>
        <w:fldChar w:fldCharType="begin"/>
      </w:r>
      <w:r>
        <w:rPr>
          <w:noProof/>
        </w:rPr>
        <w:instrText xml:space="preserve"> PAGEREF _Toc490560674 \h </w:instrText>
      </w:r>
      <w:r>
        <w:rPr>
          <w:noProof/>
        </w:rPr>
      </w:r>
      <w:r>
        <w:rPr>
          <w:noProof/>
        </w:rPr>
        <w:fldChar w:fldCharType="separate"/>
      </w:r>
      <w:r w:rsidR="0058478E">
        <w:rPr>
          <w:noProof/>
        </w:rPr>
        <w:t>53</w:t>
      </w:r>
      <w:r>
        <w:rPr>
          <w:noProof/>
        </w:rPr>
        <w:fldChar w:fldCharType="end"/>
      </w:r>
    </w:p>
    <w:p w14:paraId="0DB94668" w14:textId="562C6CD7"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17. Final List of Technology Groups and Individual Technologies</w:t>
      </w:r>
      <w:r>
        <w:rPr>
          <w:noProof/>
        </w:rPr>
        <w:tab/>
      </w:r>
      <w:r>
        <w:rPr>
          <w:noProof/>
        </w:rPr>
        <w:fldChar w:fldCharType="begin"/>
      </w:r>
      <w:r>
        <w:rPr>
          <w:noProof/>
        </w:rPr>
        <w:instrText xml:space="preserve"> PAGEREF _Toc490560675 \h </w:instrText>
      </w:r>
      <w:r>
        <w:rPr>
          <w:noProof/>
        </w:rPr>
      </w:r>
      <w:r>
        <w:rPr>
          <w:noProof/>
        </w:rPr>
        <w:fldChar w:fldCharType="separate"/>
      </w:r>
      <w:r w:rsidR="0058478E">
        <w:rPr>
          <w:noProof/>
        </w:rPr>
        <w:t>56</w:t>
      </w:r>
      <w:r>
        <w:rPr>
          <w:noProof/>
        </w:rPr>
        <w:fldChar w:fldCharType="end"/>
      </w:r>
    </w:p>
    <w:p w14:paraId="17CEBEFA" w14:textId="3787427D"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18. Generic Custom Measures - Key Assumptions</w:t>
      </w:r>
      <w:r>
        <w:rPr>
          <w:noProof/>
        </w:rPr>
        <w:tab/>
      </w:r>
      <w:r>
        <w:rPr>
          <w:noProof/>
        </w:rPr>
        <w:fldChar w:fldCharType="begin"/>
      </w:r>
      <w:r>
        <w:rPr>
          <w:noProof/>
        </w:rPr>
        <w:instrText xml:space="preserve"> PAGEREF _Toc490560676 \h </w:instrText>
      </w:r>
      <w:r>
        <w:rPr>
          <w:noProof/>
        </w:rPr>
      </w:r>
      <w:r>
        <w:rPr>
          <w:noProof/>
        </w:rPr>
        <w:fldChar w:fldCharType="separate"/>
      </w:r>
      <w:r w:rsidR="0058478E">
        <w:rPr>
          <w:noProof/>
        </w:rPr>
        <w:t>60</w:t>
      </w:r>
      <w:r>
        <w:rPr>
          <w:noProof/>
        </w:rPr>
        <w:fldChar w:fldCharType="end"/>
      </w:r>
    </w:p>
    <w:p w14:paraId="71814353" w14:textId="54E8B1EF"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19. Emerging Technologies - Key Assumptions</w:t>
      </w:r>
      <w:r>
        <w:rPr>
          <w:noProof/>
        </w:rPr>
        <w:tab/>
      </w:r>
      <w:r>
        <w:rPr>
          <w:noProof/>
        </w:rPr>
        <w:fldChar w:fldCharType="begin"/>
      </w:r>
      <w:r>
        <w:rPr>
          <w:noProof/>
        </w:rPr>
        <w:instrText xml:space="preserve"> PAGEREF _Toc490560677 \h </w:instrText>
      </w:r>
      <w:r>
        <w:rPr>
          <w:noProof/>
        </w:rPr>
      </w:r>
      <w:r>
        <w:rPr>
          <w:noProof/>
        </w:rPr>
        <w:fldChar w:fldCharType="separate"/>
      </w:r>
      <w:r w:rsidR="0058478E">
        <w:rPr>
          <w:noProof/>
        </w:rPr>
        <w:t>61</w:t>
      </w:r>
      <w:r>
        <w:rPr>
          <w:noProof/>
        </w:rPr>
        <w:fldChar w:fldCharType="end"/>
      </w:r>
    </w:p>
    <w:p w14:paraId="0700C470" w14:textId="3A223E6A"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20. Whole Building Technology Levels</w:t>
      </w:r>
      <w:r>
        <w:rPr>
          <w:noProof/>
        </w:rPr>
        <w:tab/>
      </w:r>
      <w:r>
        <w:rPr>
          <w:noProof/>
        </w:rPr>
        <w:fldChar w:fldCharType="begin"/>
      </w:r>
      <w:r>
        <w:rPr>
          <w:noProof/>
        </w:rPr>
        <w:instrText xml:space="preserve"> PAGEREF _Toc490560678 \h </w:instrText>
      </w:r>
      <w:r>
        <w:rPr>
          <w:noProof/>
        </w:rPr>
      </w:r>
      <w:r>
        <w:rPr>
          <w:noProof/>
        </w:rPr>
        <w:fldChar w:fldCharType="separate"/>
      </w:r>
      <w:r w:rsidR="0058478E">
        <w:rPr>
          <w:noProof/>
        </w:rPr>
        <w:t>63</w:t>
      </w:r>
      <w:r>
        <w:rPr>
          <w:noProof/>
        </w:rPr>
        <w:fldChar w:fldCharType="end"/>
      </w:r>
    </w:p>
    <w:p w14:paraId="437CA4C6" w14:textId="633E4E7D"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21. Commercial New Construction Whole Building Data Sources</w:t>
      </w:r>
      <w:r>
        <w:rPr>
          <w:noProof/>
        </w:rPr>
        <w:tab/>
      </w:r>
      <w:r>
        <w:rPr>
          <w:noProof/>
        </w:rPr>
        <w:fldChar w:fldCharType="begin"/>
      </w:r>
      <w:r>
        <w:rPr>
          <w:noProof/>
        </w:rPr>
        <w:instrText xml:space="preserve"> PAGEREF _Toc490560679 \h </w:instrText>
      </w:r>
      <w:r>
        <w:rPr>
          <w:noProof/>
        </w:rPr>
      </w:r>
      <w:r>
        <w:rPr>
          <w:noProof/>
        </w:rPr>
        <w:fldChar w:fldCharType="separate"/>
      </w:r>
      <w:r w:rsidR="0058478E">
        <w:rPr>
          <w:noProof/>
        </w:rPr>
        <w:t>64</w:t>
      </w:r>
      <w:r>
        <w:rPr>
          <w:noProof/>
        </w:rPr>
        <w:fldChar w:fldCharType="end"/>
      </w:r>
    </w:p>
    <w:p w14:paraId="1FCA2097" w14:textId="48984996"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22. Residential New Construction Whole Building Data Sources</w:t>
      </w:r>
      <w:r>
        <w:rPr>
          <w:noProof/>
        </w:rPr>
        <w:tab/>
      </w:r>
      <w:r>
        <w:rPr>
          <w:noProof/>
        </w:rPr>
        <w:fldChar w:fldCharType="begin"/>
      </w:r>
      <w:r>
        <w:rPr>
          <w:noProof/>
        </w:rPr>
        <w:instrText xml:space="preserve"> PAGEREF _Toc490560680 \h </w:instrText>
      </w:r>
      <w:r>
        <w:rPr>
          <w:noProof/>
        </w:rPr>
      </w:r>
      <w:r>
        <w:rPr>
          <w:noProof/>
        </w:rPr>
        <w:fldChar w:fldCharType="separate"/>
      </w:r>
      <w:r w:rsidR="0058478E">
        <w:rPr>
          <w:noProof/>
        </w:rPr>
        <w:t>65</w:t>
      </w:r>
      <w:r>
        <w:rPr>
          <w:noProof/>
        </w:rPr>
        <w:fldChar w:fldCharType="end"/>
      </w:r>
    </w:p>
    <w:p w14:paraId="28510079" w14:textId="1B13D596"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23. Commercial Retrofit Whole Building Data Sources</w:t>
      </w:r>
      <w:r>
        <w:rPr>
          <w:noProof/>
        </w:rPr>
        <w:tab/>
      </w:r>
      <w:r>
        <w:rPr>
          <w:noProof/>
        </w:rPr>
        <w:fldChar w:fldCharType="begin"/>
      </w:r>
      <w:r>
        <w:rPr>
          <w:noProof/>
        </w:rPr>
        <w:instrText xml:space="preserve"> PAGEREF _Toc490560681 \h </w:instrText>
      </w:r>
      <w:r>
        <w:rPr>
          <w:noProof/>
        </w:rPr>
      </w:r>
      <w:r>
        <w:rPr>
          <w:noProof/>
        </w:rPr>
        <w:fldChar w:fldCharType="separate"/>
      </w:r>
      <w:r w:rsidR="0058478E">
        <w:rPr>
          <w:noProof/>
        </w:rPr>
        <w:t>67</w:t>
      </w:r>
      <w:r>
        <w:rPr>
          <w:noProof/>
        </w:rPr>
        <w:fldChar w:fldCharType="end"/>
      </w:r>
    </w:p>
    <w:p w14:paraId="468BDD9A" w14:textId="03B3B82A"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24. Residential Retrofit Whole Building Data Updates</w:t>
      </w:r>
      <w:r>
        <w:rPr>
          <w:noProof/>
        </w:rPr>
        <w:tab/>
      </w:r>
      <w:r>
        <w:rPr>
          <w:noProof/>
        </w:rPr>
        <w:fldChar w:fldCharType="begin"/>
      </w:r>
      <w:r>
        <w:rPr>
          <w:noProof/>
        </w:rPr>
        <w:instrText xml:space="preserve"> PAGEREF _Toc490560682 \h </w:instrText>
      </w:r>
      <w:r>
        <w:rPr>
          <w:noProof/>
        </w:rPr>
      </w:r>
      <w:r>
        <w:rPr>
          <w:noProof/>
        </w:rPr>
        <w:fldChar w:fldCharType="separate"/>
      </w:r>
      <w:r w:rsidR="0058478E">
        <w:rPr>
          <w:noProof/>
        </w:rPr>
        <w:t>67</w:t>
      </w:r>
      <w:r>
        <w:rPr>
          <w:noProof/>
        </w:rPr>
        <w:fldChar w:fldCharType="end"/>
      </w:r>
    </w:p>
    <w:p w14:paraId="7EC126E5" w14:textId="2018CE98"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25 C&amp;S Data Source Summary</w:t>
      </w:r>
      <w:r>
        <w:rPr>
          <w:noProof/>
        </w:rPr>
        <w:tab/>
      </w:r>
      <w:r>
        <w:rPr>
          <w:noProof/>
        </w:rPr>
        <w:fldChar w:fldCharType="begin"/>
      </w:r>
      <w:r>
        <w:rPr>
          <w:noProof/>
        </w:rPr>
        <w:instrText xml:space="preserve"> PAGEREF _Toc490560683 \h </w:instrText>
      </w:r>
      <w:r>
        <w:rPr>
          <w:noProof/>
        </w:rPr>
      </w:r>
      <w:r>
        <w:rPr>
          <w:noProof/>
        </w:rPr>
        <w:fldChar w:fldCharType="separate"/>
      </w:r>
      <w:r w:rsidR="0058478E">
        <w:rPr>
          <w:noProof/>
        </w:rPr>
        <w:t>68</w:t>
      </w:r>
      <w:r>
        <w:rPr>
          <w:noProof/>
        </w:rPr>
        <w:fldChar w:fldCharType="end"/>
      </w:r>
    </w:p>
    <w:p w14:paraId="52FE2A1C" w14:textId="73573012"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26 2016 and 2019 Savings Percentages</w:t>
      </w:r>
      <w:r>
        <w:rPr>
          <w:noProof/>
        </w:rPr>
        <w:tab/>
      </w:r>
      <w:r>
        <w:rPr>
          <w:noProof/>
        </w:rPr>
        <w:fldChar w:fldCharType="begin"/>
      </w:r>
      <w:r>
        <w:rPr>
          <w:noProof/>
        </w:rPr>
        <w:instrText xml:space="preserve"> PAGEREF _Toc490560684 \h </w:instrText>
      </w:r>
      <w:r>
        <w:rPr>
          <w:noProof/>
        </w:rPr>
      </w:r>
      <w:r>
        <w:rPr>
          <w:noProof/>
        </w:rPr>
        <w:fldChar w:fldCharType="separate"/>
      </w:r>
      <w:r w:rsidR="0058478E">
        <w:rPr>
          <w:noProof/>
        </w:rPr>
        <w:t>70</w:t>
      </w:r>
      <w:r>
        <w:rPr>
          <w:noProof/>
        </w:rPr>
        <w:fldChar w:fldCharType="end"/>
      </w:r>
    </w:p>
    <w:p w14:paraId="7BA24504" w14:textId="01532E9A"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27. Behavioral Intervention Summary Table</w:t>
      </w:r>
      <w:r>
        <w:rPr>
          <w:noProof/>
        </w:rPr>
        <w:tab/>
      </w:r>
      <w:r>
        <w:rPr>
          <w:noProof/>
        </w:rPr>
        <w:fldChar w:fldCharType="begin"/>
      </w:r>
      <w:r>
        <w:rPr>
          <w:noProof/>
        </w:rPr>
        <w:instrText xml:space="preserve"> PAGEREF _Toc490560685 \h </w:instrText>
      </w:r>
      <w:r>
        <w:rPr>
          <w:noProof/>
        </w:rPr>
      </w:r>
      <w:r>
        <w:rPr>
          <w:noProof/>
        </w:rPr>
        <w:fldChar w:fldCharType="separate"/>
      </w:r>
      <w:r w:rsidR="0058478E">
        <w:rPr>
          <w:noProof/>
        </w:rPr>
        <w:t>74</w:t>
      </w:r>
      <w:r>
        <w:rPr>
          <w:noProof/>
        </w:rPr>
        <w:fldChar w:fldCharType="end"/>
      </w:r>
    </w:p>
    <w:p w14:paraId="1B3EAA49" w14:textId="0DD9D3AB"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28. Stakeholder Feedback</w:t>
      </w:r>
      <w:r>
        <w:rPr>
          <w:noProof/>
        </w:rPr>
        <w:tab/>
      </w:r>
      <w:r>
        <w:rPr>
          <w:noProof/>
        </w:rPr>
        <w:fldChar w:fldCharType="begin"/>
      </w:r>
      <w:r>
        <w:rPr>
          <w:noProof/>
        </w:rPr>
        <w:instrText xml:space="preserve"> PAGEREF _Toc490560686 \h </w:instrText>
      </w:r>
      <w:r>
        <w:rPr>
          <w:noProof/>
        </w:rPr>
      </w:r>
      <w:r>
        <w:rPr>
          <w:noProof/>
        </w:rPr>
        <w:fldChar w:fldCharType="separate"/>
      </w:r>
      <w:r w:rsidR="0058478E">
        <w:rPr>
          <w:noProof/>
        </w:rPr>
        <w:t>75</w:t>
      </w:r>
      <w:r>
        <w:rPr>
          <w:noProof/>
        </w:rPr>
        <w:fldChar w:fldCharType="end"/>
      </w:r>
    </w:p>
    <w:p w14:paraId="4E176180" w14:textId="451B9DAB"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29. Qualitative Assessment of Data Quality</w:t>
      </w:r>
      <w:r>
        <w:rPr>
          <w:noProof/>
        </w:rPr>
        <w:tab/>
      </w:r>
      <w:r>
        <w:rPr>
          <w:noProof/>
        </w:rPr>
        <w:fldChar w:fldCharType="begin"/>
      </w:r>
      <w:r>
        <w:rPr>
          <w:noProof/>
        </w:rPr>
        <w:instrText xml:space="preserve"> PAGEREF _Toc490560687 \h </w:instrText>
      </w:r>
      <w:r>
        <w:rPr>
          <w:noProof/>
        </w:rPr>
      </w:r>
      <w:r>
        <w:rPr>
          <w:noProof/>
        </w:rPr>
        <w:fldChar w:fldCharType="separate"/>
      </w:r>
      <w:r w:rsidR="0058478E">
        <w:rPr>
          <w:noProof/>
        </w:rPr>
        <w:t>77</w:t>
      </w:r>
      <w:r>
        <w:rPr>
          <w:noProof/>
        </w:rPr>
        <w:fldChar w:fldCharType="end"/>
      </w:r>
    </w:p>
    <w:p w14:paraId="72044111" w14:textId="787954DC"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30. 2013-2015 Achievements by Regional Financing Program</w:t>
      </w:r>
      <w:r>
        <w:rPr>
          <w:noProof/>
        </w:rPr>
        <w:tab/>
      </w:r>
      <w:r>
        <w:rPr>
          <w:noProof/>
        </w:rPr>
        <w:fldChar w:fldCharType="begin"/>
      </w:r>
      <w:r>
        <w:rPr>
          <w:noProof/>
        </w:rPr>
        <w:instrText xml:space="preserve"> PAGEREF _Toc490560688 \h </w:instrText>
      </w:r>
      <w:r>
        <w:rPr>
          <w:noProof/>
        </w:rPr>
      </w:r>
      <w:r>
        <w:rPr>
          <w:noProof/>
        </w:rPr>
        <w:fldChar w:fldCharType="separate"/>
      </w:r>
      <w:r w:rsidR="0058478E">
        <w:rPr>
          <w:noProof/>
        </w:rPr>
        <w:t>79</w:t>
      </w:r>
      <w:r>
        <w:rPr>
          <w:noProof/>
        </w:rPr>
        <w:fldChar w:fldCharType="end"/>
      </w:r>
    </w:p>
    <w:p w14:paraId="284113A7" w14:textId="252EDA1D"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31. Key Inputs to Residential Financing Cash Flow Model</w:t>
      </w:r>
      <w:r>
        <w:rPr>
          <w:noProof/>
        </w:rPr>
        <w:tab/>
      </w:r>
      <w:r>
        <w:rPr>
          <w:noProof/>
        </w:rPr>
        <w:fldChar w:fldCharType="begin"/>
      </w:r>
      <w:r>
        <w:rPr>
          <w:noProof/>
        </w:rPr>
        <w:instrText xml:space="preserve"> PAGEREF _Toc490560689 \h </w:instrText>
      </w:r>
      <w:r>
        <w:rPr>
          <w:noProof/>
        </w:rPr>
      </w:r>
      <w:r>
        <w:rPr>
          <w:noProof/>
        </w:rPr>
        <w:fldChar w:fldCharType="separate"/>
      </w:r>
      <w:r w:rsidR="0058478E">
        <w:rPr>
          <w:noProof/>
        </w:rPr>
        <w:t>80</w:t>
      </w:r>
      <w:r>
        <w:rPr>
          <w:noProof/>
        </w:rPr>
        <w:fldChar w:fldCharType="end"/>
      </w:r>
    </w:p>
    <w:p w14:paraId="639BA57D" w14:textId="69990A0A" w:rsidR="00761D20" w:rsidRDefault="00761D20">
      <w:pPr>
        <w:pStyle w:val="TableofFigures"/>
        <w:rPr>
          <w:rFonts w:asciiTheme="minorHAnsi" w:eastAsiaTheme="minorEastAsia" w:hAnsiTheme="minorHAnsi" w:cstheme="minorBidi"/>
          <w:noProof/>
          <w:sz w:val="22"/>
          <w:szCs w:val="22"/>
        </w:rPr>
      </w:pPr>
      <w:r>
        <w:rPr>
          <w:noProof/>
        </w:rPr>
        <w:t>Table 3</w:t>
      </w:r>
      <w:r>
        <w:rPr>
          <w:noProof/>
        </w:rPr>
        <w:noBreakHyphen/>
        <w:t>32. Key Inputs to Commercial and Industrial (C&amp;I) Financing Cash Flow Model</w:t>
      </w:r>
      <w:r>
        <w:rPr>
          <w:noProof/>
        </w:rPr>
        <w:tab/>
      </w:r>
      <w:r>
        <w:rPr>
          <w:noProof/>
        </w:rPr>
        <w:fldChar w:fldCharType="begin"/>
      </w:r>
      <w:r>
        <w:rPr>
          <w:noProof/>
        </w:rPr>
        <w:instrText xml:space="preserve"> PAGEREF _Toc490560690 \h </w:instrText>
      </w:r>
      <w:r>
        <w:rPr>
          <w:noProof/>
        </w:rPr>
      </w:r>
      <w:r>
        <w:rPr>
          <w:noProof/>
        </w:rPr>
        <w:fldChar w:fldCharType="separate"/>
      </w:r>
      <w:r w:rsidR="0058478E">
        <w:rPr>
          <w:noProof/>
        </w:rPr>
        <w:t>81</w:t>
      </w:r>
      <w:r>
        <w:rPr>
          <w:noProof/>
        </w:rPr>
        <w:fldChar w:fldCharType="end"/>
      </w:r>
    </w:p>
    <w:p w14:paraId="6528929C" w14:textId="70BF0CF5" w:rsidR="00761D20" w:rsidRDefault="00761D20">
      <w:pPr>
        <w:pStyle w:val="TableofFigures"/>
        <w:rPr>
          <w:rFonts w:asciiTheme="minorHAnsi" w:eastAsiaTheme="minorEastAsia" w:hAnsiTheme="minorHAnsi" w:cstheme="minorBidi"/>
          <w:noProof/>
          <w:sz w:val="22"/>
          <w:szCs w:val="22"/>
        </w:rPr>
      </w:pPr>
      <w:r>
        <w:rPr>
          <w:noProof/>
        </w:rPr>
        <w:t>Table 4</w:t>
      </w:r>
      <w:r>
        <w:rPr>
          <w:noProof/>
        </w:rPr>
        <w:noBreakHyphen/>
        <w:t>1. Statewide Net Incremental Electric Savings by Scenario</w:t>
      </w:r>
      <w:r>
        <w:rPr>
          <w:noProof/>
        </w:rPr>
        <w:tab/>
      </w:r>
      <w:r>
        <w:rPr>
          <w:noProof/>
        </w:rPr>
        <w:fldChar w:fldCharType="begin"/>
      </w:r>
      <w:r>
        <w:rPr>
          <w:noProof/>
        </w:rPr>
        <w:instrText xml:space="preserve"> PAGEREF _Toc490560691 \h </w:instrText>
      </w:r>
      <w:r>
        <w:rPr>
          <w:noProof/>
        </w:rPr>
      </w:r>
      <w:r>
        <w:rPr>
          <w:noProof/>
        </w:rPr>
        <w:fldChar w:fldCharType="separate"/>
      </w:r>
      <w:r w:rsidR="0058478E">
        <w:rPr>
          <w:noProof/>
        </w:rPr>
        <w:t>83</w:t>
      </w:r>
      <w:r>
        <w:rPr>
          <w:noProof/>
        </w:rPr>
        <w:fldChar w:fldCharType="end"/>
      </w:r>
    </w:p>
    <w:p w14:paraId="608D6195" w14:textId="5FC3B11C" w:rsidR="00761D20" w:rsidRDefault="00761D20">
      <w:pPr>
        <w:pStyle w:val="TableofFigures"/>
        <w:rPr>
          <w:rFonts w:asciiTheme="minorHAnsi" w:eastAsiaTheme="minorEastAsia" w:hAnsiTheme="minorHAnsi" w:cstheme="minorBidi"/>
          <w:noProof/>
          <w:sz w:val="22"/>
          <w:szCs w:val="22"/>
        </w:rPr>
      </w:pPr>
      <w:r>
        <w:rPr>
          <w:noProof/>
        </w:rPr>
        <w:t>Table 4</w:t>
      </w:r>
      <w:r>
        <w:rPr>
          <w:noProof/>
        </w:rPr>
        <w:noBreakHyphen/>
        <w:t>2. Statewide Net Incremental Demand Savings by Scenario</w:t>
      </w:r>
      <w:r>
        <w:rPr>
          <w:noProof/>
        </w:rPr>
        <w:tab/>
      </w:r>
      <w:r>
        <w:rPr>
          <w:noProof/>
        </w:rPr>
        <w:fldChar w:fldCharType="begin"/>
      </w:r>
      <w:r>
        <w:rPr>
          <w:noProof/>
        </w:rPr>
        <w:instrText xml:space="preserve"> PAGEREF _Toc490560692 \h </w:instrText>
      </w:r>
      <w:r>
        <w:rPr>
          <w:noProof/>
        </w:rPr>
      </w:r>
      <w:r>
        <w:rPr>
          <w:noProof/>
        </w:rPr>
        <w:fldChar w:fldCharType="separate"/>
      </w:r>
      <w:r w:rsidR="0058478E">
        <w:rPr>
          <w:noProof/>
        </w:rPr>
        <w:t>84</w:t>
      </w:r>
      <w:r>
        <w:rPr>
          <w:noProof/>
        </w:rPr>
        <w:fldChar w:fldCharType="end"/>
      </w:r>
    </w:p>
    <w:p w14:paraId="2AE57516" w14:textId="3472F612" w:rsidR="00761D20" w:rsidRDefault="00761D20">
      <w:pPr>
        <w:pStyle w:val="TableofFigures"/>
        <w:rPr>
          <w:rFonts w:asciiTheme="minorHAnsi" w:eastAsiaTheme="minorEastAsia" w:hAnsiTheme="minorHAnsi" w:cstheme="minorBidi"/>
          <w:noProof/>
          <w:sz w:val="22"/>
          <w:szCs w:val="22"/>
        </w:rPr>
      </w:pPr>
      <w:r>
        <w:rPr>
          <w:noProof/>
        </w:rPr>
        <w:t>Table 4</w:t>
      </w:r>
      <w:r>
        <w:rPr>
          <w:noProof/>
        </w:rPr>
        <w:noBreakHyphen/>
        <w:t>3</w:t>
      </w:r>
      <w:r w:rsidRPr="00B44B55">
        <w:rPr>
          <w:noProof/>
        </w:rPr>
        <w:t xml:space="preserve">. </w:t>
      </w:r>
      <w:r>
        <w:rPr>
          <w:noProof/>
        </w:rPr>
        <w:t>Statewide Net Incremental Gas Savings by Scenario</w:t>
      </w:r>
      <w:r>
        <w:rPr>
          <w:noProof/>
        </w:rPr>
        <w:tab/>
      </w:r>
      <w:r>
        <w:rPr>
          <w:noProof/>
        </w:rPr>
        <w:fldChar w:fldCharType="begin"/>
      </w:r>
      <w:r>
        <w:rPr>
          <w:noProof/>
        </w:rPr>
        <w:instrText xml:space="preserve"> PAGEREF _Toc490560693 \h </w:instrText>
      </w:r>
      <w:r>
        <w:rPr>
          <w:noProof/>
        </w:rPr>
      </w:r>
      <w:r>
        <w:rPr>
          <w:noProof/>
        </w:rPr>
        <w:fldChar w:fldCharType="separate"/>
      </w:r>
      <w:r w:rsidR="0058478E">
        <w:rPr>
          <w:noProof/>
        </w:rPr>
        <w:t>85</w:t>
      </w:r>
      <w:r>
        <w:rPr>
          <w:noProof/>
        </w:rPr>
        <w:fldChar w:fldCharType="end"/>
      </w:r>
    </w:p>
    <w:p w14:paraId="3FC98C4F" w14:textId="52A4885D" w:rsidR="00761D20" w:rsidRDefault="00761D20">
      <w:pPr>
        <w:pStyle w:val="TableofFigures"/>
        <w:rPr>
          <w:rFonts w:asciiTheme="minorHAnsi" w:eastAsiaTheme="minorEastAsia" w:hAnsiTheme="minorHAnsi" w:cstheme="minorBidi"/>
          <w:noProof/>
          <w:sz w:val="22"/>
          <w:szCs w:val="22"/>
        </w:rPr>
      </w:pPr>
      <w:r>
        <w:rPr>
          <w:noProof/>
        </w:rPr>
        <w:t>Table 4</w:t>
      </w:r>
      <w:r>
        <w:rPr>
          <w:noProof/>
        </w:rPr>
        <w:noBreakHyphen/>
        <w:t>4. Results Viewer Tabs</w:t>
      </w:r>
      <w:r>
        <w:rPr>
          <w:noProof/>
        </w:rPr>
        <w:tab/>
      </w:r>
      <w:r>
        <w:rPr>
          <w:noProof/>
        </w:rPr>
        <w:fldChar w:fldCharType="begin"/>
      </w:r>
      <w:r>
        <w:rPr>
          <w:noProof/>
        </w:rPr>
        <w:instrText xml:space="preserve"> PAGEREF _Toc490560694 \h </w:instrText>
      </w:r>
      <w:r>
        <w:rPr>
          <w:noProof/>
        </w:rPr>
      </w:r>
      <w:r>
        <w:rPr>
          <w:noProof/>
        </w:rPr>
        <w:fldChar w:fldCharType="separate"/>
      </w:r>
      <w:r w:rsidR="0058478E">
        <w:rPr>
          <w:noProof/>
        </w:rPr>
        <w:t>128</w:t>
      </w:r>
      <w:r>
        <w:rPr>
          <w:noProof/>
        </w:rPr>
        <w:fldChar w:fldCharType="end"/>
      </w:r>
    </w:p>
    <w:p w14:paraId="321878D5" w14:textId="41C5535E" w:rsidR="00761D20" w:rsidRDefault="00761D20">
      <w:pPr>
        <w:pStyle w:val="TableofFigures"/>
        <w:rPr>
          <w:rFonts w:asciiTheme="minorHAnsi" w:eastAsiaTheme="minorEastAsia" w:hAnsiTheme="minorHAnsi" w:cstheme="minorBidi"/>
          <w:noProof/>
          <w:sz w:val="22"/>
          <w:szCs w:val="22"/>
        </w:rPr>
      </w:pPr>
      <w:r>
        <w:rPr>
          <w:noProof/>
        </w:rPr>
        <w:t>Table 5</w:t>
      </w:r>
      <w:r>
        <w:rPr>
          <w:noProof/>
        </w:rPr>
        <w:noBreakHyphen/>
        <w:t>1. Total Incentive Program Market Potential Comparison - Gross Electric Savings</w:t>
      </w:r>
      <w:r>
        <w:rPr>
          <w:noProof/>
        </w:rPr>
        <w:tab/>
      </w:r>
      <w:r>
        <w:rPr>
          <w:noProof/>
        </w:rPr>
        <w:fldChar w:fldCharType="begin"/>
      </w:r>
      <w:r>
        <w:rPr>
          <w:noProof/>
        </w:rPr>
        <w:instrText xml:space="preserve"> PAGEREF _Toc490560695 \h </w:instrText>
      </w:r>
      <w:r>
        <w:rPr>
          <w:noProof/>
        </w:rPr>
      </w:r>
      <w:r>
        <w:rPr>
          <w:noProof/>
        </w:rPr>
        <w:fldChar w:fldCharType="separate"/>
      </w:r>
      <w:r w:rsidR="0058478E">
        <w:rPr>
          <w:noProof/>
        </w:rPr>
        <w:t>134</w:t>
      </w:r>
      <w:r>
        <w:rPr>
          <w:noProof/>
        </w:rPr>
        <w:fldChar w:fldCharType="end"/>
      </w:r>
    </w:p>
    <w:p w14:paraId="6FE05DD1" w14:textId="2FA85C3E" w:rsidR="00761D20" w:rsidRDefault="00761D20">
      <w:pPr>
        <w:pStyle w:val="TableofFigures"/>
        <w:rPr>
          <w:rFonts w:asciiTheme="minorHAnsi" w:eastAsiaTheme="minorEastAsia" w:hAnsiTheme="minorHAnsi" w:cstheme="minorBidi"/>
          <w:noProof/>
          <w:sz w:val="22"/>
          <w:szCs w:val="22"/>
        </w:rPr>
      </w:pPr>
      <w:r>
        <w:rPr>
          <w:noProof/>
        </w:rPr>
        <w:t>Table 5</w:t>
      </w:r>
      <w:r>
        <w:rPr>
          <w:noProof/>
        </w:rPr>
        <w:noBreakHyphen/>
        <w:t>2. Total Incentive Program Market Potential Comparison - Gross Gas Savings</w:t>
      </w:r>
      <w:r>
        <w:rPr>
          <w:noProof/>
        </w:rPr>
        <w:tab/>
      </w:r>
      <w:r>
        <w:rPr>
          <w:noProof/>
        </w:rPr>
        <w:fldChar w:fldCharType="begin"/>
      </w:r>
      <w:r>
        <w:rPr>
          <w:noProof/>
        </w:rPr>
        <w:instrText xml:space="preserve"> PAGEREF _Toc490560696 \h </w:instrText>
      </w:r>
      <w:r>
        <w:rPr>
          <w:noProof/>
        </w:rPr>
      </w:r>
      <w:r>
        <w:rPr>
          <w:noProof/>
        </w:rPr>
        <w:fldChar w:fldCharType="separate"/>
      </w:r>
      <w:r w:rsidR="0058478E">
        <w:rPr>
          <w:noProof/>
        </w:rPr>
        <w:t>134</w:t>
      </w:r>
      <w:r>
        <w:rPr>
          <w:noProof/>
        </w:rPr>
        <w:fldChar w:fldCharType="end"/>
      </w:r>
    </w:p>
    <w:p w14:paraId="0D7BFDFC" w14:textId="15526034" w:rsidR="00761D20" w:rsidRDefault="00761D20">
      <w:pPr>
        <w:pStyle w:val="TableofFigures"/>
        <w:rPr>
          <w:rFonts w:asciiTheme="minorHAnsi" w:eastAsiaTheme="minorEastAsia" w:hAnsiTheme="minorHAnsi" w:cstheme="minorBidi"/>
          <w:noProof/>
          <w:sz w:val="22"/>
          <w:szCs w:val="22"/>
        </w:rPr>
      </w:pPr>
      <w:r>
        <w:rPr>
          <w:noProof/>
        </w:rPr>
        <w:lastRenderedPageBreak/>
        <w:t>Table 5</w:t>
      </w:r>
      <w:r>
        <w:rPr>
          <w:noProof/>
        </w:rPr>
        <w:noBreakHyphen/>
        <w:t>3. BROs Potential Comparison - Gross Electric Savings</w:t>
      </w:r>
      <w:r>
        <w:rPr>
          <w:noProof/>
        </w:rPr>
        <w:tab/>
      </w:r>
      <w:r>
        <w:rPr>
          <w:noProof/>
        </w:rPr>
        <w:fldChar w:fldCharType="begin"/>
      </w:r>
      <w:r>
        <w:rPr>
          <w:noProof/>
        </w:rPr>
        <w:instrText xml:space="preserve"> PAGEREF _Toc490560697 \h </w:instrText>
      </w:r>
      <w:r>
        <w:rPr>
          <w:noProof/>
        </w:rPr>
      </w:r>
      <w:r>
        <w:rPr>
          <w:noProof/>
        </w:rPr>
        <w:fldChar w:fldCharType="separate"/>
      </w:r>
      <w:r w:rsidR="0058478E">
        <w:rPr>
          <w:noProof/>
        </w:rPr>
        <w:t>135</w:t>
      </w:r>
      <w:r>
        <w:rPr>
          <w:noProof/>
        </w:rPr>
        <w:fldChar w:fldCharType="end"/>
      </w:r>
    </w:p>
    <w:p w14:paraId="68CB651E" w14:textId="2C26FE4D" w:rsidR="00761D20" w:rsidRDefault="00761D20">
      <w:pPr>
        <w:pStyle w:val="TableofFigures"/>
        <w:rPr>
          <w:rFonts w:asciiTheme="minorHAnsi" w:eastAsiaTheme="minorEastAsia" w:hAnsiTheme="minorHAnsi" w:cstheme="minorBidi"/>
          <w:noProof/>
          <w:sz w:val="22"/>
          <w:szCs w:val="22"/>
        </w:rPr>
      </w:pPr>
      <w:r>
        <w:rPr>
          <w:noProof/>
        </w:rPr>
        <w:t>Table 5</w:t>
      </w:r>
      <w:r>
        <w:rPr>
          <w:noProof/>
        </w:rPr>
        <w:noBreakHyphen/>
        <w:t>4. BROs Potential Comparison - Gross Gas Savings</w:t>
      </w:r>
      <w:r>
        <w:rPr>
          <w:noProof/>
        </w:rPr>
        <w:tab/>
      </w:r>
      <w:r>
        <w:rPr>
          <w:noProof/>
        </w:rPr>
        <w:fldChar w:fldCharType="begin"/>
      </w:r>
      <w:r>
        <w:rPr>
          <w:noProof/>
        </w:rPr>
        <w:instrText xml:space="preserve"> PAGEREF _Toc490560698 \h </w:instrText>
      </w:r>
      <w:r>
        <w:rPr>
          <w:noProof/>
        </w:rPr>
      </w:r>
      <w:r>
        <w:rPr>
          <w:noProof/>
        </w:rPr>
        <w:fldChar w:fldCharType="separate"/>
      </w:r>
      <w:r w:rsidR="0058478E">
        <w:rPr>
          <w:noProof/>
        </w:rPr>
        <w:t>135</w:t>
      </w:r>
      <w:r>
        <w:rPr>
          <w:noProof/>
        </w:rPr>
        <w:fldChar w:fldCharType="end"/>
      </w:r>
    </w:p>
    <w:p w14:paraId="5DF30F0E" w14:textId="086D1BC6" w:rsidR="00761D20" w:rsidRDefault="00761D20">
      <w:pPr>
        <w:pStyle w:val="TableofFigures"/>
        <w:rPr>
          <w:rFonts w:asciiTheme="minorHAnsi" w:eastAsiaTheme="minorEastAsia" w:hAnsiTheme="minorHAnsi" w:cstheme="minorBidi"/>
          <w:noProof/>
          <w:sz w:val="22"/>
          <w:szCs w:val="22"/>
        </w:rPr>
      </w:pPr>
      <w:r>
        <w:rPr>
          <w:noProof/>
        </w:rPr>
        <w:t>Table 5</w:t>
      </w:r>
      <w:r>
        <w:rPr>
          <w:noProof/>
        </w:rPr>
        <w:noBreakHyphen/>
        <w:t>5. C&amp;S Net Program Results Comparison - Electric</w:t>
      </w:r>
      <w:r>
        <w:rPr>
          <w:noProof/>
        </w:rPr>
        <w:tab/>
      </w:r>
      <w:r>
        <w:rPr>
          <w:noProof/>
        </w:rPr>
        <w:fldChar w:fldCharType="begin"/>
      </w:r>
      <w:r>
        <w:rPr>
          <w:noProof/>
        </w:rPr>
        <w:instrText xml:space="preserve"> PAGEREF _Toc490560699 \h </w:instrText>
      </w:r>
      <w:r>
        <w:rPr>
          <w:noProof/>
        </w:rPr>
      </w:r>
      <w:r>
        <w:rPr>
          <w:noProof/>
        </w:rPr>
        <w:fldChar w:fldCharType="separate"/>
      </w:r>
      <w:r w:rsidR="0058478E">
        <w:rPr>
          <w:noProof/>
        </w:rPr>
        <w:t>136</w:t>
      </w:r>
      <w:r>
        <w:rPr>
          <w:noProof/>
        </w:rPr>
        <w:fldChar w:fldCharType="end"/>
      </w:r>
    </w:p>
    <w:p w14:paraId="50958026" w14:textId="1100B6CE" w:rsidR="00761D20" w:rsidRDefault="00761D20">
      <w:pPr>
        <w:pStyle w:val="TableofFigures"/>
        <w:rPr>
          <w:rFonts w:asciiTheme="minorHAnsi" w:eastAsiaTheme="minorEastAsia" w:hAnsiTheme="minorHAnsi" w:cstheme="minorBidi"/>
          <w:noProof/>
          <w:sz w:val="22"/>
          <w:szCs w:val="22"/>
        </w:rPr>
      </w:pPr>
      <w:r>
        <w:rPr>
          <w:noProof/>
        </w:rPr>
        <w:t>Table 5</w:t>
      </w:r>
      <w:r>
        <w:rPr>
          <w:noProof/>
        </w:rPr>
        <w:noBreakHyphen/>
        <w:t>6. C&amp;S Net Program Results Comparison - Gas</w:t>
      </w:r>
      <w:r>
        <w:rPr>
          <w:noProof/>
        </w:rPr>
        <w:tab/>
      </w:r>
      <w:r>
        <w:rPr>
          <w:noProof/>
        </w:rPr>
        <w:fldChar w:fldCharType="begin"/>
      </w:r>
      <w:r>
        <w:rPr>
          <w:noProof/>
        </w:rPr>
        <w:instrText xml:space="preserve"> PAGEREF _Toc490560700 \h </w:instrText>
      </w:r>
      <w:r>
        <w:rPr>
          <w:noProof/>
        </w:rPr>
      </w:r>
      <w:r>
        <w:rPr>
          <w:noProof/>
        </w:rPr>
        <w:fldChar w:fldCharType="separate"/>
      </w:r>
      <w:r w:rsidR="0058478E">
        <w:rPr>
          <w:noProof/>
        </w:rPr>
        <w:t>136</w:t>
      </w:r>
      <w:r>
        <w:rPr>
          <w:noProof/>
        </w:rPr>
        <w:fldChar w:fldCharType="end"/>
      </w:r>
    </w:p>
    <w:p w14:paraId="7376F7BC" w14:textId="6FFA9405" w:rsidR="00590D90" w:rsidRDefault="00CB6DF9" w:rsidP="00CB6DF9">
      <w:pPr>
        <w:pStyle w:val="Headerinfo"/>
        <w:rPr>
          <w:color w:val="auto"/>
          <w:sz w:val="20"/>
          <w:szCs w:val="20"/>
        </w:rPr>
      </w:pPr>
      <w:r w:rsidRPr="00BB59F5">
        <w:rPr>
          <w:color w:val="auto"/>
          <w:sz w:val="20"/>
          <w:szCs w:val="20"/>
        </w:rPr>
        <w:fldChar w:fldCharType="end"/>
      </w:r>
    </w:p>
    <w:p w14:paraId="360AD5D1" w14:textId="77777777" w:rsidR="007566B9" w:rsidRDefault="00590D90" w:rsidP="00CB6DF9">
      <w:pPr>
        <w:pStyle w:val="Headerinfo"/>
      </w:pPr>
      <w:r>
        <w:rPr>
          <w:b/>
          <w:color w:val="auto"/>
          <w:sz w:val="20"/>
          <w:szCs w:val="20"/>
        </w:rPr>
        <w:t>Appendix Tables</w:t>
      </w:r>
      <w:r w:rsidR="00CB6DF9" w:rsidRPr="00957936">
        <w:rPr>
          <w:color w:val="auto"/>
          <w:sz w:val="20"/>
          <w:szCs w:val="20"/>
        </w:rPr>
        <w:fldChar w:fldCharType="begin"/>
      </w:r>
      <w:r w:rsidR="00CB6DF9" w:rsidRPr="00957936">
        <w:rPr>
          <w:color w:val="auto"/>
          <w:sz w:val="20"/>
          <w:szCs w:val="20"/>
        </w:rPr>
        <w:instrText xml:space="preserve"> TOC \c "Table_Apx" </w:instrText>
      </w:r>
      <w:r w:rsidR="00CB6DF9" w:rsidRPr="00957936">
        <w:rPr>
          <w:color w:val="auto"/>
          <w:sz w:val="20"/>
          <w:szCs w:val="20"/>
        </w:rPr>
        <w:fldChar w:fldCharType="separate"/>
      </w:r>
    </w:p>
    <w:p w14:paraId="58B989C4" w14:textId="0B29C589" w:rsidR="007566B9" w:rsidRDefault="007566B9">
      <w:pPr>
        <w:pStyle w:val="TableofFigures"/>
        <w:rPr>
          <w:rFonts w:asciiTheme="minorHAnsi" w:eastAsiaTheme="minorEastAsia" w:hAnsiTheme="minorHAnsi" w:cstheme="minorBidi"/>
          <w:noProof/>
          <w:sz w:val="22"/>
          <w:szCs w:val="22"/>
        </w:rPr>
      </w:pPr>
      <w:r>
        <w:rPr>
          <w:noProof/>
        </w:rPr>
        <w:t>Table A</w:t>
      </w:r>
      <w:r>
        <w:rPr>
          <w:noProof/>
        </w:rPr>
        <w:noBreakHyphen/>
        <w:t>1. Calibration Levers</w:t>
      </w:r>
      <w:r>
        <w:rPr>
          <w:noProof/>
        </w:rPr>
        <w:tab/>
      </w:r>
      <w:r>
        <w:rPr>
          <w:noProof/>
        </w:rPr>
        <w:fldChar w:fldCharType="begin"/>
      </w:r>
      <w:r>
        <w:rPr>
          <w:noProof/>
        </w:rPr>
        <w:instrText xml:space="preserve"> PAGEREF _Toc490226027 \h </w:instrText>
      </w:r>
      <w:r>
        <w:rPr>
          <w:noProof/>
        </w:rPr>
      </w:r>
      <w:r>
        <w:rPr>
          <w:noProof/>
        </w:rPr>
        <w:fldChar w:fldCharType="separate"/>
      </w:r>
      <w:r w:rsidR="0058478E">
        <w:rPr>
          <w:noProof/>
        </w:rPr>
        <w:t>A-5</w:t>
      </w:r>
      <w:r>
        <w:rPr>
          <w:noProof/>
        </w:rPr>
        <w:fldChar w:fldCharType="end"/>
      </w:r>
    </w:p>
    <w:p w14:paraId="60E7120C" w14:textId="7A6C5B74" w:rsidR="007566B9" w:rsidRDefault="007566B9">
      <w:pPr>
        <w:pStyle w:val="TableofFigures"/>
        <w:rPr>
          <w:rFonts w:asciiTheme="minorHAnsi" w:eastAsiaTheme="minorEastAsia" w:hAnsiTheme="minorHAnsi" w:cstheme="minorBidi"/>
          <w:noProof/>
          <w:sz w:val="22"/>
          <w:szCs w:val="22"/>
        </w:rPr>
      </w:pPr>
      <w:r>
        <w:rPr>
          <w:noProof/>
        </w:rPr>
        <w:t>Table B</w:t>
      </w:r>
      <w:r>
        <w:rPr>
          <w:noProof/>
        </w:rPr>
        <w:noBreakHyphen/>
        <w:t>1. Home Energy Reports - Key Assumptions</w:t>
      </w:r>
      <w:r>
        <w:rPr>
          <w:noProof/>
        </w:rPr>
        <w:tab/>
      </w:r>
      <w:r>
        <w:rPr>
          <w:noProof/>
        </w:rPr>
        <w:fldChar w:fldCharType="begin"/>
      </w:r>
      <w:r>
        <w:rPr>
          <w:noProof/>
        </w:rPr>
        <w:instrText xml:space="preserve"> PAGEREF _Toc490226028 \h </w:instrText>
      </w:r>
      <w:r>
        <w:rPr>
          <w:noProof/>
        </w:rPr>
      </w:r>
      <w:r>
        <w:rPr>
          <w:noProof/>
        </w:rPr>
        <w:fldChar w:fldCharType="separate"/>
      </w:r>
      <w:r w:rsidR="0058478E">
        <w:rPr>
          <w:noProof/>
        </w:rPr>
        <w:t>C-1</w:t>
      </w:r>
      <w:r>
        <w:rPr>
          <w:noProof/>
        </w:rPr>
        <w:fldChar w:fldCharType="end"/>
      </w:r>
    </w:p>
    <w:p w14:paraId="1BAC3B24" w14:textId="778DF5C5" w:rsidR="007566B9" w:rsidRDefault="007566B9">
      <w:pPr>
        <w:pStyle w:val="TableofFigures"/>
        <w:rPr>
          <w:rFonts w:asciiTheme="minorHAnsi" w:eastAsiaTheme="minorEastAsia" w:hAnsiTheme="minorHAnsi" w:cstheme="minorBidi"/>
          <w:noProof/>
          <w:sz w:val="22"/>
          <w:szCs w:val="22"/>
        </w:rPr>
      </w:pPr>
      <w:r>
        <w:rPr>
          <w:noProof/>
        </w:rPr>
        <w:t>Table B</w:t>
      </w:r>
      <w:r>
        <w:rPr>
          <w:noProof/>
        </w:rPr>
        <w:noBreakHyphen/>
        <w:t>2. Real-Time Feedback - Key Assumptions</w:t>
      </w:r>
      <w:r>
        <w:rPr>
          <w:noProof/>
        </w:rPr>
        <w:tab/>
      </w:r>
      <w:r>
        <w:rPr>
          <w:noProof/>
        </w:rPr>
        <w:fldChar w:fldCharType="begin"/>
      </w:r>
      <w:r>
        <w:rPr>
          <w:noProof/>
        </w:rPr>
        <w:instrText xml:space="preserve"> PAGEREF _Toc490226029 \h </w:instrText>
      </w:r>
      <w:r>
        <w:rPr>
          <w:noProof/>
        </w:rPr>
      </w:r>
      <w:r>
        <w:rPr>
          <w:noProof/>
        </w:rPr>
        <w:fldChar w:fldCharType="separate"/>
      </w:r>
      <w:r w:rsidR="0058478E">
        <w:rPr>
          <w:noProof/>
        </w:rPr>
        <w:t>C-4</w:t>
      </w:r>
      <w:r>
        <w:rPr>
          <w:noProof/>
        </w:rPr>
        <w:fldChar w:fldCharType="end"/>
      </w:r>
    </w:p>
    <w:p w14:paraId="39659351" w14:textId="3E74FEF9" w:rsidR="007566B9" w:rsidRDefault="007566B9">
      <w:pPr>
        <w:pStyle w:val="TableofFigures"/>
        <w:rPr>
          <w:rFonts w:asciiTheme="minorHAnsi" w:eastAsiaTheme="minorEastAsia" w:hAnsiTheme="minorHAnsi" w:cstheme="minorBidi"/>
          <w:noProof/>
          <w:sz w:val="22"/>
          <w:szCs w:val="22"/>
        </w:rPr>
      </w:pPr>
      <w:r>
        <w:rPr>
          <w:noProof/>
        </w:rPr>
        <w:t>Table B</w:t>
      </w:r>
      <w:r>
        <w:rPr>
          <w:noProof/>
        </w:rPr>
        <w:noBreakHyphen/>
        <w:t>3. Residential Competitions - Key Assumptions</w:t>
      </w:r>
      <w:r>
        <w:rPr>
          <w:noProof/>
        </w:rPr>
        <w:tab/>
      </w:r>
      <w:r>
        <w:rPr>
          <w:noProof/>
        </w:rPr>
        <w:fldChar w:fldCharType="begin"/>
      </w:r>
      <w:r>
        <w:rPr>
          <w:noProof/>
        </w:rPr>
        <w:instrText xml:space="preserve"> PAGEREF _Toc490226030 \h </w:instrText>
      </w:r>
      <w:r>
        <w:rPr>
          <w:noProof/>
        </w:rPr>
      </w:r>
      <w:r>
        <w:rPr>
          <w:noProof/>
        </w:rPr>
        <w:fldChar w:fldCharType="separate"/>
      </w:r>
      <w:r w:rsidR="0058478E">
        <w:rPr>
          <w:noProof/>
        </w:rPr>
        <w:t>C-6</w:t>
      </w:r>
      <w:r>
        <w:rPr>
          <w:noProof/>
        </w:rPr>
        <w:fldChar w:fldCharType="end"/>
      </w:r>
    </w:p>
    <w:p w14:paraId="08D16FF5" w14:textId="5C086D19" w:rsidR="007566B9" w:rsidRDefault="007566B9">
      <w:pPr>
        <w:pStyle w:val="TableofFigures"/>
        <w:rPr>
          <w:rFonts w:asciiTheme="minorHAnsi" w:eastAsiaTheme="minorEastAsia" w:hAnsiTheme="minorHAnsi" w:cstheme="minorBidi"/>
          <w:noProof/>
          <w:sz w:val="22"/>
          <w:szCs w:val="22"/>
        </w:rPr>
      </w:pPr>
      <w:r>
        <w:rPr>
          <w:noProof/>
        </w:rPr>
        <w:t>Table B</w:t>
      </w:r>
      <w:r>
        <w:rPr>
          <w:noProof/>
        </w:rPr>
        <w:noBreakHyphen/>
        <w:t>4. Commercial Strategic Energy Management - Key Assumptions</w:t>
      </w:r>
      <w:r>
        <w:rPr>
          <w:noProof/>
        </w:rPr>
        <w:tab/>
      </w:r>
      <w:r>
        <w:rPr>
          <w:noProof/>
        </w:rPr>
        <w:fldChar w:fldCharType="begin"/>
      </w:r>
      <w:r>
        <w:rPr>
          <w:noProof/>
        </w:rPr>
        <w:instrText xml:space="preserve"> PAGEREF _Toc490226031 \h </w:instrText>
      </w:r>
      <w:r>
        <w:rPr>
          <w:noProof/>
        </w:rPr>
      </w:r>
      <w:r>
        <w:rPr>
          <w:noProof/>
        </w:rPr>
        <w:fldChar w:fldCharType="separate"/>
      </w:r>
      <w:r w:rsidR="0058478E">
        <w:rPr>
          <w:noProof/>
        </w:rPr>
        <w:t>C-9</w:t>
      </w:r>
      <w:r>
        <w:rPr>
          <w:noProof/>
        </w:rPr>
        <w:fldChar w:fldCharType="end"/>
      </w:r>
    </w:p>
    <w:p w14:paraId="65C0C233" w14:textId="344B6301" w:rsidR="007566B9" w:rsidRDefault="007566B9">
      <w:pPr>
        <w:pStyle w:val="TableofFigures"/>
        <w:rPr>
          <w:rFonts w:asciiTheme="minorHAnsi" w:eastAsiaTheme="minorEastAsia" w:hAnsiTheme="minorHAnsi" w:cstheme="minorBidi"/>
          <w:noProof/>
          <w:sz w:val="22"/>
          <w:szCs w:val="22"/>
        </w:rPr>
      </w:pPr>
      <w:r>
        <w:rPr>
          <w:noProof/>
        </w:rPr>
        <w:t>Table B</w:t>
      </w:r>
      <w:r>
        <w:rPr>
          <w:noProof/>
        </w:rPr>
        <w:noBreakHyphen/>
        <w:t>5. Commercial Building Operator Training - Key Assumptions</w:t>
      </w:r>
      <w:r>
        <w:rPr>
          <w:noProof/>
        </w:rPr>
        <w:tab/>
      </w:r>
      <w:r>
        <w:rPr>
          <w:noProof/>
        </w:rPr>
        <w:fldChar w:fldCharType="begin"/>
      </w:r>
      <w:r>
        <w:rPr>
          <w:noProof/>
        </w:rPr>
        <w:instrText xml:space="preserve"> PAGEREF _Toc490226032 \h </w:instrText>
      </w:r>
      <w:r>
        <w:rPr>
          <w:noProof/>
        </w:rPr>
      </w:r>
      <w:r>
        <w:rPr>
          <w:noProof/>
        </w:rPr>
        <w:fldChar w:fldCharType="separate"/>
      </w:r>
      <w:r w:rsidR="0058478E">
        <w:rPr>
          <w:noProof/>
        </w:rPr>
        <w:t>C-11</w:t>
      </w:r>
      <w:r>
        <w:rPr>
          <w:noProof/>
        </w:rPr>
        <w:fldChar w:fldCharType="end"/>
      </w:r>
    </w:p>
    <w:p w14:paraId="2EE70136" w14:textId="6E049ADE" w:rsidR="007566B9" w:rsidRDefault="007566B9">
      <w:pPr>
        <w:pStyle w:val="TableofFigures"/>
        <w:rPr>
          <w:rFonts w:asciiTheme="minorHAnsi" w:eastAsiaTheme="minorEastAsia" w:hAnsiTheme="minorHAnsi" w:cstheme="minorBidi"/>
          <w:noProof/>
          <w:sz w:val="22"/>
          <w:szCs w:val="22"/>
        </w:rPr>
      </w:pPr>
      <w:r w:rsidRPr="0050496A">
        <w:rPr>
          <w:noProof/>
          <w:color w:val="000000"/>
        </w:rPr>
        <w:t>Table B</w:t>
      </w:r>
      <w:r w:rsidRPr="0050496A">
        <w:rPr>
          <w:noProof/>
          <w:color w:val="000000"/>
        </w:rPr>
        <w:noBreakHyphen/>
        <w:t>6. Building Energy and Information Management Systems - Key Assumptions</w:t>
      </w:r>
      <w:r>
        <w:rPr>
          <w:noProof/>
        </w:rPr>
        <w:tab/>
      </w:r>
      <w:r>
        <w:rPr>
          <w:noProof/>
        </w:rPr>
        <w:fldChar w:fldCharType="begin"/>
      </w:r>
      <w:r>
        <w:rPr>
          <w:noProof/>
        </w:rPr>
        <w:instrText xml:space="preserve"> PAGEREF _Toc490226033 \h </w:instrText>
      </w:r>
      <w:r>
        <w:rPr>
          <w:noProof/>
        </w:rPr>
      </w:r>
      <w:r>
        <w:rPr>
          <w:noProof/>
        </w:rPr>
        <w:fldChar w:fldCharType="separate"/>
      </w:r>
      <w:r w:rsidR="0058478E">
        <w:rPr>
          <w:noProof/>
        </w:rPr>
        <w:t>C-13</w:t>
      </w:r>
      <w:r>
        <w:rPr>
          <w:noProof/>
        </w:rPr>
        <w:fldChar w:fldCharType="end"/>
      </w:r>
    </w:p>
    <w:p w14:paraId="6F26308F" w14:textId="02722844" w:rsidR="007566B9" w:rsidRDefault="007566B9">
      <w:pPr>
        <w:pStyle w:val="TableofFigures"/>
        <w:rPr>
          <w:rFonts w:asciiTheme="minorHAnsi" w:eastAsiaTheme="minorEastAsia" w:hAnsiTheme="minorHAnsi" w:cstheme="minorBidi"/>
          <w:noProof/>
          <w:sz w:val="22"/>
          <w:szCs w:val="22"/>
        </w:rPr>
      </w:pPr>
      <w:r>
        <w:rPr>
          <w:noProof/>
        </w:rPr>
        <w:t>Table B</w:t>
      </w:r>
      <w:r>
        <w:rPr>
          <w:noProof/>
        </w:rPr>
        <w:noBreakHyphen/>
        <w:t>7. Business Energy Reports - Key Assumptions</w:t>
      </w:r>
      <w:r>
        <w:rPr>
          <w:noProof/>
        </w:rPr>
        <w:tab/>
      </w:r>
      <w:r>
        <w:rPr>
          <w:noProof/>
        </w:rPr>
        <w:fldChar w:fldCharType="begin"/>
      </w:r>
      <w:r>
        <w:rPr>
          <w:noProof/>
        </w:rPr>
        <w:instrText xml:space="preserve"> PAGEREF _Toc490226034 \h </w:instrText>
      </w:r>
      <w:r>
        <w:rPr>
          <w:noProof/>
        </w:rPr>
      </w:r>
      <w:r>
        <w:rPr>
          <w:noProof/>
        </w:rPr>
        <w:fldChar w:fldCharType="separate"/>
      </w:r>
      <w:r w:rsidR="0058478E">
        <w:rPr>
          <w:noProof/>
        </w:rPr>
        <w:t>C-14</w:t>
      </w:r>
      <w:r>
        <w:rPr>
          <w:noProof/>
        </w:rPr>
        <w:fldChar w:fldCharType="end"/>
      </w:r>
    </w:p>
    <w:p w14:paraId="2721C3C7" w14:textId="61A2A6B0" w:rsidR="007566B9" w:rsidRDefault="007566B9">
      <w:pPr>
        <w:pStyle w:val="TableofFigures"/>
        <w:rPr>
          <w:rFonts w:asciiTheme="minorHAnsi" w:eastAsiaTheme="minorEastAsia" w:hAnsiTheme="minorHAnsi" w:cstheme="minorBidi"/>
          <w:noProof/>
          <w:sz w:val="22"/>
          <w:szCs w:val="22"/>
        </w:rPr>
      </w:pPr>
      <w:r>
        <w:rPr>
          <w:noProof/>
        </w:rPr>
        <w:t>Table B</w:t>
      </w:r>
      <w:r>
        <w:rPr>
          <w:noProof/>
        </w:rPr>
        <w:noBreakHyphen/>
        <w:t>8. Benchmarking - Key Assumptions</w:t>
      </w:r>
      <w:r>
        <w:rPr>
          <w:noProof/>
        </w:rPr>
        <w:tab/>
      </w:r>
      <w:r>
        <w:rPr>
          <w:noProof/>
        </w:rPr>
        <w:fldChar w:fldCharType="begin"/>
      </w:r>
      <w:r>
        <w:rPr>
          <w:noProof/>
        </w:rPr>
        <w:instrText xml:space="preserve"> PAGEREF _Toc490226035 \h </w:instrText>
      </w:r>
      <w:r>
        <w:rPr>
          <w:noProof/>
        </w:rPr>
      </w:r>
      <w:r>
        <w:rPr>
          <w:noProof/>
        </w:rPr>
        <w:fldChar w:fldCharType="separate"/>
      </w:r>
      <w:r w:rsidR="0058478E">
        <w:rPr>
          <w:noProof/>
        </w:rPr>
        <w:t>C-16</w:t>
      </w:r>
      <w:r>
        <w:rPr>
          <w:noProof/>
        </w:rPr>
        <w:fldChar w:fldCharType="end"/>
      </w:r>
    </w:p>
    <w:p w14:paraId="55607D70" w14:textId="64BD90F6" w:rsidR="007566B9" w:rsidRDefault="007566B9">
      <w:pPr>
        <w:pStyle w:val="TableofFigures"/>
        <w:rPr>
          <w:rFonts w:asciiTheme="minorHAnsi" w:eastAsiaTheme="minorEastAsia" w:hAnsiTheme="minorHAnsi" w:cstheme="minorBidi"/>
          <w:noProof/>
          <w:sz w:val="22"/>
          <w:szCs w:val="22"/>
        </w:rPr>
      </w:pPr>
      <w:r>
        <w:rPr>
          <w:noProof/>
        </w:rPr>
        <w:t>Table B</w:t>
      </w:r>
      <w:r>
        <w:rPr>
          <w:noProof/>
        </w:rPr>
        <w:noBreakHyphen/>
        <w:t>9. Commercial Competitions - Key Assumptions</w:t>
      </w:r>
      <w:r>
        <w:rPr>
          <w:noProof/>
        </w:rPr>
        <w:tab/>
      </w:r>
      <w:r>
        <w:rPr>
          <w:noProof/>
        </w:rPr>
        <w:fldChar w:fldCharType="begin"/>
      </w:r>
      <w:r>
        <w:rPr>
          <w:noProof/>
        </w:rPr>
        <w:instrText xml:space="preserve"> PAGEREF _Toc490226036 \h </w:instrText>
      </w:r>
      <w:r>
        <w:rPr>
          <w:noProof/>
        </w:rPr>
      </w:r>
      <w:r>
        <w:rPr>
          <w:noProof/>
        </w:rPr>
        <w:fldChar w:fldCharType="separate"/>
      </w:r>
      <w:r w:rsidR="0058478E">
        <w:rPr>
          <w:noProof/>
        </w:rPr>
        <w:t>C-18</w:t>
      </w:r>
      <w:r>
        <w:rPr>
          <w:noProof/>
        </w:rPr>
        <w:fldChar w:fldCharType="end"/>
      </w:r>
    </w:p>
    <w:p w14:paraId="71B90AD9" w14:textId="59D60987" w:rsidR="007566B9" w:rsidRDefault="007566B9">
      <w:pPr>
        <w:pStyle w:val="TableofFigures"/>
        <w:rPr>
          <w:rFonts w:asciiTheme="minorHAnsi" w:eastAsiaTheme="minorEastAsia" w:hAnsiTheme="minorHAnsi" w:cstheme="minorBidi"/>
          <w:noProof/>
          <w:sz w:val="22"/>
          <w:szCs w:val="22"/>
        </w:rPr>
      </w:pPr>
      <w:r w:rsidRPr="0050496A">
        <w:rPr>
          <w:noProof/>
        </w:rPr>
        <w:t>Table B</w:t>
      </w:r>
      <w:r w:rsidRPr="0050496A">
        <w:rPr>
          <w:noProof/>
        </w:rPr>
        <w:noBreakHyphen/>
        <w:t>10. Commercial Retrocommissioning - Key Assumptions</w:t>
      </w:r>
      <w:r>
        <w:rPr>
          <w:noProof/>
        </w:rPr>
        <w:tab/>
      </w:r>
      <w:r>
        <w:rPr>
          <w:noProof/>
        </w:rPr>
        <w:fldChar w:fldCharType="begin"/>
      </w:r>
      <w:r>
        <w:rPr>
          <w:noProof/>
        </w:rPr>
        <w:instrText xml:space="preserve"> PAGEREF _Toc490226037 \h </w:instrText>
      </w:r>
      <w:r>
        <w:rPr>
          <w:noProof/>
        </w:rPr>
      </w:r>
      <w:r>
        <w:rPr>
          <w:noProof/>
        </w:rPr>
        <w:fldChar w:fldCharType="separate"/>
      </w:r>
      <w:r w:rsidR="0058478E">
        <w:rPr>
          <w:noProof/>
        </w:rPr>
        <w:t>C-20</w:t>
      </w:r>
      <w:r>
        <w:rPr>
          <w:noProof/>
        </w:rPr>
        <w:fldChar w:fldCharType="end"/>
      </w:r>
    </w:p>
    <w:p w14:paraId="62E22CE0" w14:textId="25CB6E88" w:rsidR="007566B9" w:rsidRDefault="007566B9">
      <w:pPr>
        <w:pStyle w:val="TableofFigures"/>
        <w:rPr>
          <w:rFonts w:asciiTheme="minorHAnsi" w:eastAsiaTheme="minorEastAsia" w:hAnsiTheme="minorHAnsi" w:cstheme="minorBidi"/>
          <w:noProof/>
          <w:sz w:val="22"/>
          <w:szCs w:val="22"/>
        </w:rPr>
      </w:pPr>
      <w:r>
        <w:rPr>
          <w:noProof/>
        </w:rPr>
        <w:t>Table B</w:t>
      </w:r>
      <w:r>
        <w:rPr>
          <w:noProof/>
        </w:rPr>
        <w:noBreakHyphen/>
        <w:t>11. Industrial/Agriculture SEM - Key Assumptions</w:t>
      </w:r>
      <w:r>
        <w:rPr>
          <w:noProof/>
        </w:rPr>
        <w:tab/>
      </w:r>
      <w:r>
        <w:rPr>
          <w:noProof/>
        </w:rPr>
        <w:fldChar w:fldCharType="begin"/>
      </w:r>
      <w:r>
        <w:rPr>
          <w:noProof/>
        </w:rPr>
        <w:instrText xml:space="preserve"> PAGEREF _Toc490226038 \h </w:instrText>
      </w:r>
      <w:r>
        <w:rPr>
          <w:noProof/>
        </w:rPr>
      </w:r>
      <w:r>
        <w:rPr>
          <w:noProof/>
        </w:rPr>
        <w:fldChar w:fldCharType="separate"/>
      </w:r>
      <w:r w:rsidR="0058478E">
        <w:rPr>
          <w:noProof/>
        </w:rPr>
        <w:t>C-22</w:t>
      </w:r>
      <w:r>
        <w:rPr>
          <w:noProof/>
        </w:rPr>
        <w:fldChar w:fldCharType="end"/>
      </w:r>
    </w:p>
    <w:p w14:paraId="19E08BEE" w14:textId="510B86E4" w:rsidR="007566B9" w:rsidRDefault="007566B9">
      <w:pPr>
        <w:pStyle w:val="TableofFigures"/>
        <w:rPr>
          <w:rFonts w:asciiTheme="minorHAnsi" w:eastAsiaTheme="minorEastAsia" w:hAnsiTheme="minorHAnsi" w:cstheme="minorBidi"/>
          <w:noProof/>
          <w:sz w:val="22"/>
          <w:szCs w:val="22"/>
        </w:rPr>
      </w:pPr>
      <w:r>
        <w:rPr>
          <w:noProof/>
        </w:rPr>
        <w:t>Table B</w:t>
      </w:r>
      <w:r>
        <w:rPr>
          <w:noProof/>
        </w:rPr>
        <w:noBreakHyphen/>
        <w:t>12. Industrial Sector Strategic Energy Management Unit Energy Savings Multiplier</w:t>
      </w:r>
      <w:r>
        <w:rPr>
          <w:noProof/>
        </w:rPr>
        <w:tab/>
      </w:r>
      <w:r>
        <w:rPr>
          <w:noProof/>
        </w:rPr>
        <w:fldChar w:fldCharType="begin"/>
      </w:r>
      <w:r>
        <w:rPr>
          <w:noProof/>
        </w:rPr>
        <w:instrText xml:space="preserve"> PAGEREF _Toc490226039 \h </w:instrText>
      </w:r>
      <w:r>
        <w:rPr>
          <w:noProof/>
        </w:rPr>
      </w:r>
      <w:r>
        <w:rPr>
          <w:noProof/>
        </w:rPr>
        <w:fldChar w:fldCharType="separate"/>
      </w:r>
      <w:r w:rsidR="0058478E">
        <w:rPr>
          <w:noProof/>
        </w:rPr>
        <w:t>C-24</w:t>
      </w:r>
      <w:r>
        <w:rPr>
          <w:noProof/>
        </w:rPr>
        <w:fldChar w:fldCharType="end"/>
      </w:r>
    </w:p>
    <w:p w14:paraId="5664FB48" w14:textId="174B1393" w:rsidR="007566B9" w:rsidRDefault="007566B9">
      <w:pPr>
        <w:pStyle w:val="TableofFigures"/>
        <w:rPr>
          <w:rFonts w:asciiTheme="minorHAnsi" w:eastAsiaTheme="minorEastAsia" w:hAnsiTheme="minorHAnsi" w:cstheme="minorBidi"/>
          <w:noProof/>
          <w:sz w:val="22"/>
          <w:szCs w:val="22"/>
        </w:rPr>
      </w:pPr>
      <w:r>
        <w:rPr>
          <w:noProof/>
        </w:rPr>
        <w:t>Table B</w:t>
      </w:r>
      <w:r>
        <w:rPr>
          <w:noProof/>
        </w:rPr>
        <w:noBreakHyphen/>
        <w:t>13. Agricultural Sector Strategic Energy Management Unit Energy Savings Multiplier</w:t>
      </w:r>
      <w:r>
        <w:rPr>
          <w:noProof/>
        </w:rPr>
        <w:tab/>
      </w:r>
      <w:r>
        <w:rPr>
          <w:noProof/>
        </w:rPr>
        <w:fldChar w:fldCharType="begin"/>
      </w:r>
      <w:r>
        <w:rPr>
          <w:noProof/>
        </w:rPr>
        <w:instrText xml:space="preserve"> PAGEREF _Toc490226040 \h </w:instrText>
      </w:r>
      <w:r>
        <w:rPr>
          <w:noProof/>
        </w:rPr>
      </w:r>
      <w:r>
        <w:rPr>
          <w:noProof/>
        </w:rPr>
        <w:fldChar w:fldCharType="separate"/>
      </w:r>
      <w:r w:rsidR="0058478E">
        <w:rPr>
          <w:noProof/>
        </w:rPr>
        <w:t>C-25</w:t>
      </w:r>
      <w:r>
        <w:rPr>
          <w:noProof/>
        </w:rPr>
        <w:fldChar w:fldCharType="end"/>
      </w:r>
    </w:p>
    <w:p w14:paraId="7B08E07B" w14:textId="05B6C001" w:rsidR="007566B9" w:rsidRDefault="007566B9">
      <w:pPr>
        <w:pStyle w:val="TableofFigures"/>
        <w:rPr>
          <w:rFonts w:asciiTheme="minorHAnsi" w:eastAsiaTheme="minorEastAsia" w:hAnsiTheme="minorHAnsi" w:cstheme="minorBidi"/>
          <w:noProof/>
          <w:sz w:val="22"/>
          <w:szCs w:val="22"/>
        </w:rPr>
      </w:pPr>
      <w:r>
        <w:rPr>
          <w:noProof/>
        </w:rPr>
        <w:t>Table D</w:t>
      </w:r>
      <w:r>
        <w:rPr>
          <w:noProof/>
        </w:rPr>
        <w:noBreakHyphen/>
        <w:t>1. C&amp;S Modeled</w:t>
      </w:r>
      <w:r>
        <w:rPr>
          <w:noProof/>
        </w:rPr>
        <w:tab/>
      </w:r>
      <w:r>
        <w:rPr>
          <w:noProof/>
        </w:rPr>
        <w:fldChar w:fldCharType="begin"/>
      </w:r>
      <w:r>
        <w:rPr>
          <w:noProof/>
        </w:rPr>
        <w:instrText xml:space="preserve"> PAGEREF _Toc490226041 \h </w:instrText>
      </w:r>
      <w:r>
        <w:rPr>
          <w:noProof/>
        </w:rPr>
      </w:r>
      <w:r>
        <w:rPr>
          <w:noProof/>
        </w:rPr>
        <w:fldChar w:fldCharType="separate"/>
      </w:r>
      <w:r w:rsidR="0058478E">
        <w:rPr>
          <w:noProof/>
        </w:rPr>
        <w:t>E-1</w:t>
      </w:r>
      <w:r>
        <w:rPr>
          <w:noProof/>
        </w:rPr>
        <w:fldChar w:fldCharType="end"/>
      </w:r>
    </w:p>
    <w:p w14:paraId="1E98BB08" w14:textId="7FC63936" w:rsidR="007566B9" w:rsidRDefault="007566B9">
      <w:pPr>
        <w:pStyle w:val="TableofFigures"/>
        <w:rPr>
          <w:rFonts w:asciiTheme="minorHAnsi" w:eastAsiaTheme="minorEastAsia" w:hAnsiTheme="minorHAnsi" w:cstheme="minorBidi"/>
          <w:noProof/>
          <w:sz w:val="22"/>
          <w:szCs w:val="22"/>
        </w:rPr>
      </w:pPr>
      <w:r>
        <w:rPr>
          <w:noProof/>
        </w:rPr>
        <w:t>Table D</w:t>
      </w:r>
      <w:r>
        <w:rPr>
          <w:noProof/>
        </w:rPr>
        <w:noBreakHyphen/>
        <w:t>2. C&amp;S Superseded Codes and Standards</w:t>
      </w:r>
      <w:r>
        <w:rPr>
          <w:noProof/>
        </w:rPr>
        <w:tab/>
      </w:r>
      <w:r>
        <w:rPr>
          <w:noProof/>
        </w:rPr>
        <w:fldChar w:fldCharType="begin"/>
      </w:r>
      <w:r>
        <w:rPr>
          <w:noProof/>
        </w:rPr>
        <w:instrText xml:space="preserve"> PAGEREF _Toc490226042 \h </w:instrText>
      </w:r>
      <w:r>
        <w:rPr>
          <w:noProof/>
        </w:rPr>
      </w:r>
      <w:r>
        <w:rPr>
          <w:noProof/>
        </w:rPr>
        <w:fldChar w:fldCharType="separate"/>
      </w:r>
      <w:r w:rsidR="0058478E">
        <w:rPr>
          <w:noProof/>
        </w:rPr>
        <w:t>E-7</w:t>
      </w:r>
      <w:r>
        <w:rPr>
          <w:noProof/>
        </w:rPr>
        <w:fldChar w:fldCharType="end"/>
      </w:r>
    </w:p>
    <w:p w14:paraId="644BEE8E" w14:textId="4716AD85" w:rsidR="007566B9" w:rsidRDefault="007566B9">
      <w:pPr>
        <w:pStyle w:val="TableofFigures"/>
        <w:rPr>
          <w:rFonts w:asciiTheme="minorHAnsi" w:eastAsiaTheme="minorEastAsia" w:hAnsiTheme="minorHAnsi" w:cstheme="minorBidi"/>
          <w:noProof/>
          <w:sz w:val="22"/>
          <w:szCs w:val="22"/>
        </w:rPr>
      </w:pPr>
      <w:r>
        <w:rPr>
          <w:noProof/>
        </w:rPr>
        <w:t>Table E</w:t>
      </w:r>
      <w:r>
        <w:rPr>
          <w:noProof/>
        </w:rPr>
        <w:noBreakHyphen/>
        <w:t>1. Industrial/Agriculture GC - Key Assumptions</w:t>
      </w:r>
      <w:r>
        <w:rPr>
          <w:noProof/>
        </w:rPr>
        <w:tab/>
      </w:r>
      <w:r>
        <w:rPr>
          <w:noProof/>
        </w:rPr>
        <w:fldChar w:fldCharType="begin"/>
      </w:r>
      <w:r>
        <w:rPr>
          <w:noProof/>
        </w:rPr>
        <w:instrText xml:space="preserve"> PAGEREF _Toc490226043 \h </w:instrText>
      </w:r>
      <w:r>
        <w:rPr>
          <w:noProof/>
        </w:rPr>
      </w:r>
      <w:r>
        <w:rPr>
          <w:noProof/>
        </w:rPr>
        <w:fldChar w:fldCharType="separate"/>
      </w:r>
      <w:r w:rsidR="0058478E">
        <w:rPr>
          <w:noProof/>
        </w:rPr>
        <w:t>F-1</w:t>
      </w:r>
      <w:r>
        <w:rPr>
          <w:noProof/>
        </w:rPr>
        <w:fldChar w:fldCharType="end"/>
      </w:r>
    </w:p>
    <w:p w14:paraId="500BB6D2" w14:textId="736661E4" w:rsidR="007566B9" w:rsidRDefault="007566B9">
      <w:pPr>
        <w:pStyle w:val="TableofFigures"/>
        <w:rPr>
          <w:rFonts w:asciiTheme="minorHAnsi" w:eastAsiaTheme="minorEastAsia" w:hAnsiTheme="minorHAnsi" w:cstheme="minorBidi"/>
          <w:noProof/>
          <w:sz w:val="22"/>
          <w:szCs w:val="22"/>
        </w:rPr>
      </w:pPr>
      <w:r>
        <w:rPr>
          <w:noProof/>
        </w:rPr>
        <w:t>Table E</w:t>
      </w:r>
      <w:r>
        <w:rPr>
          <w:noProof/>
        </w:rPr>
        <w:noBreakHyphen/>
        <w:t>2. Generic Custom Unit Energy Savings Multiplier</w:t>
      </w:r>
      <w:r>
        <w:rPr>
          <w:noProof/>
        </w:rPr>
        <w:tab/>
      </w:r>
      <w:r>
        <w:rPr>
          <w:noProof/>
        </w:rPr>
        <w:fldChar w:fldCharType="begin"/>
      </w:r>
      <w:r>
        <w:rPr>
          <w:noProof/>
        </w:rPr>
        <w:instrText xml:space="preserve"> PAGEREF _Toc490226044 \h </w:instrText>
      </w:r>
      <w:r>
        <w:rPr>
          <w:noProof/>
        </w:rPr>
      </w:r>
      <w:r>
        <w:rPr>
          <w:noProof/>
        </w:rPr>
        <w:fldChar w:fldCharType="separate"/>
      </w:r>
      <w:r w:rsidR="0058478E">
        <w:rPr>
          <w:noProof/>
        </w:rPr>
        <w:t>F-2</w:t>
      </w:r>
      <w:r>
        <w:rPr>
          <w:noProof/>
        </w:rPr>
        <w:fldChar w:fldCharType="end"/>
      </w:r>
    </w:p>
    <w:p w14:paraId="6C716C14" w14:textId="0C948104" w:rsidR="007566B9" w:rsidRDefault="007566B9">
      <w:pPr>
        <w:pStyle w:val="TableofFigures"/>
        <w:rPr>
          <w:rFonts w:asciiTheme="minorHAnsi" w:eastAsiaTheme="minorEastAsia" w:hAnsiTheme="minorHAnsi" w:cstheme="minorBidi"/>
          <w:noProof/>
          <w:sz w:val="22"/>
          <w:szCs w:val="22"/>
        </w:rPr>
      </w:pPr>
      <w:r>
        <w:rPr>
          <w:noProof/>
        </w:rPr>
        <w:t>Table E</w:t>
      </w:r>
      <w:r>
        <w:rPr>
          <w:noProof/>
        </w:rPr>
        <w:noBreakHyphen/>
        <w:t>3. Industrial/Agriculture ET - Key Assumptions</w:t>
      </w:r>
      <w:r>
        <w:rPr>
          <w:noProof/>
        </w:rPr>
        <w:tab/>
      </w:r>
      <w:r>
        <w:rPr>
          <w:noProof/>
        </w:rPr>
        <w:fldChar w:fldCharType="begin"/>
      </w:r>
      <w:r>
        <w:rPr>
          <w:noProof/>
        </w:rPr>
        <w:instrText xml:space="preserve"> PAGEREF _Toc490226045 \h </w:instrText>
      </w:r>
      <w:r>
        <w:rPr>
          <w:noProof/>
        </w:rPr>
      </w:r>
      <w:r>
        <w:rPr>
          <w:noProof/>
        </w:rPr>
        <w:fldChar w:fldCharType="separate"/>
      </w:r>
      <w:r w:rsidR="0058478E">
        <w:rPr>
          <w:noProof/>
        </w:rPr>
        <w:t>F-3</w:t>
      </w:r>
      <w:r>
        <w:rPr>
          <w:noProof/>
        </w:rPr>
        <w:fldChar w:fldCharType="end"/>
      </w:r>
    </w:p>
    <w:p w14:paraId="564C3AA5" w14:textId="2E061FE6" w:rsidR="007566B9" w:rsidRDefault="007566B9">
      <w:pPr>
        <w:pStyle w:val="TableofFigures"/>
        <w:rPr>
          <w:rFonts w:asciiTheme="minorHAnsi" w:eastAsiaTheme="minorEastAsia" w:hAnsiTheme="minorHAnsi" w:cstheme="minorBidi"/>
          <w:noProof/>
          <w:sz w:val="22"/>
          <w:szCs w:val="22"/>
        </w:rPr>
      </w:pPr>
      <w:r>
        <w:rPr>
          <w:noProof/>
        </w:rPr>
        <w:t>Table E</w:t>
      </w:r>
      <w:r>
        <w:rPr>
          <w:noProof/>
        </w:rPr>
        <w:noBreakHyphen/>
        <w:t>4. Emerging Technology Evaluation Criteria</w:t>
      </w:r>
      <w:r>
        <w:rPr>
          <w:noProof/>
        </w:rPr>
        <w:tab/>
      </w:r>
      <w:r>
        <w:rPr>
          <w:noProof/>
        </w:rPr>
        <w:fldChar w:fldCharType="begin"/>
      </w:r>
      <w:r>
        <w:rPr>
          <w:noProof/>
        </w:rPr>
        <w:instrText xml:space="preserve"> PAGEREF _Toc490226046 \h </w:instrText>
      </w:r>
      <w:r>
        <w:rPr>
          <w:noProof/>
        </w:rPr>
      </w:r>
      <w:r>
        <w:rPr>
          <w:noProof/>
        </w:rPr>
        <w:fldChar w:fldCharType="separate"/>
      </w:r>
      <w:r w:rsidR="0058478E">
        <w:rPr>
          <w:noProof/>
        </w:rPr>
        <w:t>F-5</w:t>
      </w:r>
      <w:r>
        <w:rPr>
          <w:noProof/>
        </w:rPr>
        <w:fldChar w:fldCharType="end"/>
      </w:r>
    </w:p>
    <w:p w14:paraId="45729DB0" w14:textId="4674815C" w:rsidR="007566B9" w:rsidRDefault="007566B9">
      <w:pPr>
        <w:pStyle w:val="TableofFigures"/>
        <w:rPr>
          <w:rFonts w:asciiTheme="minorHAnsi" w:eastAsiaTheme="minorEastAsia" w:hAnsiTheme="minorHAnsi" w:cstheme="minorBidi"/>
          <w:noProof/>
          <w:sz w:val="22"/>
          <w:szCs w:val="22"/>
        </w:rPr>
      </w:pPr>
      <w:r>
        <w:rPr>
          <w:noProof/>
        </w:rPr>
        <w:t>Table E</w:t>
      </w:r>
      <w:r>
        <w:rPr>
          <w:noProof/>
        </w:rPr>
        <w:noBreakHyphen/>
        <w:t>5. Emerging Technologies UES Multipliers by Segment and Fuel</w:t>
      </w:r>
      <w:r>
        <w:rPr>
          <w:noProof/>
        </w:rPr>
        <w:tab/>
      </w:r>
      <w:r>
        <w:rPr>
          <w:noProof/>
        </w:rPr>
        <w:fldChar w:fldCharType="begin"/>
      </w:r>
      <w:r>
        <w:rPr>
          <w:noProof/>
        </w:rPr>
        <w:instrText xml:space="preserve"> PAGEREF _Toc490226047 \h </w:instrText>
      </w:r>
      <w:r>
        <w:rPr>
          <w:noProof/>
        </w:rPr>
      </w:r>
      <w:r>
        <w:rPr>
          <w:noProof/>
        </w:rPr>
        <w:fldChar w:fldCharType="separate"/>
      </w:r>
      <w:r w:rsidR="0058478E">
        <w:rPr>
          <w:noProof/>
        </w:rPr>
        <w:t>F-9</w:t>
      </w:r>
      <w:r>
        <w:rPr>
          <w:noProof/>
        </w:rPr>
        <w:fldChar w:fldCharType="end"/>
      </w:r>
    </w:p>
    <w:p w14:paraId="5918494B" w14:textId="7BE8B94B" w:rsidR="007566B9" w:rsidRDefault="007566B9">
      <w:pPr>
        <w:pStyle w:val="TableofFigures"/>
        <w:rPr>
          <w:rFonts w:asciiTheme="minorHAnsi" w:eastAsiaTheme="minorEastAsia" w:hAnsiTheme="minorHAnsi" w:cstheme="minorBidi"/>
          <w:noProof/>
          <w:sz w:val="22"/>
          <w:szCs w:val="22"/>
        </w:rPr>
      </w:pPr>
      <w:r>
        <w:rPr>
          <w:noProof/>
        </w:rPr>
        <w:t>Table F</w:t>
      </w:r>
      <w:r>
        <w:rPr>
          <w:noProof/>
        </w:rPr>
        <w:noBreakHyphen/>
        <w:t>1. PG&amp;E Households Treated</w:t>
      </w:r>
      <w:r>
        <w:rPr>
          <w:noProof/>
        </w:rPr>
        <w:tab/>
      </w:r>
      <w:r>
        <w:rPr>
          <w:noProof/>
        </w:rPr>
        <w:fldChar w:fldCharType="begin"/>
      </w:r>
      <w:r>
        <w:rPr>
          <w:noProof/>
        </w:rPr>
        <w:instrText xml:space="preserve"> PAGEREF _Toc490226048 \h </w:instrText>
      </w:r>
      <w:r>
        <w:rPr>
          <w:noProof/>
        </w:rPr>
      </w:r>
      <w:r>
        <w:rPr>
          <w:noProof/>
        </w:rPr>
        <w:fldChar w:fldCharType="separate"/>
      </w:r>
      <w:r w:rsidR="0058478E">
        <w:rPr>
          <w:noProof/>
        </w:rPr>
        <w:t>G-1</w:t>
      </w:r>
      <w:r>
        <w:rPr>
          <w:noProof/>
        </w:rPr>
        <w:fldChar w:fldCharType="end"/>
      </w:r>
    </w:p>
    <w:p w14:paraId="13C0B2B7" w14:textId="2BC1891D" w:rsidR="007566B9" w:rsidRDefault="007566B9">
      <w:pPr>
        <w:pStyle w:val="TableofFigures"/>
        <w:rPr>
          <w:rFonts w:asciiTheme="minorHAnsi" w:eastAsiaTheme="minorEastAsia" w:hAnsiTheme="minorHAnsi" w:cstheme="minorBidi"/>
          <w:noProof/>
          <w:sz w:val="22"/>
          <w:szCs w:val="22"/>
        </w:rPr>
      </w:pPr>
      <w:r>
        <w:rPr>
          <w:noProof/>
        </w:rPr>
        <w:t>Table F</w:t>
      </w:r>
      <w:r>
        <w:rPr>
          <w:noProof/>
        </w:rPr>
        <w:noBreakHyphen/>
        <w:t>2. PG&amp;E UES</w:t>
      </w:r>
      <w:r>
        <w:rPr>
          <w:noProof/>
        </w:rPr>
        <w:tab/>
      </w:r>
      <w:r>
        <w:rPr>
          <w:noProof/>
        </w:rPr>
        <w:fldChar w:fldCharType="begin"/>
      </w:r>
      <w:r>
        <w:rPr>
          <w:noProof/>
        </w:rPr>
        <w:instrText xml:space="preserve"> PAGEREF _Toc490226049 \h </w:instrText>
      </w:r>
      <w:r>
        <w:rPr>
          <w:noProof/>
        </w:rPr>
      </w:r>
      <w:r>
        <w:rPr>
          <w:noProof/>
        </w:rPr>
        <w:fldChar w:fldCharType="separate"/>
      </w:r>
      <w:r w:rsidR="0058478E">
        <w:rPr>
          <w:noProof/>
        </w:rPr>
        <w:t>G-1</w:t>
      </w:r>
      <w:r>
        <w:rPr>
          <w:noProof/>
        </w:rPr>
        <w:fldChar w:fldCharType="end"/>
      </w:r>
    </w:p>
    <w:p w14:paraId="6294E29B" w14:textId="709B1E28" w:rsidR="007566B9" w:rsidRDefault="007566B9">
      <w:pPr>
        <w:pStyle w:val="TableofFigures"/>
        <w:rPr>
          <w:rFonts w:asciiTheme="minorHAnsi" w:eastAsiaTheme="minorEastAsia" w:hAnsiTheme="minorHAnsi" w:cstheme="minorBidi"/>
          <w:noProof/>
          <w:sz w:val="22"/>
          <w:szCs w:val="22"/>
        </w:rPr>
      </w:pPr>
      <w:r>
        <w:rPr>
          <w:noProof/>
        </w:rPr>
        <w:t>Table F</w:t>
      </w:r>
      <w:r>
        <w:rPr>
          <w:noProof/>
        </w:rPr>
        <w:noBreakHyphen/>
        <w:t>3. SCE Households Treated</w:t>
      </w:r>
      <w:r>
        <w:rPr>
          <w:noProof/>
        </w:rPr>
        <w:tab/>
      </w:r>
      <w:r>
        <w:rPr>
          <w:noProof/>
        </w:rPr>
        <w:fldChar w:fldCharType="begin"/>
      </w:r>
      <w:r>
        <w:rPr>
          <w:noProof/>
        </w:rPr>
        <w:instrText xml:space="preserve"> PAGEREF _Toc490226050 \h </w:instrText>
      </w:r>
      <w:r>
        <w:rPr>
          <w:noProof/>
        </w:rPr>
      </w:r>
      <w:r>
        <w:rPr>
          <w:noProof/>
        </w:rPr>
        <w:fldChar w:fldCharType="separate"/>
      </w:r>
      <w:r w:rsidR="0058478E">
        <w:rPr>
          <w:noProof/>
        </w:rPr>
        <w:t>G-2</w:t>
      </w:r>
      <w:r>
        <w:rPr>
          <w:noProof/>
        </w:rPr>
        <w:fldChar w:fldCharType="end"/>
      </w:r>
    </w:p>
    <w:p w14:paraId="04C64322" w14:textId="146EA991" w:rsidR="007566B9" w:rsidRDefault="007566B9">
      <w:pPr>
        <w:pStyle w:val="TableofFigures"/>
        <w:rPr>
          <w:rFonts w:asciiTheme="minorHAnsi" w:eastAsiaTheme="minorEastAsia" w:hAnsiTheme="minorHAnsi" w:cstheme="minorBidi"/>
          <w:noProof/>
          <w:sz w:val="22"/>
          <w:szCs w:val="22"/>
        </w:rPr>
      </w:pPr>
      <w:r>
        <w:rPr>
          <w:noProof/>
        </w:rPr>
        <w:t>Table F</w:t>
      </w:r>
      <w:r>
        <w:rPr>
          <w:noProof/>
        </w:rPr>
        <w:noBreakHyphen/>
        <w:t>4. SCE UES</w:t>
      </w:r>
      <w:r>
        <w:rPr>
          <w:noProof/>
        </w:rPr>
        <w:tab/>
      </w:r>
      <w:r>
        <w:rPr>
          <w:noProof/>
        </w:rPr>
        <w:fldChar w:fldCharType="begin"/>
      </w:r>
      <w:r>
        <w:rPr>
          <w:noProof/>
        </w:rPr>
        <w:instrText xml:space="preserve"> PAGEREF _Toc490226051 \h </w:instrText>
      </w:r>
      <w:r>
        <w:rPr>
          <w:noProof/>
        </w:rPr>
      </w:r>
      <w:r>
        <w:rPr>
          <w:noProof/>
        </w:rPr>
        <w:fldChar w:fldCharType="separate"/>
      </w:r>
      <w:r w:rsidR="0058478E">
        <w:rPr>
          <w:noProof/>
        </w:rPr>
        <w:t>G-2</w:t>
      </w:r>
      <w:r>
        <w:rPr>
          <w:noProof/>
        </w:rPr>
        <w:fldChar w:fldCharType="end"/>
      </w:r>
    </w:p>
    <w:p w14:paraId="450A1544" w14:textId="6798F073" w:rsidR="007566B9" w:rsidRDefault="007566B9">
      <w:pPr>
        <w:pStyle w:val="TableofFigures"/>
        <w:rPr>
          <w:rFonts w:asciiTheme="minorHAnsi" w:eastAsiaTheme="minorEastAsia" w:hAnsiTheme="minorHAnsi" w:cstheme="minorBidi"/>
          <w:noProof/>
          <w:sz w:val="22"/>
          <w:szCs w:val="22"/>
        </w:rPr>
      </w:pPr>
      <w:r>
        <w:rPr>
          <w:noProof/>
        </w:rPr>
        <w:t>Table F</w:t>
      </w:r>
      <w:r>
        <w:rPr>
          <w:noProof/>
        </w:rPr>
        <w:noBreakHyphen/>
        <w:t>5. SCG Households Treated</w:t>
      </w:r>
      <w:r>
        <w:rPr>
          <w:noProof/>
        </w:rPr>
        <w:tab/>
      </w:r>
      <w:r>
        <w:rPr>
          <w:noProof/>
        </w:rPr>
        <w:fldChar w:fldCharType="begin"/>
      </w:r>
      <w:r>
        <w:rPr>
          <w:noProof/>
        </w:rPr>
        <w:instrText xml:space="preserve"> PAGEREF _Toc490226052 \h </w:instrText>
      </w:r>
      <w:r>
        <w:rPr>
          <w:noProof/>
        </w:rPr>
      </w:r>
      <w:r>
        <w:rPr>
          <w:noProof/>
        </w:rPr>
        <w:fldChar w:fldCharType="separate"/>
      </w:r>
      <w:r w:rsidR="0058478E">
        <w:rPr>
          <w:noProof/>
        </w:rPr>
        <w:t>G-3</w:t>
      </w:r>
      <w:r>
        <w:rPr>
          <w:noProof/>
        </w:rPr>
        <w:fldChar w:fldCharType="end"/>
      </w:r>
    </w:p>
    <w:p w14:paraId="2EDEA819" w14:textId="404BA3D7" w:rsidR="007566B9" w:rsidRDefault="007566B9">
      <w:pPr>
        <w:pStyle w:val="TableofFigures"/>
        <w:rPr>
          <w:rFonts w:asciiTheme="minorHAnsi" w:eastAsiaTheme="minorEastAsia" w:hAnsiTheme="minorHAnsi" w:cstheme="minorBidi"/>
          <w:noProof/>
          <w:sz w:val="22"/>
          <w:szCs w:val="22"/>
        </w:rPr>
      </w:pPr>
      <w:r>
        <w:rPr>
          <w:noProof/>
        </w:rPr>
        <w:t>Table F</w:t>
      </w:r>
      <w:r>
        <w:rPr>
          <w:noProof/>
        </w:rPr>
        <w:noBreakHyphen/>
        <w:t>6. SCG UES</w:t>
      </w:r>
      <w:r>
        <w:rPr>
          <w:noProof/>
        </w:rPr>
        <w:tab/>
      </w:r>
      <w:r>
        <w:rPr>
          <w:noProof/>
        </w:rPr>
        <w:fldChar w:fldCharType="begin"/>
      </w:r>
      <w:r>
        <w:rPr>
          <w:noProof/>
        </w:rPr>
        <w:instrText xml:space="preserve"> PAGEREF _Toc490226053 \h </w:instrText>
      </w:r>
      <w:r>
        <w:rPr>
          <w:noProof/>
        </w:rPr>
      </w:r>
      <w:r>
        <w:rPr>
          <w:noProof/>
        </w:rPr>
        <w:fldChar w:fldCharType="separate"/>
      </w:r>
      <w:r w:rsidR="0058478E">
        <w:rPr>
          <w:noProof/>
        </w:rPr>
        <w:t>G-3</w:t>
      </w:r>
      <w:r>
        <w:rPr>
          <w:noProof/>
        </w:rPr>
        <w:fldChar w:fldCharType="end"/>
      </w:r>
    </w:p>
    <w:p w14:paraId="2EE38B1E" w14:textId="1C402D09" w:rsidR="007566B9" w:rsidRDefault="007566B9">
      <w:pPr>
        <w:pStyle w:val="TableofFigures"/>
        <w:rPr>
          <w:rFonts w:asciiTheme="minorHAnsi" w:eastAsiaTheme="minorEastAsia" w:hAnsiTheme="minorHAnsi" w:cstheme="minorBidi"/>
          <w:noProof/>
          <w:sz w:val="22"/>
          <w:szCs w:val="22"/>
        </w:rPr>
      </w:pPr>
      <w:r>
        <w:rPr>
          <w:noProof/>
        </w:rPr>
        <w:t>Table F</w:t>
      </w:r>
      <w:r>
        <w:rPr>
          <w:noProof/>
        </w:rPr>
        <w:noBreakHyphen/>
        <w:t>7. SDG&amp;E Households Treated</w:t>
      </w:r>
      <w:r>
        <w:rPr>
          <w:noProof/>
        </w:rPr>
        <w:tab/>
      </w:r>
      <w:r>
        <w:rPr>
          <w:noProof/>
        </w:rPr>
        <w:fldChar w:fldCharType="begin"/>
      </w:r>
      <w:r>
        <w:rPr>
          <w:noProof/>
        </w:rPr>
        <w:instrText xml:space="preserve"> PAGEREF _Toc490226054 \h </w:instrText>
      </w:r>
      <w:r>
        <w:rPr>
          <w:noProof/>
        </w:rPr>
      </w:r>
      <w:r>
        <w:rPr>
          <w:noProof/>
        </w:rPr>
        <w:fldChar w:fldCharType="separate"/>
      </w:r>
      <w:r w:rsidR="0058478E">
        <w:rPr>
          <w:noProof/>
        </w:rPr>
        <w:t>G-4</w:t>
      </w:r>
      <w:r>
        <w:rPr>
          <w:noProof/>
        </w:rPr>
        <w:fldChar w:fldCharType="end"/>
      </w:r>
    </w:p>
    <w:p w14:paraId="6A5CD50A" w14:textId="2906D248" w:rsidR="007566B9" w:rsidRDefault="007566B9">
      <w:pPr>
        <w:pStyle w:val="TableofFigures"/>
        <w:rPr>
          <w:rFonts w:asciiTheme="minorHAnsi" w:eastAsiaTheme="minorEastAsia" w:hAnsiTheme="minorHAnsi" w:cstheme="minorBidi"/>
          <w:noProof/>
          <w:sz w:val="22"/>
          <w:szCs w:val="22"/>
        </w:rPr>
      </w:pPr>
      <w:r>
        <w:rPr>
          <w:noProof/>
        </w:rPr>
        <w:t>Table F</w:t>
      </w:r>
      <w:r>
        <w:rPr>
          <w:noProof/>
        </w:rPr>
        <w:noBreakHyphen/>
        <w:t>8. SDG&amp;E UES</w:t>
      </w:r>
      <w:r>
        <w:rPr>
          <w:noProof/>
        </w:rPr>
        <w:tab/>
      </w:r>
      <w:r>
        <w:rPr>
          <w:noProof/>
        </w:rPr>
        <w:fldChar w:fldCharType="begin"/>
      </w:r>
      <w:r>
        <w:rPr>
          <w:noProof/>
        </w:rPr>
        <w:instrText xml:space="preserve"> PAGEREF _Toc490226055 \h </w:instrText>
      </w:r>
      <w:r>
        <w:rPr>
          <w:noProof/>
        </w:rPr>
      </w:r>
      <w:r>
        <w:rPr>
          <w:noProof/>
        </w:rPr>
        <w:fldChar w:fldCharType="separate"/>
      </w:r>
      <w:r w:rsidR="0058478E">
        <w:rPr>
          <w:noProof/>
        </w:rPr>
        <w:t>G-4</w:t>
      </w:r>
      <w:r>
        <w:rPr>
          <w:noProof/>
        </w:rPr>
        <w:fldChar w:fldCharType="end"/>
      </w:r>
    </w:p>
    <w:p w14:paraId="0665C3FE" w14:textId="61B3A911" w:rsidR="007566B9" w:rsidRDefault="007566B9">
      <w:pPr>
        <w:pStyle w:val="TableofFigures"/>
        <w:rPr>
          <w:rFonts w:asciiTheme="minorHAnsi" w:eastAsiaTheme="minorEastAsia" w:hAnsiTheme="minorHAnsi" w:cstheme="minorBidi"/>
          <w:noProof/>
          <w:sz w:val="22"/>
          <w:szCs w:val="22"/>
        </w:rPr>
      </w:pPr>
      <w:r>
        <w:rPr>
          <w:noProof/>
        </w:rPr>
        <w:t>Table H</w:t>
      </w:r>
      <w:r>
        <w:rPr>
          <w:noProof/>
        </w:rPr>
        <w:noBreakHyphen/>
        <w:t>1. PG&amp;E Electric Savings</w:t>
      </w:r>
      <w:r>
        <w:rPr>
          <w:noProof/>
        </w:rPr>
        <w:tab/>
      </w:r>
      <w:r>
        <w:rPr>
          <w:noProof/>
        </w:rPr>
        <w:fldChar w:fldCharType="begin"/>
      </w:r>
      <w:r>
        <w:rPr>
          <w:noProof/>
        </w:rPr>
        <w:instrText xml:space="preserve"> PAGEREF _Toc490226056 \h </w:instrText>
      </w:r>
      <w:r>
        <w:rPr>
          <w:noProof/>
        </w:rPr>
      </w:r>
      <w:r>
        <w:rPr>
          <w:noProof/>
        </w:rPr>
        <w:fldChar w:fldCharType="separate"/>
      </w:r>
      <w:r w:rsidR="0058478E">
        <w:rPr>
          <w:noProof/>
        </w:rPr>
        <w:t>H-1</w:t>
      </w:r>
      <w:r>
        <w:rPr>
          <w:noProof/>
        </w:rPr>
        <w:fldChar w:fldCharType="end"/>
      </w:r>
    </w:p>
    <w:p w14:paraId="091C9535" w14:textId="2C1C4D6B" w:rsidR="007566B9" w:rsidRDefault="007566B9">
      <w:pPr>
        <w:pStyle w:val="TableofFigures"/>
        <w:rPr>
          <w:rFonts w:asciiTheme="minorHAnsi" w:eastAsiaTheme="minorEastAsia" w:hAnsiTheme="minorHAnsi" w:cstheme="minorBidi"/>
          <w:noProof/>
          <w:sz w:val="22"/>
          <w:szCs w:val="22"/>
        </w:rPr>
      </w:pPr>
      <w:r>
        <w:rPr>
          <w:noProof/>
        </w:rPr>
        <w:t>Table G</w:t>
      </w:r>
      <w:r>
        <w:rPr>
          <w:noProof/>
        </w:rPr>
        <w:noBreakHyphen/>
        <w:t>2. PG&amp;E Demand Savings</w:t>
      </w:r>
      <w:r>
        <w:rPr>
          <w:noProof/>
        </w:rPr>
        <w:tab/>
      </w:r>
      <w:r>
        <w:rPr>
          <w:noProof/>
        </w:rPr>
        <w:fldChar w:fldCharType="begin"/>
      </w:r>
      <w:r>
        <w:rPr>
          <w:noProof/>
        </w:rPr>
        <w:instrText xml:space="preserve"> PAGEREF _Toc490226057 \h </w:instrText>
      </w:r>
      <w:r>
        <w:rPr>
          <w:noProof/>
        </w:rPr>
      </w:r>
      <w:r>
        <w:rPr>
          <w:noProof/>
        </w:rPr>
        <w:fldChar w:fldCharType="separate"/>
      </w:r>
      <w:r w:rsidR="0058478E">
        <w:rPr>
          <w:noProof/>
        </w:rPr>
        <w:t>H-3</w:t>
      </w:r>
      <w:r>
        <w:rPr>
          <w:noProof/>
        </w:rPr>
        <w:fldChar w:fldCharType="end"/>
      </w:r>
    </w:p>
    <w:p w14:paraId="2894D2FE" w14:textId="3352DFB2" w:rsidR="007566B9" w:rsidRDefault="007566B9">
      <w:pPr>
        <w:pStyle w:val="TableofFigures"/>
        <w:rPr>
          <w:rFonts w:asciiTheme="minorHAnsi" w:eastAsiaTheme="minorEastAsia" w:hAnsiTheme="minorHAnsi" w:cstheme="minorBidi"/>
          <w:noProof/>
          <w:sz w:val="22"/>
          <w:szCs w:val="22"/>
        </w:rPr>
      </w:pPr>
      <w:r>
        <w:rPr>
          <w:noProof/>
        </w:rPr>
        <w:t>Table G</w:t>
      </w:r>
      <w:r>
        <w:rPr>
          <w:noProof/>
        </w:rPr>
        <w:noBreakHyphen/>
        <w:t>3. PG&amp;E Gas Savings</w:t>
      </w:r>
      <w:r>
        <w:rPr>
          <w:noProof/>
        </w:rPr>
        <w:tab/>
      </w:r>
      <w:r>
        <w:rPr>
          <w:noProof/>
        </w:rPr>
        <w:fldChar w:fldCharType="begin"/>
      </w:r>
      <w:r>
        <w:rPr>
          <w:noProof/>
        </w:rPr>
        <w:instrText xml:space="preserve"> PAGEREF _Toc490226058 \h </w:instrText>
      </w:r>
      <w:r>
        <w:rPr>
          <w:noProof/>
        </w:rPr>
      </w:r>
      <w:r>
        <w:rPr>
          <w:noProof/>
        </w:rPr>
        <w:fldChar w:fldCharType="separate"/>
      </w:r>
      <w:r w:rsidR="0058478E">
        <w:rPr>
          <w:noProof/>
        </w:rPr>
        <w:t>H-5</w:t>
      </w:r>
      <w:r>
        <w:rPr>
          <w:noProof/>
        </w:rPr>
        <w:fldChar w:fldCharType="end"/>
      </w:r>
    </w:p>
    <w:p w14:paraId="706F31B6" w14:textId="2DC9DCF0" w:rsidR="007566B9" w:rsidRDefault="007566B9">
      <w:pPr>
        <w:pStyle w:val="TableofFigures"/>
        <w:rPr>
          <w:rFonts w:asciiTheme="minorHAnsi" w:eastAsiaTheme="minorEastAsia" w:hAnsiTheme="minorHAnsi" w:cstheme="minorBidi"/>
          <w:noProof/>
          <w:sz w:val="22"/>
          <w:szCs w:val="22"/>
        </w:rPr>
      </w:pPr>
      <w:r>
        <w:rPr>
          <w:noProof/>
        </w:rPr>
        <w:t>Table G</w:t>
      </w:r>
      <w:r>
        <w:rPr>
          <w:noProof/>
        </w:rPr>
        <w:noBreakHyphen/>
        <w:t>4. SCE Electric Savings</w:t>
      </w:r>
      <w:r>
        <w:rPr>
          <w:noProof/>
        </w:rPr>
        <w:tab/>
      </w:r>
      <w:r>
        <w:rPr>
          <w:noProof/>
        </w:rPr>
        <w:fldChar w:fldCharType="begin"/>
      </w:r>
      <w:r>
        <w:rPr>
          <w:noProof/>
        </w:rPr>
        <w:instrText xml:space="preserve"> PAGEREF _Toc490226059 \h </w:instrText>
      </w:r>
      <w:r>
        <w:rPr>
          <w:noProof/>
        </w:rPr>
      </w:r>
      <w:r>
        <w:rPr>
          <w:noProof/>
        </w:rPr>
        <w:fldChar w:fldCharType="separate"/>
      </w:r>
      <w:r w:rsidR="0058478E">
        <w:rPr>
          <w:noProof/>
        </w:rPr>
        <w:t>H-7</w:t>
      </w:r>
      <w:r>
        <w:rPr>
          <w:noProof/>
        </w:rPr>
        <w:fldChar w:fldCharType="end"/>
      </w:r>
    </w:p>
    <w:p w14:paraId="74D31258" w14:textId="59DC05A9" w:rsidR="007566B9" w:rsidRDefault="007566B9">
      <w:pPr>
        <w:pStyle w:val="TableofFigures"/>
        <w:rPr>
          <w:rFonts w:asciiTheme="minorHAnsi" w:eastAsiaTheme="minorEastAsia" w:hAnsiTheme="minorHAnsi" w:cstheme="minorBidi"/>
          <w:noProof/>
          <w:sz w:val="22"/>
          <w:szCs w:val="22"/>
        </w:rPr>
      </w:pPr>
      <w:r>
        <w:rPr>
          <w:noProof/>
        </w:rPr>
        <w:t>Table G</w:t>
      </w:r>
      <w:r>
        <w:rPr>
          <w:noProof/>
        </w:rPr>
        <w:noBreakHyphen/>
        <w:t>5. SCE Demand Savings</w:t>
      </w:r>
      <w:r>
        <w:rPr>
          <w:noProof/>
        </w:rPr>
        <w:tab/>
      </w:r>
      <w:r>
        <w:rPr>
          <w:noProof/>
        </w:rPr>
        <w:fldChar w:fldCharType="begin"/>
      </w:r>
      <w:r>
        <w:rPr>
          <w:noProof/>
        </w:rPr>
        <w:instrText xml:space="preserve"> PAGEREF _Toc490226060 \h </w:instrText>
      </w:r>
      <w:r>
        <w:rPr>
          <w:noProof/>
        </w:rPr>
      </w:r>
      <w:r>
        <w:rPr>
          <w:noProof/>
        </w:rPr>
        <w:fldChar w:fldCharType="separate"/>
      </w:r>
      <w:r w:rsidR="0058478E">
        <w:rPr>
          <w:noProof/>
        </w:rPr>
        <w:t>H-9</w:t>
      </w:r>
      <w:r>
        <w:rPr>
          <w:noProof/>
        </w:rPr>
        <w:fldChar w:fldCharType="end"/>
      </w:r>
    </w:p>
    <w:p w14:paraId="6073A44A" w14:textId="5F18272B" w:rsidR="007566B9" w:rsidRDefault="007566B9">
      <w:pPr>
        <w:pStyle w:val="TableofFigures"/>
        <w:rPr>
          <w:rFonts w:asciiTheme="minorHAnsi" w:eastAsiaTheme="minorEastAsia" w:hAnsiTheme="minorHAnsi" w:cstheme="minorBidi"/>
          <w:noProof/>
          <w:sz w:val="22"/>
          <w:szCs w:val="22"/>
        </w:rPr>
      </w:pPr>
      <w:r>
        <w:rPr>
          <w:noProof/>
        </w:rPr>
        <w:t>Table G</w:t>
      </w:r>
      <w:r>
        <w:rPr>
          <w:noProof/>
        </w:rPr>
        <w:noBreakHyphen/>
        <w:t>6. SCG Gas Savings</w:t>
      </w:r>
      <w:r>
        <w:rPr>
          <w:noProof/>
        </w:rPr>
        <w:tab/>
      </w:r>
      <w:r>
        <w:rPr>
          <w:noProof/>
        </w:rPr>
        <w:fldChar w:fldCharType="begin"/>
      </w:r>
      <w:r>
        <w:rPr>
          <w:noProof/>
        </w:rPr>
        <w:instrText xml:space="preserve"> PAGEREF _Toc490226061 \h </w:instrText>
      </w:r>
      <w:r>
        <w:rPr>
          <w:noProof/>
        </w:rPr>
      </w:r>
      <w:r>
        <w:rPr>
          <w:noProof/>
        </w:rPr>
        <w:fldChar w:fldCharType="separate"/>
      </w:r>
      <w:r w:rsidR="0058478E">
        <w:rPr>
          <w:noProof/>
        </w:rPr>
        <w:t>H-11</w:t>
      </w:r>
      <w:r>
        <w:rPr>
          <w:noProof/>
        </w:rPr>
        <w:fldChar w:fldCharType="end"/>
      </w:r>
    </w:p>
    <w:p w14:paraId="4F72A17E" w14:textId="69123B5C" w:rsidR="007566B9" w:rsidRDefault="007566B9">
      <w:pPr>
        <w:pStyle w:val="TableofFigures"/>
        <w:rPr>
          <w:rFonts w:asciiTheme="minorHAnsi" w:eastAsiaTheme="minorEastAsia" w:hAnsiTheme="minorHAnsi" w:cstheme="minorBidi"/>
          <w:noProof/>
          <w:sz w:val="22"/>
          <w:szCs w:val="22"/>
        </w:rPr>
      </w:pPr>
      <w:r>
        <w:rPr>
          <w:noProof/>
        </w:rPr>
        <w:t>Table G</w:t>
      </w:r>
      <w:r>
        <w:rPr>
          <w:noProof/>
        </w:rPr>
        <w:noBreakHyphen/>
        <w:t>7. SDG&amp;E Electric Savings</w:t>
      </w:r>
      <w:r>
        <w:rPr>
          <w:noProof/>
        </w:rPr>
        <w:tab/>
      </w:r>
      <w:r>
        <w:rPr>
          <w:noProof/>
        </w:rPr>
        <w:fldChar w:fldCharType="begin"/>
      </w:r>
      <w:r>
        <w:rPr>
          <w:noProof/>
        </w:rPr>
        <w:instrText xml:space="preserve"> PAGEREF _Toc490226062 \h </w:instrText>
      </w:r>
      <w:r>
        <w:rPr>
          <w:noProof/>
        </w:rPr>
      </w:r>
      <w:r>
        <w:rPr>
          <w:noProof/>
        </w:rPr>
        <w:fldChar w:fldCharType="separate"/>
      </w:r>
      <w:r w:rsidR="0058478E">
        <w:rPr>
          <w:noProof/>
        </w:rPr>
        <w:t>H-13</w:t>
      </w:r>
      <w:r>
        <w:rPr>
          <w:noProof/>
        </w:rPr>
        <w:fldChar w:fldCharType="end"/>
      </w:r>
    </w:p>
    <w:p w14:paraId="7BAA4D37" w14:textId="6641F30E" w:rsidR="007566B9" w:rsidRDefault="007566B9">
      <w:pPr>
        <w:pStyle w:val="TableofFigures"/>
        <w:rPr>
          <w:rFonts w:asciiTheme="minorHAnsi" w:eastAsiaTheme="minorEastAsia" w:hAnsiTheme="minorHAnsi" w:cstheme="minorBidi"/>
          <w:noProof/>
          <w:sz w:val="22"/>
          <w:szCs w:val="22"/>
        </w:rPr>
      </w:pPr>
      <w:r>
        <w:rPr>
          <w:noProof/>
        </w:rPr>
        <w:t>Table G</w:t>
      </w:r>
      <w:r>
        <w:rPr>
          <w:noProof/>
        </w:rPr>
        <w:noBreakHyphen/>
        <w:t>8. SDG&amp;E Demand Savings</w:t>
      </w:r>
      <w:r>
        <w:rPr>
          <w:noProof/>
        </w:rPr>
        <w:tab/>
      </w:r>
      <w:r>
        <w:rPr>
          <w:noProof/>
        </w:rPr>
        <w:fldChar w:fldCharType="begin"/>
      </w:r>
      <w:r>
        <w:rPr>
          <w:noProof/>
        </w:rPr>
        <w:instrText xml:space="preserve"> PAGEREF _Toc490226063 \h </w:instrText>
      </w:r>
      <w:r>
        <w:rPr>
          <w:noProof/>
        </w:rPr>
      </w:r>
      <w:r>
        <w:rPr>
          <w:noProof/>
        </w:rPr>
        <w:fldChar w:fldCharType="separate"/>
      </w:r>
      <w:r w:rsidR="0058478E">
        <w:rPr>
          <w:noProof/>
        </w:rPr>
        <w:t>H-15</w:t>
      </w:r>
      <w:r>
        <w:rPr>
          <w:noProof/>
        </w:rPr>
        <w:fldChar w:fldCharType="end"/>
      </w:r>
    </w:p>
    <w:p w14:paraId="4F612D24" w14:textId="728A5ECC" w:rsidR="007566B9" w:rsidRDefault="007566B9">
      <w:pPr>
        <w:pStyle w:val="TableofFigures"/>
        <w:rPr>
          <w:rFonts w:asciiTheme="minorHAnsi" w:eastAsiaTheme="minorEastAsia" w:hAnsiTheme="minorHAnsi" w:cstheme="minorBidi"/>
          <w:noProof/>
          <w:sz w:val="22"/>
          <w:szCs w:val="22"/>
        </w:rPr>
      </w:pPr>
      <w:r>
        <w:rPr>
          <w:noProof/>
        </w:rPr>
        <w:t>Table G</w:t>
      </w:r>
      <w:r>
        <w:rPr>
          <w:noProof/>
        </w:rPr>
        <w:noBreakHyphen/>
        <w:t>9. SDG&amp;E Gas Savings</w:t>
      </w:r>
      <w:r>
        <w:rPr>
          <w:noProof/>
        </w:rPr>
        <w:tab/>
      </w:r>
      <w:r>
        <w:rPr>
          <w:noProof/>
        </w:rPr>
        <w:fldChar w:fldCharType="begin"/>
      </w:r>
      <w:r>
        <w:rPr>
          <w:noProof/>
        </w:rPr>
        <w:instrText xml:space="preserve"> PAGEREF _Toc490226064 \h </w:instrText>
      </w:r>
      <w:r>
        <w:rPr>
          <w:noProof/>
        </w:rPr>
      </w:r>
      <w:r>
        <w:rPr>
          <w:noProof/>
        </w:rPr>
        <w:fldChar w:fldCharType="separate"/>
      </w:r>
      <w:r w:rsidR="0058478E">
        <w:rPr>
          <w:noProof/>
        </w:rPr>
        <w:t>H-17</w:t>
      </w:r>
      <w:r>
        <w:rPr>
          <w:noProof/>
        </w:rPr>
        <w:fldChar w:fldCharType="end"/>
      </w:r>
    </w:p>
    <w:p w14:paraId="5E0DA926" w14:textId="77777777" w:rsidR="00CB6DF9" w:rsidRPr="00CB6DF9" w:rsidRDefault="00CB6DF9" w:rsidP="00CB6DF9">
      <w:pPr>
        <w:pStyle w:val="Headerinfo"/>
        <w:sectPr w:rsidR="00CB6DF9" w:rsidRPr="00CB6DF9" w:rsidSect="00AE78DC">
          <w:pgSz w:w="12240" w:h="15840" w:code="1"/>
          <w:pgMar w:top="1440" w:right="1440" w:bottom="1440" w:left="1440" w:header="720" w:footer="720" w:gutter="0"/>
          <w:pgNumType w:fmt="lowerRoman" w:start="1"/>
          <w:cols w:space="720"/>
          <w:docGrid w:linePitch="360"/>
        </w:sectPr>
      </w:pPr>
      <w:r w:rsidRPr="00957936">
        <w:rPr>
          <w:color w:val="auto"/>
          <w:sz w:val="20"/>
          <w:szCs w:val="20"/>
        </w:rPr>
        <w:fldChar w:fldCharType="end"/>
      </w:r>
    </w:p>
    <w:p w14:paraId="4D1F064C" w14:textId="77777777" w:rsidR="00F26F14" w:rsidRPr="00670ECA" w:rsidRDefault="00DA7405" w:rsidP="00FC44DD">
      <w:pPr>
        <w:pStyle w:val="Heading7"/>
      </w:pPr>
      <w:bookmarkStart w:id="13" w:name="_Toc478990480"/>
      <w:bookmarkStart w:id="14" w:name="_Toc479768553"/>
      <w:bookmarkStart w:id="15" w:name="_Toc482353479"/>
      <w:bookmarkStart w:id="16" w:name="_Toc482357282"/>
      <w:bookmarkStart w:id="17" w:name="_Toc482634258"/>
      <w:bookmarkStart w:id="18" w:name="_Toc482626390"/>
      <w:bookmarkStart w:id="19" w:name="_Toc484092461"/>
      <w:bookmarkStart w:id="20" w:name="_Toc484172664"/>
      <w:bookmarkStart w:id="21" w:name="_Toc484183001"/>
      <w:bookmarkStart w:id="22" w:name="_Toc490225751"/>
      <w:r>
        <w:lastRenderedPageBreak/>
        <w:t>Disclaimer</w:t>
      </w:r>
      <w:bookmarkEnd w:id="13"/>
      <w:bookmarkEnd w:id="14"/>
      <w:bookmarkEnd w:id="15"/>
      <w:bookmarkEnd w:id="16"/>
      <w:bookmarkEnd w:id="17"/>
      <w:bookmarkEnd w:id="18"/>
      <w:bookmarkEnd w:id="19"/>
      <w:bookmarkEnd w:id="20"/>
      <w:bookmarkEnd w:id="21"/>
      <w:bookmarkEnd w:id="22"/>
    </w:p>
    <w:p w14:paraId="3A41763D" w14:textId="77777777" w:rsidR="00F26F14" w:rsidRDefault="00F26F14" w:rsidP="00F26F14">
      <w:r w:rsidRPr="00670ECA">
        <w:t xml:space="preserve">This report was prepared by Navigant Consulting, Inc. (Navigant) for </w:t>
      </w:r>
      <w:r w:rsidR="00C16CC2">
        <w:t>the California Public Utilities Commission</w:t>
      </w:r>
      <w:r w:rsidRPr="00670ECA">
        <w:t>. The work presented in this report represents Navigant’s professional judgment based on the information available at the time this report was prepared. Navigant is not responsible for the reader’s use of, or reliance upon, the report, nor any decisions based on the report. NAVIGANT MAKES NO REPRESENTATIONS OR WARRANTIES, EXPRESSED OR IMPLIED. Readers of the report are advised that they assume all liabilities incurred by them, or third parties, as a result of their reliance on the report, or the data, information, findings and opinions contained in the report.</w:t>
      </w:r>
    </w:p>
    <w:p w14:paraId="7C61D9D3" w14:textId="77777777" w:rsidR="00F26F14" w:rsidRPr="00F26F14" w:rsidRDefault="00F26F14" w:rsidP="00F26F14"/>
    <w:p w14:paraId="50EE616C" w14:textId="77777777" w:rsidR="00DA7405" w:rsidRDefault="00DA7405" w:rsidP="00DA7405"/>
    <w:p w14:paraId="641C4A1E" w14:textId="77777777" w:rsidR="00DA7405" w:rsidRPr="00DA7405" w:rsidRDefault="00DA7405" w:rsidP="00DA7405">
      <w:pPr>
        <w:sectPr w:rsidR="00DA7405" w:rsidRPr="00DA7405" w:rsidSect="00DA7405">
          <w:pgSz w:w="12240" w:h="15840" w:code="1"/>
          <w:pgMar w:top="1440" w:right="1440" w:bottom="1440" w:left="1440" w:header="720" w:footer="720" w:gutter="0"/>
          <w:pgNumType w:fmt="lowerRoman"/>
          <w:cols w:space="720"/>
          <w:docGrid w:linePitch="360"/>
        </w:sectPr>
      </w:pPr>
    </w:p>
    <w:p w14:paraId="2C545198" w14:textId="77777777" w:rsidR="001E6048" w:rsidRPr="002E129B" w:rsidRDefault="001E6048" w:rsidP="002E129B">
      <w:pPr>
        <w:pStyle w:val="Heading7"/>
      </w:pPr>
      <w:bookmarkStart w:id="23" w:name="_Toc478990481"/>
      <w:bookmarkStart w:id="24" w:name="_Toc479768554"/>
      <w:bookmarkStart w:id="25" w:name="_Toc490225752"/>
      <w:bookmarkStart w:id="26" w:name="_Toc482353480"/>
      <w:bookmarkStart w:id="27" w:name="_Toc482357283"/>
      <w:bookmarkStart w:id="28" w:name="_Toc482634259"/>
      <w:bookmarkStart w:id="29" w:name="_Toc482626391"/>
      <w:bookmarkStart w:id="30" w:name="_Toc484092462"/>
      <w:bookmarkStart w:id="31" w:name="_Toc484172665"/>
      <w:bookmarkStart w:id="32" w:name="_Toc484183002"/>
      <w:r w:rsidRPr="002E129B">
        <w:lastRenderedPageBreak/>
        <w:t>Executive Summary</w:t>
      </w:r>
      <w:bookmarkEnd w:id="23"/>
      <w:bookmarkEnd w:id="24"/>
      <w:bookmarkEnd w:id="25"/>
      <w:r w:rsidR="003C72CC" w:rsidRPr="002E129B">
        <w:t xml:space="preserve"> </w:t>
      </w:r>
      <w:bookmarkEnd w:id="26"/>
      <w:bookmarkEnd w:id="27"/>
      <w:bookmarkEnd w:id="28"/>
      <w:bookmarkEnd w:id="29"/>
      <w:bookmarkEnd w:id="30"/>
      <w:bookmarkEnd w:id="31"/>
      <w:bookmarkEnd w:id="32"/>
    </w:p>
    <w:p w14:paraId="39CAEEE3" w14:textId="77777777" w:rsidR="00A93CE5" w:rsidRDefault="00A93CE5" w:rsidP="00A93CE5">
      <w:pPr>
        <w:pStyle w:val="Heading8"/>
      </w:pPr>
      <w:bookmarkStart w:id="33" w:name="_Toc490225753"/>
      <w:r>
        <w:t>Background</w:t>
      </w:r>
      <w:bookmarkEnd w:id="33"/>
    </w:p>
    <w:p w14:paraId="393B5CEC" w14:textId="77777777" w:rsidR="00903000" w:rsidRDefault="00903000" w:rsidP="00903000">
      <w:r w:rsidRPr="00FC44DD">
        <w:t>Navigant Consulting, Inc. along with its partners T</w:t>
      </w:r>
      <w:r>
        <w:t>ierra Resource Consultants LLC</w:t>
      </w:r>
      <w:r w:rsidRPr="00FC44DD">
        <w:t xml:space="preserve"> (collectively known as “the Navigant team”) </w:t>
      </w:r>
      <w:r w:rsidR="00877006">
        <w:t xml:space="preserve">prepared </w:t>
      </w:r>
      <w:r w:rsidRPr="00FC44DD">
        <w:t>this study (“</w:t>
      </w:r>
      <w:r>
        <w:t>2018</w:t>
      </w:r>
      <w:r w:rsidRPr="00FC44DD">
        <w:t xml:space="preserve"> and Beyond Potential and Goals Study”) </w:t>
      </w:r>
      <w:r w:rsidR="00877006">
        <w:t xml:space="preserve">for the California Public Utilities Commission (CPUC).  The purpose of this study is </w:t>
      </w:r>
      <w:r w:rsidRPr="00FC44DD">
        <w:t xml:space="preserve">to </w:t>
      </w:r>
      <w:r w:rsidR="00877006">
        <w:t xml:space="preserve">develop estimates of </w:t>
      </w:r>
      <w:r w:rsidRPr="00FC44DD">
        <w:t xml:space="preserve">energy and demand savings potential in the service territories of California’s </w:t>
      </w:r>
      <w:r w:rsidR="00877006">
        <w:t xml:space="preserve">major </w:t>
      </w:r>
      <w:r w:rsidRPr="00FC44DD">
        <w:t>investor-owned utilities (IOUs) during the post</w:t>
      </w:r>
      <w:r w:rsidR="00877006">
        <w:t>-</w:t>
      </w:r>
      <w:r w:rsidRPr="00FC44DD">
        <w:t>201</w:t>
      </w:r>
      <w:r>
        <w:t>7</w:t>
      </w:r>
      <w:r w:rsidRPr="00FC44DD">
        <w:t xml:space="preserve"> energy efficiency (EE) </w:t>
      </w:r>
      <w:r w:rsidR="00877006">
        <w:t xml:space="preserve">rolling </w:t>
      </w:r>
      <w:r w:rsidRPr="00FC44DD">
        <w:t>portfolio planning cycle. This report includes results for Pacific Gas and Electric (PG&amp;E), Southern California Edison (SCE), San Diego Gas and Electric (SDG&amp;E), and Southern California Gas (SCG)</w:t>
      </w:r>
      <w:r w:rsidR="00C61304">
        <w:t xml:space="preserve"> collectively referred to as investor owned utilities or IOUs</w:t>
      </w:r>
      <w:r w:rsidRPr="00FC44DD">
        <w:t xml:space="preserve">. A key component of the </w:t>
      </w:r>
      <w:r>
        <w:t>2018 Potential and Goals Study (2018</w:t>
      </w:r>
      <w:r w:rsidRPr="00FC44DD">
        <w:t xml:space="preserve"> Study) is the Potential and Goals Model (PG Model), which provides a single platform in which to conduct quantitative scenario analysis that reflects the complex interactions among various inputs and </w:t>
      </w:r>
      <w:r w:rsidR="0019505F">
        <w:t>p</w:t>
      </w:r>
      <w:r w:rsidRPr="00FC44DD">
        <w:t xml:space="preserve">olicy </w:t>
      </w:r>
      <w:r w:rsidR="0019505F">
        <w:t>d</w:t>
      </w:r>
      <w:r w:rsidRPr="00FC44DD">
        <w:t>rivers.</w:t>
      </w:r>
    </w:p>
    <w:p w14:paraId="35689723" w14:textId="77777777" w:rsidR="00903000" w:rsidRDefault="00903000" w:rsidP="00903000"/>
    <w:p w14:paraId="087AE58C" w14:textId="77777777" w:rsidR="00903000" w:rsidRDefault="00903000" w:rsidP="00903000">
      <w:r>
        <w:t xml:space="preserve">A significant number of recent policy changes in California are driving updates to the approach and methodology of the 2018 </w:t>
      </w:r>
      <w:r w:rsidR="008A4399">
        <w:t>S</w:t>
      </w:r>
      <w:r>
        <w:t>tudy. These policy drivers include:</w:t>
      </w:r>
    </w:p>
    <w:p w14:paraId="6DC4D870" w14:textId="77777777" w:rsidR="00903000" w:rsidRPr="00876767" w:rsidRDefault="00903000" w:rsidP="004E4E36">
      <w:pPr>
        <w:pStyle w:val="ListParagraph"/>
        <w:numPr>
          <w:ilvl w:val="0"/>
          <w:numId w:val="19"/>
        </w:numPr>
      </w:pPr>
      <w:r w:rsidRPr="00950406">
        <w:rPr>
          <w:b/>
          <w:snapToGrid w:val="0"/>
        </w:rPr>
        <w:t>California Assembly Bill 802 (AB802)</w:t>
      </w:r>
      <w:r w:rsidRPr="00950406">
        <w:rPr>
          <w:snapToGrid w:val="0"/>
        </w:rPr>
        <w:t xml:space="preserve"> </w:t>
      </w:r>
      <w:r>
        <w:rPr>
          <w:snapToGrid w:val="0"/>
        </w:rPr>
        <w:t xml:space="preserve">- </w:t>
      </w:r>
      <w:r w:rsidRPr="00950406">
        <w:rPr>
          <w:snapToGrid w:val="0"/>
        </w:rPr>
        <w:t>AB802 allow</w:t>
      </w:r>
      <w:r w:rsidR="00877006">
        <w:rPr>
          <w:snapToGrid w:val="0"/>
        </w:rPr>
        <w:t>s</w:t>
      </w:r>
      <w:r w:rsidRPr="00950406">
        <w:rPr>
          <w:snapToGrid w:val="0"/>
        </w:rPr>
        <w:t xml:space="preserve"> and incentivize</w:t>
      </w:r>
      <w:r w:rsidR="00877006">
        <w:rPr>
          <w:snapToGrid w:val="0"/>
        </w:rPr>
        <w:t>s</w:t>
      </w:r>
      <w:r w:rsidRPr="00950406">
        <w:rPr>
          <w:snapToGrid w:val="0"/>
        </w:rPr>
        <w:t xml:space="preserve"> all energy savings (including those that are “below-code”).</w:t>
      </w:r>
      <w:r w:rsidRPr="00950406">
        <w:rPr>
          <w:rStyle w:val="FootnoteReference"/>
          <w:snapToGrid w:val="0"/>
        </w:rPr>
        <w:footnoteReference w:id="2"/>
      </w:r>
      <w:r w:rsidRPr="00950406">
        <w:rPr>
          <w:snapToGrid w:val="0"/>
        </w:rPr>
        <w:t xml:space="preserve"> Furthermore, AB802 instructs energy </w:t>
      </w:r>
      <w:r w:rsidRPr="00876767">
        <w:rPr>
          <w:snapToGrid w:val="0"/>
        </w:rPr>
        <w:t xml:space="preserve">efficiency be achieved not only though equipment installations but also through behavior and operational efficiency interventions. </w:t>
      </w:r>
    </w:p>
    <w:p w14:paraId="33B043D0" w14:textId="77777777" w:rsidR="00903000" w:rsidRPr="00876767" w:rsidRDefault="00903000" w:rsidP="004E4E36">
      <w:pPr>
        <w:pStyle w:val="ListParagraph"/>
        <w:numPr>
          <w:ilvl w:val="0"/>
          <w:numId w:val="19"/>
        </w:numPr>
        <w:rPr>
          <w:b/>
        </w:rPr>
      </w:pPr>
      <w:r w:rsidRPr="00876767">
        <w:rPr>
          <w:b/>
        </w:rPr>
        <w:t xml:space="preserve">California Senate Bill 350 (SB350) </w:t>
      </w:r>
      <w:r>
        <w:t xml:space="preserve">- </w:t>
      </w:r>
      <w:r w:rsidRPr="00876767">
        <w:t xml:space="preserve"> SB350 </w:t>
      </w:r>
      <w:r w:rsidR="00877006">
        <w:t xml:space="preserve">mandates a </w:t>
      </w:r>
      <w:r w:rsidRPr="00876767">
        <w:t>doubl</w:t>
      </w:r>
      <w:r w:rsidR="00877006">
        <w:t>ing</w:t>
      </w:r>
      <w:r w:rsidRPr="00876767">
        <w:t xml:space="preserve"> </w:t>
      </w:r>
      <w:r w:rsidR="00877006">
        <w:t xml:space="preserve">of </w:t>
      </w:r>
      <w:r w:rsidRPr="00876767">
        <w:t>statewide energy efficiency savings in electricity and natural gas end uses by 2030</w:t>
      </w:r>
      <w:r>
        <w:t xml:space="preserve"> and that the goals not be constrained based on past </w:t>
      </w:r>
      <w:r w:rsidR="001779AE">
        <w:t xml:space="preserve">EE </w:t>
      </w:r>
      <w:r>
        <w:t xml:space="preserve">program performance. </w:t>
      </w:r>
    </w:p>
    <w:p w14:paraId="0C26579C" w14:textId="77777777" w:rsidR="00903000" w:rsidRDefault="00903000" w:rsidP="004E4E36">
      <w:pPr>
        <w:pStyle w:val="ListParagraph"/>
        <w:numPr>
          <w:ilvl w:val="0"/>
          <w:numId w:val="19"/>
        </w:numPr>
      </w:pPr>
      <w:r w:rsidRPr="00876767">
        <w:rPr>
          <w:b/>
        </w:rPr>
        <w:t>CPUC Cost Effectiveness Test</w:t>
      </w:r>
      <w:r w:rsidR="00A9318F">
        <w:rPr>
          <w:b/>
        </w:rPr>
        <w:t>s and Inputs</w:t>
      </w:r>
      <w:r w:rsidRPr="00876767">
        <w:rPr>
          <w:b/>
        </w:rPr>
        <w:t xml:space="preserve"> Updates</w:t>
      </w:r>
      <w:r w:rsidRPr="00876767">
        <w:t xml:space="preserve"> </w:t>
      </w:r>
      <w:r>
        <w:t xml:space="preserve">- </w:t>
      </w:r>
      <w:r w:rsidRPr="00876767">
        <w:t>Multiple changes have been or are be</w:t>
      </w:r>
      <w:r>
        <w:t xml:space="preserve">ing considered </w:t>
      </w:r>
      <w:r w:rsidRPr="00876767">
        <w:t xml:space="preserve">though the </w:t>
      </w:r>
      <w:r>
        <w:t xml:space="preserve">Integrated Distributed Energy Resources (IDER) </w:t>
      </w:r>
      <w:r w:rsidRPr="00876767">
        <w:t>proceeding</w:t>
      </w:r>
      <w:r>
        <w:t xml:space="preserve"> (R. 14-10-003). </w:t>
      </w:r>
      <w:r w:rsidR="00A9318F" w:rsidRPr="00A9318F">
        <w:t xml:space="preserve">The CPUC has been considering the application of the </w:t>
      </w:r>
      <w:r w:rsidR="00877006">
        <w:t xml:space="preserve">California </w:t>
      </w:r>
      <w:r w:rsidR="00A9318F" w:rsidRPr="00A9318F">
        <w:t xml:space="preserve">Standard Practice Manual tests for </w:t>
      </w:r>
      <w:r w:rsidR="001779AE">
        <w:t xml:space="preserve">distributed energy resource </w:t>
      </w:r>
      <w:r w:rsidR="00A9318F" w:rsidRPr="00A9318F">
        <w:t xml:space="preserve">needs including the use of a </w:t>
      </w:r>
      <w:r w:rsidR="00877006">
        <w:t>greenhouse gas (</w:t>
      </w:r>
      <w:r w:rsidR="00A9318F" w:rsidRPr="00A9318F">
        <w:t>GHG</w:t>
      </w:r>
      <w:r w:rsidR="00877006">
        <w:t>)</w:t>
      </w:r>
      <w:r w:rsidR="00A9318F" w:rsidRPr="00A9318F">
        <w:t xml:space="preserve"> adder to be incorporated</w:t>
      </w:r>
      <w:r w:rsidR="00A9318F">
        <w:t xml:space="preserve"> into the current avoided costs.</w:t>
      </w:r>
      <w:r w:rsidR="00A9318F">
        <w:rPr>
          <w:rStyle w:val="FootnoteReference"/>
        </w:rPr>
        <w:footnoteReference w:id="3"/>
      </w:r>
      <w:r w:rsidR="00877006" w:rsidDel="00877006">
        <w:rPr>
          <w:rStyle w:val="FootnoteReference"/>
        </w:rPr>
        <w:t xml:space="preserve"> </w:t>
      </w:r>
    </w:p>
    <w:p w14:paraId="35FBB55E" w14:textId="3451D78A" w:rsidR="00BB1BC2" w:rsidRPr="00876767" w:rsidRDefault="00BB1BC2" w:rsidP="004E4E36">
      <w:pPr>
        <w:pStyle w:val="ListParagraph"/>
        <w:numPr>
          <w:ilvl w:val="0"/>
          <w:numId w:val="19"/>
        </w:numPr>
      </w:pPr>
      <w:r w:rsidRPr="006406EC">
        <w:rPr>
          <w:b/>
        </w:rPr>
        <w:t>CPUC Net Goals Direction</w:t>
      </w:r>
      <w:r>
        <w:t xml:space="preserve"> –</w:t>
      </w:r>
      <w:r w:rsidR="006B1323">
        <w:t xml:space="preserve"> The CPUC directed 2018 and beyond goals to be set net of free-ridership due to changes in baseline policy</w:t>
      </w:r>
      <w:r>
        <w:t>.</w:t>
      </w:r>
      <w:r w:rsidR="006B1323">
        <w:rPr>
          <w:rStyle w:val="FootnoteReference"/>
        </w:rPr>
        <w:footnoteReference w:id="4"/>
      </w:r>
    </w:p>
    <w:p w14:paraId="1469ABBF" w14:textId="77777777" w:rsidR="00903000" w:rsidRPr="00FC44DD" w:rsidRDefault="00903000" w:rsidP="00903000"/>
    <w:p w14:paraId="34EE74A3" w14:textId="77777777" w:rsidR="00903000" w:rsidRPr="00D94F63" w:rsidRDefault="00903000" w:rsidP="00903000">
      <w:r w:rsidRPr="00D94F63">
        <w:t xml:space="preserve">The </w:t>
      </w:r>
      <w:r>
        <w:t>2018</w:t>
      </w:r>
      <w:r w:rsidRPr="00D94F63">
        <w:t xml:space="preserve"> Study supports </w:t>
      </w:r>
      <w:r w:rsidR="001779AE">
        <w:t>a number of objectives</w:t>
      </w:r>
      <w:r w:rsidRPr="00D94F63">
        <w:t>:</w:t>
      </w:r>
    </w:p>
    <w:p w14:paraId="3AFD582C" w14:textId="77777777" w:rsidR="00903000" w:rsidRPr="00D94F63" w:rsidRDefault="00903000" w:rsidP="004E4E36">
      <w:pPr>
        <w:pStyle w:val="ListParagraph"/>
        <w:numPr>
          <w:ilvl w:val="0"/>
          <w:numId w:val="37"/>
        </w:numPr>
        <w:ind w:left="900" w:hanging="360"/>
      </w:pPr>
      <w:r w:rsidRPr="00D94F63">
        <w:t>Inform</w:t>
      </w:r>
      <w:r w:rsidR="001779AE">
        <w:t>s</w:t>
      </w:r>
      <w:r w:rsidRPr="00D94F63">
        <w:t xml:space="preserve"> the CPUC as it proceeds to adopt </w:t>
      </w:r>
      <w:r w:rsidR="003319FA">
        <w:t xml:space="preserve">EE savings </w:t>
      </w:r>
      <w:r w:rsidRPr="00D94F63">
        <w:t xml:space="preserve">goals and targets, providing guidance for the next IOU </w:t>
      </w:r>
      <w:r w:rsidR="003319FA">
        <w:t xml:space="preserve">EE program </w:t>
      </w:r>
      <w:r w:rsidRPr="00D94F63">
        <w:t>portfolios</w:t>
      </w:r>
      <w:r w:rsidR="003319FA">
        <w:t>;</w:t>
      </w:r>
      <w:r w:rsidRPr="00D94F63">
        <w:t xml:space="preserve"> </w:t>
      </w:r>
    </w:p>
    <w:p w14:paraId="242C6A5A" w14:textId="77777777" w:rsidR="00903000" w:rsidRPr="00FC44DD" w:rsidRDefault="00903000" w:rsidP="004E4E36">
      <w:pPr>
        <w:pStyle w:val="ListParagraph"/>
        <w:numPr>
          <w:ilvl w:val="0"/>
          <w:numId w:val="37"/>
        </w:numPr>
        <w:ind w:left="900" w:hanging="360"/>
      </w:pPr>
      <w:r w:rsidRPr="00D94F63">
        <w:lastRenderedPageBreak/>
        <w:t>Guide</w:t>
      </w:r>
      <w:r w:rsidR="003319FA">
        <w:t>s</w:t>
      </w:r>
      <w:r w:rsidRPr="00D94F63">
        <w:t xml:space="preserve"> the IOUs in </w:t>
      </w:r>
      <w:r w:rsidR="003319FA">
        <w:t xml:space="preserve">EE program </w:t>
      </w:r>
      <w:r w:rsidRPr="00D94F63">
        <w:t>portfolio planning and the state’</w:t>
      </w:r>
      <w:r w:rsidR="003319FA">
        <w:t>s</w:t>
      </w:r>
      <w:r w:rsidRPr="00D94F63">
        <w:t xml:space="preserve"> principal energy agencies in forecasting for procurement, including the planning efforts of the CPUC, California Energy Commission (CEC), and California Independent System Operator (CAISO</w:t>
      </w:r>
      <w:r w:rsidR="00B942FA">
        <w:t>)</w:t>
      </w:r>
      <w:r w:rsidR="003319FA">
        <w:t>;</w:t>
      </w:r>
      <w:r w:rsidRPr="00FC44DD">
        <w:t xml:space="preserve"> </w:t>
      </w:r>
    </w:p>
    <w:p w14:paraId="56F8B46B" w14:textId="77777777" w:rsidR="00903000" w:rsidRDefault="00903000" w:rsidP="004E4E36">
      <w:pPr>
        <w:pStyle w:val="ListParagraph"/>
        <w:numPr>
          <w:ilvl w:val="0"/>
          <w:numId w:val="37"/>
        </w:numPr>
        <w:ind w:left="900" w:hanging="360"/>
      </w:pPr>
      <w:r w:rsidRPr="005260A8">
        <w:t>Inform</w:t>
      </w:r>
      <w:r w:rsidR="003319FA">
        <w:t>s</w:t>
      </w:r>
      <w:r w:rsidRPr="005260A8">
        <w:t xml:space="preserve"> strategic contributions to SB350 targets. The CEC has historically used the PG study to develop its forecast of Additional Achievable Ener</w:t>
      </w:r>
      <w:r w:rsidR="005260A8" w:rsidRPr="005260A8">
        <w:t xml:space="preserve">gy Efficiency Potential (AAEE; </w:t>
      </w:r>
      <w:r w:rsidRPr="005260A8">
        <w:t xml:space="preserve">SB350 </w:t>
      </w:r>
      <w:r w:rsidR="005260A8" w:rsidRPr="005260A8">
        <w:t>requires</w:t>
      </w:r>
      <w:r w:rsidRPr="005260A8">
        <w:t xml:space="preserve"> doubling AAEE by 2030. The</w:t>
      </w:r>
      <w:r>
        <w:t xml:space="preserve"> CEC will continue to rely upon the PG study as an input to AAEE; the PG study will also serve as an input to SB350 target setting</w:t>
      </w:r>
      <w:r w:rsidR="003319FA">
        <w:t>; and</w:t>
      </w:r>
      <w:r>
        <w:t xml:space="preserve"> </w:t>
      </w:r>
    </w:p>
    <w:p w14:paraId="1E2E4FC7" w14:textId="77777777" w:rsidR="003319FA" w:rsidRPr="00FC44DD" w:rsidRDefault="003319FA" w:rsidP="004E4E36">
      <w:pPr>
        <w:pStyle w:val="ListParagraph"/>
        <w:numPr>
          <w:ilvl w:val="0"/>
          <w:numId w:val="37"/>
        </w:numPr>
        <w:ind w:left="900" w:hanging="360"/>
      </w:pPr>
      <w:r>
        <w:t>Identifies new EE savings opportunities under the guise of AB802.</w:t>
      </w:r>
    </w:p>
    <w:p w14:paraId="71B75623" w14:textId="77777777" w:rsidR="00903000" w:rsidRPr="00FC44DD" w:rsidRDefault="00903000" w:rsidP="00903000"/>
    <w:p w14:paraId="21707C8B" w14:textId="77777777" w:rsidR="00903000" w:rsidRPr="00FC44DD" w:rsidRDefault="00903000" w:rsidP="00903000">
      <w:r w:rsidRPr="00D94F63">
        <w:t xml:space="preserve">The </w:t>
      </w:r>
      <w:r w:rsidR="008A4399">
        <w:t>2018 S</w:t>
      </w:r>
      <w:r w:rsidRPr="00D94F63">
        <w:t>tudy period spans from 2018-2030 based on the direction provided by CPUC and focuses on curr</w:t>
      </w:r>
      <w:r w:rsidRPr="00FC44DD">
        <w:t>ent and potential drivers of energy savings in IOU service areas. Analysis of energy efficiency savings in publicly owned utility service territories is not pa</w:t>
      </w:r>
      <w:r>
        <w:t>rt of the scope of this effort.</w:t>
      </w:r>
    </w:p>
    <w:p w14:paraId="7366B5D6" w14:textId="77777777" w:rsidR="00903000" w:rsidRDefault="00903000" w:rsidP="00903000"/>
    <w:p w14:paraId="465ACEAC" w14:textId="77777777" w:rsidR="00903000" w:rsidRDefault="00903000" w:rsidP="00903000">
      <w:r>
        <w:t xml:space="preserve">Consistent with </w:t>
      </w:r>
      <w:r w:rsidR="00C61304">
        <w:t xml:space="preserve">previous </w:t>
      </w:r>
      <w:r w:rsidR="003319FA">
        <w:t xml:space="preserve">CPUC </w:t>
      </w:r>
      <w:r w:rsidR="00C61304">
        <w:t>potential studies</w:t>
      </w:r>
      <w:r w:rsidR="00094F14">
        <w:t xml:space="preserve"> and consistent with common industry practice</w:t>
      </w:r>
      <w:r>
        <w:t xml:space="preserve">, the 2018 Study forecasts </w:t>
      </w:r>
      <w:r w:rsidR="003319FA">
        <w:t xml:space="preserve">EE </w:t>
      </w:r>
      <w:r>
        <w:t xml:space="preserve">potential at </w:t>
      </w:r>
      <w:r w:rsidR="00975E0E">
        <w:t xml:space="preserve">three </w:t>
      </w:r>
      <w:r>
        <w:t>levels for rebate programs:</w:t>
      </w:r>
    </w:p>
    <w:p w14:paraId="24B7871C" w14:textId="77777777" w:rsidR="00903000" w:rsidRPr="00045431" w:rsidRDefault="00903000" w:rsidP="004E4E36">
      <w:pPr>
        <w:pStyle w:val="ListParagraph"/>
        <w:numPr>
          <w:ilvl w:val="0"/>
          <w:numId w:val="9"/>
        </w:numPr>
        <w:ind w:left="900" w:hanging="360"/>
      </w:pPr>
      <w:r w:rsidRPr="00066D79">
        <w:rPr>
          <w:b/>
        </w:rPr>
        <w:t>Technical Potential:</w:t>
      </w:r>
      <w:r>
        <w:t xml:space="preserve"> Technical potential is defined as the amount of energy savings that would be possible if the highest level of efficiency for all technically applicable opportunities to improve </w:t>
      </w:r>
      <w:r w:rsidR="008A4399">
        <w:t xml:space="preserve">EE </w:t>
      </w:r>
      <w:r>
        <w:t xml:space="preserve">were taken, </w:t>
      </w:r>
      <w:r w:rsidR="003319FA">
        <w:t>regardless of cost.</w:t>
      </w:r>
      <w:r>
        <w:t xml:space="preserve"> </w:t>
      </w:r>
    </w:p>
    <w:p w14:paraId="2FC702DB" w14:textId="77777777" w:rsidR="00903000" w:rsidRPr="00A01325" w:rsidRDefault="00903000" w:rsidP="004E4E36">
      <w:pPr>
        <w:pStyle w:val="ListParagraph"/>
        <w:numPr>
          <w:ilvl w:val="0"/>
          <w:numId w:val="9"/>
        </w:numPr>
        <w:ind w:left="900" w:hanging="360"/>
      </w:pPr>
      <w:r w:rsidRPr="00045431">
        <w:rPr>
          <w:b/>
        </w:rPr>
        <w:t>Economic Potential:</w:t>
      </w:r>
      <w:r w:rsidRPr="00045431">
        <w:t xml:space="preserve"> </w:t>
      </w:r>
      <w:r w:rsidR="003319FA">
        <w:t xml:space="preserve">Drawing from </w:t>
      </w:r>
      <w:r w:rsidRPr="00045431">
        <w:t>technical</w:t>
      </w:r>
      <w:r>
        <w:t xml:space="preserve"> potential analysis, economic potential </w:t>
      </w:r>
      <w:r w:rsidR="003319FA">
        <w:t xml:space="preserve">represents </w:t>
      </w:r>
      <w:r>
        <w:t xml:space="preserve">total </w:t>
      </w:r>
      <w:r w:rsidR="008A4399">
        <w:t xml:space="preserve">EE </w:t>
      </w:r>
      <w:r>
        <w:t>potential available when limited to only cost effective measures.</w:t>
      </w:r>
      <w:r>
        <w:rPr>
          <w:rStyle w:val="FootnoteReference"/>
        </w:rPr>
        <w:footnoteReference w:id="5"/>
      </w:r>
      <w:r>
        <w:t xml:space="preserve"> All components of economic potential are a subset of technical potential.    </w:t>
      </w:r>
    </w:p>
    <w:p w14:paraId="00C5628E" w14:textId="77777777" w:rsidR="00975E0E" w:rsidRDefault="00903000" w:rsidP="008A4399">
      <w:pPr>
        <w:pStyle w:val="ListParagraph"/>
        <w:numPr>
          <w:ilvl w:val="0"/>
          <w:numId w:val="9"/>
        </w:numPr>
        <w:ind w:left="900" w:hanging="360"/>
      </w:pPr>
      <w:r w:rsidRPr="00066D79">
        <w:rPr>
          <w:b/>
        </w:rPr>
        <w:t>Market Potential:</w:t>
      </w:r>
      <w:r>
        <w:t xml:space="preserve"> The final output of the potential study is a market potential analysis, which calculates the </w:t>
      </w:r>
      <w:r w:rsidR="003319FA">
        <w:t xml:space="preserve">potential </w:t>
      </w:r>
      <w:r w:rsidR="008A4399">
        <w:t xml:space="preserve">EE </w:t>
      </w:r>
      <w:r>
        <w:t xml:space="preserve">savings </w:t>
      </w:r>
      <w:r w:rsidR="003319FA">
        <w:t xml:space="preserve">based on </w:t>
      </w:r>
      <w:r>
        <w:t>specific incentive</w:t>
      </w:r>
      <w:r w:rsidR="008A4399">
        <w:t xml:space="preserve"> level</w:t>
      </w:r>
      <w:r>
        <w:t xml:space="preserve">s and assumptions about </w:t>
      </w:r>
      <w:r w:rsidR="00094F14">
        <w:t xml:space="preserve">existing CPUC </w:t>
      </w:r>
      <w:r>
        <w:t xml:space="preserve">policies, market influences, and barriers. All components of market potential are a subset of economic potential. Market potential has historically been used by the CPUC to inform the goal-setting process. </w:t>
      </w:r>
    </w:p>
    <w:p w14:paraId="2F6290A4" w14:textId="77777777" w:rsidR="00903000" w:rsidRPr="00233FD1" w:rsidRDefault="00903000" w:rsidP="00031C0C">
      <w:pPr>
        <w:pStyle w:val="ListParagraph"/>
        <w:numPr>
          <w:ilvl w:val="1"/>
          <w:numId w:val="9"/>
        </w:numPr>
      </w:pPr>
      <w:r w:rsidRPr="00E05E8F">
        <w:rPr>
          <w:b/>
        </w:rPr>
        <w:t>Stranded Potential</w:t>
      </w:r>
      <w:r>
        <w:t xml:space="preserve"> is a subset of the Market Potential</w:t>
      </w:r>
      <w:r w:rsidR="004D46AA">
        <w:t xml:space="preserve"> that was added to the 2018 Study to accommodate AB802</w:t>
      </w:r>
      <w:r>
        <w:t xml:space="preserve">. </w:t>
      </w:r>
      <w:r w:rsidRPr="00233FD1">
        <w:t>These savings are defined as the opportunities for EE that have not historically been captured by either EE program administrator (PA) rebate programs or codes and standards. Stranded Potential is below-code savings</w:t>
      </w:r>
      <w:r w:rsidR="008A4399">
        <w:t xml:space="preserve"> to AB802</w:t>
      </w:r>
      <w:r w:rsidRPr="00233FD1">
        <w:t xml:space="preserve"> that is not materializing in the market because there </w:t>
      </w:r>
      <w:r w:rsidR="008A4399">
        <w:t xml:space="preserve">are </w:t>
      </w:r>
      <w:r w:rsidRPr="00233FD1">
        <w:t>no incentive</w:t>
      </w:r>
      <w:r w:rsidR="008A4399">
        <w:t>s</w:t>
      </w:r>
      <w:r w:rsidRPr="00233FD1">
        <w:t xml:space="preserve"> for customer</w:t>
      </w:r>
      <w:r w:rsidR="008A4399">
        <w:t>s</w:t>
      </w:r>
      <w:r w:rsidRPr="00233FD1">
        <w:t xml:space="preserve"> to upgrade their existing equipment given current program rebate polic</w:t>
      </w:r>
      <w:r w:rsidR="008A4399">
        <w:t>ies</w:t>
      </w:r>
      <w:r w:rsidRPr="00233FD1">
        <w:t xml:space="preserve">. </w:t>
      </w:r>
    </w:p>
    <w:p w14:paraId="7353C01D" w14:textId="77777777" w:rsidR="00903000" w:rsidRDefault="00903000" w:rsidP="00903000"/>
    <w:p w14:paraId="6EFE0A63" w14:textId="77777777" w:rsidR="00E02DCA" w:rsidRDefault="00903000" w:rsidP="00903000">
      <w:r w:rsidRPr="00AD64D1">
        <w:t xml:space="preserve">This </w:t>
      </w:r>
      <w:r w:rsidR="008A4399">
        <w:t>2018 S</w:t>
      </w:r>
      <w:r w:rsidRPr="00AD64D1">
        <w:t xml:space="preserve">tudy forecasts </w:t>
      </w:r>
      <w:r>
        <w:t xml:space="preserve">the potential </w:t>
      </w:r>
      <w:r w:rsidRPr="00AD64D1">
        <w:t xml:space="preserve">energy savings from </w:t>
      </w:r>
      <w:r w:rsidR="008A4399">
        <w:t xml:space="preserve">various EE </w:t>
      </w:r>
      <w:r w:rsidRPr="00AD64D1">
        <w:t xml:space="preserve">programs </w:t>
      </w:r>
      <w:r w:rsidR="008A4399">
        <w:t xml:space="preserve">as well as </w:t>
      </w:r>
      <w:r w:rsidRPr="00AD64D1">
        <w:t>codes and standard</w:t>
      </w:r>
      <w:r w:rsidR="002C11F9">
        <w:t>s</w:t>
      </w:r>
      <w:r w:rsidR="004C0549">
        <w:t xml:space="preserve"> advocacy effort</w:t>
      </w:r>
      <w:r w:rsidRPr="00AD64D1">
        <w:t xml:space="preserve">s </w:t>
      </w:r>
      <w:r w:rsidR="004C0549">
        <w:t xml:space="preserve">for the following </w:t>
      </w:r>
      <w:r w:rsidRPr="00AD64D1">
        <w:t xml:space="preserve">customer sectors: Residential, Commercial, Agricultural, Industrial, Mining, and Street Lighting. </w:t>
      </w:r>
      <w:r w:rsidR="004C0549">
        <w:t xml:space="preserve">The 2018 Study </w:t>
      </w:r>
      <w:r>
        <w:t>does not set IOU goals nor does it make a recommendation as to how to set goals. Rather it informs the CPUC’s goal</w:t>
      </w:r>
      <w:r w:rsidR="004C0549">
        <w:t>-</w:t>
      </w:r>
      <w:r>
        <w:t xml:space="preserve">setting process. </w:t>
      </w:r>
      <w:r w:rsidRPr="00066D79">
        <w:t>The Navigant team engaged with stakeholders through the Demand Analysis Working Group</w:t>
      </w:r>
      <w:r w:rsidRPr="00066D79">
        <w:rPr>
          <w:rStyle w:val="FootnoteReference"/>
        </w:rPr>
        <w:footnoteReference w:id="6"/>
      </w:r>
      <w:r w:rsidRPr="00066D79">
        <w:t xml:space="preserve"> </w:t>
      </w:r>
      <w:r w:rsidR="00AC1D27">
        <w:t xml:space="preserve">(DAWG) </w:t>
      </w:r>
      <w:r w:rsidR="004C0549">
        <w:t xml:space="preserve">over the course </w:t>
      </w:r>
      <w:r w:rsidRPr="00066D79">
        <w:t xml:space="preserve">of </w:t>
      </w:r>
      <w:r w:rsidR="004C0549">
        <w:t>the 2018 S</w:t>
      </w:r>
      <w:r w:rsidRPr="00066D79">
        <w:t xml:space="preserve">tudy to </w:t>
      </w:r>
      <w:r w:rsidR="004C0549">
        <w:t xml:space="preserve">obtain </w:t>
      </w:r>
      <w:r>
        <w:t>data</w:t>
      </w:r>
      <w:r w:rsidR="004C0549">
        <w:t xml:space="preserve"> and incorporate </w:t>
      </w:r>
      <w:r w:rsidRPr="00066D79">
        <w:t>feedback on scope, methodology, key assumptions</w:t>
      </w:r>
      <w:r w:rsidR="004C0549">
        <w:t>,</w:t>
      </w:r>
      <w:r w:rsidR="000A5A7E">
        <w:t xml:space="preserve"> and interim results</w:t>
      </w:r>
      <w:r w:rsidRPr="00066D79">
        <w:t>.</w:t>
      </w:r>
    </w:p>
    <w:p w14:paraId="22E16523" w14:textId="77777777" w:rsidR="00A93CE5" w:rsidRDefault="00A93CE5" w:rsidP="00A93CE5">
      <w:pPr>
        <w:pStyle w:val="Heading8"/>
      </w:pPr>
      <w:bookmarkStart w:id="34" w:name="_Toc490225754"/>
      <w:r>
        <w:lastRenderedPageBreak/>
        <w:t>Scenarios</w:t>
      </w:r>
      <w:bookmarkEnd w:id="34"/>
    </w:p>
    <w:p w14:paraId="3BF1BC38" w14:textId="77777777" w:rsidR="00E05BCD" w:rsidRDefault="00E05BCD" w:rsidP="00E05BCD">
      <w:pPr>
        <w:rPr>
          <w:rFonts w:cs="Arial"/>
          <w:snapToGrid w:val="0"/>
        </w:rPr>
      </w:pPr>
      <w:r>
        <w:rPr>
          <w:rFonts w:cs="Arial"/>
          <w:snapToGrid w:val="0"/>
        </w:rPr>
        <w:t xml:space="preserve">In </w:t>
      </w:r>
      <w:r w:rsidR="004C0549">
        <w:rPr>
          <w:rFonts w:cs="Arial"/>
          <w:snapToGrid w:val="0"/>
        </w:rPr>
        <w:t xml:space="preserve">previous CPUC potential </w:t>
      </w:r>
      <w:r>
        <w:rPr>
          <w:rFonts w:cs="Arial"/>
          <w:snapToGrid w:val="0"/>
        </w:rPr>
        <w:t>studies</w:t>
      </w:r>
      <w:r w:rsidR="004C0549">
        <w:rPr>
          <w:rFonts w:cs="Arial"/>
          <w:snapToGrid w:val="0"/>
        </w:rPr>
        <w:t xml:space="preserve">, </w:t>
      </w:r>
      <w:r>
        <w:rPr>
          <w:rFonts w:cs="Arial"/>
          <w:snapToGrid w:val="0"/>
        </w:rPr>
        <w:t xml:space="preserve">a single forecast of </w:t>
      </w:r>
      <w:r w:rsidR="004C0549">
        <w:rPr>
          <w:rFonts w:cs="Arial"/>
          <w:snapToGrid w:val="0"/>
        </w:rPr>
        <w:t xml:space="preserve">EE </w:t>
      </w:r>
      <w:r>
        <w:rPr>
          <w:rFonts w:cs="Arial"/>
          <w:snapToGrid w:val="0"/>
        </w:rPr>
        <w:t xml:space="preserve">potential </w:t>
      </w:r>
      <w:r w:rsidR="004C0549">
        <w:rPr>
          <w:rFonts w:cs="Arial"/>
          <w:snapToGrid w:val="0"/>
        </w:rPr>
        <w:t xml:space="preserve">was developed and used by policymakers to establish </w:t>
      </w:r>
      <w:r>
        <w:rPr>
          <w:rFonts w:cs="Arial"/>
          <w:snapToGrid w:val="0"/>
        </w:rPr>
        <w:t>IOU goals. In these past studies, alternate s</w:t>
      </w:r>
      <w:r w:rsidRPr="00B11C2A">
        <w:rPr>
          <w:rFonts w:cs="Arial"/>
          <w:snapToGrid w:val="0"/>
        </w:rPr>
        <w:t xml:space="preserve">cenarios were </w:t>
      </w:r>
      <w:r w:rsidR="009B7850">
        <w:rPr>
          <w:rFonts w:cs="Arial"/>
          <w:snapToGrid w:val="0"/>
        </w:rPr>
        <w:t>developed and passed along to the CEC to inform its load forecasting efforts</w:t>
      </w:r>
      <w:r>
        <w:rPr>
          <w:rFonts w:cs="Arial"/>
          <w:snapToGrid w:val="0"/>
        </w:rPr>
        <w:t>. The</w:t>
      </w:r>
      <w:r w:rsidR="009B7850">
        <w:rPr>
          <w:rFonts w:cs="Arial"/>
          <w:snapToGrid w:val="0"/>
        </w:rPr>
        <w:t>se</w:t>
      </w:r>
      <w:r>
        <w:rPr>
          <w:rFonts w:cs="Arial"/>
          <w:snapToGrid w:val="0"/>
        </w:rPr>
        <w:t xml:space="preserve"> scenarios were developed </w:t>
      </w:r>
      <w:r w:rsidRPr="00B11C2A">
        <w:rPr>
          <w:rFonts w:cs="Arial"/>
          <w:snapToGrid w:val="0"/>
        </w:rPr>
        <w:t>after</w:t>
      </w:r>
      <w:r>
        <w:rPr>
          <w:rFonts w:cs="Arial"/>
          <w:snapToGrid w:val="0"/>
        </w:rPr>
        <w:t xml:space="preserve"> the CPUC had established goals and were primarily driven by the needs of the CEC. The 2018 PG study considers multiple scenarios to</w:t>
      </w:r>
      <w:r w:rsidR="00744C7E">
        <w:rPr>
          <w:rFonts w:cs="Arial"/>
          <w:snapToGrid w:val="0"/>
        </w:rPr>
        <w:t xml:space="preserve"> explore how </w:t>
      </w:r>
      <w:r w:rsidR="009B7850">
        <w:rPr>
          <w:rFonts w:cs="Arial"/>
          <w:snapToGrid w:val="0"/>
        </w:rPr>
        <w:t xml:space="preserve">EE potential might </w:t>
      </w:r>
      <w:r w:rsidR="00744C7E">
        <w:rPr>
          <w:rFonts w:cs="Arial"/>
          <w:snapToGrid w:val="0"/>
        </w:rPr>
        <w:t xml:space="preserve">change based on </w:t>
      </w:r>
      <w:r w:rsidR="009B7850">
        <w:rPr>
          <w:rFonts w:cs="Arial"/>
          <w:snapToGrid w:val="0"/>
        </w:rPr>
        <w:t xml:space="preserve">a number of </w:t>
      </w:r>
      <w:r w:rsidR="00744C7E">
        <w:rPr>
          <w:rFonts w:cs="Arial"/>
          <w:snapToGrid w:val="0"/>
        </w:rPr>
        <w:t>alternative assumptions</w:t>
      </w:r>
      <w:r w:rsidR="009B7850">
        <w:rPr>
          <w:rFonts w:cs="Arial"/>
          <w:snapToGrid w:val="0"/>
        </w:rPr>
        <w:t xml:space="preserve"> about policies, measures and market response</w:t>
      </w:r>
      <w:r>
        <w:rPr>
          <w:rFonts w:cs="Arial"/>
          <w:snapToGrid w:val="0"/>
        </w:rPr>
        <w:t xml:space="preserve">. </w:t>
      </w:r>
    </w:p>
    <w:p w14:paraId="43CE7547" w14:textId="77777777" w:rsidR="00E05BCD" w:rsidRDefault="00E05BCD" w:rsidP="00E05BCD">
      <w:pPr>
        <w:rPr>
          <w:rFonts w:cs="Arial"/>
          <w:snapToGrid w:val="0"/>
        </w:rPr>
      </w:pPr>
    </w:p>
    <w:p w14:paraId="627602D4" w14:textId="77777777" w:rsidR="00A93CE5" w:rsidRDefault="00E05BCD" w:rsidP="00E05BCD">
      <w:pPr>
        <w:rPr>
          <w:rFonts w:cs="Arial"/>
          <w:snapToGrid w:val="0"/>
          <w:szCs w:val="20"/>
        </w:rPr>
      </w:pPr>
      <w:r>
        <w:rPr>
          <w:rFonts w:cs="Arial"/>
          <w:snapToGrid w:val="0"/>
        </w:rPr>
        <w:t>SB350 direct</w:t>
      </w:r>
      <w:r w:rsidR="009B7850">
        <w:rPr>
          <w:rFonts w:cs="Arial"/>
          <w:snapToGrid w:val="0"/>
        </w:rPr>
        <w:t>s</w:t>
      </w:r>
      <w:r>
        <w:rPr>
          <w:rFonts w:cs="Arial"/>
          <w:snapToGrid w:val="0"/>
        </w:rPr>
        <w:t xml:space="preserve"> the CPUC to adopt goals based on </w:t>
      </w:r>
      <w:r w:rsidR="009B7850">
        <w:rPr>
          <w:rFonts w:cs="Arial"/>
          <w:snapToGrid w:val="0"/>
        </w:rPr>
        <w:t xml:space="preserve">EE </w:t>
      </w:r>
      <w:r>
        <w:rPr>
          <w:rFonts w:cs="Arial"/>
          <w:snapToGrid w:val="0"/>
        </w:rPr>
        <w:t xml:space="preserve">potential </w:t>
      </w:r>
      <w:r w:rsidRPr="00116031">
        <w:rPr>
          <w:rFonts w:cs="Arial"/>
          <w:snapToGrid w:val="0"/>
        </w:rPr>
        <w:t xml:space="preserve">studies that are </w:t>
      </w:r>
      <w:r>
        <w:rPr>
          <w:rFonts w:cs="Arial"/>
          <w:snapToGrid w:val="0"/>
        </w:rPr>
        <w:t xml:space="preserve">not </w:t>
      </w:r>
      <w:r w:rsidRPr="00116031">
        <w:rPr>
          <w:rFonts w:cs="Arial"/>
          <w:snapToGrid w:val="0"/>
        </w:rPr>
        <w:t>restricted</w:t>
      </w:r>
      <w:r>
        <w:rPr>
          <w:rFonts w:cs="Arial"/>
          <w:snapToGrid w:val="0"/>
        </w:rPr>
        <w:t xml:space="preserve"> by previous</w:t>
      </w:r>
      <w:r w:rsidR="009B7850">
        <w:rPr>
          <w:rFonts w:cs="Arial"/>
          <w:snapToGrid w:val="0"/>
        </w:rPr>
        <w:t>ly accomplished EE program</w:t>
      </w:r>
      <w:r w:rsidRPr="00116031">
        <w:rPr>
          <w:rFonts w:cs="Arial"/>
          <w:snapToGrid w:val="0"/>
        </w:rPr>
        <w:t xml:space="preserve"> savings</w:t>
      </w:r>
      <w:r>
        <w:rPr>
          <w:rFonts w:cs="Arial"/>
          <w:snapToGrid w:val="0"/>
        </w:rPr>
        <w:t xml:space="preserve">. Commission staff proposed to meet this direction by exploring scenarios reflecting alternative future outcomes based on variables that can be controlled by policy decisions or program influence. This study considers scenarios </w:t>
      </w:r>
      <w:r w:rsidRPr="006D0CAB">
        <w:rPr>
          <w:rFonts w:cs="Arial"/>
          <w:snapToGrid w:val="0"/>
          <w:szCs w:val="20"/>
        </w:rPr>
        <w:t xml:space="preserve">primarily built around policies and program decisions that are </w:t>
      </w:r>
      <w:r w:rsidR="009B7850">
        <w:rPr>
          <w:rFonts w:cs="Arial"/>
          <w:snapToGrid w:val="0"/>
          <w:szCs w:val="20"/>
        </w:rPr>
        <w:t xml:space="preserve">within the sphere </w:t>
      </w:r>
      <w:r w:rsidRPr="006D0CAB">
        <w:rPr>
          <w:rFonts w:cs="Arial"/>
          <w:snapToGrid w:val="0"/>
          <w:szCs w:val="20"/>
        </w:rPr>
        <w:t xml:space="preserve">of </w:t>
      </w:r>
      <w:r w:rsidR="009B7850">
        <w:rPr>
          <w:rFonts w:cs="Arial"/>
          <w:snapToGrid w:val="0"/>
          <w:szCs w:val="20"/>
        </w:rPr>
        <w:t xml:space="preserve">influence </w:t>
      </w:r>
      <w:r w:rsidR="002C11F9">
        <w:rPr>
          <w:rFonts w:cs="Arial"/>
          <w:snapToGrid w:val="0"/>
          <w:szCs w:val="20"/>
        </w:rPr>
        <w:t>of</w:t>
      </w:r>
      <w:r w:rsidR="009B7850">
        <w:rPr>
          <w:rFonts w:cs="Arial"/>
          <w:snapToGrid w:val="0"/>
          <w:szCs w:val="20"/>
        </w:rPr>
        <w:t xml:space="preserve"> </w:t>
      </w:r>
      <w:r w:rsidRPr="006D0CAB">
        <w:rPr>
          <w:rFonts w:cs="Arial"/>
          <w:snapToGrid w:val="0"/>
          <w:szCs w:val="20"/>
        </w:rPr>
        <w:t>the CPUC and IOUs collectively</w:t>
      </w:r>
      <w:r>
        <w:rPr>
          <w:rFonts w:cs="Arial"/>
          <w:snapToGrid w:val="0"/>
          <w:szCs w:val="20"/>
        </w:rPr>
        <w:t>.</w:t>
      </w:r>
    </w:p>
    <w:p w14:paraId="64575747" w14:textId="77777777" w:rsidR="00B7288D" w:rsidRDefault="00B7288D" w:rsidP="00E05BCD">
      <w:pPr>
        <w:rPr>
          <w:rFonts w:cs="Arial"/>
          <w:snapToGrid w:val="0"/>
          <w:szCs w:val="20"/>
        </w:rPr>
      </w:pPr>
    </w:p>
    <w:p w14:paraId="05BC3DF3" w14:textId="77777777" w:rsidR="00AC1D27" w:rsidRDefault="00B7288D" w:rsidP="00E05BCD">
      <w:pPr>
        <w:rPr>
          <w:rFonts w:cs="Arial"/>
          <w:snapToGrid w:val="0"/>
          <w:szCs w:val="20"/>
        </w:rPr>
      </w:pPr>
      <w:r>
        <w:rPr>
          <w:rFonts w:cs="Arial"/>
          <w:snapToGrid w:val="0"/>
          <w:szCs w:val="20"/>
        </w:rPr>
        <w:t xml:space="preserve">Commission staff and Navigant, with input from stakeholders, </w:t>
      </w:r>
      <w:r w:rsidR="00AC1D27">
        <w:rPr>
          <w:rFonts w:cs="Arial"/>
          <w:snapToGrid w:val="0"/>
          <w:szCs w:val="20"/>
        </w:rPr>
        <w:t xml:space="preserve">developed scenarios </w:t>
      </w:r>
      <w:r w:rsidR="005D3D5C">
        <w:rPr>
          <w:rFonts w:cs="Arial"/>
          <w:snapToGrid w:val="0"/>
          <w:szCs w:val="20"/>
        </w:rPr>
        <w:t xml:space="preserve">to determine </w:t>
      </w:r>
      <w:r w:rsidR="00771F29">
        <w:rPr>
          <w:rFonts w:cs="Arial"/>
          <w:snapToGrid w:val="0"/>
          <w:szCs w:val="20"/>
        </w:rPr>
        <w:t xml:space="preserve">alternative estimates of </w:t>
      </w:r>
      <w:r w:rsidR="005D3D5C">
        <w:rPr>
          <w:rFonts w:cs="Arial"/>
          <w:snapToGrid w:val="0"/>
          <w:szCs w:val="20"/>
        </w:rPr>
        <w:t xml:space="preserve">market potential </w:t>
      </w:r>
      <w:r w:rsidR="00AC1D27">
        <w:rPr>
          <w:rFonts w:cs="Arial"/>
          <w:snapToGrid w:val="0"/>
          <w:szCs w:val="20"/>
        </w:rPr>
        <w:t>based on the following considerations:</w:t>
      </w:r>
    </w:p>
    <w:p w14:paraId="21A1501F" w14:textId="77777777" w:rsidR="00AC1D27" w:rsidRDefault="00771F29" w:rsidP="00031C0C">
      <w:pPr>
        <w:pStyle w:val="ListParagraph"/>
        <w:numPr>
          <w:ilvl w:val="0"/>
          <w:numId w:val="86"/>
        </w:numPr>
        <w:rPr>
          <w:rFonts w:cs="Arial"/>
          <w:snapToGrid w:val="0"/>
          <w:szCs w:val="20"/>
        </w:rPr>
      </w:pPr>
      <w:r>
        <w:rPr>
          <w:rFonts w:cs="Arial"/>
          <w:snapToGrid w:val="0"/>
          <w:szCs w:val="20"/>
        </w:rPr>
        <w:t>C</w:t>
      </w:r>
      <w:r w:rsidR="00AC1D27">
        <w:rPr>
          <w:rFonts w:cs="Arial"/>
          <w:snapToGrid w:val="0"/>
          <w:szCs w:val="20"/>
        </w:rPr>
        <w:t>ost-effectiveness test: The</w:t>
      </w:r>
      <w:r w:rsidR="00603267">
        <w:rPr>
          <w:rFonts w:cs="Arial"/>
          <w:snapToGrid w:val="0"/>
          <w:szCs w:val="20"/>
        </w:rPr>
        <w:t xml:space="preserve"> Total Resource Cost (TRC) test, which considers costs incurred by both participants and program administrators and the</w:t>
      </w:r>
      <w:r w:rsidR="00AC1D27">
        <w:rPr>
          <w:rFonts w:cs="Arial"/>
          <w:snapToGrid w:val="0"/>
          <w:szCs w:val="20"/>
        </w:rPr>
        <w:t xml:space="preserve"> Program Administrator Cost (PAC) test</w:t>
      </w:r>
      <w:r>
        <w:rPr>
          <w:rFonts w:cs="Arial"/>
          <w:snapToGrid w:val="0"/>
          <w:szCs w:val="20"/>
        </w:rPr>
        <w:t>, which</w:t>
      </w:r>
      <w:r w:rsidR="005D3D5C">
        <w:rPr>
          <w:rFonts w:cs="Arial"/>
          <w:snapToGrid w:val="0"/>
          <w:szCs w:val="20"/>
        </w:rPr>
        <w:t xml:space="preserve"> considers only those </w:t>
      </w:r>
      <w:r w:rsidR="00AC1D27">
        <w:rPr>
          <w:rFonts w:cs="Arial"/>
          <w:snapToGrid w:val="0"/>
          <w:szCs w:val="20"/>
        </w:rPr>
        <w:t>costs incurred by program administrator</w:t>
      </w:r>
      <w:r w:rsidR="005D3D5C">
        <w:rPr>
          <w:rFonts w:cs="Arial"/>
          <w:snapToGrid w:val="0"/>
          <w:szCs w:val="20"/>
        </w:rPr>
        <w:t>s</w:t>
      </w:r>
      <w:r w:rsidR="00AC1D27">
        <w:rPr>
          <w:rFonts w:cs="Arial"/>
          <w:snapToGrid w:val="0"/>
          <w:szCs w:val="20"/>
        </w:rPr>
        <w:t xml:space="preserve"> to deliver the various EE programs and measures</w:t>
      </w:r>
      <w:r w:rsidR="005D3D5C">
        <w:rPr>
          <w:rFonts w:cs="Arial"/>
          <w:snapToGrid w:val="0"/>
          <w:szCs w:val="20"/>
        </w:rPr>
        <w:t xml:space="preserve"> relative to the monetary benefits of those programs and measures derived from traditional avoided costs</w:t>
      </w:r>
      <w:r w:rsidR="00AC1D27">
        <w:rPr>
          <w:rFonts w:cs="Arial"/>
          <w:snapToGrid w:val="0"/>
          <w:szCs w:val="20"/>
        </w:rPr>
        <w:t xml:space="preserve">, </w:t>
      </w:r>
      <w:r w:rsidR="005D3D5C">
        <w:rPr>
          <w:rFonts w:cs="Arial"/>
          <w:snapToGrid w:val="0"/>
          <w:szCs w:val="20"/>
        </w:rPr>
        <w:t xml:space="preserve">is </w:t>
      </w:r>
      <w:r>
        <w:rPr>
          <w:rFonts w:cs="Arial"/>
          <w:snapToGrid w:val="0"/>
          <w:szCs w:val="20"/>
        </w:rPr>
        <w:t xml:space="preserve">the threshold test for </w:t>
      </w:r>
      <w:r w:rsidR="005D3D5C">
        <w:rPr>
          <w:rFonts w:cs="Arial"/>
          <w:snapToGrid w:val="0"/>
          <w:szCs w:val="20"/>
        </w:rPr>
        <w:t>determining</w:t>
      </w:r>
      <w:r w:rsidR="00AC1D27">
        <w:rPr>
          <w:rFonts w:cs="Arial"/>
          <w:snapToGrid w:val="0"/>
          <w:szCs w:val="20"/>
        </w:rPr>
        <w:t xml:space="preserve"> market potential.</w:t>
      </w:r>
    </w:p>
    <w:p w14:paraId="448B7B9F" w14:textId="77777777" w:rsidR="00AC1D27" w:rsidRPr="00AC1D27" w:rsidRDefault="00771F29" w:rsidP="00031C0C">
      <w:pPr>
        <w:pStyle w:val="ListParagraph"/>
        <w:numPr>
          <w:ilvl w:val="0"/>
          <w:numId w:val="86"/>
        </w:numPr>
        <w:rPr>
          <w:rFonts w:cs="Arial"/>
          <w:snapToGrid w:val="0"/>
          <w:szCs w:val="20"/>
        </w:rPr>
      </w:pPr>
      <w:r>
        <w:rPr>
          <w:rFonts w:cs="Arial"/>
          <w:snapToGrid w:val="0"/>
          <w:szCs w:val="20"/>
        </w:rPr>
        <w:t>A</w:t>
      </w:r>
      <w:r w:rsidR="00AC1D27">
        <w:rPr>
          <w:rFonts w:cs="Arial"/>
          <w:snapToGrid w:val="0"/>
          <w:szCs w:val="20"/>
        </w:rPr>
        <w:t xml:space="preserve">voided costs: </w:t>
      </w:r>
      <w:r w:rsidR="005D3D5C">
        <w:rPr>
          <w:rFonts w:cs="Arial"/>
          <w:snapToGrid w:val="0"/>
          <w:szCs w:val="20"/>
        </w:rPr>
        <w:t xml:space="preserve">Two sets of greenhouse gas (GHG) abatement prices proposed under the IDER proceeding that account for the cost of achieving 2030 GHG targets are used as a </w:t>
      </w:r>
      <w:r>
        <w:rPr>
          <w:rFonts w:cs="Arial"/>
          <w:snapToGrid w:val="0"/>
          <w:szCs w:val="20"/>
        </w:rPr>
        <w:t>modifier to the Total Resource Cost (TRC) test.</w:t>
      </w:r>
    </w:p>
    <w:p w14:paraId="36124BBE" w14:textId="77777777" w:rsidR="00744C7E" w:rsidRDefault="00771F29" w:rsidP="00E05BCD">
      <w:pPr>
        <w:pStyle w:val="ListParagraph"/>
        <w:numPr>
          <w:ilvl w:val="0"/>
          <w:numId w:val="21"/>
        </w:numPr>
        <w:rPr>
          <w:rFonts w:cs="Arial"/>
          <w:snapToGrid w:val="0"/>
        </w:rPr>
      </w:pPr>
      <w:r>
        <w:rPr>
          <w:rFonts w:cs="Arial"/>
          <w:snapToGrid w:val="0"/>
        </w:rPr>
        <w:t>Program engagement: Aggressive approaches to EE program engagement that include increases to the incentives paid to customers, enhanced marketing and outreach efforts, and innovative financing approaches are used to modify the rates of customer adoption.</w:t>
      </w:r>
    </w:p>
    <w:p w14:paraId="76F08EB6" w14:textId="77777777" w:rsidR="00E05BCD" w:rsidRDefault="00E05BCD" w:rsidP="00E05BCD">
      <w:pPr>
        <w:rPr>
          <w:rFonts w:cs="Arial"/>
          <w:snapToGrid w:val="0"/>
        </w:rPr>
      </w:pPr>
    </w:p>
    <w:p w14:paraId="059FE264" w14:textId="77777777" w:rsidR="00E05BCD" w:rsidRDefault="000A3F3A" w:rsidP="00E05BCD">
      <w:pPr>
        <w:rPr>
          <w:rFonts w:cs="Arial"/>
          <w:snapToGrid w:val="0"/>
        </w:rPr>
      </w:pPr>
      <w:r>
        <w:rPr>
          <w:rFonts w:cs="Arial"/>
          <w:snapToGrid w:val="0"/>
        </w:rPr>
        <w:t>Commission staff</w:t>
      </w:r>
      <w:r w:rsidR="00E05BCD">
        <w:rPr>
          <w:rFonts w:cs="Arial"/>
          <w:snapToGrid w:val="0"/>
        </w:rPr>
        <w:t>’s intent was t</w:t>
      </w:r>
      <w:r w:rsidR="00E05BCD" w:rsidRPr="003822EF">
        <w:rPr>
          <w:rFonts w:cs="Arial"/>
          <w:snapToGrid w:val="0"/>
        </w:rPr>
        <w:t xml:space="preserve">o keep the number of scenarios manageable but still provide a range of alternatives to bound </w:t>
      </w:r>
      <w:r w:rsidR="00771F29">
        <w:rPr>
          <w:rFonts w:cs="Arial"/>
          <w:snapToGrid w:val="0"/>
        </w:rPr>
        <w:t xml:space="preserve">the estimates of </w:t>
      </w:r>
      <w:r w:rsidR="00E05BCD" w:rsidRPr="003822EF">
        <w:rPr>
          <w:rFonts w:cs="Arial"/>
          <w:snapToGrid w:val="0"/>
        </w:rPr>
        <w:t>market potential</w:t>
      </w:r>
      <w:r w:rsidR="00E05BCD">
        <w:rPr>
          <w:rFonts w:cs="Arial"/>
          <w:snapToGrid w:val="0"/>
        </w:rPr>
        <w:t xml:space="preserve">. Therefore, </w:t>
      </w:r>
      <w:r w:rsidR="00010FE5">
        <w:rPr>
          <w:rFonts w:cs="Arial"/>
          <w:snapToGrid w:val="0"/>
        </w:rPr>
        <w:t xml:space="preserve">one </w:t>
      </w:r>
      <w:r w:rsidR="00FF602A">
        <w:rPr>
          <w:rFonts w:cs="Arial"/>
          <w:snapToGrid w:val="0"/>
        </w:rPr>
        <w:t>“</w:t>
      </w:r>
      <w:r w:rsidR="00F35B2A">
        <w:rPr>
          <w:rFonts w:cs="Arial"/>
          <w:snapToGrid w:val="0"/>
        </w:rPr>
        <w:t>business as usual</w:t>
      </w:r>
      <w:r w:rsidR="00FF602A">
        <w:rPr>
          <w:rFonts w:cs="Arial"/>
          <w:snapToGrid w:val="0"/>
        </w:rPr>
        <w:t>”</w:t>
      </w:r>
      <w:r w:rsidR="00F35B2A">
        <w:rPr>
          <w:rFonts w:cs="Arial"/>
          <w:snapToGrid w:val="0"/>
        </w:rPr>
        <w:t xml:space="preserve"> </w:t>
      </w:r>
      <w:r w:rsidR="00010FE5">
        <w:rPr>
          <w:rFonts w:cs="Arial"/>
          <w:snapToGrid w:val="0"/>
        </w:rPr>
        <w:t xml:space="preserve">scenario and four alternative </w:t>
      </w:r>
      <w:r w:rsidR="00E05BCD">
        <w:rPr>
          <w:rFonts w:cs="Arial"/>
          <w:snapToGrid w:val="0"/>
        </w:rPr>
        <w:t xml:space="preserve">scenarios were </w:t>
      </w:r>
      <w:r w:rsidR="00010FE5">
        <w:rPr>
          <w:rFonts w:cs="Arial"/>
          <w:snapToGrid w:val="0"/>
        </w:rPr>
        <w:t xml:space="preserve">developed </w:t>
      </w:r>
      <w:r w:rsidR="00E05BCD">
        <w:rPr>
          <w:rFonts w:cs="Arial"/>
          <w:snapToGrid w:val="0"/>
        </w:rPr>
        <w:t xml:space="preserve">and are listed </w:t>
      </w:r>
      <w:r w:rsidR="00E05BCD" w:rsidRPr="008F2ADE">
        <w:rPr>
          <w:rFonts w:cs="Arial"/>
          <w:snapToGrid w:val="0"/>
          <w:szCs w:val="20"/>
        </w:rPr>
        <w:t>in</w:t>
      </w:r>
      <w:r w:rsidR="00747692">
        <w:rPr>
          <w:rFonts w:cs="Arial"/>
          <w:snapToGrid w:val="0"/>
          <w:szCs w:val="20"/>
        </w:rPr>
        <w:t xml:space="preserve"> </w:t>
      </w:r>
      <w:r w:rsidR="00052E45">
        <w:rPr>
          <w:rFonts w:cs="Arial"/>
          <w:snapToGrid w:val="0"/>
          <w:szCs w:val="20"/>
        </w:rPr>
        <w:t xml:space="preserve">the table </w:t>
      </w:r>
      <w:r w:rsidR="00747692">
        <w:rPr>
          <w:rFonts w:cs="Arial"/>
          <w:snapToGrid w:val="0"/>
          <w:szCs w:val="20"/>
        </w:rPr>
        <w:t>below</w:t>
      </w:r>
      <w:r w:rsidR="00E05BCD">
        <w:rPr>
          <w:rFonts w:cs="Arial"/>
          <w:snapToGrid w:val="0"/>
          <w:szCs w:val="20"/>
        </w:rPr>
        <w:t>.</w:t>
      </w:r>
    </w:p>
    <w:p w14:paraId="61BCDCFC" w14:textId="77777777" w:rsidR="00E05BCD" w:rsidRDefault="00E05BCD" w:rsidP="00E05BCD">
      <w:pPr>
        <w:rPr>
          <w:rFonts w:cs="Arial"/>
          <w:snapToGrid w:val="0"/>
        </w:rPr>
      </w:pPr>
    </w:p>
    <w:p w14:paraId="25769467" w14:textId="77777777" w:rsidR="005E7B52" w:rsidRDefault="005E7B52" w:rsidP="005E7B52">
      <w:pPr>
        <w:pStyle w:val="Caption"/>
      </w:pPr>
      <w:bookmarkStart w:id="35" w:name="_Toc490226065"/>
      <w:r>
        <w:t xml:space="preserve">Table ES- </w:t>
      </w:r>
      <w:fldSimple w:instr=" SEQ Table_ES- \* ARABIC ">
        <w:r w:rsidR="007566B9">
          <w:rPr>
            <w:noProof/>
          </w:rPr>
          <w:t>1</w:t>
        </w:r>
      </w:fldSimple>
      <w:r>
        <w:t>. Scenarios for Energy Efficiency Market Potential</w:t>
      </w:r>
      <w:bookmarkEnd w:id="35"/>
    </w:p>
    <w:p w14:paraId="5127F9A0" w14:textId="77777777" w:rsidR="00E05BCD" w:rsidRDefault="00F942D9" w:rsidP="00E05BCD">
      <w:pPr>
        <w:rPr>
          <w:rFonts w:cs="Arial"/>
          <w:snapToGrid w:val="0"/>
        </w:rPr>
      </w:pPr>
      <w:r>
        <w:rPr>
          <w:rFonts w:cs="Arial"/>
          <w:snapToGrid w:val="0"/>
        </w:rPr>
        <w:object w:dxaOrig="9360" w:dyaOrig="3095" w14:anchorId="6BD77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154.35pt" o:ole="">
            <v:imagedata r:id="rId17" o:title=""/>
          </v:shape>
          <o:OLEObject Type="Embed" ProgID="Word.Document.12" ShapeID="_x0000_i1025" DrawAspect="Content" ObjectID="_1565001586" r:id="rId18">
            <o:FieldCodes>\s</o:FieldCodes>
          </o:OLEObject>
        </w:object>
      </w:r>
    </w:p>
    <w:p w14:paraId="05A05089" w14:textId="77777777" w:rsidR="00E05BCD" w:rsidRPr="00031C0C" w:rsidRDefault="00E05BCD" w:rsidP="00E05BCD">
      <w:r w:rsidRPr="001A3F0C">
        <w:rPr>
          <w:rFonts w:cs="Arial"/>
          <w:snapToGrid w:val="0"/>
        </w:rPr>
        <w:lastRenderedPageBreak/>
        <w:t xml:space="preserve">The </w:t>
      </w:r>
      <w:r w:rsidR="005D6247">
        <w:rPr>
          <w:rFonts w:cs="Arial"/>
          <w:snapToGrid w:val="0"/>
        </w:rPr>
        <w:t>Scenario 1 (TRC Reference)</w:t>
      </w:r>
      <w:r w:rsidRPr="001A3F0C">
        <w:rPr>
          <w:rFonts w:cs="Arial"/>
          <w:snapToGrid w:val="0"/>
        </w:rPr>
        <w:t xml:space="preserve"> represent</w:t>
      </w:r>
      <w:r w:rsidR="00010FE5">
        <w:rPr>
          <w:rFonts w:cs="Arial"/>
          <w:snapToGrid w:val="0"/>
        </w:rPr>
        <w:t>s</w:t>
      </w:r>
      <w:r w:rsidRPr="001A3F0C">
        <w:rPr>
          <w:rFonts w:cs="Arial"/>
          <w:snapToGrid w:val="0"/>
        </w:rPr>
        <w:t xml:space="preserve"> “business as usual” and </w:t>
      </w:r>
      <w:r w:rsidR="00010FE5">
        <w:rPr>
          <w:rFonts w:cs="Arial"/>
          <w:snapToGrid w:val="0"/>
        </w:rPr>
        <w:t xml:space="preserve">the </w:t>
      </w:r>
      <w:r w:rsidRPr="001A3F0C">
        <w:rPr>
          <w:rFonts w:cs="Arial"/>
          <w:snapToGrid w:val="0"/>
        </w:rPr>
        <w:t xml:space="preserve">continuation of current policies. Three of the alternate scenarios continue to assume </w:t>
      </w:r>
      <w:r w:rsidR="00010FE5">
        <w:rPr>
          <w:rFonts w:cs="Arial"/>
          <w:snapToGrid w:val="0"/>
        </w:rPr>
        <w:t xml:space="preserve">the same </w:t>
      </w:r>
      <w:r w:rsidRPr="001A3F0C">
        <w:rPr>
          <w:rFonts w:cs="Arial"/>
          <w:snapToGrid w:val="0"/>
        </w:rPr>
        <w:t xml:space="preserve">program </w:t>
      </w:r>
      <w:r w:rsidR="00010FE5">
        <w:rPr>
          <w:rFonts w:cs="Arial"/>
          <w:snapToGrid w:val="0"/>
        </w:rPr>
        <w:t xml:space="preserve">engagement strategies as the reference scenario </w:t>
      </w:r>
      <w:r w:rsidRPr="001A3F0C">
        <w:rPr>
          <w:rFonts w:cs="Arial"/>
          <w:snapToGrid w:val="0"/>
        </w:rPr>
        <w:t xml:space="preserve">but apply different cost effectiveness tests and avoided costs. The final  </w:t>
      </w:r>
      <w:r w:rsidR="005D6247">
        <w:rPr>
          <w:rFonts w:cs="Arial"/>
          <w:snapToGrid w:val="0"/>
        </w:rPr>
        <w:t>Scenario 5 (PAC Aggressive)</w:t>
      </w:r>
      <w:r w:rsidRPr="001A3F0C">
        <w:rPr>
          <w:rFonts w:cs="Arial"/>
          <w:snapToGrid w:val="0"/>
        </w:rPr>
        <w:t xml:space="preserve"> is meant to show an upper bound of the combination of program engagement and cost-effectiveness screens</w:t>
      </w:r>
      <w:r w:rsidR="000A5A7E">
        <w:rPr>
          <w:rFonts w:cs="Arial"/>
          <w:snapToGrid w:val="0"/>
        </w:rPr>
        <w:t xml:space="preserve"> and can be used to compare against SB350 targets</w:t>
      </w:r>
      <w:r w:rsidRPr="001A3F0C">
        <w:rPr>
          <w:rFonts w:cs="Arial"/>
          <w:snapToGrid w:val="0"/>
        </w:rPr>
        <w:t>.</w:t>
      </w:r>
    </w:p>
    <w:p w14:paraId="723E5056" w14:textId="77777777" w:rsidR="00E51159" w:rsidRDefault="00E51159" w:rsidP="00E05BCD">
      <w:pPr>
        <w:rPr>
          <w:rFonts w:cs="Arial"/>
          <w:snapToGrid w:val="0"/>
        </w:rPr>
      </w:pPr>
    </w:p>
    <w:p w14:paraId="5B9CF8C3" w14:textId="77777777" w:rsidR="00E51159" w:rsidRDefault="00E51159" w:rsidP="00E05BCD">
      <w:pPr>
        <w:rPr>
          <w:highlight w:val="yellow"/>
        </w:rPr>
      </w:pPr>
      <w:r>
        <w:rPr>
          <w:rFonts w:cs="Arial"/>
          <w:snapToGrid w:val="0"/>
        </w:rPr>
        <w:t xml:space="preserve">More information about the scenarios can be found in </w:t>
      </w:r>
      <w:r w:rsidR="00FD2744">
        <w:rPr>
          <w:rFonts w:cs="Arial"/>
          <w:snapToGrid w:val="0"/>
        </w:rPr>
        <w:t xml:space="preserve">Section </w:t>
      </w:r>
      <w:r w:rsidR="00010FE5">
        <w:rPr>
          <w:rFonts w:cs="Arial"/>
          <w:snapToGrid w:val="0"/>
        </w:rPr>
        <w:t>4</w:t>
      </w:r>
      <w:r w:rsidR="00FD2744">
        <w:rPr>
          <w:rFonts w:cs="Arial"/>
          <w:snapToGrid w:val="0"/>
        </w:rPr>
        <w:t>.1</w:t>
      </w:r>
      <w:r>
        <w:rPr>
          <w:rFonts w:cs="Arial"/>
          <w:snapToGrid w:val="0"/>
        </w:rPr>
        <w:t>.</w:t>
      </w:r>
    </w:p>
    <w:p w14:paraId="3000450E" w14:textId="77777777" w:rsidR="00A93CE5" w:rsidRDefault="00A93CE5" w:rsidP="00031C0C">
      <w:pPr>
        <w:pStyle w:val="Heading8"/>
        <w:spacing w:after="120"/>
      </w:pPr>
      <w:bookmarkStart w:id="36" w:name="_Toc490225755"/>
      <w:r>
        <w:t>Results</w:t>
      </w:r>
      <w:bookmarkEnd w:id="36"/>
    </w:p>
    <w:p w14:paraId="1565F95D" w14:textId="77777777" w:rsidR="000575D0" w:rsidRPr="002E4440" w:rsidRDefault="009D5F32" w:rsidP="00031C0C">
      <w:pPr>
        <w:pStyle w:val="Heading9"/>
        <w:spacing w:before="240"/>
      </w:pPr>
      <w:bookmarkStart w:id="37" w:name="_Toc490225756"/>
      <w:r>
        <w:t>Total Market Potential</w:t>
      </w:r>
      <w:bookmarkEnd w:id="37"/>
    </w:p>
    <w:p w14:paraId="041C1F02" w14:textId="77777777" w:rsidR="00E05BCD" w:rsidRDefault="00502AC0" w:rsidP="00E05BCD">
      <w:r>
        <w:fldChar w:fldCharType="begin"/>
      </w:r>
      <w:r>
        <w:instrText xml:space="preserve"> REF _Ref484778764 \h </w:instrText>
      </w:r>
      <w:r>
        <w:fldChar w:fldCharType="separate"/>
      </w:r>
      <w:r w:rsidR="007566B9">
        <w:t>Figure ES-</w:t>
      </w:r>
      <w:r w:rsidR="007566B9">
        <w:rPr>
          <w:noProof/>
        </w:rPr>
        <w:t>1</w:t>
      </w:r>
      <w:r>
        <w:fldChar w:fldCharType="end"/>
      </w:r>
      <w:r>
        <w:t xml:space="preserve"> and </w:t>
      </w:r>
      <w:r>
        <w:fldChar w:fldCharType="begin"/>
      </w:r>
      <w:r>
        <w:instrText xml:space="preserve"> REF _Ref484778766 \h </w:instrText>
      </w:r>
      <w:r>
        <w:fldChar w:fldCharType="separate"/>
      </w:r>
      <w:r w:rsidR="007566B9">
        <w:t>Figure ES-</w:t>
      </w:r>
      <w:r w:rsidR="007566B9">
        <w:rPr>
          <w:noProof/>
        </w:rPr>
        <w:t>2</w:t>
      </w:r>
      <w:r>
        <w:fldChar w:fldCharType="end"/>
      </w:r>
      <w:r>
        <w:t xml:space="preserve"> </w:t>
      </w:r>
      <w:r w:rsidR="00E05BCD">
        <w:t>show</w:t>
      </w:r>
      <w:r w:rsidR="00E05BCD" w:rsidRPr="005B2ABA">
        <w:t xml:space="preserve"> the total </w:t>
      </w:r>
      <w:r w:rsidR="00E05BCD">
        <w:t>market</w:t>
      </w:r>
      <w:r w:rsidR="00E05BCD" w:rsidRPr="005B2ABA">
        <w:t xml:space="preserve"> potential </w:t>
      </w:r>
      <w:r w:rsidR="00F310C5">
        <w:t xml:space="preserve">over time </w:t>
      </w:r>
      <w:r w:rsidR="00010FE5">
        <w:t xml:space="preserve">for </w:t>
      </w:r>
      <w:r w:rsidR="00F310C5">
        <w:t>electric and gas measures, respectively</w:t>
      </w:r>
      <w:r w:rsidR="00010FE5">
        <w:t xml:space="preserve">.  </w:t>
      </w:r>
      <w:r w:rsidR="00C8553E">
        <w:t>Table ES-2</w:t>
      </w:r>
      <w:r w:rsidR="00747692">
        <w:t xml:space="preserve"> and </w:t>
      </w:r>
      <w:r w:rsidR="00C8553E">
        <w:t>Table ES-3</w:t>
      </w:r>
      <w:r w:rsidR="00747692">
        <w:t xml:space="preserve"> summarize the magnitude of the market potential for two points in time – 2018 and 2030.  </w:t>
      </w:r>
      <w:r w:rsidR="00F310C5">
        <w:t>The figures illustrate the magnitude of m</w:t>
      </w:r>
      <w:r w:rsidR="00010FE5">
        <w:t xml:space="preserve">arket potential for each </w:t>
      </w:r>
      <w:r w:rsidR="00FD2744">
        <w:t xml:space="preserve">type of </w:t>
      </w:r>
      <w:r w:rsidR="00F310C5">
        <w:t xml:space="preserve">EE </w:t>
      </w:r>
      <w:r w:rsidR="00FD2744">
        <w:t xml:space="preserve">program </w:t>
      </w:r>
      <w:r w:rsidR="00F310C5">
        <w:t xml:space="preserve">delivery approach </w:t>
      </w:r>
      <w:r w:rsidR="00FD2744">
        <w:t>for each of the five scenarios.</w:t>
      </w:r>
      <w:r w:rsidR="000575D0">
        <w:rPr>
          <w:rStyle w:val="FootnoteReference"/>
        </w:rPr>
        <w:footnoteReference w:id="7"/>
      </w:r>
      <w:r w:rsidR="00FD2744">
        <w:t xml:space="preserve">  </w:t>
      </w:r>
      <w:r w:rsidR="00E05BCD">
        <w:t>A few important notes about these results:</w:t>
      </w:r>
    </w:p>
    <w:p w14:paraId="45DE485F" w14:textId="77777777" w:rsidR="00E05BCD" w:rsidRDefault="004615A9" w:rsidP="00E05BCD">
      <w:pPr>
        <w:pStyle w:val="ListParagraph"/>
        <w:numPr>
          <w:ilvl w:val="0"/>
          <w:numId w:val="76"/>
        </w:numPr>
      </w:pPr>
      <w:r>
        <w:t xml:space="preserve">Equipment </w:t>
      </w:r>
      <w:r w:rsidR="007A126C">
        <w:t>R</w:t>
      </w:r>
      <w:r w:rsidR="00E05BCD">
        <w:t>ebate program savings</w:t>
      </w:r>
      <w:r w:rsidR="005D6247">
        <w:rPr>
          <w:rStyle w:val="FootnoteReference"/>
        </w:rPr>
        <w:footnoteReference w:id="8"/>
      </w:r>
      <w:r w:rsidR="00E05BCD">
        <w:t xml:space="preserve"> are different for each scenario based on parameters shown earlier in </w:t>
      </w:r>
      <w:r w:rsidR="00747692">
        <w:t>Table ES-1</w:t>
      </w:r>
      <w:r w:rsidR="00E05BCD">
        <w:rPr>
          <w:rFonts w:cs="Arial"/>
          <w:snapToGrid w:val="0"/>
          <w:szCs w:val="20"/>
        </w:rPr>
        <w:t>.</w:t>
      </w:r>
    </w:p>
    <w:p w14:paraId="7B8B4AA3" w14:textId="77777777" w:rsidR="00E05BCD" w:rsidRDefault="00603267" w:rsidP="00E05BCD">
      <w:pPr>
        <w:pStyle w:val="ListParagraph"/>
        <w:numPr>
          <w:ilvl w:val="0"/>
          <w:numId w:val="76"/>
        </w:numPr>
      </w:pPr>
      <w:r>
        <w:t>Behavior, Retrocommissioning and Operational (</w:t>
      </w:r>
      <w:r w:rsidR="00E05BCD">
        <w:t>BROs</w:t>
      </w:r>
      <w:r>
        <w:t>)</w:t>
      </w:r>
      <w:r w:rsidR="00E05BCD">
        <w:t xml:space="preserve"> savings</w:t>
      </w:r>
      <w:r w:rsidR="00F35B2A">
        <w:t>, a subset of rebate programs,</w:t>
      </w:r>
      <w:r w:rsidR="00E05BCD">
        <w:t xml:space="preserve"> vary only in terms of Reference vs. Aggressive. Thus, four of the five scenarios have </w:t>
      </w:r>
      <w:r w:rsidR="00FD2744">
        <w:t xml:space="preserve">identical </w:t>
      </w:r>
      <w:r w:rsidR="00E05BCD">
        <w:t>BROs savings.</w:t>
      </w:r>
      <w:r w:rsidR="00E05BCD" w:rsidRPr="005C58F8">
        <w:t xml:space="preserve"> </w:t>
      </w:r>
      <w:r w:rsidR="00725B44">
        <w:t xml:space="preserve"> </w:t>
      </w:r>
      <w:r w:rsidR="00725B44" w:rsidRPr="00725B44">
        <w:t xml:space="preserve">BROs savings do not vary by cost effectiveness screen in our model. The reference scenario is dominated by savings from residential home energy reports (HERs). Additional high impact interventions after HERS include web-based real time feedback, strategic energy management, retrocommissioning, and </w:t>
      </w:r>
      <w:r w:rsidR="004528EC">
        <w:t>Building Energy Information Management Systems (</w:t>
      </w:r>
      <w:r w:rsidR="00725B44" w:rsidRPr="00725B44">
        <w:t>BEIMs</w:t>
      </w:r>
      <w:r w:rsidR="004528EC">
        <w:t>)</w:t>
      </w:r>
      <w:r w:rsidR="00725B44" w:rsidRPr="00725B44">
        <w:t>. HERS dominates savings as it is one of the largest, most well-studied existing interventions with reliable data upon which to base a forecast. Savings from all interventions increase over time as we expect enrollment in programs to gradually increase.</w:t>
      </w:r>
      <w:r>
        <w:t xml:space="preserve"> The Aggressive BROs variation includes interventions less studied or not yet implemented in California but with conceivable savings potential.</w:t>
      </w:r>
    </w:p>
    <w:p w14:paraId="29BB3F29" w14:textId="77777777" w:rsidR="00E05BCD" w:rsidRDefault="00603267" w:rsidP="00E05BCD">
      <w:pPr>
        <w:pStyle w:val="ListParagraph"/>
        <w:numPr>
          <w:ilvl w:val="0"/>
          <w:numId w:val="76"/>
        </w:numPr>
      </w:pPr>
      <w:r>
        <w:t>Codes and standards (</w:t>
      </w:r>
      <w:r w:rsidR="00FD2744">
        <w:t>C&amp;S</w:t>
      </w:r>
      <w:r>
        <w:t>)</w:t>
      </w:r>
      <w:r w:rsidR="00FD2744">
        <w:t xml:space="preserve"> </w:t>
      </w:r>
      <w:r w:rsidR="00E05BCD">
        <w:t xml:space="preserve">and Low Income </w:t>
      </w:r>
      <w:r w:rsidR="00FD2744">
        <w:t>s</w:t>
      </w:r>
      <w:r w:rsidR="00E05BCD">
        <w:t xml:space="preserve">avings do not vary by scenario. </w:t>
      </w:r>
    </w:p>
    <w:p w14:paraId="0F72C9C3" w14:textId="77777777" w:rsidR="00E05BCD" w:rsidRDefault="00E05BCD" w:rsidP="00E05BCD"/>
    <w:p w14:paraId="41B2E45A" w14:textId="77777777" w:rsidR="00E05BCD" w:rsidRDefault="00E05BCD" w:rsidP="00E05BCD">
      <w:r>
        <w:t xml:space="preserve">Total savings are dominated by C&amp;S. Because C&amp;S savings do not vary by scenario, the overall variability in total savings may appear minimal. True variability in savings originates from </w:t>
      </w:r>
      <w:r w:rsidR="00747692">
        <w:t xml:space="preserve">Equipment </w:t>
      </w:r>
      <w:r>
        <w:t>Rebate and BROs</w:t>
      </w:r>
      <w:r w:rsidR="00747692">
        <w:t xml:space="preserve"> programs</w:t>
      </w:r>
      <w:r>
        <w:t xml:space="preserve">. </w:t>
      </w:r>
      <w:r w:rsidR="0066285E">
        <w:t xml:space="preserve"> Results in tabular form for each year are available in </w:t>
      </w:r>
      <w:r w:rsidR="00FD2744">
        <w:t>S</w:t>
      </w:r>
      <w:r w:rsidR="0066285E">
        <w:t>ection</w:t>
      </w:r>
      <w:r w:rsidR="00F714D3">
        <w:t xml:space="preserve"> </w:t>
      </w:r>
      <w:r w:rsidR="00F714D3">
        <w:fldChar w:fldCharType="begin"/>
      </w:r>
      <w:r w:rsidR="00F714D3">
        <w:instrText xml:space="preserve"> REF _Ref490226073 \n \h </w:instrText>
      </w:r>
      <w:r w:rsidR="00F714D3">
        <w:fldChar w:fldCharType="separate"/>
      </w:r>
      <w:r w:rsidR="00F714D3">
        <w:t>4</w:t>
      </w:r>
      <w:r w:rsidR="00F714D3">
        <w:fldChar w:fldCharType="end"/>
      </w:r>
      <w:r w:rsidR="00F714D3">
        <w:t>.</w:t>
      </w:r>
      <w:r w:rsidR="0066285E">
        <w:t xml:space="preserve"> </w:t>
      </w:r>
    </w:p>
    <w:p w14:paraId="06EF387A" w14:textId="77777777" w:rsidR="00E05BCD" w:rsidRDefault="00E05BCD" w:rsidP="00E05BCD"/>
    <w:p w14:paraId="22564364" w14:textId="77777777" w:rsidR="00F95EB1" w:rsidRDefault="00551B35" w:rsidP="00F95EB1">
      <w:pPr>
        <w:pStyle w:val="CommentText"/>
      </w:pPr>
      <w:r>
        <w:t xml:space="preserve">Some notable </w:t>
      </w:r>
      <w:r w:rsidR="00D00ECD">
        <w:t>takeaways from thi</w:t>
      </w:r>
      <w:r w:rsidR="00AB12F1">
        <w:t>s</w:t>
      </w:r>
      <w:r w:rsidR="00D00ECD">
        <w:t xml:space="preserve"> study include:</w:t>
      </w:r>
    </w:p>
    <w:p w14:paraId="6264071A" w14:textId="77777777" w:rsidR="00551B35" w:rsidRDefault="00551B35" w:rsidP="00F95EB1">
      <w:pPr>
        <w:pStyle w:val="CommentText"/>
      </w:pPr>
    </w:p>
    <w:p w14:paraId="32715DFE" w14:textId="77777777" w:rsidR="00BA2F45" w:rsidRDefault="00551B35" w:rsidP="00031C0C">
      <w:pPr>
        <w:pStyle w:val="CommentText"/>
        <w:numPr>
          <w:ilvl w:val="0"/>
          <w:numId w:val="88"/>
        </w:numPr>
        <w:spacing w:after="120"/>
      </w:pPr>
      <w:r>
        <w:t xml:space="preserve">For </w:t>
      </w:r>
      <w:r w:rsidR="00747692">
        <w:t>Equipment</w:t>
      </w:r>
      <w:r>
        <w:t xml:space="preserve"> Rebate</w:t>
      </w:r>
      <w:r w:rsidR="003725D2">
        <w:t xml:space="preserve"> programs</w:t>
      </w:r>
      <w:r>
        <w:t xml:space="preserve">, the savings appear to increase for each alternative scenario relative to the </w:t>
      </w:r>
      <w:r w:rsidR="00603267">
        <w:t>business as usual</w:t>
      </w:r>
      <w:r>
        <w:t xml:space="preserve">. This reflects the fact that more measures pass the economic screen as </w:t>
      </w:r>
      <w:r w:rsidR="004E4C93">
        <w:t xml:space="preserve">quantification of </w:t>
      </w:r>
      <w:r w:rsidR="003725D2">
        <w:t xml:space="preserve">additional </w:t>
      </w:r>
      <w:r w:rsidR="007A126C">
        <w:t>benefits</w:t>
      </w:r>
      <w:r w:rsidR="00731EE3">
        <w:t xml:space="preserve"> (e.g. an interim GHG adder) </w:t>
      </w:r>
      <w:r w:rsidR="003725D2">
        <w:t>are applied</w:t>
      </w:r>
      <w:r w:rsidR="00731EE3">
        <w:t xml:space="preserve">, </w:t>
      </w:r>
      <w:r w:rsidR="003725D2">
        <w:t xml:space="preserve">cost-effectiveness tests are changed, and aggressive programmatic interventions are introduced.  </w:t>
      </w:r>
    </w:p>
    <w:p w14:paraId="422FA22E" w14:textId="77777777" w:rsidR="003725D2" w:rsidRDefault="00551B35" w:rsidP="00031C0C">
      <w:pPr>
        <w:pStyle w:val="CommentText"/>
        <w:numPr>
          <w:ilvl w:val="0"/>
          <w:numId w:val="88"/>
        </w:numPr>
        <w:spacing w:after="120"/>
      </w:pPr>
      <w:r>
        <w:lastRenderedPageBreak/>
        <w:t xml:space="preserve">For </w:t>
      </w:r>
      <w:r w:rsidR="003725D2">
        <w:t xml:space="preserve">BROs </w:t>
      </w:r>
      <w:r>
        <w:t xml:space="preserve">programs, </w:t>
      </w:r>
      <w:r w:rsidR="003725D2">
        <w:t xml:space="preserve">the growth in savings for each </w:t>
      </w:r>
      <w:r w:rsidR="00725B44">
        <w:t xml:space="preserve">of the </w:t>
      </w:r>
      <w:r w:rsidR="003725D2">
        <w:t>scenario</w:t>
      </w:r>
      <w:r w:rsidR="00725B44">
        <w:t>s</w:t>
      </w:r>
      <w:r w:rsidR="003725D2">
        <w:t xml:space="preserve"> increase</w:t>
      </w:r>
      <w:r w:rsidR="00725B44">
        <w:t>s</w:t>
      </w:r>
      <w:r w:rsidR="003725D2">
        <w:t xml:space="preserve"> over time reflecting greater market adoption as incentives increase and consumers become more aware of such programs leading to higher levels of customer uptake.</w:t>
      </w:r>
      <w:r w:rsidR="00984E29">
        <w:t xml:space="preserve"> </w:t>
      </w:r>
      <w:r w:rsidR="004E4C93">
        <w:t>In 2030, savings</w:t>
      </w:r>
      <w:r w:rsidR="00336829">
        <w:t xml:space="preserve"> in the BROs aggressive scenario is just short of a doubling of the </w:t>
      </w:r>
      <w:r w:rsidR="004E4C93">
        <w:t xml:space="preserve">BROs </w:t>
      </w:r>
      <w:r w:rsidR="00336829">
        <w:t>reference scenario.</w:t>
      </w:r>
    </w:p>
    <w:p w14:paraId="386D8E6F" w14:textId="4AF3C018" w:rsidR="00BA2F45" w:rsidRDefault="00BA2F45" w:rsidP="006B20AE">
      <w:pPr>
        <w:pStyle w:val="CommentText"/>
        <w:numPr>
          <w:ilvl w:val="0"/>
          <w:numId w:val="88"/>
        </w:numPr>
        <w:spacing w:after="120"/>
      </w:pPr>
      <w:r>
        <w:t>For Incentive programs (</w:t>
      </w:r>
      <w:r w:rsidR="007A126C">
        <w:t xml:space="preserve">Equipment </w:t>
      </w:r>
      <w:r>
        <w:t>Rebate</w:t>
      </w:r>
      <w:r w:rsidR="007A126C">
        <w:t>s</w:t>
      </w:r>
      <w:r>
        <w:t xml:space="preserve">, BROs and Low Income), </w:t>
      </w:r>
      <w:r w:rsidR="001D0F32">
        <w:t>all three variations of the TRC test as represented in scenarios 1, 2 and 3</w:t>
      </w:r>
      <w:r w:rsidR="00D11EFB">
        <w:t xml:space="preserve"> provide more savings per $ spent for both gas and electric savings</w:t>
      </w:r>
      <w:r w:rsidR="001D0F32">
        <w:t xml:space="preserve"> than the PAC test in scenarios 4 and 5</w:t>
      </w:r>
      <w:r w:rsidR="00D11EFB">
        <w:t xml:space="preserve">. </w:t>
      </w:r>
      <w:r w:rsidR="006B20AE">
        <w:t>This is because as the cost effectiveness threshold becomes less strict, more expensive measures are included in the portfolio. Thus, we generally observe diminishing returns on program investment when comparing PAC based scenarios to TRC based scenarios. Specifically:</w:t>
      </w:r>
    </w:p>
    <w:p w14:paraId="5DFE1C5A" w14:textId="77777777" w:rsidR="00731EE3" w:rsidRDefault="00731EE3" w:rsidP="007E10DC">
      <w:pPr>
        <w:pStyle w:val="CommentText"/>
        <w:numPr>
          <w:ilvl w:val="1"/>
          <w:numId w:val="88"/>
        </w:numPr>
        <w:spacing w:after="120"/>
      </w:pPr>
      <w:r>
        <w:t xml:space="preserve">For </w:t>
      </w:r>
      <w:r w:rsidR="007A126C">
        <w:t>Scenario 4 (PAC Reference)</w:t>
      </w:r>
      <w:r>
        <w:rPr>
          <w:rFonts w:cs="Arial"/>
        </w:rPr>
        <w:t xml:space="preserve">, </w:t>
      </w:r>
      <w:r w:rsidR="003046CE">
        <w:rPr>
          <w:rFonts w:cs="Arial"/>
        </w:rPr>
        <w:t>while</w:t>
      </w:r>
      <w:r>
        <w:rPr>
          <w:rFonts w:cs="Arial"/>
        </w:rPr>
        <w:t xml:space="preserve"> the</w:t>
      </w:r>
      <w:r w:rsidR="00072E26">
        <w:rPr>
          <w:rFonts w:cs="Arial"/>
        </w:rPr>
        <w:t xml:space="preserve"> 2030</w:t>
      </w:r>
      <w:r>
        <w:rPr>
          <w:rFonts w:cs="Arial"/>
        </w:rPr>
        <w:t xml:space="preserve"> expenditures increase by </w:t>
      </w:r>
      <w:r w:rsidR="003E4DCF">
        <w:rPr>
          <w:rFonts w:cs="Arial"/>
        </w:rPr>
        <w:t>36</w:t>
      </w:r>
      <w:r w:rsidR="00072E26">
        <w:rPr>
          <w:rFonts w:cs="Arial"/>
        </w:rPr>
        <w:t xml:space="preserve">% compared with </w:t>
      </w:r>
      <w:r w:rsidR="00013BDA">
        <w:rPr>
          <w:rFonts w:cs="Arial"/>
        </w:rPr>
        <w:t>Scenario 1 (TRC Reference)</w:t>
      </w:r>
      <w:r w:rsidR="00072E26">
        <w:rPr>
          <w:rFonts w:cs="Arial"/>
        </w:rPr>
        <w:t xml:space="preserve">, the 2030 </w:t>
      </w:r>
      <w:r w:rsidR="00EB0625">
        <w:rPr>
          <w:rFonts w:cs="Arial"/>
        </w:rPr>
        <w:t>incremental</w:t>
      </w:r>
      <w:r w:rsidR="00072E26">
        <w:rPr>
          <w:rFonts w:cs="Arial"/>
        </w:rPr>
        <w:t xml:space="preserve"> incentive program savings only increase by 9% and </w:t>
      </w:r>
      <w:r w:rsidR="00013BDA">
        <w:rPr>
          <w:rFonts w:cs="Arial"/>
        </w:rPr>
        <w:t xml:space="preserve">14% for electric and gas </w:t>
      </w:r>
      <w:r w:rsidR="00072E26">
        <w:rPr>
          <w:rFonts w:cs="Arial"/>
        </w:rPr>
        <w:t>respectively.</w:t>
      </w:r>
    </w:p>
    <w:p w14:paraId="78929557" w14:textId="24921AA2" w:rsidR="00C6629F" w:rsidRDefault="006B20AE" w:rsidP="007E10DC">
      <w:pPr>
        <w:pStyle w:val="CommentText"/>
        <w:numPr>
          <w:ilvl w:val="1"/>
          <w:numId w:val="88"/>
        </w:numPr>
        <w:spacing w:after="120"/>
      </w:pPr>
      <w:r>
        <w:rPr>
          <w:rFonts w:cs="Arial"/>
        </w:rPr>
        <w:t>F</w:t>
      </w:r>
      <w:r w:rsidR="00C6629F">
        <w:rPr>
          <w:rFonts w:cs="Arial"/>
        </w:rPr>
        <w:t>or Scenario</w:t>
      </w:r>
      <w:r w:rsidR="00365F9D">
        <w:rPr>
          <w:rFonts w:cs="Arial"/>
        </w:rPr>
        <w:t xml:space="preserve"> 2 (</w:t>
      </w:r>
      <w:r w:rsidR="00365F9D">
        <w:t>mTRC w/ GHG adder 1) and Scenario 3 (mTRC w/ GHG adder 2),</w:t>
      </w:r>
      <w:r w:rsidR="00DD3412">
        <w:t xml:space="preserve"> 2030 expenditures increase by 7% and 25</w:t>
      </w:r>
      <w:r w:rsidR="00365F9D">
        <w:t xml:space="preserve">% respectively relative to Scenario 1 (TRC Reference), while </w:t>
      </w:r>
      <w:r w:rsidR="00EB0625">
        <w:t xml:space="preserve">incremental </w:t>
      </w:r>
      <w:r w:rsidR="00365F9D">
        <w:t>incentive program savings increase by 1%</w:t>
      </w:r>
      <w:r w:rsidR="009D5DC8">
        <w:t xml:space="preserve"> and </w:t>
      </w:r>
      <w:r w:rsidR="00365F9D">
        <w:t>3% for electric</w:t>
      </w:r>
      <w:r w:rsidR="009D5DC8">
        <w:t>,</w:t>
      </w:r>
      <w:r w:rsidR="00365F9D">
        <w:t xml:space="preserve"> and 4%</w:t>
      </w:r>
      <w:r w:rsidR="009D5DC8">
        <w:t xml:space="preserve"> and </w:t>
      </w:r>
      <w:r w:rsidR="00365F9D">
        <w:t>16%</w:t>
      </w:r>
      <w:r w:rsidR="009D5DC8">
        <w:t xml:space="preserve"> for gas.</w:t>
      </w:r>
    </w:p>
    <w:p w14:paraId="2A7812FB" w14:textId="50BB78B8" w:rsidR="00D11EFB" w:rsidRDefault="00D11EFB" w:rsidP="00BA2F45">
      <w:pPr>
        <w:pStyle w:val="CommentText"/>
        <w:numPr>
          <w:ilvl w:val="0"/>
          <w:numId w:val="88"/>
        </w:numPr>
        <w:spacing w:after="120"/>
      </w:pPr>
      <w:r>
        <w:t>In comparison to the 2015 study (see section 5</w:t>
      </w:r>
      <w:r w:rsidR="00D00ECD">
        <w:t xml:space="preserve"> for details</w:t>
      </w:r>
      <w:r>
        <w:t xml:space="preserve">), </w:t>
      </w:r>
      <w:r w:rsidR="00D00ECD">
        <w:t xml:space="preserve">even though </w:t>
      </w:r>
      <w:r w:rsidR="00EB0625">
        <w:t>Equipment R</w:t>
      </w:r>
      <w:r w:rsidR="00D00ECD">
        <w:t xml:space="preserve">ebate programs alone represent a drop from 2015, </w:t>
      </w:r>
      <w:r w:rsidR="00EB0625">
        <w:t xml:space="preserve">after </w:t>
      </w:r>
      <w:r w:rsidR="00D00ECD">
        <w:t>adding BROs and L</w:t>
      </w:r>
      <w:r w:rsidR="00072E26">
        <w:t>ow Income program savings</w:t>
      </w:r>
      <w:r w:rsidR="00EB0625">
        <w:t xml:space="preserve"> in</w:t>
      </w:r>
      <w:r w:rsidR="00D00ECD">
        <w:t>, the results are at par or higher than the 2015 study results</w:t>
      </w:r>
      <w:r w:rsidR="006B20AE">
        <w:t xml:space="preserve"> (depending on the scenario used)</w:t>
      </w:r>
      <w:r w:rsidR="00D00ECD">
        <w:t>.</w:t>
      </w:r>
      <w:r w:rsidR="00AB12F1">
        <w:t xml:space="preserve"> C&amp;S </w:t>
      </w:r>
      <w:r w:rsidR="003046CE">
        <w:t xml:space="preserve">savings are higher than in the 2015 study due to more standards being considered. </w:t>
      </w:r>
    </w:p>
    <w:p w14:paraId="5B7D0212" w14:textId="77777777" w:rsidR="00072E26" w:rsidRDefault="000879D8" w:rsidP="00BA2F45">
      <w:pPr>
        <w:pStyle w:val="CommentText"/>
        <w:numPr>
          <w:ilvl w:val="0"/>
          <w:numId w:val="88"/>
        </w:numPr>
        <w:spacing w:after="120"/>
      </w:pPr>
      <w:r>
        <w:t>By 2030,</w:t>
      </w:r>
      <w:r w:rsidR="006D117A">
        <w:t xml:space="preserve"> under </w:t>
      </w:r>
      <w:r w:rsidR="00EB0625">
        <w:t>Scenario 1 (TRC Reference)</w:t>
      </w:r>
      <w:r w:rsidR="006D117A">
        <w:rPr>
          <w:rFonts w:cs="Arial"/>
        </w:rPr>
        <w:t>,</w:t>
      </w:r>
      <w:r>
        <w:t xml:space="preserve"> </w:t>
      </w:r>
      <w:r w:rsidR="003046CE">
        <w:t xml:space="preserve">AB802 </w:t>
      </w:r>
      <w:r w:rsidR="00072E26">
        <w:t>Stranded Potential and BROs</w:t>
      </w:r>
      <w:r w:rsidR="003046CE">
        <w:t xml:space="preserve"> </w:t>
      </w:r>
      <w:r w:rsidR="006D117A">
        <w:t>interventions</w:t>
      </w:r>
      <w:r w:rsidR="003046CE">
        <w:t xml:space="preserve"> </w:t>
      </w:r>
      <w:r>
        <w:t xml:space="preserve">are expected to contribute about </w:t>
      </w:r>
      <w:r w:rsidR="006D117A">
        <w:t>4</w:t>
      </w:r>
      <w:r w:rsidR="00DD3412">
        <w:t>2</w:t>
      </w:r>
      <w:r>
        <w:t xml:space="preserve">% </w:t>
      </w:r>
      <w:r w:rsidR="006D117A">
        <w:t>of electric incentive program savings and 4</w:t>
      </w:r>
      <w:r w:rsidR="00DD3412">
        <w:t>3</w:t>
      </w:r>
      <w:r w:rsidR="006D117A">
        <w:t>% of gas incentive program savings</w:t>
      </w:r>
      <w:r>
        <w:t xml:space="preserve">, with </w:t>
      </w:r>
      <w:r w:rsidR="00EB0625">
        <w:t>most</w:t>
      </w:r>
      <w:r>
        <w:t xml:space="preserve"> that coming from BROs measures.</w:t>
      </w:r>
    </w:p>
    <w:p w14:paraId="65C5530A" w14:textId="77777777" w:rsidR="00551B35" w:rsidRDefault="003725D2" w:rsidP="00031C0C">
      <w:pPr>
        <w:pStyle w:val="CommentText"/>
        <w:numPr>
          <w:ilvl w:val="0"/>
          <w:numId w:val="88"/>
        </w:numPr>
      </w:pPr>
      <w:r>
        <w:t>For C&amp;S programs</w:t>
      </w:r>
      <w:r w:rsidR="00551B35">
        <w:t xml:space="preserve">, </w:t>
      </w:r>
      <w:r>
        <w:t xml:space="preserve">savings remain constant during the early years of the potential study time horizon but eventually drop off as greater numbers of consumers </w:t>
      </w:r>
      <w:r w:rsidR="00B57173">
        <w:t xml:space="preserve">naturally adopt </w:t>
      </w:r>
      <w:r>
        <w:t>codes and standard</w:t>
      </w:r>
      <w:r w:rsidR="00B57173">
        <w:t>s and fewer codes and standards are modeled because they are not yet “on the books.”</w:t>
      </w:r>
    </w:p>
    <w:p w14:paraId="5E0F930D" w14:textId="77777777" w:rsidR="00E05BCD" w:rsidRDefault="00E05BCD" w:rsidP="00F95EB1"/>
    <w:p w14:paraId="1689538F" w14:textId="77777777" w:rsidR="00E05BCD" w:rsidRDefault="00502AC0" w:rsidP="00E05BCD">
      <w:pPr>
        <w:pStyle w:val="Caption"/>
      </w:pPr>
      <w:bookmarkStart w:id="38" w:name="_Ref484778764"/>
      <w:bookmarkStart w:id="39" w:name="_Toc490225860"/>
      <w:r>
        <w:lastRenderedPageBreak/>
        <w:t>Figure ES-</w:t>
      </w:r>
      <w:fldSimple w:instr=" SEQ Figure_ES- \* ARABIC ">
        <w:r w:rsidR="007566B9">
          <w:rPr>
            <w:noProof/>
          </w:rPr>
          <w:t>1</w:t>
        </w:r>
      </w:fldSimple>
      <w:bookmarkEnd w:id="38"/>
      <w:r>
        <w:t>.</w:t>
      </w:r>
      <w:r w:rsidRPr="00F123A3">
        <w:t xml:space="preserve"> </w:t>
      </w:r>
      <w:r w:rsidR="003F7321">
        <w:t xml:space="preserve">Net </w:t>
      </w:r>
      <w:r w:rsidR="00E05BCD">
        <w:t>Statewide Incremental Electric Savings by Scenario</w:t>
      </w:r>
      <w:bookmarkEnd w:id="39"/>
      <w:r w:rsidR="00E05BCD">
        <w:t xml:space="preserve"> </w:t>
      </w:r>
    </w:p>
    <w:p w14:paraId="2D5755C3" w14:textId="77777777" w:rsidR="003046CE" w:rsidRPr="003B17B9" w:rsidRDefault="003B17B9" w:rsidP="003B17B9">
      <w:r>
        <w:rPr>
          <w:noProof/>
        </w:rPr>
        <w:drawing>
          <wp:inline distT="0" distB="0" distL="0" distR="0" wp14:anchorId="44593378" wp14:editId="2D184E59">
            <wp:extent cx="5888736" cy="3976183"/>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8736" cy="3976183"/>
                    </a:xfrm>
                    <a:prstGeom prst="rect">
                      <a:avLst/>
                    </a:prstGeom>
                    <a:noFill/>
                  </pic:spPr>
                </pic:pic>
              </a:graphicData>
            </a:graphic>
          </wp:inline>
        </w:drawing>
      </w:r>
    </w:p>
    <w:p w14:paraId="0A81F841" w14:textId="77777777" w:rsidR="003046CE" w:rsidRDefault="003046CE" w:rsidP="00502AC0">
      <w:pPr>
        <w:jc w:val="center"/>
        <w:rPr>
          <w:sz w:val="16"/>
          <w:szCs w:val="16"/>
        </w:rPr>
      </w:pPr>
    </w:p>
    <w:p w14:paraId="5AB00A5E" w14:textId="77777777" w:rsidR="00176086" w:rsidRDefault="00176086" w:rsidP="00502AC0">
      <w:pPr>
        <w:jc w:val="center"/>
        <w:rPr>
          <w:sz w:val="16"/>
          <w:szCs w:val="16"/>
        </w:rPr>
      </w:pPr>
    </w:p>
    <w:p w14:paraId="2E8A9344" w14:textId="77777777" w:rsidR="005E7B52" w:rsidRDefault="005E7B52" w:rsidP="005E7B52">
      <w:pPr>
        <w:pStyle w:val="Caption"/>
      </w:pPr>
      <w:bookmarkStart w:id="40" w:name="_Toc490226066"/>
      <w:r>
        <w:t xml:space="preserve">Table ES- </w:t>
      </w:r>
      <w:fldSimple w:instr=" SEQ Table_ES- \* ARABIC ">
        <w:r w:rsidR="007566B9">
          <w:rPr>
            <w:noProof/>
          </w:rPr>
          <w:t>2</w:t>
        </w:r>
      </w:fldSimple>
      <w:r>
        <w:t xml:space="preserve">. Statewide </w:t>
      </w:r>
      <w:r w:rsidR="003F7321">
        <w:t xml:space="preserve">Net </w:t>
      </w:r>
      <w:r>
        <w:t>Incremental Electric Savings by Scenario</w:t>
      </w:r>
      <w:bookmarkEnd w:id="40"/>
    </w:p>
    <w:tbl>
      <w:tblPr>
        <w:tblW w:w="9273" w:type="dxa"/>
        <w:tblLook w:val="04A0" w:firstRow="1" w:lastRow="0" w:firstColumn="1" w:lastColumn="0" w:noHBand="0" w:noVBand="1"/>
      </w:tblPr>
      <w:tblGrid>
        <w:gridCol w:w="980"/>
        <w:gridCol w:w="852"/>
        <w:gridCol w:w="893"/>
        <w:gridCol w:w="853"/>
        <w:gridCol w:w="813"/>
        <w:gridCol w:w="813"/>
        <w:gridCol w:w="813"/>
        <w:gridCol w:w="813"/>
        <w:gridCol w:w="813"/>
        <w:gridCol w:w="813"/>
        <w:gridCol w:w="817"/>
      </w:tblGrid>
      <w:tr w:rsidR="00176086" w:rsidRPr="00176086" w14:paraId="26F90D6D" w14:textId="77777777" w:rsidTr="0058478E">
        <w:trPr>
          <w:trHeight w:val="352"/>
        </w:trPr>
        <w:tc>
          <w:tcPr>
            <w:tcW w:w="980" w:type="dxa"/>
            <w:tcBorders>
              <w:top w:val="nil"/>
              <w:left w:val="nil"/>
              <w:bottom w:val="nil"/>
              <w:right w:val="nil"/>
            </w:tcBorders>
            <w:shd w:val="clear" w:color="000000" w:fill="555759"/>
            <w:noWrap/>
            <w:vAlign w:val="center"/>
            <w:hideMark/>
          </w:tcPr>
          <w:p w14:paraId="15405D64" w14:textId="77777777" w:rsidR="00176086" w:rsidRPr="00176086" w:rsidRDefault="00176086" w:rsidP="00031C0C">
            <w:pPr>
              <w:pStyle w:val="Caption"/>
              <w:rPr>
                <w:rFonts w:ascii="Arial Narrow" w:hAnsi="Arial Narrow"/>
                <w:color w:val="FFFFFF"/>
                <w:sz w:val="18"/>
                <w:szCs w:val="18"/>
              </w:rPr>
            </w:pPr>
          </w:p>
        </w:tc>
        <w:tc>
          <w:tcPr>
            <w:tcW w:w="8293" w:type="dxa"/>
            <w:gridSpan w:val="10"/>
            <w:tcBorders>
              <w:top w:val="nil"/>
              <w:left w:val="nil"/>
              <w:bottom w:val="nil"/>
              <w:right w:val="nil"/>
            </w:tcBorders>
            <w:shd w:val="clear" w:color="000000" w:fill="555759"/>
            <w:noWrap/>
            <w:vAlign w:val="center"/>
            <w:hideMark/>
          </w:tcPr>
          <w:p w14:paraId="614B75F4" w14:textId="77777777" w:rsidR="00176086" w:rsidRPr="00176086" w:rsidRDefault="00176086" w:rsidP="00176086">
            <w:pPr>
              <w:spacing w:line="240" w:lineRule="auto"/>
              <w:jc w:val="center"/>
              <w:rPr>
                <w:rFonts w:ascii="Arial Narrow" w:hAnsi="Arial Narrow"/>
                <w:b/>
                <w:bCs/>
                <w:color w:val="FFFFFF"/>
                <w:sz w:val="18"/>
                <w:szCs w:val="18"/>
              </w:rPr>
            </w:pPr>
            <w:r w:rsidRPr="00176086">
              <w:rPr>
                <w:rFonts w:ascii="Arial Narrow" w:hAnsi="Arial Narrow"/>
                <w:b/>
                <w:bCs/>
                <w:color w:val="FFFFFF"/>
                <w:sz w:val="18"/>
                <w:szCs w:val="18"/>
              </w:rPr>
              <w:t>Electric Energy (GWh/year)</w:t>
            </w:r>
          </w:p>
        </w:tc>
      </w:tr>
      <w:tr w:rsidR="002544A3" w:rsidRPr="00176086" w14:paraId="52AC6E51" w14:textId="77777777" w:rsidTr="0058478E">
        <w:trPr>
          <w:trHeight w:val="370"/>
        </w:trPr>
        <w:tc>
          <w:tcPr>
            <w:tcW w:w="980" w:type="dxa"/>
            <w:tcBorders>
              <w:top w:val="single" w:sz="4" w:space="0" w:color="auto"/>
              <w:left w:val="single" w:sz="4" w:space="0" w:color="auto"/>
              <w:bottom w:val="single" w:sz="8" w:space="0" w:color="DCDDDE"/>
              <w:right w:val="single" w:sz="4" w:space="0" w:color="auto"/>
            </w:tcBorders>
            <w:shd w:val="clear" w:color="auto" w:fill="auto"/>
            <w:vAlign w:val="center"/>
            <w:hideMark/>
          </w:tcPr>
          <w:p w14:paraId="3B84C4C5" w14:textId="77777777" w:rsidR="00176086" w:rsidRPr="00176086" w:rsidRDefault="00176086" w:rsidP="00176086">
            <w:pPr>
              <w:spacing w:line="240" w:lineRule="auto"/>
              <w:jc w:val="center"/>
              <w:rPr>
                <w:rFonts w:ascii="Arial Narrow" w:hAnsi="Arial Narrow"/>
                <w:b/>
                <w:bCs/>
                <w:color w:val="000000"/>
                <w:sz w:val="18"/>
                <w:szCs w:val="18"/>
              </w:rPr>
            </w:pPr>
            <w:r w:rsidRPr="00176086">
              <w:rPr>
                <w:rFonts w:ascii="Arial Narrow" w:hAnsi="Arial Narrow"/>
                <w:b/>
                <w:bCs/>
                <w:color w:val="000000"/>
                <w:sz w:val="18"/>
                <w:szCs w:val="18"/>
              </w:rPr>
              <w:t>Year:</w:t>
            </w:r>
          </w:p>
        </w:tc>
        <w:tc>
          <w:tcPr>
            <w:tcW w:w="852" w:type="dxa"/>
            <w:tcBorders>
              <w:top w:val="single" w:sz="4" w:space="0" w:color="auto"/>
              <w:left w:val="nil"/>
              <w:bottom w:val="single" w:sz="8" w:space="0" w:color="DCDDDE"/>
              <w:right w:val="nil"/>
            </w:tcBorders>
            <w:shd w:val="clear" w:color="auto" w:fill="auto"/>
            <w:noWrap/>
            <w:vAlign w:val="center"/>
            <w:hideMark/>
          </w:tcPr>
          <w:p w14:paraId="6F7D9FEA" w14:textId="77777777" w:rsidR="00176086" w:rsidRPr="00176086" w:rsidRDefault="00176086" w:rsidP="00176086">
            <w:pPr>
              <w:spacing w:line="240" w:lineRule="auto"/>
              <w:jc w:val="center"/>
              <w:rPr>
                <w:rFonts w:ascii="Arial Narrow" w:hAnsi="Arial Narrow"/>
                <w:b/>
                <w:bCs/>
                <w:color w:val="000000"/>
                <w:sz w:val="18"/>
                <w:szCs w:val="18"/>
              </w:rPr>
            </w:pPr>
            <w:r w:rsidRPr="00176086">
              <w:rPr>
                <w:rFonts w:ascii="Arial Narrow" w:hAnsi="Arial Narrow"/>
                <w:b/>
                <w:bCs/>
                <w:color w:val="000000"/>
                <w:sz w:val="18"/>
                <w:szCs w:val="18"/>
              </w:rPr>
              <w:t>2018</w:t>
            </w:r>
          </w:p>
        </w:tc>
        <w:tc>
          <w:tcPr>
            <w:tcW w:w="893" w:type="dxa"/>
            <w:tcBorders>
              <w:top w:val="single" w:sz="4" w:space="0" w:color="auto"/>
              <w:left w:val="nil"/>
              <w:bottom w:val="single" w:sz="8" w:space="0" w:color="DCDDDE"/>
              <w:right w:val="single" w:sz="4" w:space="0" w:color="auto"/>
            </w:tcBorders>
            <w:shd w:val="clear" w:color="auto" w:fill="auto"/>
            <w:noWrap/>
            <w:vAlign w:val="center"/>
            <w:hideMark/>
          </w:tcPr>
          <w:p w14:paraId="416CD8DB" w14:textId="77777777" w:rsidR="00176086" w:rsidRPr="00176086" w:rsidRDefault="00176086" w:rsidP="00176086">
            <w:pPr>
              <w:spacing w:line="240" w:lineRule="auto"/>
              <w:jc w:val="center"/>
              <w:rPr>
                <w:rFonts w:ascii="Arial Narrow" w:hAnsi="Arial Narrow"/>
                <w:b/>
                <w:bCs/>
                <w:color w:val="000000"/>
                <w:sz w:val="18"/>
                <w:szCs w:val="18"/>
              </w:rPr>
            </w:pPr>
            <w:r w:rsidRPr="00176086">
              <w:rPr>
                <w:rFonts w:ascii="Arial Narrow" w:hAnsi="Arial Narrow"/>
                <w:b/>
                <w:bCs/>
                <w:color w:val="000000"/>
                <w:sz w:val="18"/>
                <w:szCs w:val="18"/>
              </w:rPr>
              <w:t>2030</w:t>
            </w:r>
          </w:p>
        </w:tc>
        <w:tc>
          <w:tcPr>
            <w:tcW w:w="853" w:type="dxa"/>
            <w:tcBorders>
              <w:top w:val="single" w:sz="4" w:space="0" w:color="auto"/>
              <w:left w:val="nil"/>
              <w:bottom w:val="single" w:sz="8" w:space="0" w:color="DCDDDE"/>
              <w:right w:val="nil"/>
            </w:tcBorders>
            <w:shd w:val="clear" w:color="auto" w:fill="auto"/>
            <w:noWrap/>
            <w:vAlign w:val="center"/>
            <w:hideMark/>
          </w:tcPr>
          <w:p w14:paraId="07C82559" w14:textId="77777777" w:rsidR="00176086" w:rsidRPr="00176086" w:rsidRDefault="00176086" w:rsidP="00176086">
            <w:pPr>
              <w:spacing w:line="240" w:lineRule="auto"/>
              <w:jc w:val="center"/>
              <w:rPr>
                <w:rFonts w:ascii="Arial Narrow" w:hAnsi="Arial Narrow"/>
                <w:b/>
                <w:bCs/>
                <w:color w:val="000000"/>
                <w:sz w:val="18"/>
                <w:szCs w:val="18"/>
              </w:rPr>
            </w:pPr>
            <w:r w:rsidRPr="00176086">
              <w:rPr>
                <w:rFonts w:ascii="Arial Narrow" w:hAnsi="Arial Narrow"/>
                <w:b/>
                <w:bCs/>
                <w:color w:val="000000"/>
                <w:sz w:val="18"/>
                <w:szCs w:val="18"/>
              </w:rPr>
              <w:t>2018</w:t>
            </w:r>
          </w:p>
        </w:tc>
        <w:tc>
          <w:tcPr>
            <w:tcW w:w="813" w:type="dxa"/>
            <w:tcBorders>
              <w:top w:val="single" w:sz="4" w:space="0" w:color="auto"/>
              <w:left w:val="nil"/>
              <w:bottom w:val="single" w:sz="8" w:space="0" w:color="DCDDDE"/>
              <w:right w:val="single" w:sz="4" w:space="0" w:color="auto"/>
            </w:tcBorders>
            <w:shd w:val="clear" w:color="auto" w:fill="auto"/>
            <w:noWrap/>
            <w:vAlign w:val="center"/>
            <w:hideMark/>
          </w:tcPr>
          <w:p w14:paraId="244D8E5E" w14:textId="77777777" w:rsidR="00176086" w:rsidRPr="00176086" w:rsidRDefault="00176086" w:rsidP="00176086">
            <w:pPr>
              <w:spacing w:line="240" w:lineRule="auto"/>
              <w:jc w:val="center"/>
              <w:rPr>
                <w:rFonts w:ascii="Arial Narrow" w:hAnsi="Arial Narrow"/>
                <w:b/>
                <w:bCs/>
                <w:color w:val="000000"/>
                <w:sz w:val="18"/>
                <w:szCs w:val="18"/>
              </w:rPr>
            </w:pPr>
            <w:r w:rsidRPr="00176086">
              <w:rPr>
                <w:rFonts w:ascii="Arial Narrow" w:hAnsi="Arial Narrow"/>
                <w:b/>
                <w:bCs/>
                <w:color w:val="000000"/>
                <w:sz w:val="18"/>
                <w:szCs w:val="18"/>
              </w:rPr>
              <w:t>2030</w:t>
            </w:r>
          </w:p>
        </w:tc>
        <w:tc>
          <w:tcPr>
            <w:tcW w:w="813" w:type="dxa"/>
            <w:tcBorders>
              <w:top w:val="single" w:sz="4" w:space="0" w:color="auto"/>
              <w:left w:val="nil"/>
              <w:bottom w:val="single" w:sz="8" w:space="0" w:color="DCDDDE"/>
              <w:right w:val="nil"/>
            </w:tcBorders>
            <w:shd w:val="clear" w:color="auto" w:fill="auto"/>
            <w:noWrap/>
            <w:vAlign w:val="center"/>
            <w:hideMark/>
          </w:tcPr>
          <w:p w14:paraId="4E5B671E" w14:textId="77777777" w:rsidR="00176086" w:rsidRPr="00176086" w:rsidRDefault="00176086" w:rsidP="00176086">
            <w:pPr>
              <w:spacing w:line="240" w:lineRule="auto"/>
              <w:jc w:val="center"/>
              <w:rPr>
                <w:rFonts w:ascii="Arial Narrow" w:hAnsi="Arial Narrow"/>
                <w:b/>
                <w:bCs/>
                <w:color w:val="000000"/>
                <w:sz w:val="18"/>
                <w:szCs w:val="18"/>
              </w:rPr>
            </w:pPr>
            <w:r w:rsidRPr="00176086">
              <w:rPr>
                <w:rFonts w:ascii="Arial Narrow" w:hAnsi="Arial Narrow"/>
                <w:b/>
                <w:bCs/>
                <w:color w:val="000000"/>
                <w:sz w:val="18"/>
                <w:szCs w:val="18"/>
              </w:rPr>
              <w:t>2018</w:t>
            </w:r>
          </w:p>
        </w:tc>
        <w:tc>
          <w:tcPr>
            <w:tcW w:w="813" w:type="dxa"/>
            <w:tcBorders>
              <w:top w:val="single" w:sz="4" w:space="0" w:color="auto"/>
              <w:left w:val="nil"/>
              <w:bottom w:val="single" w:sz="8" w:space="0" w:color="DCDDDE"/>
              <w:right w:val="single" w:sz="4" w:space="0" w:color="auto"/>
            </w:tcBorders>
            <w:shd w:val="clear" w:color="auto" w:fill="auto"/>
            <w:noWrap/>
            <w:vAlign w:val="center"/>
            <w:hideMark/>
          </w:tcPr>
          <w:p w14:paraId="238FC1DE" w14:textId="77777777" w:rsidR="00176086" w:rsidRPr="00176086" w:rsidRDefault="00176086" w:rsidP="00176086">
            <w:pPr>
              <w:spacing w:line="240" w:lineRule="auto"/>
              <w:jc w:val="center"/>
              <w:rPr>
                <w:rFonts w:ascii="Arial Narrow" w:hAnsi="Arial Narrow"/>
                <w:b/>
                <w:bCs/>
                <w:color w:val="000000"/>
                <w:sz w:val="18"/>
                <w:szCs w:val="18"/>
              </w:rPr>
            </w:pPr>
            <w:r w:rsidRPr="00176086">
              <w:rPr>
                <w:rFonts w:ascii="Arial Narrow" w:hAnsi="Arial Narrow"/>
                <w:b/>
                <w:bCs/>
                <w:color w:val="000000"/>
                <w:sz w:val="18"/>
                <w:szCs w:val="18"/>
              </w:rPr>
              <w:t>2030</w:t>
            </w:r>
          </w:p>
        </w:tc>
        <w:tc>
          <w:tcPr>
            <w:tcW w:w="813" w:type="dxa"/>
            <w:tcBorders>
              <w:top w:val="single" w:sz="4" w:space="0" w:color="auto"/>
              <w:left w:val="nil"/>
              <w:bottom w:val="single" w:sz="8" w:space="0" w:color="DCDDDE"/>
              <w:right w:val="nil"/>
            </w:tcBorders>
            <w:shd w:val="clear" w:color="auto" w:fill="auto"/>
            <w:noWrap/>
            <w:vAlign w:val="center"/>
            <w:hideMark/>
          </w:tcPr>
          <w:p w14:paraId="5D0D1E90" w14:textId="77777777" w:rsidR="00176086" w:rsidRPr="00176086" w:rsidRDefault="00176086" w:rsidP="00176086">
            <w:pPr>
              <w:spacing w:line="240" w:lineRule="auto"/>
              <w:jc w:val="center"/>
              <w:rPr>
                <w:rFonts w:ascii="Arial Narrow" w:hAnsi="Arial Narrow"/>
                <w:b/>
                <w:bCs/>
                <w:color w:val="000000"/>
                <w:sz w:val="18"/>
                <w:szCs w:val="18"/>
              </w:rPr>
            </w:pPr>
            <w:r w:rsidRPr="00176086">
              <w:rPr>
                <w:rFonts w:ascii="Arial Narrow" w:hAnsi="Arial Narrow"/>
                <w:b/>
                <w:bCs/>
                <w:color w:val="000000"/>
                <w:sz w:val="18"/>
                <w:szCs w:val="18"/>
              </w:rPr>
              <w:t>2018</w:t>
            </w:r>
          </w:p>
        </w:tc>
        <w:tc>
          <w:tcPr>
            <w:tcW w:w="813" w:type="dxa"/>
            <w:tcBorders>
              <w:top w:val="single" w:sz="4" w:space="0" w:color="auto"/>
              <w:left w:val="nil"/>
              <w:bottom w:val="single" w:sz="8" w:space="0" w:color="DCDDDE"/>
              <w:right w:val="single" w:sz="4" w:space="0" w:color="auto"/>
            </w:tcBorders>
            <w:shd w:val="clear" w:color="auto" w:fill="auto"/>
            <w:noWrap/>
            <w:vAlign w:val="center"/>
            <w:hideMark/>
          </w:tcPr>
          <w:p w14:paraId="5B5A6E00" w14:textId="77777777" w:rsidR="00176086" w:rsidRPr="00176086" w:rsidRDefault="00176086" w:rsidP="00176086">
            <w:pPr>
              <w:spacing w:line="240" w:lineRule="auto"/>
              <w:jc w:val="center"/>
              <w:rPr>
                <w:rFonts w:ascii="Arial Narrow" w:hAnsi="Arial Narrow"/>
                <w:b/>
                <w:bCs/>
                <w:color w:val="000000"/>
                <w:sz w:val="18"/>
                <w:szCs w:val="18"/>
              </w:rPr>
            </w:pPr>
            <w:r w:rsidRPr="00176086">
              <w:rPr>
                <w:rFonts w:ascii="Arial Narrow" w:hAnsi="Arial Narrow"/>
                <w:b/>
                <w:bCs/>
                <w:color w:val="000000"/>
                <w:sz w:val="18"/>
                <w:szCs w:val="18"/>
              </w:rPr>
              <w:t>2030</w:t>
            </w:r>
          </w:p>
        </w:tc>
        <w:tc>
          <w:tcPr>
            <w:tcW w:w="813" w:type="dxa"/>
            <w:tcBorders>
              <w:top w:val="single" w:sz="4" w:space="0" w:color="auto"/>
              <w:left w:val="nil"/>
              <w:bottom w:val="single" w:sz="8" w:space="0" w:color="DCDDDE"/>
              <w:right w:val="nil"/>
            </w:tcBorders>
            <w:shd w:val="clear" w:color="auto" w:fill="auto"/>
            <w:noWrap/>
            <w:vAlign w:val="center"/>
            <w:hideMark/>
          </w:tcPr>
          <w:p w14:paraId="373AE139" w14:textId="77777777" w:rsidR="00176086" w:rsidRPr="00176086" w:rsidRDefault="00176086" w:rsidP="00176086">
            <w:pPr>
              <w:spacing w:line="240" w:lineRule="auto"/>
              <w:jc w:val="center"/>
              <w:rPr>
                <w:rFonts w:ascii="Arial Narrow" w:hAnsi="Arial Narrow"/>
                <w:b/>
                <w:bCs/>
                <w:color w:val="000000"/>
                <w:sz w:val="18"/>
                <w:szCs w:val="18"/>
              </w:rPr>
            </w:pPr>
            <w:r w:rsidRPr="00176086">
              <w:rPr>
                <w:rFonts w:ascii="Arial Narrow" w:hAnsi="Arial Narrow"/>
                <w:b/>
                <w:bCs/>
                <w:color w:val="000000"/>
                <w:sz w:val="18"/>
                <w:szCs w:val="18"/>
              </w:rPr>
              <w:t>2018</w:t>
            </w:r>
          </w:p>
        </w:tc>
        <w:tc>
          <w:tcPr>
            <w:tcW w:w="813" w:type="dxa"/>
            <w:tcBorders>
              <w:top w:val="single" w:sz="4" w:space="0" w:color="auto"/>
              <w:left w:val="nil"/>
              <w:bottom w:val="single" w:sz="8" w:space="0" w:color="DCDDDE"/>
              <w:right w:val="single" w:sz="4" w:space="0" w:color="auto"/>
            </w:tcBorders>
            <w:shd w:val="clear" w:color="auto" w:fill="auto"/>
            <w:noWrap/>
            <w:vAlign w:val="center"/>
            <w:hideMark/>
          </w:tcPr>
          <w:p w14:paraId="68DF1EC6" w14:textId="77777777" w:rsidR="00176086" w:rsidRPr="00176086" w:rsidRDefault="00176086" w:rsidP="00176086">
            <w:pPr>
              <w:spacing w:line="240" w:lineRule="auto"/>
              <w:jc w:val="center"/>
              <w:rPr>
                <w:rFonts w:ascii="Arial Narrow" w:hAnsi="Arial Narrow"/>
                <w:b/>
                <w:bCs/>
                <w:color w:val="000000"/>
                <w:sz w:val="18"/>
                <w:szCs w:val="18"/>
              </w:rPr>
            </w:pPr>
            <w:r w:rsidRPr="00176086">
              <w:rPr>
                <w:rFonts w:ascii="Arial Narrow" w:hAnsi="Arial Narrow"/>
                <w:b/>
                <w:bCs/>
                <w:color w:val="000000"/>
                <w:sz w:val="18"/>
                <w:szCs w:val="18"/>
              </w:rPr>
              <w:t>2030</w:t>
            </w:r>
          </w:p>
        </w:tc>
      </w:tr>
      <w:tr w:rsidR="002544A3" w:rsidRPr="00176086" w14:paraId="4584675B" w14:textId="77777777" w:rsidTr="0058478E">
        <w:trPr>
          <w:trHeight w:val="652"/>
        </w:trPr>
        <w:tc>
          <w:tcPr>
            <w:tcW w:w="980" w:type="dxa"/>
            <w:tcBorders>
              <w:top w:val="nil"/>
              <w:left w:val="single" w:sz="4" w:space="0" w:color="auto"/>
              <w:bottom w:val="single" w:sz="8" w:space="0" w:color="DCDDDE"/>
              <w:right w:val="single" w:sz="4" w:space="0" w:color="auto"/>
            </w:tcBorders>
            <w:shd w:val="clear" w:color="000000" w:fill="DADADA"/>
            <w:vAlign w:val="center"/>
            <w:hideMark/>
          </w:tcPr>
          <w:p w14:paraId="3C10F1D7" w14:textId="77777777" w:rsidR="00176086" w:rsidRPr="00176086" w:rsidRDefault="00176086" w:rsidP="00176086">
            <w:pPr>
              <w:spacing w:line="240" w:lineRule="auto"/>
              <w:jc w:val="center"/>
              <w:rPr>
                <w:rFonts w:ascii="Arial Narrow" w:hAnsi="Arial Narrow"/>
                <w:b/>
                <w:bCs/>
                <w:color w:val="000000"/>
                <w:sz w:val="18"/>
                <w:szCs w:val="18"/>
              </w:rPr>
            </w:pPr>
            <w:r w:rsidRPr="00176086">
              <w:rPr>
                <w:rFonts w:ascii="Arial Narrow" w:hAnsi="Arial Narrow"/>
                <w:b/>
                <w:bCs/>
                <w:color w:val="000000"/>
                <w:sz w:val="18"/>
                <w:szCs w:val="18"/>
              </w:rPr>
              <w:t>Program Type</w:t>
            </w:r>
          </w:p>
        </w:tc>
        <w:tc>
          <w:tcPr>
            <w:tcW w:w="1745" w:type="dxa"/>
            <w:gridSpan w:val="2"/>
            <w:tcBorders>
              <w:top w:val="single" w:sz="8" w:space="0" w:color="DCDDDE"/>
              <w:left w:val="nil"/>
              <w:bottom w:val="single" w:sz="8" w:space="0" w:color="DCDDDE"/>
              <w:right w:val="single" w:sz="4" w:space="0" w:color="000000"/>
            </w:tcBorders>
            <w:shd w:val="clear" w:color="000000" w:fill="DADADA"/>
            <w:vAlign w:val="center"/>
            <w:hideMark/>
          </w:tcPr>
          <w:p w14:paraId="711AABD4" w14:textId="77777777" w:rsidR="00176086" w:rsidRPr="00176086" w:rsidRDefault="00176086" w:rsidP="00176086">
            <w:pPr>
              <w:spacing w:line="240" w:lineRule="auto"/>
              <w:jc w:val="center"/>
              <w:rPr>
                <w:rFonts w:ascii="Arial Narrow" w:hAnsi="Arial Narrow"/>
                <w:b/>
                <w:bCs/>
                <w:color w:val="000000"/>
                <w:sz w:val="18"/>
                <w:szCs w:val="18"/>
              </w:rPr>
            </w:pPr>
            <w:r w:rsidRPr="00176086">
              <w:rPr>
                <w:rFonts w:ascii="Arial Narrow" w:hAnsi="Arial Narrow"/>
                <w:b/>
                <w:bCs/>
                <w:color w:val="000000"/>
                <w:sz w:val="18"/>
                <w:szCs w:val="18"/>
              </w:rPr>
              <w:t xml:space="preserve">Scenario 1: </w:t>
            </w:r>
            <w:r w:rsidRPr="00176086">
              <w:rPr>
                <w:rFonts w:ascii="Arial Narrow" w:hAnsi="Arial Narrow"/>
                <w:b/>
                <w:bCs/>
                <w:color w:val="000000"/>
                <w:sz w:val="18"/>
                <w:szCs w:val="18"/>
              </w:rPr>
              <w:br/>
              <w:t>TRC Reference</w:t>
            </w:r>
          </w:p>
        </w:tc>
        <w:tc>
          <w:tcPr>
            <w:tcW w:w="1666" w:type="dxa"/>
            <w:gridSpan w:val="2"/>
            <w:tcBorders>
              <w:top w:val="single" w:sz="8" w:space="0" w:color="DCDDDE"/>
              <w:left w:val="nil"/>
              <w:bottom w:val="single" w:sz="8" w:space="0" w:color="DCDDDE"/>
              <w:right w:val="single" w:sz="4" w:space="0" w:color="000000"/>
            </w:tcBorders>
            <w:shd w:val="clear" w:color="000000" w:fill="DADADA"/>
            <w:vAlign w:val="center"/>
            <w:hideMark/>
          </w:tcPr>
          <w:p w14:paraId="273EE558" w14:textId="77777777" w:rsidR="00176086" w:rsidRPr="00176086" w:rsidRDefault="00176086" w:rsidP="00176086">
            <w:pPr>
              <w:spacing w:line="240" w:lineRule="auto"/>
              <w:jc w:val="center"/>
              <w:rPr>
                <w:rFonts w:ascii="Arial Narrow" w:hAnsi="Arial Narrow"/>
                <w:b/>
                <w:bCs/>
                <w:color w:val="000000"/>
                <w:sz w:val="18"/>
                <w:szCs w:val="18"/>
              </w:rPr>
            </w:pPr>
            <w:r w:rsidRPr="00176086">
              <w:rPr>
                <w:rFonts w:ascii="Arial Narrow" w:hAnsi="Arial Narrow"/>
                <w:b/>
                <w:bCs/>
                <w:color w:val="000000"/>
                <w:sz w:val="18"/>
                <w:szCs w:val="18"/>
              </w:rPr>
              <w:t>Scenario 2: mTRC w/ GHG adder 1</w:t>
            </w:r>
          </w:p>
        </w:tc>
        <w:tc>
          <w:tcPr>
            <w:tcW w:w="1626" w:type="dxa"/>
            <w:gridSpan w:val="2"/>
            <w:tcBorders>
              <w:top w:val="single" w:sz="8" w:space="0" w:color="DCDDDE"/>
              <w:left w:val="nil"/>
              <w:bottom w:val="single" w:sz="8" w:space="0" w:color="DCDDDE"/>
              <w:right w:val="single" w:sz="4" w:space="0" w:color="000000"/>
            </w:tcBorders>
            <w:shd w:val="clear" w:color="000000" w:fill="DADADA"/>
            <w:vAlign w:val="center"/>
            <w:hideMark/>
          </w:tcPr>
          <w:p w14:paraId="32F1283A" w14:textId="77777777" w:rsidR="00176086" w:rsidRPr="00176086" w:rsidRDefault="00176086" w:rsidP="00176086">
            <w:pPr>
              <w:spacing w:line="240" w:lineRule="auto"/>
              <w:jc w:val="center"/>
              <w:rPr>
                <w:rFonts w:ascii="Arial Narrow" w:hAnsi="Arial Narrow"/>
                <w:b/>
                <w:bCs/>
                <w:color w:val="000000"/>
                <w:sz w:val="18"/>
                <w:szCs w:val="18"/>
              </w:rPr>
            </w:pPr>
            <w:r w:rsidRPr="00176086">
              <w:rPr>
                <w:rFonts w:ascii="Arial Narrow" w:hAnsi="Arial Narrow"/>
                <w:b/>
                <w:bCs/>
                <w:color w:val="000000"/>
                <w:sz w:val="18"/>
                <w:szCs w:val="18"/>
              </w:rPr>
              <w:t>Scenario 3: mTRC w/ GHG adder 2</w:t>
            </w:r>
          </w:p>
        </w:tc>
        <w:tc>
          <w:tcPr>
            <w:tcW w:w="1626" w:type="dxa"/>
            <w:gridSpan w:val="2"/>
            <w:tcBorders>
              <w:top w:val="single" w:sz="8" w:space="0" w:color="DCDDDE"/>
              <w:left w:val="nil"/>
              <w:bottom w:val="single" w:sz="8" w:space="0" w:color="DCDDDE"/>
              <w:right w:val="single" w:sz="4" w:space="0" w:color="000000"/>
            </w:tcBorders>
            <w:shd w:val="clear" w:color="000000" w:fill="DADADA"/>
            <w:vAlign w:val="center"/>
            <w:hideMark/>
          </w:tcPr>
          <w:p w14:paraId="68A108F1" w14:textId="77777777" w:rsidR="00176086" w:rsidRPr="00176086" w:rsidRDefault="00176086" w:rsidP="00176086">
            <w:pPr>
              <w:spacing w:line="240" w:lineRule="auto"/>
              <w:jc w:val="center"/>
              <w:rPr>
                <w:rFonts w:ascii="Arial Narrow" w:hAnsi="Arial Narrow"/>
                <w:b/>
                <w:bCs/>
                <w:color w:val="000000"/>
                <w:sz w:val="18"/>
                <w:szCs w:val="18"/>
              </w:rPr>
            </w:pPr>
            <w:r w:rsidRPr="00176086">
              <w:rPr>
                <w:rFonts w:ascii="Arial Narrow" w:hAnsi="Arial Narrow"/>
                <w:b/>
                <w:bCs/>
                <w:color w:val="000000"/>
                <w:sz w:val="18"/>
                <w:szCs w:val="18"/>
              </w:rPr>
              <w:t xml:space="preserve">Scenario 4: </w:t>
            </w:r>
            <w:r w:rsidRPr="00176086">
              <w:rPr>
                <w:rFonts w:ascii="Arial Narrow" w:hAnsi="Arial Narrow"/>
                <w:b/>
                <w:bCs/>
                <w:color w:val="000000"/>
                <w:sz w:val="18"/>
                <w:szCs w:val="18"/>
              </w:rPr>
              <w:br/>
              <w:t>PAC Reference</w:t>
            </w:r>
          </w:p>
        </w:tc>
        <w:tc>
          <w:tcPr>
            <w:tcW w:w="1626" w:type="dxa"/>
            <w:gridSpan w:val="2"/>
            <w:tcBorders>
              <w:top w:val="single" w:sz="8" w:space="0" w:color="DCDDDE"/>
              <w:left w:val="nil"/>
              <w:bottom w:val="single" w:sz="8" w:space="0" w:color="DCDDDE"/>
              <w:right w:val="single" w:sz="4" w:space="0" w:color="000000"/>
            </w:tcBorders>
            <w:shd w:val="clear" w:color="000000" w:fill="DADADA"/>
            <w:vAlign w:val="center"/>
            <w:hideMark/>
          </w:tcPr>
          <w:p w14:paraId="04E0F785" w14:textId="77777777" w:rsidR="00176086" w:rsidRPr="00176086" w:rsidRDefault="00176086" w:rsidP="00176086">
            <w:pPr>
              <w:spacing w:line="240" w:lineRule="auto"/>
              <w:jc w:val="center"/>
              <w:rPr>
                <w:rFonts w:ascii="Arial Narrow" w:hAnsi="Arial Narrow"/>
                <w:b/>
                <w:bCs/>
                <w:color w:val="000000"/>
                <w:sz w:val="18"/>
                <w:szCs w:val="18"/>
              </w:rPr>
            </w:pPr>
            <w:r w:rsidRPr="00176086">
              <w:rPr>
                <w:rFonts w:ascii="Arial Narrow" w:hAnsi="Arial Narrow"/>
                <w:b/>
                <w:bCs/>
                <w:color w:val="000000"/>
                <w:sz w:val="18"/>
                <w:szCs w:val="18"/>
              </w:rPr>
              <w:t xml:space="preserve">Scenario 5: </w:t>
            </w:r>
            <w:r w:rsidRPr="00176086">
              <w:rPr>
                <w:rFonts w:ascii="Arial Narrow" w:hAnsi="Arial Narrow"/>
                <w:b/>
                <w:bCs/>
                <w:color w:val="000000"/>
                <w:sz w:val="18"/>
                <w:szCs w:val="18"/>
              </w:rPr>
              <w:br/>
              <w:t>PAC Aggressive</w:t>
            </w:r>
          </w:p>
        </w:tc>
      </w:tr>
      <w:tr w:rsidR="003B17B9" w:rsidRPr="00176086" w14:paraId="5CE0D650" w14:textId="77777777" w:rsidTr="0058478E">
        <w:trPr>
          <w:trHeight w:val="652"/>
        </w:trPr>
        <w:tc>
          <w:tcPr>
            <w:tcW w:w="980" w:type="dxa"/>
            <w:tcBorders>
              <w:top w:val="nil"/>
              <w:left w:val="single" w:sz="4" w:space="0" w:color="auto"/>
              <w:bottom w:val="single" w:sz="8" w:space="0" w:color="DCDDDE"/>
              <w:right w:val="single" w:sz="4" w:space="0" w:color="auto"/>
            </w:tcBorders>
            <w:shd w:val="clear" w:color="000000" w:fill="FFFFFF"/>
            <w:vAlign w:val="center"/>
            <w:hideMark/>
          </w:tcPr>
          <w:p w14:paraId="037DF730" w14:textId="77777777" w:rsidR="003B17B9" w:rsidRPr="00176086" w:rsidRDefault="003B17B9" w:rsidP="003B17B9">
            <w:pPr>
              <w:spacing w:line="240" w:lineRule="auto"/>
              <w:jc w:val="center"/>
              <w:rPr>
                <w:rFonts w:ascii="Arial Narrow" w:hAnsi="Arial Narrow"/>
                <w:b/>
                <w:bCs/>
                <w:color w:val="000000"/>
                <w:sz w:val="18"/>
                <w:szCs w:val="18"/>
              </w:rPr>
            </w:pPr>
            <w:r w:rsidRPr="00176086">
              <w:rPr>
                <w:rFonts w:ascii="Arial Narrow" w:hAnsi="Arial Narrow"/>
                <w:b/>
                <w:bCs/>
                <w:color w:val="000000"/>
                <w:sz w:val="18"/>
                <w:szCs w:val="18"/>
              </w:rPr>
              <w:t>Equipment Rebates</w:t>
            </w:r>
          </w:p>
        </w:tc>
        <w:tc>
          <w:tcPr>
            <w:tcW w:w="852" w:type="dxa"/>
            <w:tcBorders>
              <w:top w:val="nil"/>
              <w:left w:val="nil"/>
              <w:bottom w:val="single" w:sz="8" w:space="0" w:color="DCDDDE"/>
              <w:right w:val="nil"/>
            </w:tcBorders>
            <w:shd w:val="clear" w:color="000000" w:fill="FFFFFF"/>
            <w:noWrap/>
            <w:vAlign w:val="center"/>
            <w:hideMark/>
          </w:tcPr>
          <w:p w14:paraId="128099D9"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622</w:t>
            </w:r>
          </w:p>
        </w:tc>
        <w:tc>
          <w:tcPr>
            <w:tcW w:w="893" w:type="dxa"/>
            <w:tcBorders>
              <w:top w:val="nil"/>
              <w:left w:val="nil"/>
              <w:bottom w:val="single" w:sz="8" w:space="0" w:color="DCDDDE"/>
              <w:right w:val="single" w:sz="4" w:space="0" w:color="auto"/>
            </w:tcBorders>
            <w:shd w:val="clear" w:color="000000" w:fill="FFFFFF"/>
            <w:noWrap/>
            <w:vAlign w:val="center"/>
            <w:hideMark/>
          </w:tcPr>
          <w:p w14:paraId="6A9AD027"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830</w:t>
            </w:r>
          </w:p>
        </w:tc>
        <w:tc>
          <w:tcPr>
            <w:tcW w:w="853" w:type="dxa"/>
            <w:tcBorders>
              <w:top w:val="nil"/>
              <w:left w:val="nil"/>
              <w:bottom w:val="single" w:sz="8" w:space="0" w:color="DCDDDE"/>
              <w:right w:val="nil"/>
            </w:tcBorders>
            <w:shd w:val="clear" w:color="000000" w:fill="FFFFFF"/>
            <w:noWrap/>
            <w:vAlign w:val="center"/>
            <w:hideMark/>
          </w:tcPr>
          <w:p w14:paraId="50305C75"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654</w:t>
            </w:r>
          </w:p>
        </w:tc>
        <w:tc>
          <w:tcPr>
            <w:tcW w:w="813" w:type="dxa"/>
            <w:tcBorders>
              <w:top w:val="nil"/>
              <w:left w:val="nil"/>
              <w:bottom w:val="single" w:sz="8" w:space="0" w:color="DCDDDE"/>
              <w:right w:val="single" w:sz="4" w:space="0" w:color="auto"/>
            </w:tcBorders>
            <w:shd w:val="clear" w:color="000000" w:fill="FFFFFF"/>
            <w:noWrap/>
            <w:vAlign w:val="center"/>
            <w:hideMark/>
          </w:tcPr>
          <w:p w14:paraId="6A57CABE"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851</w:t>
            </w:r>
          </w:p>
        </w:tc>
        <w:tc>
          <w:tcPr>
            <w:tcW w:w="813" w:type="dxa"/>
            <w:tcBorders>
              <w:top w:val="nil"/>
              <w:left w:val="nil"/>
              <w:bottom w:val="single" w:sz="8" w:space="0" w:color="DCDDDE"/>
              <w:right w:val="nil"/>
            </w:tcBorders>
            <w:shd w:val="clear" w:color="000000" w:fill="FFFFFF"/>
            <w:noWrap/>
            <w:vAlign w:val="center"/>
            <w:hideMark/>
          </w:tcPr>
          <w:p w14:paraId="4509DDD9"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664</w:t>
            </w:r>
          </w:p>
        </w:tc>
        <w:tc>
          <w:tcPr>
            <w:tcW w:w="813" w:type="dxa"/>
            <w:tcBorders>
              <w:top w:val="nil"/>
              <w:left w:val="nil"/>
              <w:bottom w:val="single" w:sz="8" w:space="0" w:color="DCDDDE"/>
              <w:right w:val="single" w:sz="4" w:space="0" w:color="auto"/>
            </w:tcBorders>
            <w:shd w:val="clear" w:color="000000" w:fill="FFFFFF"/>
            <w:noWrap/>
            <w:vAlign w:val="center"/>
            <w:hideMark/>
          </w:tcPr>
          <w:p w14:paraId="2690AD38"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879</w:t>
            </w:r>
          </w:p>
        </w:tc>
        <w:tc>
          <w:tcPr>
            <w:tcW w:w="813" w:type="dxa"/>
            <w:tcBorders>
              <w:top w:val="nil"/>
              <w:left w:val="nil"/>
              <w:bottom w:val="single" w:sz="8" w:space="0" w:color="DCDDDE"/>
              <w:right w:val="nil"/>
            </w:tcBorders>
            <w:shd w:val="clear" w:color="000000" w:fill="FFFFFF"/>
            <w:noWrap/>
            <w:vAlign w:val="center"/>
            <w:hideMark/>
          </w:tcPr>
          <w:p w14:paraId="1751F997"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848</w:t>
            </w:r>
          </w:p>
        </w:tc>
        <w:tc>
          <w:tcPr>
            <w:tcW w:w="813" w:type="dxa"/>
            <w:tcBorders>
              <w:top w:val="nil"/>
              <w:left w:val="nil"/>
              <w:bottom w:val="single" w:sz="8" w:space="0" w:color="DCDDDE"/>
              <w:right w:val="single" w:sz="4" w:space="0" w:color="auto"/>
            </w:tcBorders>
            <w:shd w:val="clear" w:color="000000" w:fill="FFFFFF"/>
            <w:noWrap/>
            <w:vAlign w:val="center"/>
            <w:hideMark/>
          </w:tcPr>
          <w:p w14:paraId="3EE0CAD5"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966</w:t>
            </w:r>
          </w:p>
        </w:tc>
        <w:tc>
          <w:tcPr>
            <w:tcW w:w="813" w:type="dxa"/>
            <w:tcBorders>
              <w:top w:val="nil"/>
              <w:left w:val="nil"/>
              <w:bottom w:val="single" w:sz="8" w:space="0" w:color="DCDDDE"/>
              <w:right w:val="nil"/>
            </w:tcBorders>
            <w:shd w:val="clear" w:color="000000" w:fill="FFFFFF"/>
            <w:noWrap/>
            <w:vAlign w:val="center"/>
            <w:hideMark/>
          </w:tcPr>
          <w:p w14:paraId="50D210F7"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896</w:t>
            </w:r>
          </w:p>
        </w:tc>
        <w:tc>
          <w:tcPr>
            <w:tcW w:w="813" w:type="dxa"/>
            <w:tcBorders>
              <w:top w:val="nil"/>
              <w:left w:val="nil"/>
              <w:bottom w:val="single" w:sz="8" w:space="0" w:color="DCDDDE"/>
              <w:right w:val="single" w:sz="4" w:space="0" w:color="auto"/>
            </w:tcBorders>
            <w:shd w:val="clear" w:color="000000" w:fill="FFFFFF"/>
            <w:noWrap/>
            <w:vAlign w:val="center"/>
            <w:hideMark/>
          </w:tcPr>
          <w:p w14:paraId="25E1A76D"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1,027</w:t>
            </w:r>
          </w:p>
        </w:tc>
      </w:tr>
      <w:tr w:rsidR="003B17B9" w:rsidRPr="00176086" w14:paraId="5F0466EC" w14:textId="77777777" w:rsidTr="0058478E">
        <w:trPr>
          <w:trHeight w:val="370"/>
        </w:trPr>
        <w:tc>
          <w:tcPr>
            <w:tcW w:w="980" w:type="dxa"/>
            <w:tcBorders>
              <w:top w:val="nil"/>
              <w:left w:val="single" w:sz="4" w:space="0" w:color="auto"/>
              <w:bottom w:val="single" w:sz="8" w:space="0" w:color="DCDDDE"/>
              <w:right w:val="single" w:sz="4" w:space="0" w:color="auto"/>
            </w:tcBorders>
            <w:shd w:val="clear" w:color="000000" w:fill="FFFFFF"/>
            <w:vAlign w:val="center"/>
            <w:hideMark/>
          </w:tcPr>
          <w:p w14:paraId="388AB379" w14:textId="77777777" w:rsidR="003B17B9" w:rsidRPr="00176086" w:rsidRDefault="003B17B9" w:rsidP="003B17B9">
            <w:pPr>
              <w:spacing w:line="240" w:lineRule="auto"/>
              <w:jc w:val="center"/>
              <w:rPr>
                <w:rFonts w:ascii="Arial Narrow" w:hAnsi="Arial Narrow"/>
                <w:b/>
                <w:bCs/>
                <w:color w:val="000000"/>
                <w:sz w:val="18"/>
                <w:szCs w:val="18"/>
              </w:rPr>
            </w:pPr>
            <w:r w:rsidRPr="00176086">
              <w:rPr>
                <w:rFonts w:ascii="Arial Narrow" w:hAnsi="Arial Narrow"/>
                <w:b/>
                <w:bCs/>
                <w:color w:val="000000"/>
                <w:sz w:val="18"/>
                <w:szCs w:val="18"/>
              </w:rPr>
              <w:t>BROs</w:t>
            </w:r>
          </w:p>
        </w:tc>
        <w:tc>
          <w:tcPr>
            <w:tcW w:w="852" w:type="dxa"/>
            <w:tcBorders>
              <w:top w:val="nil"/>
              <w:left w:val="nil"/>
              <w:bottom w:val="single" w:sz="8" w:space="0" w:color="DCDDDE"/>
              <w:right w:val="nil"/>
            </w:tcBorders>
            <w:shd w:val="clear" w:color="000000" w:fill="FFFFFF"/>
            <w:noWrap/>
            <w:vAlign w:val="center"/>
            <w:hideMark/>
          </w:tcPr>
          <w:p w14:paraId="3C13FED3"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213</w:t>
            </w:r>
          </w:p>
        </w:tc>
        <w:tc>
          <w:tcPr>
            <w:tcW w:w="893" w:type="dxa"/>
            <w:tcBorders>
              <w:top w:val="nil"/>
              <w:left w:val="nil"/>
              <w:bottom w:val="single" w:sz="8" w:space="0" w:color="DCDDDE"/>
              <w:right w:val="single" w:sz="4" w:space="0" w:color="auto"/>
            </w:tcBorders>
            <w:shd w:val="clear" w:color="000000" w:fill="FFFFFF"/>
            <w:noWrap/>
            <w:vAlign w:val="center"/>
            <w:hideMark/>
          </w:tcPr>
          <w:p w14:paraId="6623C4A2"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613</w:t>
            </w:r>
          </w:p>
        </w:tc>
        <w:tc>
          <w:tcPr>
            <w:tcW w:w="853" w:type="dxa"/>
            <w:tcBorders>
              <w:top w:val="nil"/>
              <w:left w:val="nil"/>
              <w:bottom w:val="single" w:sz="8" w:space="0" w:color="DCDDDE"/>
              <w:right w:val="nil"/>
            </w:tcBorders>
            <w:shd w:val="clear" w:color="000000" w:fill="FFFFFF"/>
            <w:noWrap/>
            <w:vAlign w:val="center"/>
            <w:hideMark/>
          </w:tcPr>
          <w:p w14:paraId="053B6ED8"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213</w:t>
            </w:r>
          </w:p>
        </w:tc>
        <w:tc>
          <w:tcPr>
            <w:tcW w:w="813" w:type="dxa"/>
            <w:tcBorders>
              <w:top w:val="nil"/>
              <w:left w:val="nil"/>
              <w:bottom w:val="single" w:sz="8" w:space="0" w:color="DCDDDE"/>
              <w:right w:val="single" w:sz="4" w:space="0" w:color="auto"/>
            </w:tcBorders>
            <w:shd w:val="clear" w:color="000000" w:fill="FFFFFF"/>
            <w:noWrap/>
            <w:vAlign w:val="center"/>
            <w:hideMark/>
          </w:tcPr>
          <w:p w14:paraId="54180ED6"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613</w:t>
            </w:r>
          </w:p>
        </w:tc>
        <w:tc>
          <w:tcPr>
            <w:tcW w:w="813" w:type="dxa"/>
            <w:tcBorders>
              <w:top w:val="nil"/>
              <w:left w:val="nil"/>
              <w:bottom w:val="single" w:sz="8" w:space="0" w:color="DCDDDE"/>
              <w:right w:val="nil"/>
            </w:tcBorders>
            <w:shd w:val="clear" w:color="000000" w:fill="FFFFFF"/>
            <w:noWrap/>
            <w:vAlign w:val="center"/>
            <w:hideMark/>
          </w:tcPr>
          <w:p w14:paraId="39FE14B0"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213</w:t>
            </w:r>
          </w:p>
        </w:tc>
        <w:tc>
          <w:tcPr>
            <w:tcW w:w="813" w:type="dxa"/>
            <w:tcBorders>
              <w:top w:val="nil"/>
              <w:left w:val="nil"/>
              <w:bottom w:val="single" w:sz="8" w:space="0" w:color="DCDDDE"/>
              <w:right w:val="single" w:sz="4" w:space="0" w:color="auto"/>
            </w:tcBorders>
            <w:shd w:val="clear" w:color="000000" w:fill="FFFFFF"/>
            <w:noWrap/>
            <w:vAlign w:val="center"/>
            <w:hideMark/>
          </w:tcPr>
          <w:p w14:paraId="636C81D2"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613</w:t>
            </w:r>
          </w:p>
        </w:tc>
        <w:tc>
          <w:tcPr>
            <w:tcW w:w="813" w:type="dxa"/>
            <w:tcBorders>
              <w:top w:val="nil"/>
              <w:left w:val="nil"/>
              <w:bottom w:val="single" w:sz="8" w:space="0" w:color="DCDDDE"/>
              <w:right w:val="nil"/>
            </w:tcBorders>
            <w:shd w:val="clear" w:color="000000" w:fill="FFFFFF"/>
            <w:noWrap/>
            <w:vAlign w:val="center"/>
            <w:hideMark/>
          </w:tcPr>
          <w:p w14:paraId="54BD45FB"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213</w:t>
            </w:r>
          </w:p>
        </w:tc>
        <w:tc>
          <w:tcPr>
            <w:tcW w:w="813" w:type="dxa"/>
            <w:tcBorders>
              <w:top w:val="nil"/>
              <w:left w:val="nil"/>
              <w:bottom w:val="single" w:sz="8" w:space="0" w:color="DCDDDE"/>
              <w:right w:val="single" w:sz="4" w:space="0" w:color="auto"/>
            </w:tcBorders>
            <w:shd w:val="clear" w:color="000000" w:fill="FFFFFF"/>
            <w:noWrap/>
            <w:vAlign w:val="center"/>
            <w:hideMark/>
          </w:tcPr>
          <w:p w14:paraId="7C328F36"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613</w:t>
            </w:r>
          </w:p>
        </w:tc>
        <w:tc>
          <w:tcPr>
            <w:tcW w:w="813" w:type="dxa"/>
            <w:tcBorders>
              <w:top w:val="nil"/>
              <w:left w:val="nil"/>
              <w:bottom w:val="single" w:sz="8" w:space="0" w:color="DCDDDE"/>
              <w:right w:val="nil"/>
            </w:tcBorders>
            <w:shd w:val="clear" w:color="000000" w:fill="FFFFFF"/>
            <w:noWrap/>
            <w:vAlign w:val="center"/>
            <w:hideMark/>
          </w:tcPr>
          <w:p w14:paraId="3AAD1370"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264</w:t>
            </w:r>
          </w:p>
        </w:tc>
        <w:tc>
          <w:tcPr>
            <w:tcW w:w="813" w:type="dxa"/>
            <w:tcBorders>
              <w:top w:val="nil"/>
              <w:left w:val="nil"/>
              <w:bottom w:val="single" w:sz="8" w:space="0" w:color="DCDDDE"/>
              <w:right w:val="single" w:sz="4" w:space="0" w:color="auto"/>
            </w:tcBorders>
            <w:shd w:val="clear" w:color="000000" w:fill="FFFFFF"/>
            <w:noWrap/>
            <w:vAlign w:val="center"/>
            <w:hideMark/>
          </w:tcPr>
          <w:p w14:paraId="1CCF7D3E"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1,164</w:t>
            </w:r>
          </w:p>
        </w:tc>
      </w:tr>
      <w:tr w:rsidR="003B17B9" w:rsidRPr="00176086" w14:paraId="6E1A92F3" w14:textId="77777777" w:rsidTr="0058478E">
        <w:trPr>
          <w:trHeight w:val="370"/>
        </w:trPr>
        <w:tc>
          <w:tcPr>
            <w:tcW w:w="980" w:type="dxa"/>
            <w:tcBorders>
              <w:top w:val="nil"/>
              <w:left w:val="single" w:sz="4" w:space="0" w:color="auto"/>
              <w:bottom w:val="single" w:sz="8" w:space="0" w:color="DCDDDE"/>
              <w:right w:val="single" w:sz="4" w:space="0" w:color="auto"/>
            </w:tcBorders>
            <w:shd w:val="clear" w:color="000000" w:fill="FFFFFF"/>
            <w:vAlign w:val="center"/>
            <w:hideMark/>
          </w:tcPr>
          <w:p w14:paraId="46ED5CCD" w14:textId="77777777" w:rsidR="003B17B9" w:rsidRPr="00176086" w:rsidRDefault="003B17B9" w:rsidP="003B17B9">
            <w:pPr>
              <w:spacing w:line="240" w:lineRule="auto"/>
              <w:jc w:val="center"/>
              <w:rPr>
                <w:rFonts w:ascii="Arial Narrow" w:hAnsi="Arial Narrow"/>
                <w:b/>
                <w:bCs/>
                <w:color w:val="000000"/>
                <w:sz w:val="18"/>
                <w:szCs w:val="18"/>
              </w:rPr>
            </w:pPr>
            <w:r w:rsidRPr="00176086">
              <w:rPr>
                <w:rFonts w:ascii="Arial Narrow" w:hAnsi="Arial Narrow"/>
                <w:b/>
                <w:bCs/>
                <w:color w:val="000000"/>
                <w:sz w:val="18"/>
                <w:szCs w:val="18"/>
              </w:rPr>
              <w:t>Low Income</w:t>
            </w:r>
          </w:p>
        </w:tc>
        <w:tc>
          <w:tcPr>
            <w:tcW w:w="852" w:type="dxa"/>
            <w:tcBorders>
              <w:top w:val="nil"/>
              <w:left w:val="nil"/>
              <w:bottom w:val="single" w:sz="8" w:space="0" w:color="DCDDDE"/>
              <w:right w:val="nil"/>
            </w:tcBorders>
            <w:shd w:val="clear" w:color="000000" w:fill="FFFFFF"/>
            <w:noWrap/>
            <w:vAlign w:val="center"/>
            <w:hideMark/>
          </w:tcPr>
          <w:p w14:paraId="1B0E01FC"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57</w:t>
            </w:r>
          </w:p>
        </w:tc>
        <w:tc>
          <w:tcPr>
            <w:tcW w:w="893" w:type="dxa"/>
            <w:tcBorders>
              <w:top w:val="nil"/>
              <w:left w:val="nil"/>
              <w:bottom w:val="single" w:sz="8" w:space="0" w:color="DCDDDE"/>
              <w:right w:val="single" w:sz="4" w:space="0" w:color="auto"/>
            </w:tcBorders>
            <w:shd w:val="clear" w:color="000000" w:fill="FFFFFF"/>
            <w:noWrap/>
            <w:vAlign w:val="center"/>
            <w:hideMark/>
          </w:tcPr>
          <w:p w14:paraId="036EEE67"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33</w:t>
            </w:r>
          </w:p>
        </w:tc>
        <w:tc>
          <w:tcPr>
            <w:tcW w:w="853" w:type="dxa"/>
            <w:tcBorders>
              <w:top w:val="nil"/>
              <w:left w:val="nil"/>
              <w:bottom w:val="single" w:sz="8" w:space="0" w:color="DCDDDE"/>
              <w:right w:val="nil"/>
            </w:tcBorders>
            <w:shd w:val="clear" w:color="000000" w:fill="FFFFFF"/>
            <w:noWrap/>
            <w:vAlign w:val="center"/>
            <w:hideMark/>
          </w:tcPr>
          <w:p w14:paraId="51BC8E54"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57</w:t>
            </w:r>
          </w:p>
        </w:tc>
        <w:tc>
          <w:tcPr>
            <w:tcW w:w="813" w:type="dxa"/>
            <w:tcBorders>
              <w:top w:val="nil"/>
              <w:left w:val="nil"/>
              <w:bottom w:val="single" w:sz="8" w:space="0" w:color="DCDDDE"/>
              <w:right w:val="single" w:sz="4" w:space="0" w:color="auto"/>
            </w:tcBorders>
            <w:shd w:val="clear" w:color="000000" w:fill="FFFFFF"/>
            <w:noWrap/>
            <w:vAlign w:val="center"/>
            <w:hideMark/>
          </w:tcPr>
          <w:p w14:paraId="49AD0D19"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33</w:t>
            </w:r>
          </w:p>
        </w:tc>
        <w:tc>
          <w:tcPr>
            <w:tcW w:w="813" w:type="dxa"/>
            <w:tcBorders>
              <w:top w:val="nil"/>
              <w:left w:val="nil"/>
              <w:bottom w:val="single" w:sz="8" w:space="0" w:color="DCDDDE"/>
              <w:right w:val="nil"/>
            </w:tcBorders>
            <w:shd w:val="clear" w:color="000000" w:fill="FFFFFF"/>
            <w:noWrap/>
            <w:vAlign w:val="center"/>
            <w:hideMark/>
          </w:tcPr>
          <w:p w14:paraId="0EDC5718"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57</w:t>
            </w:r>
          </w:p>
        </w:tc>
        <w:tc>
          <w:tcPr>
            <w:tcW w:w="813" w:type="dxa"/>
            <w:tcBorders>
              <w:top w:val="nil"/>
              <w:left w:val="nil"/>
              <w:bottom w:val="single" w:sz="8" w:space="0" w:color="DCDDDE"/>
              <w:right w:val="single" w:sz="4" w:space="0" w:color="auto"/>
            </w:tcBorders>
            <w:shd w:val="clear" w:color="000000" w:fill="FFFFFF"/>
            <w:noWrap/>
            <w:vAlign w:val="center"/>
            <w:hideMark/>
          </w:tcPr>
          <w:p w14:paraId="3605F37C"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33</w:t>
            </w:r>
          </w:p>
        </w:tc>
        <w:tc>
          <w:tcPr>
            <w:tcW w:w="813" w:type="dxa"/>
            <w:tcBorders>
              <w:top w:val="nil"/>
              <w:left w:val="nil"/>
              <w:bottom w:val="single" w:sz="8" w:space="0" w:color="DCDDDE"/>
              <w:right w:val="nil"/>
            </w:tcBorders>
            <w:shd w:val="clear" w:color="000000" w:fill="FFFFFF"/>
            <w:noWrap/>
            <w:vAlign w:val="center"/>
            <w:hideMark/>
          </w:tcPr>
          <w:p w14:paraId="1D5AA5A1"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57</w:t>
            </w:r>
          </w:p>
        </w:tc>
        <w:tc>
          <w:tcPr>
            <w:tcW w:w="813" w:type="dxa"/>
            <w:tcBorders>
              <w:top w:val="nil"/>
              <w:left w:val="nil"/>
              <w:bottom w:val="single" w:sz="8" w:space="0" w:color="DCDDDE"/>
              <w:right w:val="single" w:sz="4" w:space="0" w:color="auto"/>
            </w:tcBorders>
            <w:shd w:val="clear" w:color="000000" w:fill="FFFFFF"/>
            <w:noWrap/>
            <w:vAlign w:val="center"/>
            <w:hideMark/>
          </w:tcPr>
          <w:p w14:paraId="3990D333"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33</w:t>
            </w:r>
          </w:p>
        </w:tc>
        <w:tc>
          <w:tcPr>
            <w:tcW w:w="813" w:type="dxa"/>
            <w:tcBorders>
              <w:top w:val="nil"/>
              <w:left w:val="nil"/>
              <w:bottom w:val="single" w:sz="8" w:space="0" w:color="DCDDDE"/>
              <w:right w:val="nil"/>
            </w:tcBorders>
            <w:shd w:val="clear" w:color="000000" w:fill="FFFFFF"/>
            <w:noWrap/>
            <w:vAlign w:val="center"/>
            <w:hideMark/>
          </w:tcPr>
          <w:p w14:paraId="040330D6"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57</w:t>
            </w:r>
          </w:p>
        </w:tc>
        <w:tc>
          <w:tcPr>
            <w:tcW w:w="813" w:type="dxa"/>
            <w:tcBorders>
              <w:top w:val="nil"/>
              <w:left w:val="nil"/>
              <w:bottom w:val="single" w:sz="8" w:space="0" w:color="DCDDDE"/>
              <w:right w:val="single" w:sz="4" w:space="0" w:color="auto"/>
            </w:tcBorders>
            <w:shd w:val="clear" w:color="000000" w:fill="FFFFFF"/>
            <w:noWrap/>
            <w:vAlign w:val="center"/>
            <w:hideMark/>
          </w:tcPr>
          <w:p w14:paraId="09752509"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33</w:t>
            </w:r>
          </w:p>
        </w:tc>
      </w:tr>
      <w:tr w:rsidR="003B17B9" w:rsidRPr="00176086" w14:paraId="1A89DEDE" w14:textId="77777777" w:rsidTr="0058478E">
        <w:trPr>
          <w:trHeight w:val="952"/>
        </w:trPr>
        <w:tc>
          <w:tcPr>
            <w:tcW w:w="980" w:type="dxa"/>
            <w:tcBorders>
              <w:top w:val="nil"/>
              <w:left w:val="single" w:sz="4" w:space="0" w:color="auto"/>
              <w:bottom w:val="single" w:sz="4" w:space="0" w:color="auto"/>
              <w:right w:val="single" w:sz="4" w:space="0" w:color="auto"/>
            </w:tcBorders>
            <w:shd w:val="clear" w:color="000000" w:fill="FFFFFF"/>
            <w:vAlign w:val="center"/>
            <w:hideMark/>
          </w:tcPr>
          <w:p w14:paraId="0C845576" w14:textId="77777777" w:rsidR="003B17B9" w:rsidRPr="00176086" w:rsidRDefault="003B17B9" w:rsidP="003B17B9">
            <w:pPr>
              <w:spacing w:line="240" w:lineRule="auto"/>
              <w:jc w:val="center"/>
              <w:rPr>
                <w:rFonts w:ascii="Arial Narrow" w:hAnsi="Arial Narrow"/>
                <w:b/>
                <w:bCs/>
                <w:i/>
                <w:iCs/>
                <w:color w:val="000000"/>
                <w:sz w:val="18"/>
                <w:szCs w:val="18"/>
              </w:rPr>
            </w:pPr>
            <w:r w:rsidRPr="00176086">
              <w:rPr>
                <w:rFonts w:ascii="Arial Narrow" w:hAnsi="Arial Narrow"/>
                <w:b/>
                <w:bCs/>
                <w:i/>
                <w:iCs/>
                <w:color w:val="000000"/>
                <w:sz w:val="18"/>
                <w:szCs w:val="18"/>
              </w:rPr>
              <w:t>Incentive Programs (Subtotal)</w:t>
            </w:r>
          </w:p>
        </w:tc>
        <w:tc>
          <w:tcPr>
            <w:tcW w:w="852" w:type="dxa"/>
            <w:tcBorders>
              <w:top w:val="nil"/>
              <w:left w:val="nil"/>
              <w:bottom w:val="single" w:sz="4" w:space="0" w:color="auto"/>
              <w:right w:val="nil"/>
            </w:tcBorders>
            <w:shd w:val="clear" w:color="000000" w:fill="FFFFFF"/>
            <w:noWrap/>
            <w:vAlign w:val="center"/>
            <w:hideMark/>
          </w:tcPr>
          <w:p w14:paraId="4BCF59F9" w14:textId="77777777" w:rsidR="003B17B9" w:rsidRPr="003B17B9" w:rsidRDefault="003B17B9" w:rsidP="003B17B9">
            <w:pPr>
              <w:spacing w:line="240" w:lineRule="auto"/>
              <w:jc w:val="center"/>
              <w:rPr>
                <w:rFonts w:ascii="Arial Narrow" w:hAnsi="Arial Narrow"/>
                <w:b/>
                <w:bCs/>
                <w:i/>
                <w:iCs/>
                <w:sz w:val="18"/>
                <w:szCs w:val="18"/>
              </w:rPr>
            </w:pPr>
            <w:r w:rsidRPr="003B17B9">
              <w:rPr>
                <w:rFonts w:ascii="Arial Narrow" w:hAnsi="Arial Narrow"/>
                <w:b/>
                <w:bCs/>
                <w:i/>
                <w:iCs/>
                <w:sz w:val="18"/>
                <w:szCs w:val="18"/>
              </w:rPr>
              <w:t>892</w:t>
            </w:r>
          </w:p>
        </w:tc>
        <w:tc>
          <w:tcPr>
            <w:tcW w:w="893" w:type="dxa"/>
            <w:tcBorders>
              <w:top w:val="nil"/>
              <w:left w:val="nil"/>
              <w:bottom w:val="single" w:sz="4" w:space="0" w:color="auto"/>
              <w:right w:val="single" w:sz="4" w:space="0" w:color="auto"/>
            </w:tcBorders>
            <w:shd w:val="clear" w:color="000000" w:fill="FFFFFF"/>
            <w:noWrap/>
            <w:vAlign w:val="center"/>
            <w:hideMark/>
          </w:tcPr>
          <w:p w14:paraId="6CBB7195" w14:textId="77777777" w:rsidR="003B17B9" w:rsidRPr="003B17B9" w:rsidRDefault="003B17B9" w:rsidP="003B17B9">
            <w:pPr>
              <w:spacing w:line="240" w:lineRule="auto"/>
              <w:jc w:val="center"/>
              <w:rPr>
                <w:rFonts w:ascii="Arial Narrow" w:hAnsi="Arial Narrow"/>
                <w:b/>
                <w:bCs/>
                <w:i/>
                <w:iCs/>
                <w:sz w:val="18"/>
                <w:szCs w:val="18"/>
              </w:rPr>
            </w:pPr>
            <w:r w:rsidRPr="003B17B9">
              <w:rPr>
                <w:rFonts w:ascii="Arial Narrow" w:hAnsi="Arial Narrow"/>
                <w:b/>
                <w:bCs/>
                <w:i/>
                <w:iCs/>
                <w:sz w:val="18"/>
                <w:szCs w:val="18"/>
              </w:rPr>
              <w:t>1,476</w:t>
            </w:r>
          </w:p>
        </w:tc>
        <w:tc>
          <w:tcPr>
            <w:tcW w:w="853" w:type="dxa"/>
            <w:tcBorders>
              <w:top w:val="nil"/>
              <w:left w:val="nil"/>
              <w:bottom w:val="single" w:sz="4" w:space="0" w:color="auto"/>
              <w:right w:val="nil"/>
            </w:tcBorders>
            <w:shd w:val="clear" w:color="000000" w:fill="FFFFFF"/>
            <w:noWrap/>
            <w:vAlign w:val="center"/>
            <w:hideMark/>
          </w:tcPr>
          <w:p w14:paraId="6E014FF2" w14:textId="77777777" w:rsidR="003B17B9" w:rsidRPr="003B17B9" w:rsidRDefault="003B17B9" w:rsidP="003B17B9">
            <w:pPr>
              <w:spacing w:line="240" w:lineRule="auto"/>
              <w:jc w:val="center"/>
              <w:rPr>
                <w:rFonts w:ascii="Arial Narrow" w:hAnsi="Arial Narrow"/>
                <w:b/>
                <w:bCs/>
                <w:i/>
                <w:iCs/>
                <w:sz w:val="18"/>
                <w:szCs w:val="18"/>
              </w:rPr>
            </w:pPr>
            <w:r w:rsidRPr="003B17B9">
              <w:rPr>
                <w:rFonts w:ascii="Arial Narrow" w:hAnsi="Arial Narrow"/>
                <w:b/>
                <w:bCs/>
                <w:i/>
                <w:iCs/>
                <w:sz w:val="18"/>
                <w:szCs w:val="18"/>
              </w:rPr>
              <w:t>924</w:t>
            </w:r>
          </w:p>
        </w:tc>
        <w:tc>
          <w:tcPr>
            <w:tcW w:w="813" w:type="dxa"/>
            <w:tcBorders>
              <w:top w:val="nil"/>
              <w:left w:val="nil"/>
              <w:bottom w:val="single" w:sz="4" w:space="0" w:color="auto"/>
              <w:right w:val="single" w:sz="4" w:space="0" w:color="auto"/>
            </w:tcBorders>
            <w:shd w:val="clear" w:color="000000" w:fill="FFFFFF"/>
            <w:noWrap/>
            <w:vAlign w:val="center"/>
            <w:hideMark/>
          </w:tcPr>
          <w:p w14:paraId="4364E9A1" w14:textId="77777777" w:rsidR="003B17B9" w:rsidRPr="003B17B9" w:rsidRDefault="003B17B9" w:rsidP="003B17B9">
            <w:pPr>
              <w:spacing w:line="240" w:lineRule="auto"/>
              <w:jc w:val="center"/>
              <w:rPr>
                <w:rFonts w:ascii="Arial Narrow" w:hAnsi="Arial Narrow"/>
                <w:b/>
                <w:bCs/>
                <w:i/>
                <w:iCs/>
                <w:sz w:val="18"/>
                <w:szCs w:val="18"/>
              </w:rPr>
            </w:pPr>
            <w:r w:rsidRPr="003B17B9">
              <w:rPr>
                <w:rFonts w:ascii="Arial Narrow" w:hAnsi="Arial Narrow"/>
                <w:b/>
                <w:bCs/>
                <w:i/>
                <w:iCs/>
                <w:sz w:val="18"/>
                <w:szCs w:val="18"/>
              </w:rPr>
              <w:t>1,497</w:t>
            </w:r>
          </w:p>
        </w:tc>
        <w:tc>
          <w:tcPr>
            <w:tcW w:w="813" w:type="dxa"/>
            <w:tcBorders>
              <w:top w:val="nil"/>
              <w:left w:val="nil"/>
              <w:bottom w:val="single" w:sz="4" w:space="0" w:color="auto"/>
              <w:right w:val="nil"/>
            </w:tcBorders>
            <w:shd w:val="clear" w:color="000000" w:fill="FFFFFF"/>
            <w:noWrap/>
            <w:vAlign w:val="center"/>
            <w:hideMark/>
          </w:tcPr>
          <w:p w14:paraId="1163A2ED" w14:textId="77777777" w:rsidR="003B17B9" w:rsidRPr="003B17B9" w:rsidRDefault="003B17B9" w:rsidP="003B17B9">
            <w:pPr>
              <w:spacing w:line="240" w:lineRule="auto"/>
              <w:jc w:val="center"/>
              <w:rPr>
                <w:rFonts w:ascii="Arial Narrow" w:hAnsi="Arial Narrow"/>
                <w:b/>
                <w:bCs/>
                <w:i/>
                <w:iCs/>
                <w:sz w:val="18"/>
                <w:szCs w:val="18"/>
              </w:rPr>
            </w:pPr>
            <w:r w:rsidRPr="003B17B9">
              <w:rPr>
                <w:rFonts w:ascii="Arial Narrow" w:hAnsi="Arial Narrow"/>
                <w:b/>
                <w:bCs/>
                <w:i/>
                <w:iCs/>
                <w:sz w:val="18"/>
                <w:szCs w:val="18"/>
              </w:rPr>
              <w:t>935</w:t>
            </w:r>
          </w:p>
        </w:tc>
        <w:tc>
          <w:tcPr>
            <w:tcW w:w="813" w:type="dxa"/>
            <w:tcBorders>
              <w:top w:val="nil"/>
              <w:left w:val="nil"/>
              <w:bottom w:val="single" w:sz="4" w:space="0" w:color="auto"/>
              <w:right w:val="single" w:sz="4" w:space="0" w:color="auto"/>
            </w:tcBorders>
            <w:shd w:val="clear" w:color="000000" w:fill="FFFFFF"/>
            <w:noWrap/>
            <w:vAlign w:val="center"/>
            <w:hideMark/>
          </w:tcPr>
          <w:p w14:paraId="366E24FB" w14:textId="77777777" w:rsidR="003B17B9" w:rsidRPr="003B17B9" w:rsidRDefault="003B17B9" w:rsidP="003B17B9">
            <w:pPr>
              <w:spacing w:line="240" w:lineRule="auto"/>
              <w:jc w:val="center"/>
              <w:rPr>
                <w:rFonts w:ascii="Arial Narrow" w:hAnsi="Arial Narrow"/>
                <w:b/>
                <w:bCs/>
                <w:i/>
                <w:iCs/>
                <w:sz w:val="18"/>
                <w:szCs w:val="18"/>
              </w:rPr>
            </w:pPr>
            <w:r w:rsidRPr="003B17B9">
              <w:rPr>
                <w:rFonts w:ascii="Arial Narrow" w:hAnsi="Arial Narrow"/>
                <w:b/>
                <w:bCs/>
                <w:i/>
                <w:iCs/>
                <w:sz w:val="18"/>
                <w:szCs w:val="18"/>
              </w:rPr>
              <w:t>1,524</w:t>
            </w:r>
          </w:p>
        </w:tc>
        <w:tc>
          <w:tcPr>
            <w:tcW w:w="813" w:type="dxa"/>
            <w:tcBorders>
              <w:top w:val="nil"/>
              <w:left w:val="nil"/>
              <w:bottom w:val="single" w:sz="4" w:space="0" w:color="auto"/>
              <w:right w:val="nil"/>
            </w:tcBorders>
            <w:shd w:val="clear" w:color="000000" w:fill="FFFFFF"/>
            <w:noWrap/>
            <w:vAlign w:val="center"/>
            <w:hideMark/>
          </w:tcPr>
          <w:p w14:paraId="3A8D8494" w14:textId="77777777" w:rsidR="003B17B9" w:rsidRPr="003B17B9" w:rsidRDefault="003B17B9" w:rsidP="003B17B9">
            <w:pPr>
              <w:spacing w:line="240" w:lineRule="auto"/>
              <w:jc w:val="center"/>
              <w:rPr>
                <w:rFonts w:ascii="Arial Narrow" w:hAnsi="Arial Narrow"/>
                <w:b/>
                <w:bCs/>
                <w:i/>
                <w:iCs/>
                <w:sz w:val="18"/>
                <w:szCs w:val="18"/>
              </w:rPr>
            </w:pPr>
            <w:r w:rsidRPr="003B17B9">
              <w:rPr>
                <w:rFonts w:ascii="Arial Narrow" w:hAnsi="Arial Narrow"/>
                <w:b/>
                <w:bCs/>
                <w:i/>
                <w:iCs/>
                <w:sz w:val="18"/>
                <w:szCs w:val="18"/>
              </w:rPr>
              <w:t>1,118</w:t>
            </w:r>
          </w:p>
        </w:tc>
        <w:tc>
          <w:tcPr>
            <w:tcW w:w="813" w:type="dxa"/>
            <w:tcBorders>
              <w:top w:val="nil"/>
              <w:left w:val="nil"/>
              <w:bottom w:val="single" w:sz="4" w:space="0" w:color="auto"/>
              <w:right w:val="single" w:sz="4" w:space="0" w:color="auto"/>
            </w:tcBorders>
            <w:shd w:val="clear" w:color="000000" w:fill="FFFFFF"/>
            <w:noWrap/>
            <w:vAlign w:val="center"/>
            <w:hideMark/>
          </w:tcPr>
          <w:p w14:paraId="622401F9" w14:textId="77777777" w:rsidR="003B17B9" w:rsidRPr="003B17B9" w:rsidRDefault="003B17B9" w:rsidP="003B17B9">
            <w:pPr>
              <w:spacing w:line="240" w:lineRule="auto"/>
              <w:jc w:val="center"/>
              <w:rPr>
                <w:rFonts w:ascii="Arial Narrow" w:hAnsi="Arial Narrow"/>
                <w:b/>
                <w:bCs/>
                <w:i/>
                <w:iCs/>
                <w:sz w:val="18"/>
                <w:szCs w:val="18"/>
              </w:rPr>
            </w:pPr>
            <w:r w:rsidRPr="003B17B9">
              <w:rPr>
                <w:rFonts w:ascii="Arial Narrow" w:hAnsi="Arial Narrow"/>
                <w:b/>
                <w:bCs/>
                <w:i/>
                <w:iCs/>
                <w:sz w:val="18"/>
                <w:szCs w:val="18"/>
              </w:rPr>
              <w:t>1,611</w:t>
            </w:r>
          </w:p>
        </w:tc>
        <w:tc>
          <w:tcPr>
            <w:tcW w:w="813" w:type="dxa"/>
            <w:tcBorders>
              <w:top w:val="nil"/>
              <w:left w:val="nil"/>
              <w:bottom w:val="single" w:sz="4" w:space="0" w:color="auto"/>
              <w:right w:val="nil"/>
            </w:tcBorders>
            <w:shd w:val="clear" w:color="000000" w:fill="FFFFFF"/>
            <w:noWrap/>
            <w:vAlign w:val="center"/>
            <w:hideMark/>
          </w:tcPr>
          <w:p w14:paraId="1A6C8FFE" w14:textId="77777777" w:rsidR="003B17B9" w:rsidRPr="003B17B9" w:rsidRDefault="003B17B9" w:rsidP="003B17B9">
            <w:pPr>
              <w:spacing w:line="240" w:lineRule="auto"/>
              <w:jc w:val="center"/>
              <w:rPr>
                <w:rFonts w:ascii="Arial Narrow" w:hAnsi="Arial Narrow"/>
                <w:b/>
                <w:bCs/>
                <w:i/>
                <w:iCs/>
                <w:sz w:val="18"/>
                <w:szCs w:val="18"/>
              </w:rPr>
            </w:pPr>
            <w:r w:rsidRPr="003B17B9">
              <w:rPr>
                <w:rFonts w:ascii="Arial Narrow" w:hAnsi="Arial Narrow"/>
                <w:b/>
                <w:bCs/>
                <w:i/>
                <w:iCs/>
                <w:sz w:val="18"/>
                <w:szCs w:val="18"/>
              </w:rPr>
              <w:t>1,217</w:t>
            </w:r>
          </w:p>
        </w:tc>
        <w:tc>
          <w:tcPr>
            <w:tcW w:w="813" w:type="dxa"/>
            <w:tcBorders>
              <w:top w:val="nil"/>
              <w:left w:val="nil"/>
              <w:bottom w:val="single" w:sz="4" w:space="0" w:color="auto"/>
              <w:right w:val="single" w:sz="4" w:space="0" w:color="auto"/>
            </w:tcBorders>
            <w:shd w:val="clear" w:color="000000" w:fill="FFFFFF"/>
            <w:noWrap/>
            <w:vAlign w:val="center"/>
            <w:hideMark/>
          </w:tcPr>
          <w:p w14:paraId="51DCB147" w14:textId="77777777" w:rsidR="003B17B9" w:rsidRPr="003B17B9" w:rsidRDefault="003B17B9" w:rsidP="003B17B9">
            <w:pPr>
              <w:spacing w:line="240" w:lineRule="auto"/>
              <w:jc w:val="center"/>
              <w:rPr>
                <w:rFonts w:ascii="Arial Narrow" w:hAnsi="Arial Narrow"/>
                <w:b/>
                <w:bCs/>
                <w:i/>
                <w:iCs/>
                <w:sz w:val="18"/>
                <w:szCs w:val="18"/>
              </w:rPr>
            </w:pPr>
            <w:r w:rsidRPr="003B17B9">
              <w:rPr>
                <w:rFonts w:ascii="Arial Narrow" w:hAnsi="Arial Narrow"/>
                <w:b/>
                <w:bCs/>
                <w:i/>
                <w:iCs/>
                <w:sz w:val="18"/>
                <w:szCs w:val="18"/>
              </w:rPr>
              <w:t>2,223</w:t>
            </w:r>
          </w:p>
        </w:tc>
      </w:tr>
      <w:tr w:rsidR="003B17B9" w:rsidRPr="00176086" w14:paraId="229EFB94" w14:textId="77777777" w:rsidTr="0058478E">
        <w:trPr>
          <w:trHeight w:val="352"/>
        </w:trPr>
        <w:tc>
          <w:tcPr>
            <w:tcW w:w="980" w:type="dxa"/>
            <w:tcBorders>
              <w:top w:val="nil"/>
              <w:left w:val="single" w:sz="4" w:space="0" w:color="auto"/>
              <w:bottom w:val="single" w:sz="4" w:space="0" w:color="auto"/>
              <w:right w:val="single" w:sz="4" w:space="0" w:color="auto"/>
            </w:tcBorders>
            <w:shd w:val="clear" w:color="000000" w:fill="FFFFFF"/>
            <w:vAlign w:val="center"/>
            <w:hideMark/>
          </w:tcPr>
          <w:p w14:paraId="3637979B" w14:textId="77777777" w:rsidR="003B17B9" w:rsidRPr="00176086" w:rsidRDefault="003B17B9" w:rsidP="003B17B9">
            <w:pPr>
              <w:spacing w:line="240" w:lineRule="auto"/>
              <w:jc w:val="center"/>
              <w:rPr>
                <w:rFonts w:ascii="Arial Narrow" w:hAnsi="Arial Narrow"/>
                <w:b/>
                <w:bCs/>
                <w:color w:val="000000"/>
                <w:sz w:val="18"/>
                <w:szCs w:val="18"/>
              </w:rPr>
            </w:pPr>
            <w:r w:rsidRPr="00176086">
              <w:rPr>
                <w:rFonts w:ascii="Arial Narrow" w:hAnsi="Arial Narrow"/>
                <w:b/>
                <w:bCs/>
                <w:color w:val="000000"/>
                <w:sz w:val="18"/>
                <w:szCs w:val="18"/>
              </w:rPr>
              <w:t>C&amp;S*</w:t>
            </w:r>
          </w:p>
        </w:tc>
        <w:tc>
          <w:tcPr>
            <w:tcW w:w="852" w:type="dxa"/>
            <w:tcBorders>
              <w:top w:val="nil"/>
              <w:left w:val="nil"/>
              <w:bottom w:val="single" w:sz="4" w:space="0" w:color="auto"/>
              <w:right w:val="nil"/>
            </w:tcBorders>
            <w:shd w:val="clear" w:color="000000" w:fill="FFFFFF"/>
            <w:noWrap/>
            <w:vAlign w:val="center"/>
            <w:hideMark/>
          </w:tcPr>
          <w:p w14:paraId="0DBFEE8D"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1,212</w:t>
            </w:r>
          </w:p>
        </w:tc>
        <w:tc>
          <w:tcPr>
            <w:tcW w:w="893" w:type="dxa"/>
            <w:tcBorders>
              <w:top w:val="nil"/>
              <w:left w:val="nil"/>
              <w:bottom w:val="single" w:sz="4" w:space="0" w:color="auto"/>
              <w:right w:val="single" w:sz="4" w:space="0" w:color="auto"/>
            </w:tcBorders>
            <w:shd w:val="clear" w:color="000000" w:fill="FFFFFF"/>
            <w:noWrap/>
            <w:vAlign w:val="center"/>
            <w:hideMark/>
          </w:tcPr>
          <w:p w14:paraId="172F5784"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864</w:t>
            </w:r>
          </w:p>
        </w:tc>
        <w:tc>
          <w:tcPr>
            <w:tcW w:w="853" w:type="dxa"/>
            <w:tcBorders>
              <w:top w:val="nil"/>
              <w:left w:val="nil"/>
              <w:bottom w:val="single" w:sz="4" w:space="0" w:color="auto"/>
              <w:right w:val="nil"/>
            </w:tcBorders>
            <w:shd w:val="clear" w:color="000000" w:fill="FFFFFF"/>
            <w:noWrap/>
            <w:vAlign w:val="center"/>
            <w:hideMark/>
          </w:tcPr>
          <w:p w14:paraId="0E3D1096"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1,212</w:t>
            </w:r>
          </w:p>
        </w:tc>
        <w:tc>
          <w:tcPr>
            <w:tcW w:w="813" w:type="dxa"/>
            <w:tcBorders>
              <w:top w:val="nil"/>
              <w:left w:val="nil"/>
              <w:bottom w:val="single" w:sz="4" w:space="0" w:color="auto"/>
              <w:right w:val="single" w:sz="4" w:space="0" w:color="auto"/>
            </w:tcBorders>
            <w:shd w:val="clear" w:color="000000" w:fill="FFFFFF"/>
            <w:noWrap/>
            <w:vAlign w:val="center"/>
            <w:hideMark/>
          </w:tcPr>
          <w:p w14:paraId="57B215B8"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864</w:t>
            </w:r>
          </w:p>
        </w:tc>
        <w:tc>
          <w:tcPr>
            <w:tcW w:w="813" w:type="dxa"/>
            <w:tcBorders>
              <w:top w:val="nil"/>
              <w:left w:val="nil"/>
              <w:bottom w:val="single" w:sz="4" w:space="0" w:color="auto"/>
              <w:right w:val="nil"/>
            </w:tcBorders>
            <w:shd w:val="clear" w:color="000000" w:fill="FFFFFF"/>
            <w:noWrap/>
            <w:vAlign w:val="center"/>
            <w:hideMark/>
          </w:tcPr>
          <w:p w14:paraId="65F81BC4"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1,212</w:t>
            </w:r>
          </w:p>
        </w:tc>
        <w:tc>
          <w:tcPr>
            <w:tcW w:w="813" w:type="dxa"/>
            <w:tcBorders>
              <w:top w:val="nil"/>
              <w:left w:val="nil"/>
              <w:bottom w:val="single" w:sz="4" w:space="0" w:color="auto"/>
              <w:right w:val="single" w:sz="4" w:space="0" w:color="auto"/>
            </w:tcBorders>
            <w:shd w:val="clear" w:color="000000" w:fill="FFFFFF"/>
            <w:noWrap/>
            <w:vAlign w:val="center"/>
            <w:hideMark/>
          </w:tcPr>
          <w:p w14:paraId="7A4E2BEE"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864</w:t>
            </w:r>
          </w:p>
        </w:tc>
        <w:tc>
          <w:tcPr>
            <w:tcW w:w="813" w:type="dxa"/>
            <w:tcBorders>
              <w:top w:val="nil"/>
              <w:left w:val="nil"/>
              <w:bottom w:val="single" w:sz="4" w:space="0" w:color="auto"/>
              <w:right w:val="nil"/>
            </w:tcBorders>
            <w:shd w:val="clear" w:color="000000" w:fill="FFFFFF"/>
            <w:noWrap/>
            <w:vAlign w:val="center"/>
            <w:hideMark/>
          </w:tcPr>
          <w:p w14:paraId="23F841B9"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1,212</w:t>
            </w:r>
          </w:p>
        </w:tc>
        <w:tc>
          <w:tcPr>
            <w:tcW w:w="813" w:type="dxa"/>
            <w:tcBorders>
              <w:top w:val="nil"/>
              <w:left w:val="nil"/>
              <w:bottom w:val="single" w:sz="4" w:space="0" w:color="auto"/>
              <w:right w:val="single" w:sz="4" w:space="0" w:color="auto"/>
            </w:tcBorders>
            <w:shd w:val="clear" w:color="000000" w:fill="FFFFFF"/>
            <w:noWrap/>
            <w:vAlign w:val="center"/>
            <w:hideMark/>
          </w:tcPr>
          <w:p w14:paraId="05FE1E38"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864</w:t>
            </w:r>
          </w:p>
        </w:tc>
        <w:tc>
          <w:tcPr>
            <w:tcW w:w="813" w:type="dxa"/>
            <w:tcBorders>
              <w:top w:val="nil"/>
              <w:left w:val="nil"/>
              <w:bottom w:val="single" w:sz="4" w:space="0" w:color="auto"/>
              <w:right w:val="nil"/>
            </w:tcBorders>
            <w:shd w:val="clear" w:color="000000" w:fill="FFFFFF"/>
            <w:noWrap/>
            <w:vAlign w:val="center"/>
            <w:hideMark/>
          </w:tcPr>
          <w:p w14:paraId="00D9ECD1"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1,212</w:t>
            </w:r>
          </w:p>
        </w:tc>
        <w:tc>
          <w:tcPr>
            <w:tcW w:w="813" w:type="dxa"/>
            <w:tcBorders>
              <w:top w:val="nil"/>
              <w:left w:val="nil"/>
              <w:bottom w:val="single" w:sz="4" w:space="0" w:color="auto"/>
              <w:right w:val="single" w:sz="4" w:space="0" w:color="auto"/>
            </w:tcBorders>
            <w:shd w:val="clear" w:color="000000" w:fill="FFFFFF"/>
            <w:noWrap/>
            <w:vAlign w:val="center"/>
            <w:hideMark/>
          </w:tcPr>
          <w:p w14:paraId="435EB051" w14:textId="77777777" w:rsidR="003B17B9" w:rsidRPr="003B17B9" w:rsidRDefault="003B17B9" w:rsidP="003B17B9">
            <w:pPr>
              <w:spacing w:line="240" w:lineRule="auto"/>
              <w:jc w:val="center"/>
              <w:rPr>
                <w:rFonts w:ascii="Arial Narrow" w:hAnsi="Arial Narrow"/>
                <w:sz w:val="18"/>
                <w:szCs w:val="18"/>
              </w:rPr>
            </w:pPr>
            <w:r w:rsidRPr="003B17B9">
              <w:rPr>
                <w:rFonts w:ascii="Arial Narrow" w:hAnsi="Arial Narrow"/>
                <w:sz w:val="18"/>
                <w:szCs w:val="18"/>
              </w:rPr>
              <w:t>864</w:t>
            </w:r>
          </w:p>
        </w:tc>
      </w:tr>
      <w:tr w:rsidR="003B17B9" w:rsidRPr="00176086" w14:paraId="1B9D63E7" w14:textId="77777777" w:rsidTr="0058478E">
        <w:trPr>
          <w:trHeight w:val="352"/>
        </w:trPr>
        <w:tc>
          <w:tcPr>
            <w:tcW w:w="980" w:type="dxa"/>
            <w:tcBorders>
              <w:top w:val="nil"/>
              <w:left w:val="single" w:sz="4" w:space="0" w:color="auto"/>
              <w:bottom w:val="single" w:sz="4" w:space="0" w:color="auto"/>
              <w:right w:val="single" w:sz="4" w:space="0" w:color="auto"/>
            </w:tcBorders>
            <w:shd w:val="clear" w:color="000000" w:fill="FFFFFF"/>
            <w:vAlign w:val="center"/>
            <w:hideMark/>
          </w:tcPr>
          <w:p w14:paraId="48262E23" w14:textId="77777777" w:rsidR="003B17B9" w:rsidRPr="00176086" w:rsidRDefault="003B17B9" w:rsidP="003B17B9">
            <w:pPr>
              <w:spacing w:line="240" w:lineRule="auto"/>
              <w:jc w:val="center"/>
              <w:rPr>
                <w:rFonts w:ascii="Arial Narrow" w:hAnsi="Arial Narrow"/>
                <w:b/>
                <w:bCs/>
                <w:color w:val="000000"/>
                <w:sz w:val="18"/>
                <w:szCs w:val="18"/>
              </w:rPr>
            </w:pPr>
            <w:r w:rsidRPr="00176086">
              <w:rPr>
                <w:rFonts w:ascii="Arial Narrow" w:hAnsi="Arial Narrow"/>
                <w:b/>
                <w:bCs/>
                <w:color w:val="000000"/>
                <w:sz w:val="18"/>
                <w:szCs w:val="18"/>
              </w:rPr>
              <w:t>Grand Total</w:t>
            </w:r>
          </w:p>
        </w:tc>
        <w:tc>
          <w:tcPr>
            <w:tcW w:w="852" w:type="dxa"/>
            <w:tcBorders>
              <w:top w:val="nil"/>
              <w:left w:val="nil"/>
              <w:bottom w:val="single" w:sz="4" w:space="0" w:color="auto"/>
              <w:right w:val="nil"/>
            </w:tcBorders>
            <w:shd w:val="clear" w:color="000000" w:fill="FFFFFF"/>
            <w:noWrap/>
            <w:vAlign w:val="center"/>
            <w:hideMark/>
          </w:tcPr>
          <w:p w14:paraId="7BC4D897" w14:textId="77777777" w:rsidR="003B17B9" w:rsidRPr="003B17B9" w:rsidRDefault="003B17B9" w:rsidP="003B17B9">
            <w:pPr>
              <w:spacing w:line="240" w:lineRule="auto"/>
              <w:jc w:val="center"/>
              <w:rPr>
                <w:rFonts w:ascii="Arial Narrow" w:hAnsi="Arial Narrow"/>
                <w:b/>
                <w:bCs/>
                <w:sz w:val="18"/>
                <w:szCs w:val="18"/>
              </w:rPr>
            </w:pPr>
            <w:r w:rsidRPr="003B17B9">
              <w:rPr>
                <w:rFonts w:ascii="Arial Narrow" w:hAnsi="Arial Narrow"/>
                <w:b/>
                <w:bCs/>
                <w:sz w:val="18"/>
                <w:szCs w:val="18"/>
              </w:rPr>
              <w:t>2,104</w:t>
            </w:r>
          </w:p>
        </w:tc>
        <w:tc>
          <w:tcPr>
            <w:tcW w:w="893" w:type="dxa"/>
            <w:tcBorders>
              <w:top w:val="nil"/>
              <w:left w:val="nil"/>
              <w:bottom w:val="single" w:sz="4" w:space="0" w:color="auto"/>
              <w:right w:val="single" w:sz="4" w:space="0" w:color="auto"/>
            </w:tcBorders>
            <w:shd w:val="clear" w:color="000000" w:fill="FFFFFF"/>
            <w:noWrap/>
            <w:vAlign w:val="center"/>
            <w:hideMark/>
          </w:tcPr>
          <w:p w14:paraId="49B61DEE" w14:textId="77777777" w:rsidR="003B17B9" w:rsidRPr="003B17B9" w:rsidRDefault="003B17B9" w:rsidP="003B17B9">
            <w:pPr>
              <w:spacing w:line="240" w:lineRule="auto"/>
              <w:jc w:val="center"/>
              <w:rPr>
                <w:rFonts w:ascii="Arial Narrow" w:hAnsi="Arial Narrow"/>
                <w:b/>
                <w:bCs/>
                <w:sz w:val="18"/>
                <w:szCs w:val="18"/>
              </w:rPr>
            </w:pPr>
            <w:r w:rsidRPr="003B17B9">
              <w:rPr>
                <w:rFonts w:ascii="Arial Narrow" w:hAnsi="Arial Narrow"/>
                <w:b/>
                <w:bCs/>
                <w:sz w:val="18"/>
                <w:szCs w:val="18"/>
              </w:rPr>
              <w:t>2,340</w:t>
            </w:r>
          </w:p>
        </w:tc>
        <w:tc>
          <w:tcPr>
            <w:tcW w:w="853" w:type="dxa"/>
            <w:tcBorders>
              <w:top w:val="nil"/>
              <w:left w:val="nil"/>
              <w:bottom w:val="single" w:sz="4" w:space="0" w:color="auto"/>
              <w:right w:val="nil"/>
            </w:tcBorders>
            <w:shd w:val="clear" w:color="000000" w:fill="FFFFFF"/>
            <w:noWrap/>
            <w:vAlign w:val="center"/>
            <w:hideMark/>
          </w:tcPr>
          <w:p w14:paraId="6AA6FDB6" w14:textId="77777777" w:rsidR="003B17B9" w:rsidRPr="003B17B9" w:rsidRDefault="003B17B9" w:rsidP="003B17B9">
            <w:pPr>
              <w:spacing w:line="240" w:lineRule="auto"/>
              <w:jc w:val="center"/>
              <w:rPr>
                <w:rFonts w:ascii="Arial Narrow" w:hAnsi="Arial Narrow"/>
                <w:b/>
                <w:bCs/>
                <w:sz w:val="18"/>
                <w:szCs w:val="18"/>
              </w:rPr>
            </w:pPr>
            <w:r w:rsidRPr="003B17B9">
              <w:rPr>
                <w:rFonts w:ascii="Arial Narrow" w:hAnsi="Arial Narrow"/>
                <w:b/>
                <w:bCs/>
                <w:sz w:val="18"/>
                <w:szCs w:val="18"/>
              </w:rPr>
              <w:t>2,136</w:t>
            </w:r>
          </w:p>
        </w:tc>
        <w:tc>
          <w:tcPr>
            <w:tcW w:w="813" w:type="dxa"/>
            <w:tcBorders>
              <w:top w:val="nil"/>
              <w:left w:val="nil"/>
              <w:bottom w:val="single" w:sz="4" w:space="0" w:color="auto"/>
              <w:right w:val="single" w:sz="4" w:space="0" w:color="auto"/>
            </w:tcBorders>
            <w:shd w:val="clear" w:color="000000" w:fill="FFFFFF"/>
            <w:noWrap/>
            <w:vAlign w:val="center"/>
            <w:hideMark/>
          </w:tcPr>
          <w:p w14:paraId="23602F8C" w14:textId="77777777" w:rsidR="003B17B9" w:rsidRPr="003B17B9" w:rsidRDefault="003B17B9" w:rsidP="003B17B9">
            <w:pPr>
              <w:spacing w:line="240" w:lineRule="auto"/>
              <w:jc w:val="center"/>
              <w:rPr>
                <w:rFonts w:ascii="Arial Narrow" w:hAnsi="Arial Narrow"/>
                <w:b/>
                <w:bCs/>
                <w:sz w:val="18"/>
                <w:szCs w:val="18"/>
              </w:rPr>
            </w:pPr>
            <w:r w:rsidRPr="003B17B9">
              <w:rPr>
                <w:rFonts w:ascii="Arial Narrow" w:hAnsi="Arial Narrow"/>
                <w:b/>
                <w:bCs/>
                <w:sz w:val="18"/>
                <w:szCs w:val="18"/>
              </w:rPr>
              <w:t>2,361</w:t>
            </w:r>
          </w:p>
        </w:tc>
        <w:tc>
          <w:tcPr>
            <w:tcW w:w="813" w:type="dxa"/>
            <w:tcBorders>
              <w:top w:val="nil"/>
              <w:left w:val="nil"/>
              <w:bottom w:val="single" w:sz="4" w:space="0" w:color="auto"/>
              <w:right w:val="nil"/>
            </w:tcBorders>
            <w:shd w:val="clear" w:color="000000" w:fill="FFFFFF"/>
            <w:noWrap/>
            <w:vAlign w:val="center"/>
            <w:hideMark/>
          </w:tcPr>
          <w:p w14:paraId="3C0CCE13" w14:textId="77777777" w:rsidR="003B17B9" w:rsidRPr="003B17B9" w:rsidRDefault="003B17B9" w:rsidP="003B17B9">
            <w:pPr>
              <w:spacing w:line="240" w:lineRule="auto"/>
              <w:jc w:val="center"/>
              <w:rPr>
                <w:rFonts w:ascii="Arial Narrow" w:hAnsi="Arial Narrow"/>
                <w:b/>
                <w:bCs/>
                <w:sz w:val="18"/>
                <w:szCs w:val="18"/>
              </w:rPr>
            </w:pPr>
            <w:r w:rsidRPr="003B17B9">
              <w:rPr>
                <w:rFonts w:ascii="Arial Narrow" w:hAnsi="Arial Narrow"/>
                <w:b/>
                <w:bCs/>
                <w:sz w:val="18"/>
                <w:szCs w:val="18"/>
              </w:rPr>
              <w:t>2,146</w:t>
            </w:r>
          </w:p>
        </w:tc>
        <w:tc>
          <w:tcPr>
            <w:tcW w:w="813" w:type="dxa"/>
            <w:tcBorders>
              <w:top w:val="nil"/>
              <w:left w:val="nil"/>
              <w:bottom w:val="single" w:sz="4" w:space="0" w:color="auto"/>
              <w:right w:val="single" w:sz="4" w:space="0" w:color="auto"/>
            </w:tcBorders>
            <w:shd w:val="clear" w:color="000000" w:fill="FFFFFF"/>
            <w:noWrap/>
            <w:vAlign w:val="center"/>
            <w:hideMark/>
          </w:tcPr>
          <w:p w14:paraId="524A7BEE" w14:textId="77777777" w:rsidR="003B17B9" w:rsidRPr="003B17B9" w:rsidRDefault="003B17B9" w:rsidP="003B17B9">
            <w:pPr>
              <w:spacing w:line="240" w:lineRule="auto"/>
              <w:jc w:val="center"/>
              <w:rPr>
                <w:rFonts w:ascii="Arial Narrow" w:hAnsi="Arial Narrow"/>
                <w:b/>
                <w:bCs/>
                <w:sz w:val="18"/>
                <w:szCs w:val="18"/>
              </w:rPr>
            </w:pPr>
            <w:r w:rsidRPr="003B17B9">
              <w:rPr>
                <w:rFonts w:ascii="Arial Narrow" w:hAnsi="Arial Narrow"/>
                <w:b/>
                <w:bCs/>
                <w:sz w:val="18"/>
                <w:szCs w:val="18"/>
              </w:rPr>
              <w:t>2,389</w:t>
            </w:r>
          </w:p>
        </w:tc>
        <w:tc>
          <w:tcPr>
            <w:tcW w:w="813" w:type="dxa"/>
            <w:tcBorders>
              <w:top w:val="nil"/>
              <w:left w:val="nil"/>
              <w:bottom w:val="single" w:sz="4" w:space="0" w:color="auto"/>
              <w:right w:val="nil"/>
            </w:tcBorders>
            <w:shd w:val="clear" w:color="000000" w:fill="FFFFFF"/>
            <w:noWrap/>
            <w:vAlign w:val="center"/>
            <w:hideMark/>
          </w:tcPr>
          <w:p w14:paraId="0E8128D0" w14:textId="77777777" w:rsidR="003B17B9" w:rsidRPr="003B17B9" w:rsidRDefault="003B17B9" w:rsidP="003B17B9">
            <w:pPr>
              <w:spacing w:line="240" w:lineRule="auto"/>
              <w:jc w:val="center"/>
              <w:rPr>
                <w:rFonts w:ascii="Arial Narrow" w:hAnsi="Arial Narrow"/>
                <w:b/>
                <w:bCs/>
                <w:sz w:val="18"/>
                <w:szCs w:val="18"/>
              </w:rPr>
            </w:pPr>
            <w:r w:rsidRPr="003B17B9">
              <w:rPr>
                <w:rFonts w:ascii="Arial Narrow" w:hAnsi="Arial Narrow"/>
                <w:b/>
                <w:bCs/>
                <w:sz w:val="18"/>
                <w:szCs w:val="18"/>
              </w:rPr>
              <w:t>2,330</w:t>
            </w:r>
          </w:p>
        </w:tc>
        <w:tc>
          <w:tcPr>
            <w:tcW w:w="813" w:type="dxa"/>
            <w:tcBorders>
              <w:top w:val="nil"/>
              <w:left w:val="nil"/>
              <w:bottom w:val="single" w:sz="4" w:space="0" w:color="auto"/>
              <w:right w:val="single" w:sz="4" w:space="0" w:color="auto"/>
            </w:tcBorders>
            <w:shd w:val="clear" w:color="000000" w:fill="FFFFFF"/>
            <w:noWrap/>
            <w:vAlign w:val="center"/>
            <w:hideMark/>
          </w:tcPr>
          <w:p w14:paraId="0C0774C1" w14:textId="77777777" w:rsidR="003B17B9" w:rsidRPr="003B17B9" w:rsidRDefault="003B17B9" w:rsidP="003B17B9">
            <w:pPr>
              <w:spacing w:line="240" w:lineRule="auto"/>
              <w:jc w:val="center"/>
              <w:rPr>
                <w:rFonts w:ascii="Arial Narrow" w:hAnsi="Arial Narrow"/>
                <w:b/>
                <w:bCs/>
                <w:sz w:val="18"/>
                <w:szCs w:val="18"/>
              </w:rPr>
            </w:pPr>
            <w:r w:rsidRPr="003B17B9">
              <w:rPr>
                <w:rFonts w:ascii="Arial Narrow" w:hAnsi="Arial Narrow"/>
                <w:b/>
                <w:bCs/>
                <w:sz w:val="18"/>
                <w:szCs w:val="18"/>
              </w:rPr>
              <w:t>2,476</w:t>
            </w:r>
          </w:p>
        </w:tc>
        <w:tc>
          <w:tcPr>
            <w:tcW w:w="813" w:type="dxa"/>
            <w:tcBorders>
              <w:top w:val="nil"/>
              <w:left w:val="nil"/>
              <w:bottom w:val="single" w:sz="4" w:space="0" w:color="auto"/>
              <w:right w:val="nil"/>
            </w:tcBorders>
            <w:shd w:val="clear" w:color="000000" w:fill="FFFFFF"/>
            <w:noWrap/>
            <w:vAlign w:val="center"/>
            <w:hideMark/>
          </w:tcPr>
          <w:p w14:paraId="1516C4A4" w14:textId="77777777" w:rsidR="003B17B9" w:rsidRPr="003B17B9" w:rsidRDefault="003B17B9" w:rsidP="003B17B9">
            <w:pPr>
              <w:spacing w:line="240" w:lineRule="auto"/>
              <w:jc w:val="center"/>
              <w:rPr>
                <w:rFonts w:ascii="Arial Narrow" w:hAnsi="Arial Narrow"/>
                <w:b/>
                <w:bCs/>
                <w:sz w:val="18"/>
                <w:szCs w:val="18"/>
              </w:rPr>
            </w:pPr>
            <w:r w:rsidRPr="003B17B9">
              <w:rPr>
                <w:rFonts w:ascii="Arial Narrow" w:hAnsi="Arial Narrow"/>
                <w:b/>
                <w:bCs/>
                <w:sz w:val="18"/>
                <w:szCs w:val="18"/>
              </w:rPr>
              <w:t>2,429</w:t>
            </w:r>
          </w:p>
        </w:tc>
        <w:tc>
          <w:tcPr>
            <w:tcW w:w="813" w:type="dxa"/>
            <w:tcBorders>
              <w:top w:val="nil"/>
              <w:left w:val="nil"/>
              <w:bottom w:val="single" w:sz="4" w:space="0" w:color="auto"/>
              <w:right w:val="single" w:sz="4" w:space="0" w:color="auto"/>
            </w:tcBorders>
            <w:shd w:val="clear" w:color="000000" w:fill="FFFFFF"/>
            <w:noWrap/>
            <w:vAlign w:val="center"/>
            <w:hideMark/>
          </w:tcPr>
          <w:p w14:paraId="258287B8" w14:textId="77777777" w:rsidR="003B17B9" w:rsidRPr="003B17B9" w:rsidRDefault="003B17B9" w:rsidP="003B17B9">
            <w:pPr>
              <w:spacing w:line="240" w:lineRule="auto"/>
              <w:jc w:val="center"/>
              <w:rPr>
                <w:rFonts w:ascii="Arial Narrow" w:hAnsi="Arial Narrow"/>
                <w:b/>
                <w:bCs/>
                <w:sz w:val="18"/>
                <w:szCs w:val="18"/>
              </w:rPr>
            </w:pPr>
            <w:r w:rsidRPr="003B17B9">
              <w:rPr>
                <w:rFonts w:ascii="Arial Narrow" w:hAnsi="Arial Narrow"/>
                <w:b/>
                <w:bCs/>
                <w:sz w:val="18"/>
                <w:szCs w:val="18"/>
              </w:rPr>
              <w:t>3,088</w:t>
            </w:r>
          </w:p>
        </w:tc>
      </w:tr>
    </w:tbl>
    <w:p w14:paraId="000E6864" w14:textId="77777777" w:rsidR="00502AC0" w:rsidRPr="00C25BCB" w:rsidRDefault="00176086" w:rsidP="00AF21BE">
      <w:pPr>
        <w:jc w:val="center"/>
      </w:pPr>
      <w:r w:rsidRPr="00502AC0">
        <w:rPr>
          <w:sz w:val="16"/>
          <w:szCs w:val="16"/>
        </w:rPr>
        <w:t>*includes interactive effects</w:t>
      </w:r>
    </w:p>
    <w:p w14:paraId="43C78524" w14:textId="77777777" w:rsidR="00E05BCD" w:rsidRDefault="00502AC0" w:rsidP="00E05BCD">
      <w:pPr>
        <w:pStyle w:val="Caption"/>
      </w:pPr>
      <w:bookmarkStart w:id="41" w:name="_Ref484778766"/>
      <w:bookmarkStart w:id="42" w:name="_Toc490225861"/>
      <w:r>
        <w:lastRenderedPageBreak/>
        <w:t>Figure ES-</w:t>
      </w:r>
      <w:fldSimple w:instr=" SEQ Figure_ES- \* ARABIC ">
        <w:r w:rsidR="007566B9">
          <w:rPr>
            <w:noProof/>
          </w:rPr>
          <w:t>2</w:t>
        </w:r>
      </w:fldSimple>
      <w:bookmarkEnd w:id="41"/>
      <w:r>
        <w:t>.</w:t>
      </w:r>
      <w:r w:rsidRPr="00F123A3">
        <w:t xml:space="preserve"> </w:t>
      </w:r>
      <w:r w:rsidR="00E05BCD">
        <w:t>Statewide</w:t>
      </w:r>
      <w:r w:rsidR="003F7321">
        <w:t xml:space="preserve"> Net</w:t>
      </w:r>
      <w:r w:rsidR="00E05BCD">
        <w:t xml:space="preserve"> Incremental Gas Savings by Scenario</w:t>
      </w:r>
      <w:bookmarkEnd w:id="42"/>
      <w:r w:rsidR="00E05BCD">
        <w:t xml:space="preserve"> </w:t>
      </w:r>
    </w:p>
    <w:p w14:paraId="584B947D" w14:textId="77777777" w:rsidR="00502AC0" w:rsidRPr="00502AC0" w:rsidRDefault="003B17B9" w:rsidP="00502AC0">
      <w:r>
        <w:rPr>
          <w:noProof/>
        </w:rPr>
        <w:drawing>
          <wp:inline distT="0" distB="0" distL="0" distR="0" wp14:anchorId="18827850" wp14:editId="604E4F94">
            <wp:extent cx="5890893" cy="3977640"/>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0893" cy="3977640"/>
                    </a:xfrm>
                    <a:prstGeom prst="rect">
                      <a:avLst/>
                    </a:prstGeom>
                    <a:noFill/>
                  </pic:spPr>
                </pic:pic>
              </a:graphicData>
            </a:graphic>
          </wp:inline>
        </w:drawing>
      </w:r>
    </w:p>
    <w:p w14:paraId="668C61CA" w14:textId="77777777" w:rsidR="00754F18" w:rsidRDefault="00754F18" w:rsidP="00031C0C">
      <w:pPr>
        <w:pStyle w:val="Caption"/>
        <w:jc w:val="left"/>
      </w:pPr>
    </w:p>
    <w:p w14:paraId="32906F2E" w14:textId="77777777" w:rsidR="005E7B52" w:rsidRDefault="005E7B52" w:rsidP="005E7B52">
      <w:pPr>
        <w:pStyle w:val="Caption"/>
      </w:pPr>
      <w:bookmarkStart w:id="43" w:name="_Toc490226067"/>
      <w:r>
        <w:t xml:space="preserve">Table ES- </w:t>
      </w:r>
      <w:fldSimple w:instr=" SEQ Table_ES- \* ARABIC ">
        <w:r w:rsidR="007566B9">
          <w:rPr>
            <w:noProof/>
          </w:rPr>
          <w:t>3</w:t>
        </w:r>
      </w:fldSimple>
      <w:r>
        <w:t>.</w:t>
      </w:r>
      <w:r w:rsidRPr="005E7B52">
        <w:t xml:space="preserve"> </w:t>
      </w:r>
      <w:r>
        <w:t xml:space="preserve">Statewide </w:t>
      </w:r>
      <w:r w:rsidR="003F7321">
        <w:t xml:space="preserve">Net </w:t>
      </w:r>
      <w:r>
        <w:t>Incremental Gas Savings by Scenario</w:t>
      </w:r>
      <w:bookmarkEnd w:id="43"/>
    </w:p>
    <w:tbl>
      <w:tblPr>
        <w:tblW w:w="9211" w:type="dxa"/>
        <w:tblLook w:val="04A0" w:firstRow="1" w:lastRow="0" w:firstColumn="1" w:lastColumn="0" w:noHBand="0" w:noVBand="1"/>
      </w:tblPr>
      <w:tblGrid>
        <w:gridCol w:w="1892"/>
        <w:gridCol w:w="729"/>
        <w:gridCol w:w="732"/>
        <w:gridCol w:w="729"/>
        <w:gridCol w:w="732"/>
        <w:gridCol w:w="729"/>
        <w:gridCol w:w="732"/>
        <w:gridCol w:w="729"/>
        <w:gridCol w:w="732"/>
        <w:gridCol w:w="729"/>
        <w:gridCol w:w="730"/>
        <w:gridCol w:w="16"/>
      </w:tblGrid>
      <w:tr w:rsidR="007B497E" w:rsidRPr="0058478E" w14:paraId="0460B0F8" w14:textId="77777777" w:rsidTr="0058478E">
        <w:trPr>
          <w:trHeight w:val="282"/>
        </w:trPr>
        <w:tc>
          <w:tcPr>
            <w:tcW w:w="9211" w:type="dxa"/>
            <w:gridSpan w:val="12"/>
            <w:tcBorders>
              <w:top w:val="nil"/>
              <w:left w:val="nil"/>
              <w:bottom w:val="single" w:sz="4" w:space="0" w:color="auto"/>
              <w:right w:val="nil"/>
            </w:tcBorders>
            <w:shd w:val="clear" w:color="000000" w:fill="555759"/>
            <w:noWrap/>
            <w:vAlign w:val="center"/>
            <w:hideMark/>
          </w:tcPr>
          <w:p w14:paraId="6A0607A8" w14:textId="77777777" w:rsidR="007B497E" w:rsidRPr="0058478E" w:rsidRDefault="007B497E" w:rsidP="007B497E">
            <w:pPr>
              <w:spacing w:line="240" w:lineRule="auto"/>
              <w:jc w:val="center"/>
              <w:rPr>
                <w:rFonts w:ascii="Arial Narrow" w:hAnsi="Arial Narrow"/>
                <w:b/>
                <w:bCs/>
                <w:color w:val="FFFFFF"/>
                <w:sz w:val="18"/>
                <w:szCs w:val="18"/>
              </w:rPr>
            </w:pPr>
            <w:r w:rsidRPr="0058478E">
              <w:rPr>
                <w:rFonts w:ascii="Arial Narrow" w:hAnsi="Arial Narrow"/>
                <w:b/>
                <w:bCs/>
                <w:color w:val="FFFFFF"/>
                <w:sz w:val="18"/>
                <w:szCs w:val="18"/>
              </w:rPr>
              <w:t>Gas Energy (MMTherm/year)</w:t>
            </w:r>
          </w:p>
        </w:tc>
      </w:tr>
      <w:tr w:rsidR="0058478E" w:rsidRPr="0058478E" w14:paraId="6F4910BC" w14:textId="77777777" w:rsidTr="0058478E">
        <w:trPr>
          <w:gridAfter w:val="1"/>
          <w:wAfter w:w="20" w:type="dxa"/>
          <w:trHeight w:val="298"/>
        </w:trPr>
        <w:tc>
          <w:tcPr>
            <w:tcW w:w="1892" w:type="dxa"/>
            <w:tcBorders>
              <w:top w:val="nil"/>
              <w:left w:val="single" w:sz="4" w:space="0" w:color="auto"/>
              <w:bottom w:val="single" w:sz="8" w:space="0" w:color="DCDDDE"/>
              <w:right w:val="single" w:sz="4" w:space="0" w:color="auto"/>
            </w:tcBorders>
            <w:shd w:val="clear" w:color="auto" w:fill="auto"/>
            <w:vAlign w:val="center"/>
            <w:hideMark/>
          </w:tcPr>
          <w:p w14:paraId="0C71D404" w14:textId="77777777" w:rsidR="007B497E" w:rsidRPr="0058478E" w:rsidRDefault="007B497E" w:rsidP="007B497E">
            <w:pPr>
              <w:spacing w:line="240" w:lineRule="auto"/>
              <w:jc w:val="center"/>
              <w:rPr>
                <w:rFonts w:ascii="Arial Narrow" w:hAnsi="Arial Narrow"/>
                <w:b/>
                <w:bCs/>
                <w:sz w:val="18"/>
                <w:szCs w:val="18"/>
              </w:rPr>
            </w:pPr>
            <w:r w:rsidRPr="0058478E">
              <w:rPr>
                <w:rFonts w:ascii="Arial Narrow" w:hAnsi="Arial Narrow"/>
                <w:b/>
                <w:bCs/>
                <w:sz w:val="18"/>
                <w:szCs w:val="18"/>
              </w:rPr>
              <w:t>Year:</w:t>
            </w:r>
          </w:p>
        </w:tc>
        <w:tc>
          <w:tcPr>
            <w:tcW w:w="729" w:type="dxa"/>
            <w:tcBorders>
              <w:top w:val="nil"/>
              <w:left w:val="nil"/>
              <w:bottom w:val="single" w:sz="8" w:space="0" w:color="DCDDDE"/>
              <w:right w:val="nil"/>
            </w:tcBorders>
            <w:shd w:val="clear" w:color="auto" w:fill="auto"/>
            <w:noWrap/>
            <w:vAlign w:val="center"/>
            <w:hideMark/>
          </w:tcPr>
          <w:p w14:paraId="05DF6098" w14:textId="77777777" w:rsidR="007B497E" w:rsidRPr="0058478E" w:rsidRDefault="007B497E" w:rsidP="007B497E">
            <w:pPr>
              <w:spacing w:line="240" w:lineRule="auto"/>
              <w:jc w:val="center"/>
              <w:rPr>
                <w:rFonts w:ascii="Arial Narrow" w:hAnsi="Arial Narrow"/>
                <w:b/>
                <w:bCs/>
                <w:sz w:val="18"/>
                <w:szCs w:val="18"/>
              </w:rPr>
            </w:pPr>
            <w:r w:rsidRPr="0058478E">
              <w:rPr>
                <w:rFonts w:ascii="Arial Narrow" w:hAnsi="Arial Narrow"/>
                <w:b/>
                <w:bCs/>
                <w:sz w:val="18"/>
                <w:szCs w:val="18"/>
              </w:rPr>
              <w:t>2018</w:t>
            </w:r>
          </w:p>
        </w:tc>
        <w:tc>
          <w:tcPr>
            <w:tcW w:w="731" w:type="dxa"/>
            <w:tcBorders>
              <w:top w:val="nil"/>
              <w:left w:val="nil"/>
              <w:bottom w:val="single" w:sz="8" w:space="0" w:color="DCDDDE"/>
              <w:right w:val="single" w:sz="4" w:space="0" w:color="auto"/>
            </w:tcBorders>
            <w:shd w:val="clear" w:color="auto" w:fill="auto"/>
            <w:noWrap/>
            <w:vAlign w:val="center"/>
            <w:hideMark/>
          </w:tcPr>
          <w:p w14:paraId="6589511A" w14:textId="77777777" w:rsidR="007B497E" w:rsidRPr="0058478E" w:rsidRDefault="007B497E" w:rsidP="007B497E">
            <w:pPr>
              <w:spacing w:line="240" w:lineRule="auto"/>
              <w:jc w:val="center"/>
              <w:rPr>
                <w:rFonts w:ascii="Arial Narrow" w:hAnsi="Arial Narrow"/>
                <w:b/>
                <w:bCs/>
                <w:sz w:val="18"/>
                <w:szCs w:val="18"/>
              </w:rPr>
            </w:pPr>
            <w:r w:rsidRPr="0058478E">
              <w:rPr>
                <w:rFonts w:ascii="Arial Narrow" w:hAnsi="Arial Narrow"/>
                <w:b/>
                <w:bCs/>
                <w:sz w:val="18"/>
                <w:szCs w:val="18"/>
              </w:rPr>
              <w:t>2030</w:t>
            </w:r>
          </w:p>
        </w:tc>
        <w:tc>
          <w:tcPr>
            <w:tcW w:w="729" w:type="dxa"/>
            <w:tcBorders>
              <w:top w:val="nil"/>
              <w:left w:val="nil"/>
              <w:bottom w:val="single" w:sz="8" w:space="0" w:color="DCDDDE"/>
              <w:right w:val="nil"/>
            </w:tcBorders>
            <w:shd w:val="clear" w:color="auto" w:fill="auto"/>
            <w:noWrap/>
            <w:vAlign w:val="center"/>
            <w:hideMark/>
          </w:tcPr>
          <w:p w14:paraId="5FF940E3" w14:textId="77777777" w:rsidR="007B497E" w:rsidRPr="0058478E" w:rsidRDefault="007B497E" w:rsidP="007B497E">
            <w:pPr>
              <w:spacing w:line="240" w:lineRule="auto"/>
              <w:jc w:val="center"/>
              <w:rPr>
                <w:rFonts w:ascii="Arial Narrow" w:hAnsi="Arial Narrow"/>
                <w:b/>
                <w:bCs/>
                <w:sz w:val="18"/>
                <w:szCs w:val="18"/>
              </w:rPr>
            </w:pPr>
            <w:r w:rsidRPr="0058478E">
              <w:rPr>
                <w:rFonts w:ascii="Arial Narrow" w:hAnsi="Arial Narrow"/>
                <w:b/>
                <w:bCs/>
                <w:sz w:val="18"/>
                <w:szCs w:val="18"/>
              </w:rPr>
              <w:t>2018</w:t>
            </w:r>
          </w:p>
        </w:tc>
        <w:tc>
          <w:tcPr>
            <w:tcW w:w="731" w:type="dxa"/>
            <w:tcBorders>
              <w:top w:val="nil"/>
              <w:left w:val="nil"/>
              <w:bottom w:val="single" w:sz="8" w:space="0" w:color="DCDDDE"/>
              <w:right w:val="single" w:sz="4" w:space="0" w:color="auto"/>
            </w:tcBorders>
            <w:shd w:val="clear" w:color="auto" w:fill="auto"/>
            <w:noWrap/>
            <w:vAlign w:val="center"/>
            <w:hideMark/>
          </w:tcPr>
          <w:p w14:paraId="783B3AA0" w14:textId="77777777" w:rsidR="007B497E" w:rsidRPr="0058478E" w:rsidRDefault="007B497E" w:rsidP="007B497E">
            <w:pPr>
              <w:spacing w:line="240" w:lineRule="auto"/>
              <w:jc w:val="center"/>
              <w:rPr>
                <w:rFonts w:ascii="Arial Narrow" w:hAnsi="Arial Narrow"/>
                <w:b/>
                <w:bCs/>
                <w:sz w:val="18"/>
                <w:szCs w:val="18"/>
              </w:rPr>
            </w:pPr>
            <w:r w:rsidRPr="0058478E">
              <w:rPr>
                <w:rFonts w:ascii="Arial Narrow" w:hAnsi="Arial Narrow"/>
                <w:b/>
                <w:bCs/>
                <w:sz w:val="18"/>
                <w:szCs w:val="18"/>
              </w:rPr>
              <w:t>2030</w:t>
            </w:r>
          </w:p>
        </w:tc>
        <w:tc>
          <w:tcPr>
            <w:tcW w:w="729" w:type="dxa"/>
            <w:tcBorders>
              <w:top w:val="nil"/>
              <w:left w:val="nil"/>
              <w:bottom w:val="single" w:sz="8" w:space="0" w:color="DCDDDE"/>
              <w:right w:val="nil"/>
            </w:tcBorders>
            <w:shd w:val="clear" w:color="auto" w:fill="auto"/>
            <w:noWrap/>
            <w:vAlign w:val="center"/>
            <w:hideMark/>
          </w:tcPr>
          <w:p w14:paraId="1344F720" w14:textId="77777777" w:rsidR="007B497E" w:rsidRPr="0058478E" w:rsidRDefault="007B497E" w:rsidP="007B497E">
            <w:pPr>
              <w:spacing w:line="240" w:lineRule="auto"/>
              <w:jc w:val="center"/>
              <w:rPr>
                <w:rFonts w:ascii="Arial Narrow" w:hAnsi="Arial Narrow"/>
                <w:b/>
                <w:bCs/>
                <w:sz w:val="18"/>
                <w:szCs w:val="18"/>
              </w:rPr>
            </w:pPr>
            <w:r w:rsidRPr="0058478E">
              <w:rPr>
                <w:rFonts w:ascii="Arial Narrow" w:hAnsi="Arial Narrow"/>
                <w:b/>
                <w:bCs/>
                <w:sz w:val="18"/>
                <w:szCs w:val="18"/>
              </w:rPr>
              <w:t>2018</w:t>
            </w:r>
          </w:p>
        </w:tc>
        <w:tc>
          <w:tcPr>
            <w:tcW w:w="731" w:type="dxa"/>
            <w:tcBorders>
              <w:top w:val="nil"/>
              <w:left w:val="nil"/>
              <w:bottom w:val="single" w:sz="8" w:space="0" w:color="DCDDDE"/>
              <w:right w:val="single" w:sz="4" w:space="0" w:color="auto"/>
            </w:tcBorders>
            <w:shd w:val="clear" w:color="auto" w:fill="auto"/>
            <w:noWrap/>
            <w:vAlign w:val="center"/>
            <w:hideMark/>
          </w:tcPr>
          <w:p w14:paraId="57C948C9" w14:textId="77777777" w:rsidR="007B497E" w:rsidRPr="0058478E" w:rsidRDefault="007B497E" w:rsidP="007B497E">
            <w:pPr>
              <w:spacing w:line="240" w:lineRule="auto"/>
              <w:jc w:val="center"/>
              <w:rPr>
                <w:rFonts w:ascii="Arial Narrow" w:hAnsi="Arial Narrow"/>
                <w:b/>
                <w:bCs/>
                <w:sz w:val="18"/>
                <w:szCs w:val="18"/>
              </w:rPr>
            </w:pPr>
            <w:r w:rsidRPr="0058478E">
              <w:rPr>
                <w:rFonts w:ascii="Arial Narrow" w:hAnsi="Arial Narrow"/>
                <w:b/>
                <w:bCs/>
                <w:sz w:val="18"/>
                <w:szCs w:val="18"/>
              </w:rPr>
              <w:t>2030</w:t>
            </w:r>
          </w:p>
        </w:tc>
        <w:tc>
          <w:tcPr>
            <w:tcW w:w="729" w:type="dxa"/>
            <w:tcBorders>
              <w:top w:val="nil"/>
              <w:left w:val="nil"/>
              <w:bottom w:val="single" w:sz="8" w:space="0" w:color="DCDDDE"/>
              <w:right w:val="nil"/>
            </w:tcBorders>
            <w:shd w:val="clear" w:color="auto" w:fill="auto"/>
            <w:noWrap/>
            <w:vAlign w:val="center"/>
            <w:hideMark/>
          </w:tcPr>
          <w:p w14:paraId="5FFA2FC5" w14:textId="77777777" w:rsidR="007B497E" w:rsidRPr="0058478E" w:rsidRDefault="007B497E" w:rsidP="007B497E">
            <w:pPr>
              <w:spacing w:line="240" w:lineRule="auto"/>
              <w:jc w:val="center"/>
              <w:rPr>
                <w:rFonts w:ascii="Arial Narrow" w:hAnsi="Arial Narrow"/>
                <w:b/>
                <w:bCs/>
                <w:sz w:val="18"/>
                <w:szCs w:val="18"/>
              </w:rPr>
            </w:pPr>
            <w:r w:rsidRPr="0058478E">
              <w:rPr>
                <w:rFonts w:ascii="Arial Narrow" w:hAnsi="Arial Narrow"/>
                <w:b/>
                <w:bCs/>
                <w:sz w:val="18"/>
                <w:szCs w:val="18"/>
              </w:rPr>
              <w:t>2018</w:t>
            </w:r>
          </w:p>
        </w:tc>
        <w:tc>
          <w:tcPr>
            <w:tcW w:w="731" w:type="dxa"/>
            <w:tcBorders>
              <w:top w:val="nil"/>
              <w:left w:val="nil"/>
              <w:bottom w:val="single" w:sz="8" w:space="0" w:color="DCDDDE"/>
              <w:right w:val="single" w:sz="4" w:space="0" w:color="auto"/>
            </w:tcBorders>
            <w:shd w:val="clear" w:color="auto" w:fill="auto"/>
            <w:noWrap/>
            <w:vAlign w:val="center"/>
            <w:hideMark/>
          </w:tcPr>
          <w:p w14:paraId="1C076FDC" w14:textId="77777777" w:rsidR="007B497E" w:rsidRPr="0058478E" w:rsidRDefault="007B497E" w:rsidP="007B497E">
            <w:pPr>
              <w:spacing w:line="240" w:lineRule="auto"/>
              <w:jc w:val="center"/>
              <w:rPr>
                <w:rFonts w:ascii="Arial Narrow" w:hAnsi="Arial Narrow"/>
                <w:b/>
                <w:bCs/>
                <w:sz w:val="18"/>
                <w:szCs w:val="18"/>
              </w:rPr>
            </w:pPr>
            <w:r w:rsidRPr="0058478E">
              <w:rPr>
                <w:rFonts w:ascii="Arial Narrow" w:hAnsi="Arial Narrow"/>
                <w:b/>
                <w:bCs/>
                <w:sz w:val="18"/>
                <w:szCs w:val="18"/>
              </w:rPr>
              <w:t>2030</w:t>
            </w:r>
          </w:p>
        </w:tc>
        <w:tc>
          <w:tcPr>
            <w:tcW w:w="729" w:type="dxa"/>
            <w:tcBorders>
              <w:top w:val="nil"/>
              <w:left w:val="nil"/>
              <w:bottom w:val="single" w:sz="8" w:space="0" w:color="DCDDDE"/>
              <w:right w:val="nil"/>
            </w:tcBorders>
            <w:shd w:val="clear" w:color="auto" w:fill="auto"/>
            <w:noWrap/>
            <w:vAlign w:val="center"/>
            <w:hideMark/>
          </w:tcPr>
          <w:p w14:paraId="645B15D9" w14:textId="77777777" w:rsidR="007B497E" w:rsidRPr="0058478E" w:rsidRDefault="007B497E" w:rsidP="007B497E">
            <w:pPr>
              <w:spacing w:line="240" w:lineRule="auto"/>
              <w:jc w:val="center"/>
              <w:rPr>
                <w:rFonts w:ascii="Arial Narrow" w:hAnsi="Arial Narrow"/>
                <w:b/>
                <w:bCs/>
                <w:sz w:val="18"/>
                <w:szCs w:val="18"/>
              </w:rPr>
            </w:pPr>
            <w:r w:rsidRPr="0058478E">
              <w:rPr>
                <w:rFonts w:ascii="Arial Narrow" w:hAnsi="Arial Narrow"/>
                <w:b/>
                <w:bCs/>
                <w:sz w:val="18"/>
                <w:szCs w:val="18"/>
              </w:rPr>
              <w:t>2018</w:t>
            </w:r>
          </w:p>
        </w:tc>
        <w:tc>
          <w:tcPr>
            <w:tcW w:w="730" w:type="dxa"/>
            <w:tcBorders>
              <w:top w:val="nil"/>
              <w:left w:val="nil"/>
              <w:bottom w:val="single" w:sz="8" w:space="0" w:color="DCDDDE"/>
              <w:right w:val="single" w:sz="4" w:space="0" w:color="auto"/>
            </w:tcBorders>
            <w:shd w:val="clear" w:color="auto" w:fill="auto"/>
            <w:noWrap/>
            <w:vAlign w:val="center"/>
            <w:hideMark/>
          </w:tcPr>
          <w:p w14:paraId="15621840" w14:textId="77777777" w:rsidR="007B497E" w:rsidRPr="0058478E" w:rsidRDefault="007B497E" w:rsidP="007B497E">
            <w:pPr>
              <w:spacing w:line="240" w:lineRule="auto"/>
              <w:jc w:val="center"/>
              <w:rPr>
                <w:rFonts w:ascii="Arial Narrow" w:hAnsi="Arial Narrow"/>
                <w:b/>
                <w:bCs/>
                <w:sz w:val="18"/>
                <w:szCs w:val="18"/>
              </w:rPr>
            </w:pPr>
            <w:r w:rsidRPr="0058478E">
              <w:rPr>
                <w:rFonts w:ascii="Arial Narrow" w:hAnsi="Arial Narrow"/>
                <w:b/>
                <w:bCs/>
                <w:sz w:val="18"/>
                <w:szCs w:val="18"/>
              </w:rPr>
              <w:t>2030</w:t>
            </w:r>
          </w:p>
        </w:tc>
      </w:tr>
      <w:tr w:rsidR="002544A3" w:rsidRPr="0058478E" w14:paraId="34E4CA3B" w14:textId="77777777" w:rsidTr="0058478E">
        <w:trPr>
          <w:trHeight w:val="1039"/>
        </w:trPr>
        <w:tc>
          <w:tcPr>
            <w:tcW w:w="1892" w:type="dxa"/>
            <w:tcBorders>
              <w:top w:val="nil"/>
              <w:left w:val="single" w:sz="4" w:space="0" w:color="auto"/>
              <w:bottom w:val="single" w:sz="8" w:space="0" w:color="DCDDDE"/>
              <w:right w:val="single" w:sz="4" w:space="0" w:color="auto"/>
            </w:tcBorders>
            <w:shd w:val="clear" w:color="000000" w:fill="DADADA"/>
            <w:vAlign w:val="center"/>
            <w:hideMark/>
          </w:tcPr>
          <w:p w14:paraId="6113F30E" w14:textId="77777777" w:rsidR="007B497E" w:rsidRPr="0058478E" w:rsidRDefault="007B497E" w:rsidP="007B497E">
            <w:pPr>
              <w:spacing w:line="240" w:lineRule="auto"/>
              <w:jc w:val="center"/>
              <w:rPr>
                <w:rFonts w:ascii="Arial Narrow" w:hAnsi="Arial Narrow"/>
                <w:b/>
                <w:bCs/>
                <w:sz w:val="18"/>
                <w:szCs w:val="18"/>
              </w:rPr>
            </w:pPr>
            <w:r w:rsidRPr="0058478E">
              <w:rPr>
                <w:rFonts w:ascii="Arial Narrow" w:hAnsi="Arial Narrow"/>
                <w:b/>
                <w:bCs/>
                <w:sz w:val="18"/>
                <w:szCs w:val="18"/>
              </w:rPr>
              <w:t>Program Type</w:t>
            </w:r>
          </w:p>
        </w:tc>
        <w:tc>
          <w:tcPr>
            <w:tcW w:w="1461" w:type="dxa"/>
            <w:gridSpan w:val="2"/>
            <w:tcBorders>
              <w:top w:val="single" w:sz="8" w:space="0" w:color="DCDDDE"/>
              <w:left w:val="nil"/>
              <w:bottom w:val="single" w:sz="8" w:space="0" w:color="DCDDDE"/>
              <w:right w:val="single" w:sz="4" w:space="0" w:color="000000"/>
            </w:tcBorders>
            <w:shd w:val="clear" w:color="000000" w:fill="DADADA"/>
            <w:vAlign w:val="center"/>
            <w:hideMark/>
          </w:tcPr>
          <w:p w14:paraId="55605C8A" w14:textId="77777777" w:rsidR="007B497E" w:rsidRPr="0058478E" w:rsidRDefault="007B497E" w:rsidP="007B497E">
            <w:pPr>
              <w:spacing w:line="240" w:lineRule="auto"/>
              <w:jc w:val="center"/>
              <w:rPr>
                <w:rFonts w:ascii="Arial Narrow" w:hAnsi="Arial Narrow"/>
                <w:b/>
                <w:bCs/>
                <w:sz w:val="18"/>
                <w:szCs w:val="18"/>
              </w:rPr>
            </w:pPr>
            <w:r w:rsidRPr="0058478E">
              <w:rPr>
                <w:rFonts w:ascii="Arial Narrow" w:hAnsi="Arial Narrow"/>
                <w:b/>
                <w:bCs/>
                <w:sz w:val="18"/>
                <w:szCs w:val="18"/>
              </w:rPr>
              <w:t>Scenario 1: TRC Reference</w:t>
            </w:r>
          </w:p>
        </w:tc>
        <w:tc>
          <w:tcPr>
            <w:tcW w:w="1461" w:type="dxa"/>
            <w:gridSpan w:val="2"/>
            <w:tcBorders>
              <w:top w:val="single" w:sz="8" w:space="0" w:color="DCDDDE"/>
              <w:left w:val="nil"/>
              <w:bottom w:val="single" w:sz="8" w:space="0" w:color="DCDDDE"/>
              <w:right w:val="single" w:sz="4" w:space="0" w:color="000000"/>
            </w:tcBorders>
            <w:shd w:val="clear" w:color="000000" w:fill="DADADA"/>
            <w:vAlign w:val="center"/>
            <w:hideMark/>
          </w:tcPr>
          <w:p w14:paraId="6CCB0F05" w14:textId="77777777" w:rsidR="007B497E" w:rsidRPr="0058478E" w:rsidRDefault="007B497E" w:rsidP="007B497E">
            <w:pPr>
              <w:spacing w:line="240" w:lineRule="auto"/>
              <w:jc w:val="center"/>
              <w:rPr>
                <w:rFonts w:ascii="Arial Narrow" w:hAnsi="Arial Narrow"/>
                <w:b/>
                <w:bCs/>
                <w:sz w:val="18"/>
                <w:szCs w:val="18"/>
              </w:rPr>
            </w:pPr>
            <w:r w:rsidRPr="0058478E">
              <w:rPr>
                <w:rFonts w:ascii="Arial Narrow" w:hAnsi="Arial Narrow"/>
                <w:b/>
                <w:bCs/>
                <w:sz w:val="18"/>
                <w:szCs w:val="18"/>
              </w:rPr>
              <w:t>Scenario 2: mTRC w/ GHG adder 1</w:t>
            </w:r>
          </w:p>
        </w:tc>
        <w:tc>
          <w:tcPr>
            <w:tcW w:w="1461" w:type="dxa"/>
            <w:gridSpan w:val="2"/>
            <w:tcBorders>
              <w:top w:val="single" w:sz="8" w:space="0" w:color="DCDDDE"/>
              <w:left w:val="nil"/>
              <w:bottom w:val="single" w:sz="8" w:space="0" w:color="DCDDDE"/>
              <w:right w:val="single" w:sz="4" w:space="0" w:color="000000"/>
            </w:tcBorders>
            <w:shd w:val="clear" w:color="000000" w:fill="DADADA"/>
            <w:vAlign w:val="center"/>
            <w:hideMark/>
          </w:tcPr>
          <w:p w14:paraId="450C1A71" w14:textId="77777777" w:rsidR="007B497E" w:rsidRPr="0058478E" w:rsidRDefault="007B497E" w:rsidP="007B497E">
            <w:pPr>
              <w:spacing w:line="240" w:lineRule="auto"/>
              <w:jc w:val="center"/>
              <w:rPr>
                <w:rFonts w:ascii="Arial Narrow" w:hAnsi="Arial Narrow"/>
                <w:b/>
                <w:bCs/>
                <w:sz w:val="18"/>
                <w:szCs w:val="18"/>
              </w:rPr>
            </w:pPr>
            <w:r w:rsidRPr="0058478E">
              <w:rPr>
                <w:rFonts w:ascii="Arial Narrow" w:hAnsi="Arial Narrow"/>
                <w:b/>
                <w:bCs/>
                <w:sz w:val="18"/>
                <w:szCs w:val="18"/>
              </w:rPr>
              <w:t>Scenario 3: mTRC w/ GHG adder 2</w:t>
            </w:r>
          </w:p>
        </w:tc>
        <w:tc>
          <w:tcPr>
            <w:tcW w:w="1461" w:type="dxa"/>
            <w:gridSpan w:val="2"/>
            <w:tcBorders>
              <w:top w:val="single" w:sz="8" w:space="0" w:color="DCDDDE"/>
              <w:left w:val="nil"/>
              <w:bottom w:val="single" w:sz="8" w:space="0" w:color="DCDDDE"/>
              <w:right w:val="single" w:sz="4" w:space="0" w:color="000000"/>
            </w:tcBorders>
            <w:shd w:val="clear" w:color="000000" w:fill="DADADA"/>
            <w:vAlign w:val="center"/>
            <w:hideMark/>
          </w:tcPr>
          <w:p w14:paraId="7C5F42FB" w14:textId="77777777" w:rsidR="007B497E" w:rsidRPr="0058478E" w:rsidRDefault="007B497E" w:rsidP="007B497E">
            <w:pPr>
              <w:spacing w:line="240" w:lineRule="auto"/>
              <w:jc w:val="center"/>
              <w:rPr>
                <w:rFonts w:ascii="Arial Narrow" w:hAnsi="Arial Narrow"/>
                <w:b/>
                <w:bCs/>
                <w:sz w:val="18"/>
                <w:szCs w:val="18"/>
              </w:rPr>
            </w:pPr>
            <w:r w:rsidRPr="0058478E">
              <w:rPr>
                <w:rFonts w:ascii="Arial Narrow" w:hAnsi="Arial Narrow"/>
                <w:b/>
                <w:bCs/>
                <w:sz w:val="18"/>
                <w:szCs w:val="18"/>
              </w:rPr>
              <w:t>Scenario 4: PAC Reference</w:t>
            </w:r>
          </w:p>
        </w:tc>
        <w:tc>
          <w:tcPr>
            <w:tcW w:w="1471" w:type="dxa"/>
            <w:gridSpan w:val="3"/>
            <w:tcBorders>
              <w:top w:val="single" w:sz="8" w:space="0" w:color="DCDDDE"/>
              <w:left w:val="nil"/>
              <w:bottom w:val="single" w:sz="8" w:space="0" w:color="DCDDDE"/>
              <w:right w:val="single" w:sz="4" w:space="0" w:color="000000"/>
            </w:tcBorders>
            <w:shd w:val="clear" w:color="000000" w:fill="DADADA"/>
            <w:vAlign w:val="center"/>
            <w:hideMark/>
          </w:tcPr>
          <w:p w14:paraId="6D998088" w14:textId="77777777" w:rsidR="007B497E" w:rsidRPr="0058478E" w:rsidRDefault="007B497E" w:rsidP="007B497E">
            <w:pPr>
              <w:spacing w:line="240" w:lineRule="auto"/>
              <w:jc w:val="center"/>
              <w:rPr>
                <w:rFonts w:ascii="Arial Narrow" w:hAnsi="Arial Narrow"/>
                <w:b/>
                <w:bCs/>
                <w:sz w:val="18"/>
                <w:szCs w:val="18"/>
              </w:rPr>
            </w:pPr>
            <w:r w:rsidRPr="0058478E">
              <w:rPr>
                <w:rFonts w:ascii="Arial Narrow" w:hAnsi="Arial Narrow"/>
                <w:b/>
                <w:bCs/>
                <w:sz w:val="18"/>
                <w:szCs w:val="18"/>
              </w:rPr>
              <w:t>Scenario 5: PAC Aggressive</w:t>
            </w:r>
          </w:p>
        </w:tc>
      </w:tr>
      <w:tr w:rsidR="0058478E" w:rsidRPr="0058478E" w14:paraId="05341D88" w14:textId="77777777" w:rsidTr="0058478E">
        <w:trPr>
          <w:gridAfter w:val="1"/>
          <w:wAfter w:w="20" w:type="dxa"/>
          <w:trHeight w:val="525"/>
        </w:trPr>
        <w:tc>
          <w:tcPr>
            <w:tcW w:w="1892" w:type="dxa"/>
            <w:tcBorders>
              <w:top w:val="nil"/>
              <w:left w:val="single" w:sz="4" w:space="0" w:color="auto"/>
              <w:bottom w:val="single" w:sz="8" w:space="0" w:color="DCDDDE"/>
              <w:right w:val="single" w:sz="4" w:space="0" w:color="auto"/>
            </w:tcBorders>
            <w:shd w:val="clear" w:color="000000" w:fill="FFFFFF"/>
            <w:vAlign w:val="center"/>
            <w:hideMark/>
          </w:tcPr>
          <w:p w14:paraId="482F17C5" w14:textId="77777777" w:rsidR="003B17B9" w:rsidRPr="0058478E" w:rsidRDefault="003B17B9" w:rsidP="003B17B9">
            <w:pPr>
              <w:spacing w:line="240" w:lineRule="auto"/>
              <w:jc w:val="center"/>
              <w:rPr>
                <w:rFonts w:ascii="Arial Narrow" w:hAnsi="Arial Narrow"/>
                <w:b/>
                <w:bCs/>
                <w:sz w:val="18"/>
                <w:szCs w:val="18"/>
              </w:rPr>
            </w:pPr>
            <w:r w:rsidRPr="0058478E">
              <w:rPr>
                <w:rFonts w:ascii="Arial Narrow" w:hAnsi="Arial Narrow"/>
                <w:b/>
                <w:bCs/>
                <w:sz w:val="18"/>
                <w:szCs w:val="18"/>
              </w:rPr>
              <w:t>Equipment Rebates</w:t>
            </w:r>
          </w:p>
        </w:tc>
        <w:tc>
          <w:tcPr>
            <w:tcW w:w="729" w:type="dxa"/>
            <w:tcBorders>
              <w:top w:val="nil"/>
              <w:left w:val="nil"/>
              <w:bottom w:val="single" w:sz="8" w:space="0" w:color="DCDDDE"/>
              <w:right w:val="nil"/>
            </w:tcBorders>
            <w:shd w:val="clear" w:color="000000" w:fill="FFFFFF"/>
            <w:noWrap/>
            <w:vAlign w:val="center"/>
            <w:hideMark/>
          </w:tcPr>
          <w:p w14:paraId="51AFAE57"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20</w:t>
            </w:r>
          </w:p>
        </w:tc>
        <w:tc>
          <w:tcPr>
            <w:tcW w:w="731" w:type="dxa"/>
            <w:tcBorders>
              <w:top w:val="nil"/>
              <w:left w:val="nil"/>
              <w:bottom w:val="single" w:sz="8" w:space="0" w:color="DCDDDE"/>
              <w:right w:val="single" w:sz="4" w:space="0" w:color="auto"/>
            </w:tcBorders>
            <w:shd w:val="clear" w:color="000000" w:fill="FFFFFF"/>
            <w:noWrap/>
            <w:vAlign w:val="center"/>
            <w:hideMark/>
          </w:tcPr>
          <w:p w14:paraId="5BC02E46"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27</w:t>
            </w:r>
          </w:p>
        </w:tc>
        <w:tc>
          <w:tcPr>
            <w:tcW w:w="729" w:type="dxa"/>
            <w:tcBorders>
              <w:top w:val="nil"/>
              <w:left w:val="nil"/>
              <w:bottom w:val="single" w:sz="8" w:space="0" w:color="DCDDDE"/>
              <w:right w:val="nil"/>
            </w:tcBorders>
            <w:shd w:val="clear" w:color="000000" w:fill="FFFFFF"/>
            <w:noWrap/>
            <w:vAlign w:val="center"/>
            <w:hideMark/>
          </w:tcPr>
          <w:p w14:paraId="76BC1821"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25</w:t>
            </w:r>
          </w:p>
        </w:tc>
        <w:tc>
          <w:tcPr>
            <w:tcW w:w="731" w:type="dxa"/>
            <w:tcBorders>
              <w:top w:val="nil"/>
              <w:left w:val="nil"/>
              <w:bottom w:val="single" w:sz="8" w:space="0" w:color="DCDDDE"/>
              <w:right w:val="single" w:sz="4" w:space="0" w:color="auto"/>
            </w:tcBorders>
            <w:shd w:val="clear" w:color="000000" w:fill="FFFFFF"/>
            <w:noWrap/>
            <w:vAlign w:val="center"/>
            <w:hideMark/>
          </w:tcPr>
          <w:p w14:paraId="28F6AEFD"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29</w:t>
            </w:r>
          </w:p>
        </w:tc>
        <w:tc>
          <w:tcPr>
            <w:tcW w:w="729" w:type="dxa"/>
            <w:tcBorders>
              <w:top w:val="nil"/>
              <w:left w:val="nil"/>
              <w:bottom w:val="single" w:sz="8" w:space="0" w:color="DCDDDE"/>
              <w:right w:val="nil"/>
            </w:tcBorders>
            <w:shd w:val="clear" w:color="000000" w:fill="FFFFFF"/>
            <w:noWrap/>
            <w:vAlign w:val="center"/>
            <w:hideMark/>
          </w:tcPr>
          <w:p w14:paraId="1AA3E346"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29</w:t>
            </w:r>
          </w:p>
        </w:tc>
        <w:tc>
          <w:tcPr>
            <w:tcW w:w="731" w:type="dxa"/>
            <w:tcBorders>
              <w:top w:val="nil"/>
              <w:left w:val="nil"/>
              <w:bottom w:val="single" w:sz="8" w:space="0" w:color="DCDDDE"/>
              <w:right w:val="single" w:sz="4" w:space="0" w:color="auto"/>
            </w:tcBorders>
            <w:shd w:val="clear" w:color="000000" w:fill="FFFFFF"/>
            <w:noWrap/>
            <w:vAlign w:val="center"/>
            <w:hideMark/>
          </w:tcPr>
          <w:p w14:paraId="1C52B339"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36</w:t>
            </w:r>
          </w:p>
        </w:tc>
        <w:tc>
          <w:tcPr>
            <w:tcW w:w="729" w:type="dxa"/>
            <w:tcBorders>
              <w:top w:val="nil"/>
              <w:left w:val="nil"/>
              <w:bottom w:val="single" w:sz="8" w:space="0" w:color="DCDDDE"/>
              <w:right w:val="nil"/>
            </w:tcBorders>
            <w:shd w:val="clear" w:color="000000" w:fill="FFFFFF"/>
            <w:noWrap/>
            <w:vAlign w:val="center"/>
            <w:hideMark/>
          </w:tcPr>
          <w:p w14:paraId="2BB24D6D"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29</w:t>
            </w:r>
          </w:p>
        </w:tc>
        <w:tc>
          <w:tcPr>
            <w:tcW w:w="731" w:type="dxa"/>
            <w:tcBorders>
              <w:top w:val="nil"/>
              <w:left w:val="nil"/>
              <w:bottom w:val="single" w:sz="8" w:space="0" w:color="DCDDDE"/>
              <w:right w:val="single" w:sz="4" w:space="0" w:color="auto"/>
            </w:tcBorders>
            <w:shd w:val="clear" w:color="000000" w:fill="FFFFFF"/>
            <w:noWrap/>
            <w:vAlign w:val="center"/>
            <w:hideMark/>
          </w:tcPr>
          <w:p w14:paraId="72511F84"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35</w:t>
            </w:r>
          </w:p>
        </w:tc>
        <w:tc>
          <w:tcPr>
            <w:tcW w:w="729" w:type="dxa"/>
            <w:tcBorders>
              <w:top w:val="nil"/>
              <w:left w:val="nil"/>
              <w:bottom w:val="single" w:sz="8" w:space="0" w:color="DCDDDE"/>
              <w:right w:val="nil"/>
            </w:tcBorders>
            <w:shd w:val="clear" w:color="000000" w:fill="FFFFFF"/>
            <w:noWrap/>
            <w:vAlign w:val="center"/>
            <w:hideMark/>
          </w:tcPr>
          <w:p w14:paraId="2D3311C0"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30</w:t>
            </w:r>
          </w:p>
        </w:tc>
        <w:tc>
          <w:tcPr>
            <w:tcW w:w="730" w:type="dxa"/>
            <w:tcBorders>
              <w:top w:val="nil"/>
              <w:left w:val="nil"/>
              <w:bottom w:val="single" w:sz="8" w:space="0" w:color="DCDDDE"/>
              <w:right w:val="single" w:sz="4" w:space="0" w:color="auto"/>
            </w:tcBorders>
            <w:shd w:val="clear" w:color="000000" w:fill="FFFFFF"/>
            <w:noWrap/>
            <w:vAlign w:val="center"/>
            <w:hideMark/>
          </w:tcPr>
          <w:p w14:paraId="1B3CC3E6"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42</w:t>
            </w:r>
          </w:p>
        </w:tc>
      </w:tr>
      <w:tr w:rsidR="0058478E" w:rsidRPr="0058478E" w14:paraId="6F10DA0F" w14:textId="77777777" w:rsidTr="0058478E">
        <w:trPr>
          <w:gridAfter w:val="1"/>
          <w:wAfter w:w="20" w:type="dxa"/>
          <w:trHeight w:val="298"/>
        </w:trPr>
        <w:tc>
          <w:tcPr>
            <w:tcW w:w="1892" w:type="dxa"/>
            <w:tcBorders>
              <w:top w:val="nil"/>
              <w:left w:val="single" w:sz="4" w:space="0" w:color="auto"/>
              <w:bottom w:val="single" w:sz="8" w:space="0" w:color="DCDDDE"/>
              <w:right w:val="single" w:sz="4" w:space="0" w:color="auto"/>
            </w:tcBorders>
            <w:shd w:val="clear" w:color="000000" w:fill="FFFFFF"/>
            <w:vAlign w:val="center"/>
            <w:hideMark/>
          </w:tcPr>
          <w:p w14:paraId="3B5DAF1E" w14:textId="77777777" w:rsidR="003B17B9" w:rsidRPr="0058478E" w:rsidRDefault="003B17B9" w:rsidP="003B17B9">
            <w:pPr>
              <w:spacing w:line="240" w:lineRule="auto"/>
              <w:jc w:val="center"/>
              <w:rPr>
                <w:rFonts w:ascii="Arial Narrow" w:hAnsi="Arial Narrow"/>
                <w:b/>
                <w:bCs/>
                <w:sz w:val="18"/>
                <w:szCs w:val="18"/>
              </w:rPr>
            </w:pPr>
            <w:r w:rsidRPr="0058478E">
              <w:rPr>
                <w:rFonts w:ascii="Arial Narrow" w:hAnsi="Arial Narrow"/>
                <w:b/>
                <w:bCs/>
                <w:sz w:val="18"/>
                <w:szCs w:val="18"/>
              </w:rPr>
              <w:t>BROs</w:t>
            </w:r>
          </w:p>
        </w:tc>
        <w:tc>
          <w:tcPr>
            <w:tcW w:w="729" w:type="dxa"/>
            <w:tcBorders>
              <w:top w:val="nil"/>
              <w:left w:val="nil"/>
              <w:bottom w:val="single" w:sz="8" w:space="0" w:color="DCDDDE"/>
              <w:right w:val="nil"/>
            </w:tcBorders>
            <w:shd w:val="clear" w:color="000000" w:fill="FFFFFF"/>
            <w:noWrap/>
            <w:vAlign w:val="center"/>
            <w:hideMark/>
          </w:tcPr>
          <w:p w14:paraId="1413DB08"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12</w:t>
            </w:r>
          </w:p>
        </w:tc>
        <w:tc>
          <w:tcPr>
            <w:tcW w:w="731" w:type="dxa"/>
            <w:tcBorders>
              <w:top w:val="nil"/>
              <w:left w:val="nil"/>
              <w:bottom w:val="single" w:sz="8" w:space="0" w:color="DCDDDE"/>
              <w:right w:val="single" w:sz="4" w:space="0" w:color="auto"/>
            </w:tcBorders>
            <w:shd w:val="clear" w:color="000000" w:fill="FFFFFF"/>
            <w:noWrap/>
            <w:vAlign w:val="center"/>
            <w:hideMark/>
          </w:tcPr>
          <w:p w14:paraId="58C6802C"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23</w:t>
            </w:r>
          </w:p>
        </w:tc>
        <w:tc>
          <w:tcPr>
            <w:tcW w:w="729" w:type="dxa"/>
            <w:tcBorders>
              <w:top w:val="nil"/>
              <w:left w:val="nil"/>
              <w:bottom w:val="single" w:sz="8" w:space="0" w:color="DCDDDE"/>
              <w:right w:val="nil"/>
            </w:tcBorders>
            <w:shd w:val="clear" w:color="000000" w:fill="FFFFFF"/>
            <w:noWrap/>
            <w:vAlign w:val="center"/>
            <w:hideMark/>
          </w:tcPr>
          <w:p w14:paraId="522FEFA6"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12</w:t>
            </w:r>
          </w:p>
        </w:tc>
        <w:tc>
          <w:tcPr>
            <w:tcW w:w="731" w:type="dxa"/>
            <w:tcBorders>
              <w:top w:val="nil"/>
              <w:left w:val="nil"/>
              <w:bottom w:val="single" w:sz="8" w:space="0" w:color="DCDDDE"/>
              <w:right w:val="single" w:sz="4" w:space="0" w:color="auto"/>
            </w:tcBorders>
            <w:shd w:val="clear" w:color="000000" w:fill="FFFFFF"/>
            <w:noWrap/>
            <w:vAlign w:val="center"/>
            <w:hideMark/>
          </w:tcPr>
          <w:p w14:paraId="1409A114"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23</w:t>
            </w:r>
          </w:p>
        </w:tc>
        <w:tc>
          <w:tcPr>
            <w:tcW w:w="729" w:type="dxa"/>
            <w:tcBorders>
              <w:top w:val="nil"/>
              <w:left w:val="nil"/>
              <w:bottom w:val="single" w:sz="8" w:space="0" w:color="DCDDDE"/>
              <w:right w:val="nil"/>
            </w:tcBorders>
            <w:shd w:val="clear" w:color="000000" w:fill="FFFFFF"/>
            <w:noWrap/>
            <w:vAlign w:val="center"/>
            <w:hideMark/>
          </w:tcPr>
          <w:p w14:paraId="507533B6"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12</w:t>
            </w:r>
          </w:p>
        </w:tc>
        <w:tc>
          <w:tcPr>
            <w:tcW w:w="731" w:type="dxa"/>
            <w:tcBorders>
              <w:top w:val="nil"/>
              <w:left w:val="nil"/>
              <w:bottom w:val="single" w:sz="8" w:space="0" w:color="DCDDDE"/>
              <w:right w:val="single" w:sz="4" w:space="0" w:color="auto"/>
            </w:tcBorders>
            <w:shd w:val="clear" w:color="000000" w:fill="FFFFFF"/>
            <w:noWrap/>
            <w:vAlign w:val="center"/>
            <w:hideMark/>
          </w:tcPr>
          <w:p w14:paraId="3B4DB6D7"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23</w:t>
            </w:r>
          </w:p>
        </w:tc>
        <w:tc>
          <w:tcPr>
            <w:tcW w:w="729" w:type="dxa"/>
            <w:tcBorders>
              <w:top w:val="nil"/>
              <w:left w:val="nil"/>
              <w:bottom w:val="single" w:sz="8" w:space="0" w:color="DCDDDE"/>
              <w:right w:val="nil"/>
            </w:tcBorders>
            <w:shd w:val="clear" w:color="000000" w:fill="FFFFFF"/>
            <w:noWrap/>
            <w:vAlign w:val="center"/>
            <w:hideMark/>
          </w:tcPr>
          <w:p w14:paraId="2F6C3B43"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12</w:t>
            </w:r>
          </w:p>
        </w:tc>
        <w:tc>
          <w:tcPr>
            <w:tcW w:w="731" w:type="dxa"/>
            <w:tcBorders>
              <w:top w:val="nil"/>
              <w:left w:val="nil"/>
              <w:bottom w:val="single" w:sz="8" w:space="0" w:color="DCDDDE"/>
              <w:right w:val="single" w:sz="4" w:space="0" w:color="auto"/>
            </w:tcBorders>
            <w:shd w:val="clear" w:color="000000" w:fill="FFFFFF"/>
            <w:noWrap/>
            <w:vAlign w:val="center"/>
            <w:hideMark/>
          </w:tcPr>
          <w:p w14:paraId="662A350E"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23</w:t>
            </w:r>
          </w:p>
        </w:tc>
        <w:tc>
          <w:tcPr>
            <w:tcW w:w="729" w:type="dxa"/>
            <w:tcBorders>
              <w:top w:val="nil"/>
              <w:left w:val="nil"/>
              <w:bottom w:val="single" w:sz="8" w:space="0" w:color="DCDDDE"/>
              <w:right w:val="nil"/>
            </w:tcBorders>
            <w:shd w:val="clear" w:color="000000" w:fill="FFFFFF"/>
            <w:noWrap/>
            <w:vAlign w:val="center"/>
            <w:hideMark/>
          </w:tcPr>
          <w:p w14:paraId="7C42515E"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13</w:t>
            </w:r>
          </w:p>
        </w:tc>
        <w:tc>
          <w:tcPr>
            <w:tcW w:w="730" w:type="dxa"/>
            <w:tcBorders>
              <w:top w:val="nil"/>
              <w:left w:val="nil"/>
              <w:bottom w:val="single" w:sz="8" w:space="0" w:color="DCDDDE"/>
              <w:right w:val="single" w:sz="4" w:space="0" w:color="auto"/>
            </w:tcBorders>
            <w:shd w:val="clear" w:color="000000" w:fill="FFFFFF"/>
            <w:noWrap/>
            <w:vAlign w:val="center"/>
            <w:hideMark/>
          </w:tcPr>
          <w:p w14:paraId="173889F2"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40</w:t>
            </w:r>
          </w:p>
        </w:tc>
      </w:tr>
      <w:tr w:rsidR="0058478E" w:rsidRPr="0058478E" w14:paraId="549D1E8D" w14:textId="77777777" w:rsidTr="0058478E">
        <w:trPr>
          <w:gridAfter w:val="1"/>
          <w:wAfter w:w="20" w:type="dxa"/>
          <w:trHeight w:val="298"/>
        </w:trPr>
        <w:tc>
          <w:tcPr>
            <w:tcW w:w="1892" w:type="dxa"/>
            <w:tcBorders>
              <w:top w:val="nil"/>
              <w:left w:val="single" w:sz="4" w:space="0" w:color="auto"/>
              <w:bottom w:val="single" w:sz="8" w:space="0" w:color="DCDDDE"/>
              <w:right w:val="single" w:sz="4" w:space="0" w:color="auto"/>
            </w:tcBorders>
            <w:shd w:val="clear" w:color="000000" w:fill="FFFFFF"/>
            <w:vAlign w:val="center"/>
            <w:hideMark/>
          </w:tcPr>
          <w:p w14:paraId="748A66C9" w14:textId="77777777" w:rsidR="003B17B9" w:rsidRPr="0058478E" w:rsidRDefault="003B17B9" w:rsidP="003B17B9">
            <w:pPr>
              <w:spacing w:line="240" w:lineRule="auto"/>
              <w:jc w:val="center"/>
              <w:rPr>
                <w:rFonts w:ascii="Arial Narrow" w:hAnsi="Arial Narrow"/>
                <w:b/>
                <w:bCs/>
                <w:sz w:val="18"/>
                <w:szCs w:val="18"/>
              </w:rPr>
            </w:pPr>
            <w:r w:rsidRPr="0058478E">
              <w:rPr>
                <w:rFonts w:ascii="Arial Narrow" w:hAnsi="Arial Narrow"/>
                <w:b/>
                <w:bCs/>
                <w:sz w:val="18"/>
                <w:szCs w:val="18"/>
              </w:rPr>
              <w:t>Low Income</w:t>
            </w:r>
          </w:p>
        </w:tc>
        <w:tc>
          <w:tcPr>
            <w:tcW w:w="729" w:type="dxa"/>
            <w:tcBorders>
              <w:top w:val="nil"/>
              <w:left w:val="nil"/>
              <w:bottom w:val="single" w:sz="8" w:space="0" w:color="DCDDDE"/>
              <w:right w:val="nil"/>
            </w:tcBorders>
            <w:shd w:val="clear" w:color="000000" w:fill="FFFFFF"/>
            <w:noWrap/>
            <w:vAlign w:val="center"/>
            <w:hideMark/>
          </w:tcPr>
          <w:p w14:paraId="7C96183D"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6</w:t>
            </w:r>
          </w:p>
        </w:tc>
        <w:tc>
          <w:tcPr>
            <w:tcW w:w="731" w:type="dxa"/>
            <w:tcBorders>
              <w:top w:val="nil"/>
              <w:left w:val="nil"/>
              <w:bottom w:val="single" w:sz="8" w:space="0" w:color="DCDDDE"/>
              <w:right w:val="single" w:sz="4" w:space="0" w:color="auto"/>
            </w:tcBorders>
            <w:shd w:val="clear" w:color="000000" w:fill="FFFFFF"/>
            <w:noWrap/>
            <w:vAlign w:val="center"/>
            <w:hideMark/>
          </w:tcPr>
          <w:p w14:paraId="252CD9AB"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5</w:t>
            </w:r>
          </w:p>
        </w:tc>
        <w:tc>
          <w:tcPr>
            <w:tcW w:w="729" w:type="dxa"/>
            <w:tcBorders>
              <w:top w:val="nil"/>
              <w:left w:val="nil"/>
              <w:bottom w:val="single" w:sz="8" w:space="0" w:color="DCDDDE"/>
              <w:right w:val="nil"/>
            </w:tcBorders>
            <w:shd w:val="clear" w:color="000000" w:fill="FFFFFF"/>
            <w:noWrap/>
            <w:vAlign w:val="center"/>
            <w:hideMark/>
          </w:tcPr>
          <w:p w14:paraId="44A73230"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6</w:t>
            </w:r>
          </w:p>
        </w:tc>
        <w:tc>
          <w:tcPr>
            <w:tcW w:w="731" w:type="dxa"/>
            <w:tcBorders>
              <w:top w:val="nil"/>
              <w:left w:val="nil"/>
              <w:bottom w:val="single" w:sz="8" w:space="0" w:color="DCDDDE"/>
              <w:right w:val="single" w:sz="4" w:space="0" w:color="auto"/>
            </w:tcBorders>
            <w:shd w:val="clear" w:color="000000" w:fill="FFFFFF"/>
            <w:noWrap/>
            <w:vAlign w:val="center"/>
            <w:hideMark/>
          </w:tcPr>
          <w:p w14:paraId="5D3D36B3"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5</w:t>
            </w:r>
          </w:p>
        </w:tc>
        <w:tc>
          <w:tcPr>
            <w:tcW w:w="729" w:type="dxa"/>
            <w:tcBorders>
              <w:top w:val="nil"/>
              <w:left w:val="nil"/>
              <w:bottom w:val="single" w:sz="8" w:space="0" w:color="DCDDDE"/>
              <w:right w:val="nil"/>
            </w:tcBorders>
            <w:shd w:val="clear" w:color="000000" w:fill="FFFFFF"/>
            <w:noWrap/>
            <w:vAlign w:val="center"/>
            <w:hideMark/>
          </w:tcPr>
          <w:p w14:paraId="10685403"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6</w:t>
            </w:r>
          </w:p>
        </w:tc>
        <w:tc>
          <w:tcPr>
            <w:tcW w:w="731" w:type="dxa"/>
            <w:tcBorders>
              <w:top w:val="nil"/>
              <w:left w:val="nil"/>
              <w:bottom w:val="single" w:sz="8" w:space="0" w:color="DCDDDE"/>
              <w:right w:val="single" w:sz="4" w:space="0" w:color="auto"/>
            </w:tcBorders>
            <w:shd w:val="clear" w:color="000000" w:fill="FFFFFF"/>
            <w:noWrap/>
            <w:vAlign w:val="center"/>
            <w:hideMark/>
          </w:tcPr>
          <w:p w14:paraId="0D6BA88C"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5</w:t>
            </w:r>
          </w:p>
        </w:tc>
        <w:tc>
          <w:tcPr>
            <w:tcW w:w="729" w:type="dxa"/>
            <w:tcBorders>
              <w:top w:val="nil"/>
              <w:left w:val="nil"/>
              <w:bottom w:val="single" w:sz="8" w:space="0" w:color="DCDDDE"/>
              <w:right w:val="nil"/>
            </w:tcBorders>
            <w:shd w:val="clear" w:color="000000" w:fill="FFFFFF"/>
            <w:noWrap/>
            <w:vAlign w:val="center"/>
            <w:hideMark/>
          </w:tcPr>
          <w:p w14:paraId="762DB1D6"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6</w:t>
            </w:r>
          </w:p>
        </w:tc>
        <w:tc>
          <w:tcPr>
            <w:tcW w:w="731" w:type="dxa"/>
            <w:tcBorders>
              <w:top w:val="nil"/>
              <w:left w:val="nil"/>
              <w:bottom w:val="single" w:sz="8" w:space="0" w:color="DCDDDE"/>
              <w:right w:val="single" w:sz="4" w:space="0" w:color="auto"/>
            </w:tcBorders>
            <w:shd w:val="clear" w:color="000000" w:fill="FFFFFF"/>
            <w:noWrap/>
            <w:vAlign w:val="center"/>
            <w:hideMark/>
          </w:tcPr>
          <w:p w14:paraId="520C5AAC"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5</w:t>
            </w:r>
          </w:p>
        </w:tc>
        <w:tc>
          <w:tcPr>
            <w:tcW w:w="729" w:type="dxa"/>
            <w:tcBorders>
              <w:top w:val="nil"/>
              <w:left w:val="nil"/>
              <w:bottom w:val="single" w:sz="8" w:space="0" w:color="DCDDDE"/>
              <w:right w:val="nil"/>
            </w:tcBorders>
            <w:shd w:val="clear" w:color="000000" w:fill="FFFFFF"/>
            <w:noWrap/>
            <w:vAlign w:val="center"/>
            <w:hideMark/>
          </w:tcPr>
          <w:p w14:paraId="3EFF631C"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6</w:t>
            </w:r>
          </w:p>
        </w:tc>
        <w:tc>
          <w:tcPr>
            <w:tcW w:w="730" w:type="dxa"/>
            <w:tcBorders>
              <w:top w:val="nil"/>
              <w:left w:val="nil"/>
              <w:bottom w:val="single" w:sz="8" w:space="0" w:color="DCDDDE"/>
              <w:right w:val="single" w:sz="4" w:space="0" w:color="auto"/>
            </w:tcBorders>
            <w:shd w:val="clear" w:color="000000" w:fill="FFFFFF"/>
            <w:noWrap/>
            <w:vAlign w:val="center"/>
            <w:hideMark/>
          </w:tcPr>
          <w:p w14:paraId="6689EEDA"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5</w:t>
            </w:r>
          </w:p>
        </w:tc>
      </w:tr>
      <w:tr w:rsidR="0058478E" w:rsidRPr="0058478E" w14:paraId="6CC22738" w14:textId="77777777" w:rsidTr="0058478E">
        <w:trPr>
          <w:gridAfter w:val="1"/>
          <w:wAfter w:w="20" w:type="dxa"/>
          <w:trHeight w:val="768"/>
        </w:trPr>
        <w:tc>
          <w:tcPr>
            <w:tcW w:w="1892" w:type="dxa"/>
            <w:tcBorders>
              <w:top w:val="nil"/>
              <w:left w:val="single" w:sz="4" w:space="0" w:color="auto"/>
              <w:bottom w:val="single" w:sz="4" w:space="0" w:color="auto"/>
              <w:right w:val="single" w:sz="4" w:space="0" w:color="auto"/>
            </w:tcBorders>
            <w:shd w:val="clear" w:color="000000" w:fill="FFFFFF"/>
            <w:vAlign w:val="center"/>
            <w:hideMark/>
          </w:tcPr>
          <w:p w14:paraId="2AA9DCA4" w14:textId="77777777" w:rsidR="003B17B9" w:rsidRPr="0058478E" w:rsidRDefault="003B17B9" w:rsidP="003B17B9">
            <w:pPr>
              <w:spacing w:line="240" w:lineRule="auto"/>
              <w:jc w:val="center"/>
              <w:rPr>
                <w:rFonts w:ascii="Arial Narrow" w:hAnsi="Arial Narrow"/>
                <w:b/>
                <w:bCs/>
                <w:i/>
                <w:iCs/>
                <w:sz w:val="18"/>
                <w:szCs w:val="18"/>
              </w:rPr>
            </w:pPr>
            <w:r w:rsidRPr="0058478E">
              <w:rPr>
                <w:rFonts w:ascii="Arial Narrow" w:hAnsi="Arial Narrow"/>
                <w:b/>
                <w:bCs/>
                <w:i/>
                <w:iCs/>
                <w:sz w:val="18"/>
                <w:szCs w:val="18"/>
              </w:rPr>
              <w:t>Incentive Programs (Subtotal)</w:t>
            </w:r>
          </w:p>
        </w:tc>
        <w:tc>
          <w:tcPr>
            <w:tcW w:w="729" w:type="dxa"/>
            <w:tcBorders>
              <w:top w:val="nil"/>
              <w:left w:val="nil"/>
              <w:bottom w:val="single" w:sz="4" w:space="0" w:color="auto"/>
              <w:right w:val="nil"/>
            </w:tcBorders>
            <w:shd w:val="clear" w:color="000000" w:fill="FFFFFF"/>
            <w:noWrap/>
            <w:vAlign w:val="center"/>
            <w:hideMark/>
          </w:tcPr>
          <w:p w14:paraId="51825C1D" w14:textId="77777777" w:rsidR="003B17B9" w:rsidRPr="0058478E" w:rsidRDefault="003B17B9" w:rsidP="003B17B9">
            <w:pPr>
              <w:spacing w:line="240" w:lineRule="auto"/>
              <w:jc w:val="center"/>
              <w:rPr>
                <w:rFonts w:ascii="Arial Narrow" w:hAnsi="Arial Narrow"/>
                <w:b/>
                <w:bCs/>
                <w:i/>
                <w:iCs/>
                <w:sz w:val="18"/>
                <w:szCs w:val="18"/>
              </w:rPr>
            </w:pPr>
            <w:r w:rsidRPr="0058478E">
              <w:rPr>
                <w:rFonts w:ascii="Arial Narrow" w:hAnsi="Arial Narrow"/>
                <w:b/>
                <w:bCs/>
                <w:i/>
                <w:iCs/>
                <w:sz w:val="18"/>
                <w:szCs w:val="18"/>
              </w:rPr>
              <w:t>37</w:t>
            </w:r>
          </w:p>
        </w:tc>
        <w:tc>
          <w:tcPr>
            <w:tcW w:w="731" w:type="dxa"/>
            <w:tcBorders>
              <w:top w:val="nil"/>
              <w:left w:val="nil"/>
              <w:bottom w:val="single" w:sz="4" w:space="0" w:color="auto"/>
              <w:right w:val="single" w:sz="4" w:space="0" w:color="auto"/>
            </w:tcBorders>
            <w:shd w:val="clear" w:color="000000" w:fill="FFFFFF"/>
            <w:noWrap/>
            <w:vAlign w:val="center"/>
            <w:hideMark/>
          </w:tcPr>
          <w:p w14:paraId="1114AAE4" w14:textId="77777777" w:rsidR="003B17B9" w:rsidRPr="0058478E" w:rsidRDefault="003B17B9" w:rsidP="003B17B9">
            <w:pPr>
              <w:spacing w:line="240" w:lineRule="auto"/>
              <w:jc w:val="center"/>
              <w:rPr>
                <w:rFonts w:ascii="Arial Narrow" w:hAnsi="Arial Narrow"/>
                <w:b/>
                <w:bCs/>
                <w:i/>
                <w:iCs/>
                <w:sz w:val="18"/>
                <w:szCs w:val="18"/>
              </w:rPr>
            </w:pPr>
            <w:r w:rsidRPr="0058478E">
              <w:rPr>
                <w:rFonts w:ascii="Arial Narrow" w:hAnsi="Arial Narrow"/>
                <w:b/>
                <w:bCs/>
                <w:i/>
                <w:iCs/>
                <w:sz w:val="18"/>
                <w:szCs w:val="18"/>
              </w:rPr>
              <w:t>55</w:t>
            </w:r>
          </w:p>
        </w:tc>
        <w:tc>
          <w:tcPr>
            <w:tcW w:w="729" w:type="dxa"/>
            <w:tcBorders>
              <w:top w:val="nil"/>
              <w:left w:val="nil"/>
              <w:bottom w:val="single" w:sz="4" w:space="0" w:color="auto"/>
              <w:right w:val="nil"/>
            </w:tcBorders>
            <w:shd w:val="clear" w:color="000000" w:fill="FFFFFF"/>
            <w:noWrap/>
            <w:vAlign w:val="center"/>
            <w:hideMark/>
          </w:tcPr>
          <w:p w14:paraId="60ECA4F3" w14:textId="77777777" w:rsidR="003B17B9" w:rsidRPr="0058478E" w:rsidRDefault="003B17B9" w:rsidP="003B17B9">
            <w:pPr>
              <w:spacing w:line="240" w:lineRule="auto"/>
              <w:jc w:val="center"/>
              <w:rPr>
                <w:rFonts w:ascii="Arial Narrow" w:hAnsi="Arial Narrow"/>
                <w:b/>
                <w:bCs/>
                <w:i/>
                <w:iCs/>
                <w:sz w:val="18"/>
                <w:szCs w:val="18"/>
              </w:rPr>
            </w:pPr>
            <w:r w:rsidRPr="0058478E">
              <w:rPr>
                <w:rFonts w:ascii="Arial Narrow" w:hAnsi="Arial Narrow"/>
                <w:b/>
                <w:bCs/>
                <w:i/>
                <w:iCs/>
                <w:sz w:val="18"/>
                <w:szCs w:val="18"/>
              </w:rPr>
              <w:t>43</w:t>
            </w:r>
          </w:p>
        </w:tc>
        <w:tc>
          <w:tcPr>
            <w:tcW w:w="731" w:type="dxa"/>
            <w:tcBorders>
              <w:top w:val="nil"/>
              <w:left w:val="nil"/>
              <w:bottom w:val="single" w:sz="4" w:space="0" w:color="auto"/>
              <w:right w:val="single" w:sz="4" w:space="0" w:color="auto"/>
            </w:tcBorders>
            <w:shd w:val="clear" w:color="000000" w:fill="FFFFFF"/>
            <w:noWrap/>
            <w:vAlign w:val="center"/>
            <w:hideMark/>
          </w:tcPr>
          <w:p w14:paraId="7180D9FD" w14:textId="77777777" w:rsidR="003B17B9" w:rsidRPr="0058478E" w:rsidRDefault="003B17B9" w:rsidP="003B17B9">
            <w:pPr>
              <w:spacing w:line="240" w:lineRule="auto"/>
              <w:jc w:val="center"/>
              <w:rPr>
                <w:rFonts w:ascii="Arial Narrow" w:hAnsi="Arial Narrow"/>
                <w:b/>
                <w:bCs/>
                <w:i/>
                <w:iCs/>
                <w:sz w:val="18"/>
                <w:szCs w:val="18"/>
              </w:rPr>
            </w:pPr>
            <w:r w:rsidRPr="0058478E">
              <w:rPr>
                <w:rFonts w:ascii="Arial Narrow" w:hAnsi="Arial Narrow"/>
                <w:b/>
                <w:bCs/>
                <w:i/>
                <w:iCs/>
                <w:sz w:val="18"/>
                <w:szCs w:val="18"/>
              </w:rPr>
              <w:t>58</w:t>
            </w:r>
          </w:p>
        </w:tc>
        <w:tc>
          <w:tcPr>
            <w:tcW w:w="729" w:type="dxa"/>
            <w:tcBorders>
              <w:top w:val="nil"/>
              <w:left w:val="nil"/>
              <w:bottom w:val="single" w:sz="4" w:space="0" w:color="auto"/>
              <w:right w:val="nil"/>
            </w:tcBorders>
            <w:shd w:val="clear" w:color="000000" w:fill="FFFFFF"/>
            <w:noWrap/>
            <w:vAlign w:val="center"/>
            <w:hideMark/>
          </w:tcPr>
          <w:p w14:paraId="7737A556" w14:textId="77777777" w:rsidR="003B17B9" w:rsidRPr="0058478E" w:rsidRDefault="003B17B9" w:rsidP="003B17B9">
            <w:pPr>
              <w:spacing w:line="240" w:lineRule="auto"/>
              <w:jc w:val="center"/>
              <w:rPr>
                <w:rFonts w:ascii="Arial Narrow" w:hAnsi="Arial Narrow"/>
                <w:b/>
                <w:bCs/>
                <w:i/>
                <w:iCs/>
                <w:sz w:val="18"/>
                <w:szCs w:val="18"/>
              </w:rPr>
            </w:pPr>
            <w:r w:rsidRPr="0058478E">
              <w:rPr>
                <w:rFonts w:ascii="Arial Narrow" w:hAnsi="Arial Narrow"/>
                <w:b/>
                <w:bCs/>
                <w:i/>
                <w:iCs/>
                <w:sz w:val="18"/>
                <w:szCs w:val="18"/>
              </w:rPr>
              <w:t>47</w:t>
            </w:r>
          </w:p>
        </w:tc>
        <w:tc>
          <w:tcPr>
            <w:tcW w:w="731" w:type="dxa"/>
            <w:tcBorders>
              <w:top w:val="nil"/>
              <w:left w:val="nil"/>
              <w:bottom w:val="single" w:sz="4" w:space="0" w:color="auto"/>
              <w:right w:val="single" w:sz="4" w:space="0" w:color="auto"/>
            </w:tcBorders>
            <w:shd w:val="clear" w:color="000000" w:fill="FFFFFF"/>
            <w:noWrap/>
            <w:vAlign w:val="center"/>
            <w:hideMark/>
          </w:tcPr>
          <w:p w14:paraId="2CCEB9C6" w14:textId="77777777" w:rsidR="003B17B9" w:rsidRPr="0058478E" w:rsidRDefault="003B17B9" w:rsidP="003B17B9">
            <w:pPr>
              <w:spacing w:line="240" w:lineRule="auto"/>
              <w:jc w:val="center"/>
              <w:rPr>
                <w:rFonts w:ascii="Arial Narrow" w:hAnsi="Arial Narrow"/>
                <w:b/>
                <w:bCs/>
                <w:i/>
                <w:iCs/>
                <w:sz w:val="18"/>
                <w:szCs w:val="18"/>
              </w:rPr>
            </w:pPr>
            <w:r w:rsidRPr="0058478E">
              <w:rPr>
                <w:rFonts w:ascii="Arial Narrow" w:hAnsi="Arial Narrow"/>
                <w:b/>
                <w:bCs/>
                <w:i/>
                <w:iCs/>
                <w:sz w:val="18"/>
                <w:szCs w:val="18"/>
              </w:rPr>
              <w:t>64</w:t>
            </w:r>
          </w:p>
        </w:tc>
        <w:tc>
          <w:tcPr>
            <w:tcW w:w="729" w:type="dxa"/>
            <w:tcBorders>
              <w:top w:val="nil"/>
              <w:left w:val="nil"/>
              <w:bottom w:val="single" w:sz="4" w:space="0" w:color="auto"/>
              <w:right w:val="nil"/>
            </w:tcBorders>
            <w:shd w:val="clear" w:color="000000" w:fill="FFFFFF"/>
            <w:noWrap/>
            <w:vAlign w:val="center"/>
            <w:hideMark/>
          </w:tcPr>
          <w:p w14:paraId="11B99934" w14:textId="77777777" w:rsidR="003B17B9" w:rsidRPr="0058478E" w:rsidRDefault="003B17B9" w:rsidP="003B17B9">
            <w:pPr>
              <w:spacing w:line="240" w:lineRule="auto"/>
              <w:jc w:val="center"/>
              <w:rPr>
                <w:rFonts w:ascii="Arial Narrow" w:hAnsi="Arial Narrow"/>
                <w:b/>
                <w:bCs/>
                <w:i/>
                <w:iCs/>
                <w:sz w:val="18"/>
                <w:szCs w:val="18"/>
              </w:rPr>
            </w:pPr>
            <w:r w:rsidRPr="0058478E">
              <w:rPr>
                <w:rFonts w:ascii="Arial Narrow" w:hAnsi="Arial Narrow"/>
                <w:b/>
                <w:bCs/>
                <w:i/>
                <w:iCs/>
                <w:sz w:val="18"/>
                <w:szCs w:val="18"/>
              </w:rPr>
              <w:t>47</w:t>
            </w:r>
          </w:p>
        </w:tc>
        <w:tc>
          <w:tcPr>
            <w:tcW w:w="731" w:type="dxa"/>
            <w:tcBorders>
              <w:top w:val="nil"/>
              <w:left w:val="nil"/>
              <w:bottom w:val="single" w:sz="4" w:space="0" w:color="auto"/>
              <w:right w:val="single" w:sz="4" w:space="0" w:color="auto"/>
            </w:tcBorders>
            <w:shd w:val="clear" w:color="000000" w:fill="FFFFFF"/>
            <w:noWrap/>
            <w:vAlign w:val="center"/>
            <w:hideMark/>
          </w:tcPr>
          <w:p w14:paraId="1837232E" w14:textId="77777777" w:rsidR="003B17B9" w:rsidRPr="0058478E" w:rsidRDefault="003B17B9" w:rsidP="003B17B9">
            <w:pPr>
              <w:spacing w:line="240" w:lineRule="auto"/>
              <w:jc w:val="center"/>
              <w:rPr>
                <w:rFonts w:ascii="Arial Narrow" w:hAnsi="Arial Narrow"/>
                <w:b/>
                <w:bCs/>
                <w:i/>
                <w:iCs/>
                <w:sz w:val="18"/>
                <w:szCs w:val="18"/>
              </w:rPr>
            </w:pPr>
            <w:r w:rsidRPr="0058478E">
              <w:rPr>
                <w:rFonts w:ascii="Arial Narrow" w:hAnsi="Arial Narrow"/>
                <w:b/>
                <w:bCs/>
                <w:i/>
                <w:iCs/>
                <w:sz w:val="18"/>
                <w:szCs w:val="18"/>
              </w:rPr>
              <w:t>63</w:t>
            </w:r>
          </w:p>
        </w:tc>
        <w:tc>
          <w:tcPr>
            <w:tcW w:w="729" w:type="dxa"/>
            <w:tcBorders>
              <w:top w:val="nil"/>
              <w:left w:val="nil"/>
              <w:bottom w:val="single" w:sz="4" w:space="0" w:color="auto"/>
              <w:right w:val="nil"/>
            </w:tcBorders>
            <w:shd w:val="clear" w:color="000000" w:fill="FFFFFF"/>
            <w:noWrap/>
            <w:vAlign w:val="center"/>
            <w:hideMark/>
          </w:tcPr>
          <w:p w14:paraId="164D5389" w14:textId="77777777" w:rsidR="003B17B9" w:rsidRPr="0058478E" w:rsidRDefault="003B17B9" w:rsidP="003B17B9">
            <w:pPr>
              <w:spacing w:line="240" w:lineRule="auto"/>
              <w:jc w:val="center"/>
              <w:rPr>
                <w:rFonts w:ascii="Arial Narrow" w:hAnsi="Arial Narrow"/>
                <w:b/>
                <w:bCs/>
                <w:i/>
                <w:iCs/>
                <w:sz w:val="18"/>
                <w:szCs w:val="18"/>
              </w:rPr>
            </w:pPr>
            <w:r w:rsidRPr="0058478E">
              <w:rPr>
                <w:rFonts w:ascii="Arial Narrow" w:hAnsi="Arial Narrow"/>
                <w:b/>
                <w:bCs/>
                <w:i/>
                <w:iCs/>
                <w:sz w:val="18"/>
                <w:szCs w:val="18"/>
              </w:rPr>
              <w:t>49</w:t>
            </w:r>
          </w:p>
        </w:tc>
        <w:tc>
          <w:tcPr>
            <w:tcW w:w="730" w:type="dxa"/>
            <w:tcBorders>
              <w:top w:val="nil"/>
              <w:left w:val="nil"/>
              <w:bottom w:val="single" w:sz="4" w:space="0" w:color="auto"/>
              <w:right w:val="single" w:sz="4" w:space="0" w:color="auto"/>
            </w:tcBorders>
            <w:shd w:val="clear" w:color="000000" w:fill="FFFFFF"/>
            <w:noWrap/>
            <w:vAlign w:val="center"/>
            <w:hideMark/>
          </w:tcPr>
          <w:p w14:paraId="2F8A6E9C" w14:textId="77777777" w:rsidR="003B17B9" w:rsidRPr="0058478E" w:rsidRDefault="003B17B9" w:rsidP="003B17B9">
            <w:pPr>
              <w:spacing w:line="240" w:lineRule="auto"/>
              <w:jc w:val="center"/>
              <w:rPr>
                <w:rFonts w:ascii="Arial Narrow" w:hAnsi="Arial Narrow"/>
                <w:b/>
                <w:bCs/>
                <w:i/>
                <w:iCs/>
                <w:sz w:val="18"/>
                <w:szCs w:val="18"/>
              </w:rPr>
            </w:pPr>
            <w:r w:rsidRPr="0058478E">
              <w:rPr>
                <w:rFonts w:ascii="Arial Narrow" w:hAnsi="Arial Narrow"/>
                <w:b/>
                <w:bCs/>
                <w:i/>
                <w:iCs/>
                <w:sz w:val="18"/>
                <w:szCs w:val="18"/>
              </w:rPr>
              <w:t>87</w:t>
            </w:r>
          </w:p>
        </w:tc>
      </w:tr>
      <w:tr w:rsidR="0058478E" w:rsidRPr="0058478E" w14:paraId="2FCD9A43" w14:textId="77777777" w:rsidTr="0058478E">
        <w:trPr>
          <w:gridAfter w:val="1"/>
          <w:wAfter w:w="20" w:type="dxa"/>
          <w:trHeight w:val="282"/>
        </w:trPr>
        <w:tc>
          <w:tcPr>
            <w:tcW w:w="1892" w:type="dxa"/>
            <w:tcBorders>
              <w:top w:val="nil"/>
              <w:left w:val="single" w:sz="4" w:space="0" w:color="auto"/>
              <w:bottom w:val="single" w:sz="4" w:space="0" w:color="auto"/>
              <w:right w:val="single" w:sz="4" w:space="0" w:color="auto"/>
            </w:tcBorders>
            <w:shd w:val="clear" w:color="000000" w:fill="FFFFFF"/>
            <w:vAlign w:val="center"/>
            <w:hideMark/>
          </w:tcPr>
          <w:p w14:paraId="6F67734C" w14:textId="77777777" w:rsidR="003B17B9" w:rsidRPr="0058478E" w:rsidRDefault="003B17B9" w:rsidP="003B17B9">
            <w:pPr>
              <w:spacing w:line="240" w:lineRule="auto"/>
              <w:jc w:val="center"/>
              <w:rPr>
                <w:rFonts w:ascii="Arial Narrow" w:hAnsi="Arial Narrow"/>
                <w:b/>
                <w:bCs/>
                <w:sz w:val="18"/>
                <w:szCs w:val="18"/>
              </w:rPr>
            </w:pPr>
            <w:r w:rsidRPr="0058478E">
              <w:rPr>
                <w:rFonts w:ascii="Arial Narrow" w:hAnsi="Arial Narrow"/>
                <w:b/>
                <w:bCs/>
                <w:sz w:val="18"/>
                <w:szCs w:val="18"/>
              </w:rPr>
              <w:t>C&amp;S*</w:t>
            </w:r>
          </w:p>
        </w:tc>
        <w:tc>
          <w:tcPr>
            <w:tcW w:w="729" w:type="dxa"/>
            <w:tcBorders>
              <w:top w:val="nil"/>
              <w:left w:val="nil"/>
              <w:bottom w:val="single" w:sz="4" w:space="0" w:color="auto"/>
              <w:right w:val="nil"/>
            </w:tcBorders>
            <w:shd w:val="clear" w:color="000000" w:fill="FFFFFF"/>
            <w:noWrap/>
            <w:vAlign w:val="center"/>
            <w:hideMark/>
          </w:tcPr>
          <w:p w14:paraId="6EBF106F"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39</w:t>
            </w:r>
          </w:p>
        </w:tc>
        <w:tc>
          <w:tcPr>
            <w:tcW w:w="731" w:type="dxa"/>
            <w:tcBorders>
              <w:top w:val="nil"/>
              <w:left w:val="nil"/>
              <w:bottom w:val="single" w:sz="4" w:space="0" w:color="auto"/>
              <w:right w:val="single" w:sz="4" w:space="0" w:color="auto"/>
            </w:tcBorders>
            <w:shd w:val="clear" w:color="000000" w:fill="FFFFFF"/>
            <w:noWrap/>
            <w:vAlign w:val="center"/>
            <w:hideMark/>
          </w:tcPr>
          <w:p w14:paraId="32E66CD5"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35</w:t>
            </w:r>
          </w:p>
        </w:tc>
        <w:tc>
          <w:tcPr>
            <w:tcW w:w="729" w:type="dxa"/>
            <w:tcBorders>
              <w:top w:val="nil"/>
              <w:left w:val="nil"/>
              <w:bottom w:val="single" w:sz="4" w:space="0" w:color="auto"/>
              <w:right w:val="nil"/>
            </w:tcBorders>
            <w:shd w:val="clear" w:color="000000" w:fill="FFFFFF"/>
            <w:noWrap/>
            <w:vAlign w:val="center"/>
            <w:hideMark/>
          </w:tcPr>
          <w:p w14:paraId="4CEA009E"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39</w:t>
            </w:r>
          </w:p>
        </w:tc>
        <w:tc>
          <w:tcPr>
            <w:tcW w:w="731" w:type="dxa"/>
            <w:tcBorders>
              <w:top w:val="nil"/>
              <w:left w:val="nil"/>
              <w:bottom w:val="single" w:sz="4" w:space="0" w:color="auto"/>
              <w:right w:val="single" w:sz="4" w:space="0" w:color="auto"/>
            </w:tcBorders>
            <w:shd w:val="clear" w:color="000000" w:fill="FFFFFF"/>
            <w:noWrap/>
            <w:vAlign w:val="center"/>
            <w:hideMark/>
          </w:tcPr>
          <w:p w14:paraId="4826940D"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35</w:t>
            </w:r>
          </w:p>
        </w:tc>
        <w:tc>
          <w:tcPr>
            <w:tcW w:w="729" w:type="dxa"/>
            <w:tcBorders>
              <w:top w:val="nil"/>
              <w:left w:val="nil"/>
              <w:bottom w:val="single" w:sz="4" w:space="0" w:color="auto"/>
              <w:right w:val="nil"/>
            </w:tcBorders>
            <w:shd w:val="clear" w:color="000000" w:fill="FFFFFF"/>
            <w:noWrap/>
            <w:vAlign w:val="center"/>
            <w:hideMark/>
          </w:tcPr>
          <w:p w14:paraId="0B0A8AB9"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39</w:t>
            </w:r>
          </w:p>
        </w:tc>
        <w:tc>
          <w:tcPr>
            <w:tcW w:w="731" w:type="dxa"/>
            <w:tcBorders>
              <w:top w:val="nil"/>
              <w:left w:val="nil"/>
              <w:bottom w:val="single" w:sz="4" w:space="0" w:color="auto"/>
              <w:right w:val="single" w:sz="4" w:space="0" w:color="auto"/>
            </w:tcBorders>
            <w:shd w:val="clear" w:color="000000" w:fill="FFFFFF"/>
            <w:noWrap/>
            <w:vAlign w:val="center"/>
            <w:hideMark/>
          </w:tcPr>
          <w:p w14:paraId="2E788013"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35</w:t>
            </w:r>
          </w:p>
        </w:tc>
        <w:tc>
          <w:tcPr>
            <w:tcW w:w="729" w:type="dxa"/>
            <w:tcBorders>
              <w:top w:val="nil"/>
              <w:left w:val="nil"/>
              <w:bottom w:val="single" w:sz="4" w:space="0" w:color="auto"/>
              <w:right w:val="nil"/>
            </w:tcBorders>
            <w:shd w:val="clear" w:color="000000" w:fill="FFFFFF"/>
            <w:noWrap/>
            <w:vAlign w:val="center"/>
            <w:hideMark/>
          </w:tcPr>
          <w:p w14:paraId="5FD61A77"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39</w:t>
            </w:r>
          </w:p>
        </w:tc>
        <w:tc>
          <w:tcPr>
            <w:tcW w:w="731" w:type="dxa"/>
            <w:tcBorders>
              <w:top w:val="nil"/>
              <w:left w:val="nil"/>
              <w:bottom w:val="single" w:sz="4" w:space="0" w:color="auto"/>
              <w:right w:val="single" w:sz="4" w:space="0" w:color="auto"/>
            </w:tcBorders>
            <w:shd w:val="clear" w:color="000000" w:fill="FFFFFF"/>
            <w:noWrap/>
            <w:vAlign w:val="center"/>
            <w:hideMark/>
          </w:tcPr>
          <w:p w14:paraId="33C21E99"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35</w:t>
            </w:r>
          </w:p>
        </w:tc>
        <w:tc>
          <w:tcPr>
            <w:tcW w:w="729" w:type="dxa"/>
            <w:tcBorders>
              <w:top w:val="nil"/>
              <w:left w:val="nil"/>
              <w:bottom w:val="single" w:sz="4" w:space="0" w:color="auto"/>
              <w:right w:val="nil"/>
            </w:tcBorders>
            <w:shd w:val="clear" w:color="000000" w:fill="FFFFFF"/>
            <w:noWrap/>
            <w:vAlign w:val="center"/>
            <w:hideMark/>
          </w:tcPr>
          <w:p w14:paraId="391CA57B"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39</w:t>
            </w:r>
          </w:p>
        </w:tc>
        <w:tc>
          <w:tcPr>
            <w:tcW w:w="730" w:type="dxa"/>
            <w:tcBorders>
              <w:top w:val="nil"/>
              <w:left w:val="nil"/>
              <w:bottom w:val="single" w:sz="4" w:space="0" w:color="auto"/>
              <w:right w:val="single" w:sz="4" w:space="0" w:color="auto"/>
            </w:tcBorders>
            <w:shd w:val="clear" w:color="000000" w:fill="FFFFFF"/>
            <w:noWrap/>
            <w:vAlign w:val="center"/>
            <w:hideMark/>
          </w:tcPr>
          <w:p w14:paraId="1B05279E" w14:textId="77777777" w:rsidR="003B17B9" w:rsidRPr="0058478E" w:rsidRDefault="003B17B9" w:rsidP="003B17B9">
            <w:pPr>
              <w:spacing w:line="240" w:lineRule="auto"/>
              <w:jc w:val="center"/>
              <w:rPr>
                <w:rFonts w:ascii="Arial Narrow" w:hAnsi="Arial Narrow"/>
                <w:sz w:val="18"/>
                <w:szCs w:val="18"/>
              </w:rPr>
            </w:pPr>
            <w:r w:rsidRPr="0058478E">
              <w:rPr>
                <w:rFonts w:ascii="Arial Narrow" w:hAnsi="Arial Narrow"/>
                <w:sz w:val="18"/>
                <w:szCs w:val="18"/>
              </w:rPr>
              <w:t>35</w:t>
            </w:r>
          </w:p>
        </w:tc>
      </w:tr>
      <w:tr w:rsidR="0058478E" w:rsidRPr="0058478E" w14:paraId="35C7EAAA" w14:textId="77777777" w:rsidTr="0058478E">
        <w:trPr>
          <w:gridAfter w:val="1"/>
          <w:wAfter w:w="20" w:type="dxa"/>
          <w:trHeight w:val="282"/>
        </w:trPr>
        <w:tc>
          <w:tcPr>
            <w:tcW w:w="1892" w:type="dxa"/>
            <w:tcBorders>
              <w:top w:val="nil"/>
              <w:left w:val="single" w:sz="4" w:space="0" w:color="auto"/>
              <w:bottom w:val="single" w:sz="4" w:space="0" w:color="auto"/>
              <w:right w:val="single" w:sz="4" w:space="0" w:color="auto"/>
            </w:tcBorders>
            <w:shd w:val="clear" w:color="000000" w:fill="FFFFFF"/>
            <w:vAlign w:val="center"/>
            <w:hideMark/>
          </w:tcPr>
          <w:p w14:paraId="7DA3C936" w14:textId="77777777" w:rsidR="003B17B9" w:rsidRPr="0058478E" w:rsidRDefault="003B17B9" w:rsidP="003B17B9">
            <w:pPr>
              <w:spacing w:line="240" w:lineRule="auto"/>
              <w:jc w:val="center"/>
              <w:rPr>
                <w:rFonts w:ascii="Arial Narrow" w:hAnsi="Arial Narrow"/>
                <w:b/>
                <w:bCs/>
                <w:sz w:val="18"/>
                <w:szCs w:val="18"/>
              </w:rPr>
            </w:pPr>
            <w:r w:rsidRPr="0058478E">
              <w:rPr>
                <w:rFonts w:ascii="Arial Narrow" w:hAnsi="Arial Narrow"/>
                <w:b/>
                <w:bCs/>
                <w:sz w:val="18"/>
                <w:szCs w:val="18"/>
              </w:rPr>
              <w:t>Grand Total</w:t>
            </w:r>
          </w:p>
        </w:tc>
        <w:tc>
          <w:tcPr>
            <w:tcW w:w="729" w:type="dxa"/>
            <w:tcBorders>
              <w:top w:val="nil"/>
              <w:left w:val="nil"/>
              <w:bottom w:val="single" w:sz="4" w:space="0" w:color="auto"/>
              <w:right w:val="nil"/>
            </w:tcBorders>
            <w:shd w:val="clear" w:color="000000" w:fill="FFFFFF"/>
            <w:noWrap/>
            <w:vAlign w:val="center"/>
            <w:hideMark/>
          </w:tcPr>
          <w:p w14:paraId="0F6B2AC2" w14:textId="77777777" w:rsidR="003B17B9" w:rsidRPr="0058478E" w:rsidRDefault="003B17B9" w:rsidP="003B17B9">
            <w:pPr>
              <w:spacing w:line="240" w:lineRule="auto"/>
              <w:jc w:val="center"/>
              <w:rPr>
                <w:rFonts w:ascii="Arial Narrow" w:hAnsi="Arial Narrow"/>
                <w:b/>
                <w:bCs/>
                <w:sz w:val="18"/>
                <w:szCs w:val="18"/>
              </w:rPr>
            </w:pPr>
            <w:r w:rsidRPr="0058478E">
              <w:rPr>
                <w:rFonts w:ascii="Arial Narrow" w:hAnsi="Arial Narrow"/>
                <w:b/>
                <w:bCs/>
                <w:sz w:val="18"/>
                <w:szCs w:val="18"/>
              </w:rPr>
              <w:t>77</w:t>
            </w:r>
          </w:p>
        </w:tc>
        <w:tc>
          <w:tcPr>
            <w:tcW w:w="731" w:type="dxa"/>
            <w:tcBorders>
              <w:top w:val="nil"/>
              <w:left w:val="nil"/>
              <w:bottom w:val="single" w:sz="4" w:space="0" w:color="auto"/>
              <w:right w:val="single" w:sz="4" w:space="0" w:color="auto"/>
            </w:tcBorders>
            <w:shd w:val="clear" w:color="000000" w:fill="FFFFFF"/>
            <w:noWrap/>
            <w:vAlign w:val="center"/>
            <w:hideMark/>
          </w:tcPr>
          <w:p w14:paraId="1D541DFC" w14:textId="77777777" w:rsidR="003B17B9" w:rsidRPr="0058478E" w:rsidRDefault="003B17B9" w:rsidP="003B17B9">
            <w:pPr>
              <w:spacing w:line="240" w:lineRule="auto"/>
              <w:jc w:val="center"/>
              <w:rPr>
                <w:rFonts w:ascii="Arial Narrow" w:hAnsi="Arial Narrow"/>
                <w:b/>
                <w:bCs/>
                <w:sz w:val="18"/>
                <w:szCs w:val="18"/>
              </w:rPr>
            </w:pPr>
            <w:r w:rsidRPr="0058478E">
              <w:rPr>
                <w:rFonts w:ascii="Arial Narrow" w:hAnsi="Arial Narrow"/>
                <w:b/>
                <w:bCs/>
                <w:sz w:val="18"/>
                <w:szCs w:val="18"/>
              </w:rPr>
              <w:t>90</w:t>
            </w:r>
          </w:p>
        </w:tc>
        <w:tc>
          <w:tcPr>
            <w:tcW w:w="729" w:type="dxa"/>
            <w:tcBorders>
              <w:top w:val="nil"/>
              <w:left w:val="nil"/>
              <w:bottom w:val="single" w:sz="4" w:space="0" w:color="auto"/>
              <w:right w:val="nil"/>
            </w:tcBorders>
            <w:shd w:val="clear" w:color="000000" w:fill="FFFFFF"/>
            <w:noWrap/>
            <w:vAlign w:val="center"/>
            <w:hideMark/>
          </w:tcPr>
          <w:p w14:paraId="3F0F074B" w14:textId="77777777" w:rsidR="003B17B9" w:rsidRPr="0058478E" w:rsidRDefault="003B17B9" w:rsidP="003B17B9">
            <w:pPr>
              <w:spacing w:line="240" w:lineRule="auto"/>
              <w:jc w:val="center"/>
              <w:rPr>
                <w:rFonts w:ascii="Arial Narrow" w:hAnsi="Arial Narrow"/>
                <w:b/>
                <w:bCs/>
                <w:sz w:val="18"/>
                <w:szCs w:val="18"/>
              </w:rPr>
            </w:pPr>
            <w:r w:rsidRPr="0058478E">
              <w:rPr>
                <w:rFonts w:ascii="Arial Narrow" w:hAnsi="Arial Narrow"/>
                <w:b/>
                <w:bCs/>
                <w:sz w:val="18"/>
                <w:szCs w:val="18"/>
              </w:rPr>
              <w:t>82</w:t>
            </w:r>
          </w:p>
        </w:tc>
        <w:tc>
          <w:tcPr>
            <w:tcW w:w="731" w:type="dxa"/>
            <w:tcBorders>
              <w:top w:val="nil"/>
              <w:left w:val="nil"/>
              <w:bottom w:val="single" w:sz="4" w:space="0" w:color="auto"/>
              <w:right w:val="single" w:sz="4" w:space="0" w:color="auto"/>
            </w:tcBorders>
            <w:shd w:val="clear" w:color="000000" w:fill="FFFFFF"/>
            <w:noWrap/>
            <w:vAlign w:val="center"/>
            <w:hideMark/>
          </w:tcPr>
          <w:p w14:paraId="3E978B4F" w14:textId="77777777" w:rsidR="003B17B9" w:rsidRPr="0058478E" w:rsidRDefault="003B17B9" w:rsidP="003B17B9">
            <w:pPr>
              <w:spacing w:line="240" w:lineRule="auto"/>
              <w:jc w:val="center"/>
              <w:rPr>
                <w:rFonts w:ascii="Arial Narrow" w:hAnsi="Arial Narrow"/>
                <w:b/>
                <w:bCs/>
                <w:sz w:val="18"/>
                <w:szCs w:val="18"/>
              </w:rPr>
            </w:pPr>
            <w:r w:rsidRPr="0058478E">
              <w:rPr>
                <w:rFonts w:ascii="Arial Narrow" w:hAnsi="Arial Narrow"/>
                <w:b/>
                <w:bCs/>
                <w:sz w:val="18"/>
                <w:szCs w:val="18"/>
              </w:rPr>
              <w:t>92</w:t>
            </w:r>
          </w:p>
        </w:tc>
        <w:tc>
          <w:tcPr>
            <w:tcW w:w="729" w:type="dxa"/>
            <w:tcBorders>
              <w:top w:val="nil"/>
              <w:left w:val="nil"/>
              <w:bottom w:val="single" w:sz="4" w:space="0" w:color="auto"/>
              <w:right w:val="nil"/>
            </w:tcBorders>
            <w:shd w:val="clear" w:color="000000" w:fill="FFFFFF"/>
            <w:noWrap/>
            <w:vAlign w:val="center"/>
            <w:hideMark/>
          </w:tcPr>
          <w:p w14:paraId="56C81EFA" w14:textId="77777777" w:rsidR="003B17B9" w:rsidRPr="0058478E" w:rsidRDefault="003B17B9" w:rsidP="003B17B9">
            <w:pPr>
              <w:spacing w:line="240" w:lineRule="auto"/>
              <w:jc w:val="center"/>
              <w:rPr>
                <w:rFonts w:ascii="Arial Narrow" w:hAnsi="Arial Narrow"/>
                <w:b/>
                <w:bCs/>
                <w:sz w:val="18"/>
                <w:szCs w:val="18"/>
              </w:rPr>
            </w:pPr>
            <w:r w:rsidRPr="0058478E">
              <w:rPr>
                <w:rFonts w:ascii="Arial Narrow" w:hAnsi="Arial Narrow"/>
                <w:b/>
                <w:bCs/>
                <w:sz w:val="18"/>
                <w:szCs w:val="18"/>
              </w:rPr>
              <w:t>86</w:t>
            </w:r>
          </w:p>
        </w:tc>
        <w:tc>
          <w:tcPr>
            <w:tcW w:w="731" w:type="dxa"/>
            <w:tcBorders>
              <w:top w:val="nil"/>
              <w:left w:val="nil"/>
              <w:bottom w:val="single" w:sz="4" w:space="0" w:color="auto"/>
              <w:right w:val="single" w:sz="4" w:space="0" w:color="auto"/>
            </w:tcBorders>
            <w:shd w:val="clear" w:color="000000" w:fill="FFFFFF"/>
            <w:noWrap/>
            <w:vAlign w:val="center"/>
            <w:hideMark/>
          </w:tcPr>
          <w:p w14:paraId="56594F62" w14:textId="77777777" w:rsidR="003B17B9" w:rsidRPr="0058478E" w:rsidRDefault="003B17B9" w:rsidP="003B17B9">
            <w:pPr>
              <w:spacing w:line="240" w:lineRule="auto"/>
              <w:jc w:val="center"/>
              <w:rPr>
                <w:rFonts w:ascii="Arial Narrow" w:hAnsi="Arial Narrow"/>
                <w:b/>
                <w:bCs/>
                <w:sz w:val="18"/>
                <w:szCs w:val="18"/>
              </w:rPr>
            </w:pPr>
            <w:r w:rsidRPr="0058478E">
              <w:rPr>
                <w:rFonts w:ascii="Arial Narrow" w:hAnsi="Arial Narrow"/>
                <w:b/>
                <w:bCs/>
                <w:sz w:val="18"/>
                <w:szCs w:val="18"/>
              </w:rPr>
              <w:t>99</w:t>
            </w:r>
          </w:p>
        </w:tc>
        <w:tc>
          <w:tcPr>
            <w:tcW w:w="729" w:type="dxa"/>
            <w:tcBorders>
              <w:top w:val="nil"/>
              <w:left w:val="nil"/>
              <w:bottom w:val="single" w:sz="4" w:space="0" w:color="auto"/>
              <w:right w:val="nil"/>
            </w:tcBorders>
            <w:shd w:val="clear" w:color="000000" w:fill="FFFFFF"/>
            <w:noWrap/>
            <w:vAlign w:val="center"/>
            <w:hideMark/>
          </w:tcPr>
          <w:p w14:paraId="3B475864" w14:textId="77777777" w:rsidR="003B17B9" w:rsidRPr="0058478E" w:rsidRDefault="003B17B9" w:rsidP="003B17B9">
            <w:pPr>
              <w:spacing w:line="240" w:lineRule="auto"/>
              <w:jc w:val="center"/>
              <w:rPr>
                <w:rFonts w:ascii="Arial Narrow" w:hAnsi="Arial Narrow"/>
                <w:b/>
                <w:bCs/>
                <w:sz w:val="18"/>
                <w:szCs w:val="18"/>
              </w:rPr>
            </w:pPr>
            <w:r w:rsidRPr="0058478E">
              <w:rPr>
                <w:rFonts w:ascii="Arial Narrow" w:hAnsi="Arial Narrow"/>
                <w:b/>
                <w:bCs/>
                <w:sz w:val="18"/>
                <w:szCs w:val="18"/>
              </w:rPr>
              <w:t>86</w:t>
            </w:r>
          </w:p>
        </w:tc>
        <w:tc>
          <w:tcPr>
            <w:tcW w:w="731" w:type="dxa"/>
            <w:tcBorders>
              <w:top w:val="nil"/>
              <w:left w:val="nil"/>
              <w:bottom w:val="single" w:sz="4" w:space="0" w:color="auto"/>
              <w:right w:val="single" w:sz="4" w:space="0" w:color="auto"/>
            </w:tcBorders>
            <w:shd w:val="clear" w:color="000000" w:fill="FFFFFF"/>
            <w:noWrap/>
            <w:vAlign w:val="center"/>
            <w:hideMark/>
          </w:tcPr>
          <w:p w14:paraId="3B16BC7C" w14:textId="77777777" w:rsidR="003B17B9" w:rsidRPr="0058478E" w:rsidRDefault="003B17B9" w:rsidP="003B17B9">
            <w:pPr>
              <w:spacing w:line="240" w:lineRule="auto"/>
              <w:jc w:val="center"/>
              <w:rPr>
                <w:rFonts w:ascii="Arial Narrow" w:hAnsi="Arial Narrow"/>
                <w:b/>
                <w:bCs/>
                <w:sz w:val="18"/>
                <w:szCs w:val="18"/>
              </w:rPr>
            </w:pPr>
            <w:r w:rsidRPr="0058478E">
              <w:rPr>
                <w:rFonts w:ascii="Arial Narrow" w:hAnsi="Arial Narrow"/>
                <w:b/>
                <w:bCs/>
                <w:sz w:val="18"/>
                <w:szCs w:val="18"/>
              </w:rPr>
              <w:t>98</w:t>
            </w:r>
          </w:p>
        </w:tc>
        <w:tc>
          <w:tcPr>
            <w:tcW w:w="729" w:type="dxa"/>
            <w:tcBorders>
              <w:top w:val="nil"/>
              <w:left w:val="nil"/>
              <w:bottom w:val="single" w:sz="4" w:space="0" w:color="auto"/>
              <w:right w:val="nil"/>
            </w:tcBorders>
            <w:shd w:val="clear" w:color="000000" w:fill="FFFFFF"/>
            <w:noWrap/>
            <w:vAlign w:val="center"/>
            <w:hideMark/>
          </w:tcPr>
          <w:p w14:paraId="7249B7D0" w14:textId="77777777" w:rsidR="003B17B9" w:rsidRPr="0058478E" w:rsidRDefault="003B17B9" w:rsidP="003B17B9">
            <w:pPr>
              <w:spacing w:line="240" w:lineRule="auto"/>
              <w:jc w:val="center"/>
              <w:rPr>
                <w:rFonts w:ascii="Arial Narrow" w:hAnsi="Arial Narrow"/>
                <w:b/>
                <w:bCs/>
                <w:sz w:val="18"/>
                <w:szCs w:val="18"/>
              </w:rPr>
            </w:pPr>
            <w:r w:rsidRPr="0058478E">
              <w:rPr>
                <w:rFonts w:ascii="Arial Narrow" w:hAnsi="Arial Narrow"/>
                <w:b/>
                <w:bCs/>
                <w:sz w:val="18"/>
                <w:szCs w:val="18"/>
              </w:rPr>
              <w:t>88</w:t>
            </w:r>
          </w:p>
        </w:tc>
        <w:tc>
          <w:tcPr>
            <w:tcW w:w="730" w:type="dxa"/>
            <w:tcBorders>
              <w:top w:val="nil"/>
              <w:left w:val="nil"/>
              <w:bottom w:val="single" w:sz="4" w:space="0" w:color="auto"/>
              <w:right w:val="single" w:sz="4" w:space="0" w:color="auto"/>
            </w:tcBorders>
            <w:shd w:val="clear" w:color="000000" w:fill="FFFFFF"/>
            <w:noWrap/>
            <w:vAlign w:val="center"/>
            <w:hideMark/>
          </w:tcPr>
          <w:p w14:paraId="111D8D71" w14:textId="77777777" w:rsidR="003B17B9" w:rsidRPr="0058478E" w:rsidRDefault="003B17B9" w:rsidP="003B17B9">
            <w:pPr>
              <w:spacing w:line="240" w:lineRule="auto"/>
              <w:jc w:val="center"/>
              <w:rPr>
                <w:rFonts w:ascii="Arial Narrow" w:hAnsi="Arial Narrow"/>
                <w:b/>
                <w:bCs/>
                <w:sz w:val="18"/>
                <w:szCs w:val="18"/>
              </w:rPr>
            </w:pPr>
            <w:r w:rsidRPr="0058478E">
              <w:rPr>
                <w:rFonts w:ascii="Arial Narrow" w:hAnsi="Arial Narrow"/>
                <w:b/>
                <w:bCs/>
                <w:sz w:val="18"/>
                <w:szCs w:val="18"/>
              </w:rPr>
              <w:t>121</w:t>
            </w:r>
          </w:p>
        </w:tc>
      </w:tr>
    </w:tbl>
    <w:p w14:paraId="51824197" w14:textId="77777777" w:rsidR="009D5F32" w:rsidRDefault="00176086" w:rsidP="00031C0C">
      <w:pPr>
        <w:jc w:val="center"/>
      </w:pPr>
      <w:r w:rsidRPr="00502AC0">
        <w:rPr>
          <w:sz w:val="16"/>
          <w:szCs w:val="16"/>
        </w:rPr>
        <w:t>*includes interactive effects</w:t>
      </w:r>
    </w:p>
    <w:p w14:paraId="0D1B22CA" w14:textId="77777777" w:rsidR="009D5F32" w:rsidRDefault="009D5F32" w:rsidP="00031C0C">
      <w:pPr>
        <w:pStyle w:val="Heading9"/>
      </w:pPr>
      <w:bookmarkStart w:id="44" w:name="_Toc490225757"/>
      <w:r>
        <w:lastRenderedPageBreak/>
        <w:t>Market Potential as a Percent of Sales</w:t>
      </w:r>
      <w:bookmarkEnd w:id="44"/>
    </w:p>
    <w:p w14:paraId="65124632" w14:textId="77777777" w:rsidR="006B0582" w:rsidRDefault="00C8553E" w:rsidP="006B0582">
      <w:r>
        <w:t xml:space="preserve">Figure ES-3 and Figure ES-4 </w:t>
      </w:r>
      <w:r w:rsidR="00F310C5">
        <w:t xml:space="preserve">illustrate </w:t>
      </w:r>
      <w:r w:rsidR="006B0582">
        <w:t xml:space="preserve">the </w:t>
      </w:r>
      <w:r w:rsidR="00F310C5">
        <w:t xml:space="preserve">market potential </w:t>
      </w:r>
      <w:r w:rsidR="006B0582">
        <w:t xml:space="preserve">savings </w:t>
      </w:r>
      <w:r w:rsidR="00076549">
        <w:t xml:space="preserve">for incentive </w:t>
      </w:r>
      <w:r w:rsidR="00F310C5">
        <w:t>p</w:t>
      </w:r>
      <w:r w:rsidR="006B0582">
        <w:t xml:space="preserve">rograms </w:t>
      </w:r>
      <w:r w:rsidR="00076549">
        <w:t xml:space="preserve">(Equipment Rebates, BROs and LI) </w:t>
      </w:r>
      <w:r w:rsidR="006B0582">
        <w:t>as a percent of IOU sales</w:t>
      </w:r>
      <w:r w:rsidR="00F310C5">
        <w:t xml:space="preserve"> for electric and gas, respectively</w:t>
      </w:r>
      <w:r w:rsidR="006B0582">
        <w:t xml:space="preserve">. </w:t>
      </w:r>
      <w:r w:rsidR="00010541">
        <w:t xml:space="preserve">Table ES-4 </w:t>
      </w:r>
      <w:r w:rsidR="00C95BA5">
        <w:t xml:space="preserve">and </w:t>
      </w:r>
      <w:r w:rsidR="00010541">
        <w:t xml:space="preserve">Table ES-5 </w:t>
      </w:r>
      <w:r w:rsidR="00C95BA5">
        <w:t xml:space="preserve">report the year-by-year percentage reductions for each of the five scenarios for electric and gas, respectively.  </w:t>
      </w:r>
      <w:r w:rsidR="006B0582">
        <w:t xml:space="preserve">Savings as a percent of sales is a common metric provided in </w:t>
      </w:r>
      <w:r w:rsidR="00F310C5">
        <w:t xml:space="preserve">many </w:t>
      </w:r>
      <w:r w:rsidR="006B0582">
        <w:t>potential studies</w:t>
      </w:r>
      <w:r w:rsidR="00F310C5">
        <w:t xml:space="preserve">. </w:t>
      </w:r>
      <w:r w:rsidR="00601E7D">
        <w:t xml:space="preserve"> The percent savings serves as a useful benchmark when comparing market potentials to other jurisdictions and previous potential studies. </w:t>
      </w:r>
      <w:r w:rsidR="00F310C5">
        <w:t xml:space="preserve"> It should be noted that </w:t>
      </w:r>
      <w:r w:rsidR="006B0582">
        <w:t xml:space="preserve">savings from C&amp;S </w:t>
      </w:r>
      <w:r w:rsidR="00551B35">
        <w:t xml:space="preserve">were excluded from </w:t>
      </w:r>
      <w:r w:rsidR="00F310C5">
        <w:t xml:space="preserve">these </w:t>
      </w:r>
      <w:r w:rsidR="006B0582">
        <w:t>calculations</w:t>
      </w:r>
      <w:r w:rsidR="00852102">
        <w:t xml:space="preserve"> as per industry standard practice</w:t>
      </w:r>
      <w:r w:rsidR="00551B35">
        <w:t xml:space="preserve">. </w:t>
      </w:r>
      <w:r w:rsidR="00B305E5">
        <w:t>The calculation uses net savings.</w:t>
      </w:r>
    </w:p>
    <w:p w14:paraId="091BC974" w14:textId="77777777" w:rsidR="00601E7D" w:rsidRDefault="00601E7D" w:rsidP="006B0582"/>
    <w:p w14:paraId="0A0C2017" w14:textId="77777777" w:rsidR="00601E7D" w:rsidRDefault="00C95BA5" w:rsidP="006B0582">
      <w:r>
        <w:t xml:space="preserve">The following </w:t>
      </w:r>
      <w:r w:rsidR="00601E7D">
        <w:t>observa</w:t>
      </w:r>
      <w:r w:rsidR="00601E7D" w:rsidRPr="00D806B2">
        <w:t xml:space="preserve">tions </w:t>
      </w:r>
      <w:r w:rsidRPr="00D806B2">
        <w:t xml:space="preserve">are noted </w:t>
      </w:r>
      <w:r w:rsidR="00D43636">
        <w:t>for</w:t>
      </w:r>
      <w:r w:rsidRPr="00D806B2">
        <w:t xml:space="preserve"> the electric results</w:t>
      </w:r>
      <w:r w:rsidR="00601E7D" w:rsidRPr="00D806B2">
        <w:t>:</w:t>
      </w:r>
    </w:p>
    <w:p w14:paraId="0E37C7A2" w14:textId="07A484BD" w:rsidR="00601E7D" w:rsidRDefault="003F7321" w:rsidP="00031C0C">
      <w:pPr>
        <w:pStyle w:val="ListParagraph"/>
        <w:numPr>
          <w:ilvl w:val="0"/>
          <w:numId w:val="89"/>
        </w:numPr>
      </w:pPr>
      <w:r>
        <w:t>Net m</w:t>
      </w:r>
      <w:r w:rsidR="00176086" w:rsidRPr="00D806B2">
        <w:t xml:space="preserve">arket potential savings as a percentage of forecasted electric energy usage </w:t>
      </w:r>
      <w:r w:rsidR="00D806B2" w:rsidRPr="00031C0C">
        <w:t xml:space="preserve">grows </w:t>
      </w:r>
      <w:r w:rsidR="00176086" w:rsidRPr="00D806B2">
        <w:t>from 0.</w:t>
      </w:r>
      <w:r w:rsidR="003E4DCF">
        <w:t>48</w:t>
      </w:r>
      <w:r w:rsidR="00176086" w:rsidRPr="00D806B2">
        <w:t>% to</w:t>
      </w:r>
      <w:r w:rsidR="00D806B2" w:rsidRPr="00031C0C">
        <w:t xml:space="preserve"> 0.</w:t>
      </w:r>
      <w:r w:rsidR="003E4DCF">
        <w:t>75</w:t>
      </w:r>
      <w:r w:rsidR="00D806B2" w:rsidRPr="00031C0C">
        <w:t xml:space="preserve">% between 2018 and 2030 under Scenario 1 (TRC Reference).  Under the most optimistic case, market potential grows from </w:t>
      </w:r>
      <w:r w:rsidR="00176086" w:rsidRPr="00D806B2">
        <w:t>0.6</w:t>
      </w:r>
      <w:r w:rsidR="00700A9D">
        <w:t>6</w:t>
      </w:r>
      <w:r w:rsidR="00176086" w:rsidRPr="00D806B2">
        <w:t xml:space="preserve">% in </w:t>
      </w:r>
      <w:r w:rsidR="00D806B2" w:rsidRPr="00031C0C">
        <w:t>2018 to 1.</w:t>
      </w:r>
      <w:r w:rsidR="00700A9D">
        <w:t>13</w:t>
      </w:r>
      <w:r w:rsidR="00D806B2" w:rsidRPr="00031C0C">
        <w:t xml:space="preserve">% by 2030 under Scenario 5 (PAC Aggressive).  </w:t>
      </w:r>
    </w:p>
    <w:p w14:paraId="0CF24AF3" w14:textId="77777777" w:rsidR="00601E7D" w:rsidRDefault="00C95BA5" w:rsidP="00031C0C">
      <w:pPr>
        <w:pStyle w:val="ListParagraph"/>
        <w:numPr>
          <w:ilvl w:val="0"/>
          <w:numId w:val="89"/>
        </w:numPr>
      </w:pPr>
      <w:r>
        <w:t>E</w:t>
      </w:r>
      <w:r w:rsidR="009D5F32">
        <w:t xml:space="preserve">lectric potential increases as the cost test used to screen measures </w:t>
      </w:r>
      <w:r w:rsidR="00B305E5">
        <w:t>accounts fo</w:t>
      </w:r>
      <w:r w:rsidR="003E705E">
        <w:t>r</w:t>
      </w:r>
      <w:r w:rsidR="00B305E5">
        <w:t xml:space="preserve"> additional benefits (addition of GHG abatement costs) or does not account for customer costs (PAC)</w:t>
      </w:r>
      <w:r w:rsidR="009D5F32">
        <w:t xml:space="preserve">, with the TRC test yielding the least </w:t>
      </w:r>
      <w:r w:rsidR="009D5F32" w:rsidRPr="00B84B6E">
        <w:t xml:space="preserve">potential and the PAC test yielding the most potential. By 2030, </w:t>
      </w:r>
      <w:r w:rsidR="00D806B2">
        <w:t>Scenario 4 (</w:t>
      </w:r>
      <w:r w:rsidR="009D5F32" w:rsidRPr="00B84B6E">
        <w:t>PAC Reference</w:t>
      </w:r>
      <w:r w:rsidR="00D806B2">
        <w:t xml:space="preserve">) </w:t>
      </w:r>
      <w:r w:rsidR="009D5F32" w:rsidRPr="00B84B6E">
        <w:t xml:space="preserve">produces about </w:t>
      </w:r>
      <w:r w:rsidR="003E4DCF">
        <w:t>9</w:t>
      </w:r>
      <w:r w:rsidR="009D5F32" w:rsidRPr="00B84B6E">
        <w:t xml:space="preserve">% more electric savings than </w:t>
      </w:r>
      <w:r w:rsidR="00D806B2">
        <w:t>Scenario 1 (</w:t>
      </w:r>
      <w:r w:rsidR="009D5F32" w:rsidRPr="00B84B6E">
        <w:t xml:space="preserve">TRC </w:t>
      </w:r>
      <w:r w:rsidR="00D806B2">
        <w:t>R</w:t>
      </w:r>
      <w:r w:rsidR="009D5F32" w:rsidRPr="00B84B6E">
        <w:t>eference</w:t>
      </w:r>
      <w:r w:rsidR="00D806B2">
        <w:t>).</w:t>
      </w:r>
    </w:p>
    <w:p w14:paraId="46320F7D" w14:textId="77777777" w:rsidR="00601E7D" w:rsidRDefault="00C95BA5" w:rsidP="00031C0C">
      <w:pPr>
        <w:pStyle w:val="ListParagraph"/>
        <w:numPr>
          <w:ilvl w:val="0"/>
          <w:numId w:val="89"/>
        </w:numPr>
      </w:pPr>
      <w:r>
        <w:t>Further</w:t>
      </w:r>
      <w:r w:rsidR="00E20437">
        <w:t>,</w:t>
      </w:r>
      <w:r>
        <w:t xml:space="preserve"> the electric results </w:t>
      </w:r>
      <w:r w:rsidRPr="00B84B6E">
        <w:t xml:space="preserve">show that aggressive program engagement in the form of financing as well as increased marketing and incentives can yield additional savings beyond </w:t>
      </w:r>
      <w:r w:rsidR="00E20437">
        <w:t xml:space="preserve">current </w:t>
      </w:r>
      <w:r w:rsidRPr="00B84B6E">
        <w:t xml:space="preserve">program engagement as illustrated </w:t>
      </w:r>
      <w:r w:rsidR="00D806B2">
        <w:t>under Scenario 5 (</w:t>
      </w:r>
      <w:r w:rsidRPr="00B84B6E">
        <w:t xml:space="preserve">PAC </w:t>
      </w:r>
      <w:r w:rsidR="00D806B2">
        <w:t>A</w:t>
      </w:r>
      <w:r w:rsidRPr="00B84B6E">
        <w:t>ggressive</w:t>
      </w:r>
      <w:r w:rsidR="00D806B2">
        <w:t>)</w:t>
      </w:r>
      <w:r w:rsidRPr="00B84B6E">
        <w:t xml:space="preserve">, which produces about </w:t>
      </w:r>
      <w:r w:rsidR="003E4DCF">
        <w:t>38</w:t>
      </w:r>
      <w:r w:rsidRPr="00B84B6E">
        <w:t xml:space="preserve">% more electric savings than </w:t>
      </w:r>
      <w:r w:rsidR="00D806B2">
        <w:t>Scenario 5 (</w:t>
      </w:r>
      <w:r w:rsidRPr="00B84B6E">
        <w:t xml:space="preserve">PAC </w:t>
      </w:r>
      <w:r w:rsidR="00D806B2">
        <w:t>Reference).</w:t>
      </w:r>
    </w:p>
    <w:p w14:paraId="098905A1" w14:textId="77777777" w:rsidR="00C95BA5" w:rsidRDefault="00C95BA5" w:rsidP="00031C0C">
      <w:pPr>
        <w:pStyle w:val="ListParagraph"/>
        <w:numPr>
          <w:ilvl w:val="0"/>
          <w:numId w:val="89"/>
        </w:numPr>
      </w:pPr>
      <w:r>
        <w:t xml:space="preserve">Finally, </w:t>
      </w:r>
      <w:r w:rsidR="00D806B2">
        <w:t>Scenario 5 (</w:t>
      </w:r>
      <w:r w:rsidRPr="00B84B6E">
        <w:t>PAC Aggressive</w:t>
      </w:r>
      <w:r w:rsidR="00D806B2">
        <w:t xml:space="preserve">) </w:t>
      </w:r>
      <w:r w:rsidRPr="00B84B6E">
        <w:t xml:space="preserve">produces about </w:t>
      </w:r>
      <w:r w:rsidR="003E4DCF">
        <w:t>51</w:t>
      </w:r>
      <w:r w:rsidRPr="00B84B6E">
        <w:t>%</w:t>
      </w:r>
      <w:r>
        <w:t xml:space="preserve"> more electric savings than </w:t>
      </w:r>
      <w:r w:rsidR="00D806B2">
        <w:t>Scenario 1 (</w:t>
      </w:r>
      <w:r>
        <w:t xml:space="preserve">TRC </w:t>
      </w:r>
      <w:r w:rsidR="00D806B2">
        <w:t>Reference).</w:t>
      </w:r>
    </w:p>
    <w:p w14:paraId="68A9B572" w14:textId="77777777" w:rsidR="00A36D37" w:rsidRDefault="00A36D37"/>
    <w:p w14:paraId="51A2CCF3" w14:textId="77777777" w:rsidR="00C95BA5" w:rsidRDefault="00C95BA5">
      <w:r>
        <w:t xml:space="preserve">The following observations are noted </w:t>
      </w:r>
      <w:r w:rsidR="00D43636">
        <w:t xml:space="preserve">for </w:t>
      </w:r>
      <w:r>
        <w:t>the gas results:</w:t>
      </w:r>
    </w:p>
    <w:p w14:paraId="6D9D6DC0" w14:textId="77777777" w:rsidR="00C95BA5" w:rsidRDefault="00C95BA5" w:rsidP="00031C0C">
      <w:pPr>
        <w:pStyle w:val="ListParagraph"/>
        <w:numPr>
          <w:ilvl w:val="0"/>
          <w:numId w:val="90"/>
        </w:numPr>
      </w:pPr>
      <w:r>
        <w:t>Market potential as a percentage of forecasted gas energy usage generally increases as the cost test used to screen measures becomes less stringent.</w:t>
      </w:r>
    </w:p>
    <w:p w14:paraId="4B885908" w14:textId="77777777" w:rsidR="00C95BA5" w:rsidRDefault="00BF3FC7" w:rsidP="00AF21BE">
      <w:pPr>
        <w:pStyle w:val="ListParagraph"/>
        <w:numPr>
          <w:ilvl w:val="0"/>
          <w:numId w:val="90"/>
        </w:numPr>
      </w:pPr>
      <w:r>
        <w:t xml:space="preserve">For </w:t>
      </w:r>
      <w:r w:rsidR="00635B73">
        <w:t>gas incentive program savings</w:t>
      </w:r>
      <w:r>
        <w:t>, Scenario 5 (PAC Aggressive) and Scenario 3 (mTRC w/ GHG adder 2) are roughly on par</w:t>
      </w:r>
      <w:r w:rsidR="00635B73">
        <w:t xml:space="preserve"> until 2023.</w:t>
      </w:r>
      <w:r>
        <w:t xml:space="preserve"> </w:t>
      </w:r>
      <w:r w:rsidR="00635B73">
        <w:t xml:space="preserve">This is because the GHG adder, which is high in Scenario 3, is applied uniformly to all gas measures. On the other hand, the impact of the adder on electric measures is loadshape-dependent, </w:t>
      </w:r>
      <w:r w:rsidR="0029282B">
        <w:t>which means the</w:t>
      </w:r>
      <w:r w:rsidR="00635B73">
        <w:t xml:space="preserve"> benefits</w:t>
      </w:r>
      <w:r w:rsidR="0029282B">
        <w:t xml:space="preserve"> of the GHG adder</w:t>
      </w:r>
      <w:r w:rsidR="00635B73">
        <w:t xml:space="preserve"> v</w:t>
      </w:r>
      <w:r w:rsidR="0029282B">
        <w:t xml:space="preserve">ary by time of day and season. </w:t>
      </w:r>
      <w:r w:rsidR="00635B73">
        <w:t>Beyond 2023, Scenario 5 starts to yield the highest gas potential as BROs participation starts to ramp up in the Aggressive scenario.</w:t>
      </w:r>
      <w:r w:rsidR="00791B26">
        <w:t xml:space="preserve">  </w:t>
      </w:r>
      <w:r w:rsidR="00C95BA5">
        <w:t xml:space="preserve"> </w:t>
      </w:r>
    </w:p>
    <w:p w14:paraId="48CC7287" w14:textId="77777777" w:rsidR="00C95BA5" w:rsidRDefault="00C95BA5" w:rsidP="00031C0C">
      <w:pPr>
        <w:pStyle w:val="ListParagraph"/>
        <w:numPr>
          <w:ilvl w:val="0"/>
          <w:numId w:val="90"/>
        </w:numPr>
      </w:pPr>
      <w:r>
        <w:t>By 2030, Scenario 3 (mTRC w/ GHG adder 2)</w:t>
      </w:r>
      <w:r w:rsidRPr="0040478E">
        <w:t xml:space="preserve"> produces about </w:t>
      </w:r>
      <w:r w:rsidR="00DD3412">
        <w:t>16</w:t>
      </w:r>
      <w:r w:rsidRPr="0040478E">
        <w:t xml:space="preserve">% more gas savings than </w:t>
      </w:r>
      <w:r>
        <w:t>Scenario 1 (T</w:t>
      </w:r>
      <w:r w:rsidRPr="0040478E">
        <w:t>RC Reference</w:t>
      </w:r>
      <w:r>
        <w:t>).</w:t>
      </w:r>
    </w:p>
    <w:p w14:paraId="66529116" w14:textId="77777777" w:rsidR="006B0582" w:rsidRDefault="00D806B2" w:rsidP="00E86E12">
      <w:pPr>
        <w:pStyle w:val="ListParagraph"/>
        <w:numPr>
          <w:ilvl w:val="0"/>
          <w:numId w:val="90"/>
        </w:numPr>
      </w:pPr>
      <w:r w:rsidRPr="0040478E">
        <w:t xml:space="preserve">Another noteworthy trend </w:t>
      </w:r>
      <w:r>
        <w:t xml:space="preserve">for the gas results </w:t>
      </w:r>
      <w:r w:rsidRPr="0040478E">
        <w:t xml:space="preserve">is that </w:t>
      </w:r>
      <w:r>
        <w:t>Scenario 5 (</w:t>
      </w:r>
      <w:r w:rsidRPr="0040478E">
        <w:t>PAC Aggressive</w:t>
      </w:r>
      <w:r>
        <w:t>)</w:t>
      </w:r>
      <w:r w:rsidRPr="0040478E">
        <w:t xml:space="preserve"> surpasses </w:t>
      </w:r>
      <w:r>
        <w:t xml:space="preserve">Scenario </w:t>
      </w:r>
      <w:r w:rsidR="00903D92">
        <w:t>4</w:t>
      </w:r>
      <w:r>
        <w:t xml:space="preserve"> (</w:t>
      </w:r>
      <w:r w:rsidR="00903D92">
        <w:t>PAC Reference</w:t>
      </w:r>
      <w:r w:rsidRPr="0040478E">
        <w:t xml:space="preserve">) by about </w:t>
      </w:r>
      <w:r w:rsidR="003E4DCF">
        <w:t>36</w:t>
      </w:r>
      <w:r w:rsidRPr="0040478E">
        <w:t xml:space="preserve">% at the end of the forecast period. This is attributable to aggressive program engagement. Overall, </w:t>
      </w:r>
      <w:r>
        <w:t>S</w:t>
      </w:r>
      <w:r w:rsidRPr="0040478E">
        <w:t xml:space="preserve">cenario </w:t>
      </w:r>
      <w:r>
        <w:t xml:space="preserve">5 (PAC Aggressive) </w:t>
      </w:r>
      <w:r w:rsidRPr="0040478E">
        <w:t>produces about 5</w:t>
      </w:r>
      <w:r w:rsidR="003E4DCF">
        <w:t>6</w:t>
      </w:r>
      <w:r w:rsidRPr="0040478E">
        <w:t xml:space="preserve">% more gas savings </w:t>
      </w:r>
      <w:r>
        <w:t>relative to Scenario 1 (</w:t>
      </w:r>
      <w:r w:rsidRPr="0040478E">
        <w:t xml:space="preserve">TRC </w:t>
      </w:r>
      <w:r>
        <w:t xml:space="preserve">Reference) </w:t>
      </w:r>
      <w:r w:rsidRPr="0040478E">
        <w:t>by 2030.</w:t>
      </w:r>
    </w:p>
    <w:p w14:paraId="0894F65A" w14:textId="77777777" w:rsidR="006B0582" w:rsidRDefault="006B0582" w:rsidP="006B0582">
      <w:bookmarkStart w:id="45" w:name="_Ref484779936"/>
    </w:p>
    <w:p w14:paraId="55BB89C0" w14:textId="77777777" w:rsidR="006B0582" w:rsidRPr="00F123A3" w:rsidRDefault="006B0582" w:rsidP="006B0582">
      <w:pPr>
        <w:pStyle w:val="Caption"/>
      </w:pPr>
      <w:bookmarkStart w:id="46" w:name="_Toc490225862"/>
      <w:r>
        <w:lastRenderedPageBreak/>
        <w:t>Figure ES-</w:t>
      </w:r>
      <w:fldSimple w:instr=" SEQ Figure_ES- \* ARABIC ">
        <w:r w:rsidR="007566B9">
          <w:rPr>
            <w:noProof/>
          </w:rPr>
          <w:t>3</w:t>
        </w:r>
      </w:fldSimple>
      <w:bookmarkEnd w:id="45"/>
      <w:r>
        <w:t xml:space="preserve">. Incremental </w:t>
      </w:r>
      <w:r w:rsidR="003F7321">
        <w:t xml:space="preserve">Net </w:t>
      </w:r>
      <w:r>
        <w:t>Electric</w:t>
      </w:r>
      <w:r w:rsidRPr="00F123A3">
        <w:t xml:space="preserve"> </w:t>
      </w:r>
      <w:r w:rsidR="009E47A3">
        <w:t xml:space="preserve">Market </w:t>
      </w:r>
      <w:r w:rsidRPr="00F123A3">
        <w:t xml:space="preserve">Potential </w:t>
      </w:r>
      <w:r w:rsidR="009E47A3">
        <w:t xml:space="preserve">as a </w:t>
      </w:r>
      <w:r>
        <w:t xml:space="preserve">Percent </w:t>
      </w:r>
      <w:r w:rsidR="009E47A3">
        <w:t>of Sales</w:t>
      </w:r>
      <w:bookmarkEnd w:id="46"/>
    </w:p>
    <w:p w14:paraId="16A0674A" w14:textId="77777777" w:rsidR="006B0582" w:rsidRDefault="00700A9D" w:rsidP="006B0582">
      <w:pPr>
        <w:jc w:val="center"/>
      </w:pPr>
      <w:r>
        <w:rPr>
          <w:noProof/>
        </w:rPr>
        <w:drawing>
          <wp:inline distT="0" distB="0" distL="0" distR="0" wp14:anchorId="374FDBA6" wp14:editId="0DAA44F3">
            <wp:extent cx="6172160" cy="28479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74032" cy="2848839"/>
                    </a:xfrm>
                    <a:prstGeom prst="rect">
                      <a:avLst/>
                    </a:prstGeom>
                    <a:noFill/>
                  </pic:spPr>
                </pic:pic>
              </a:graphicData>
            </a:graphic>
          </wp:inline>
        </w:drawing>
      </w:r>
    </w:p>
    <w:p w14:paraId="22A741E0" w14:textId="77777777" w:rsidR="009D5F32" w:rsidRPr="00AF21BE" w:rsidRDefault="006B0582" w:rsidP="00AF21BE">
      <w:pPr>
        <w:jc w:val="center"/>
        <w:rPr>
          <w:sz w:val="16"/>
        </w:rPr>
      </w:pPr>
      <w:r w:rsidRPr="00A47C15">
        <w:rPr>
          <w:sz w:val="16"/>
        </w:rPr>
        <w:t>Note: Excludes C&amp;S</w:t>
      </w:r>
    </w:p>
    <w:p w14:paraId="0596E680" w14:textId="77777777" w:rsidR="0033629B" w:rsidRPr="0033629B" w:rsidRDefault="0033629B" w:rsidP="0033629B">
      <w:pPr>
        <w:pStyle w:val="Caption"/>
      </w:pPr>
    </w:p>
    <w:p w14:paraId="091571DA" w14:textId="77777777" w:rsidR="00AF21BE" w:rsidRDefault="00AF21BE" w:rsidP="00AF21BE">
      <w:pPr>
        <w:pStyle w:val="Caption"/>
      </w:pPr>
      <w:bookmarkStart w:id="47" w:name="_Toc490226068"/>
      <w:r>
        <w:t xml:space="preserve">Table ES- </w:t>
      </w:r>
      <w:fldSimple w:instr=" SEQ Table_ES- \* ARABIC ">
        <w:r w:rsidR="007566B9">
          <w:rPr>
            <w:noProof/>
          </w:rPr>
          <w:t>4</w:t>
        </w:r>
      </w:fldSimple>
      <w:r>
        <w:t xml:space="preserve">. Incremental </w:t>
      </w:r>
      <w:r w:rsidR="003F7321">
        <w:t xml:space="preserve">Net </w:t>
      </w:r>
      <w:r>
        <w:t>Electric</w:t>
      </w:r>
      <w:r w:rsidRPr="00F123A3">
        <w:t xml:space="preserve"> </w:t>
      </w:r>
      <w:r>
        <w:t xml:space="preserve">Market </w:t>
      </w:r>
      <w:r w:rsidRPr="00F123A3">
        <w:t xml:space="preserve">Potential </w:t>
      </w:r>
      <w:r>
        <w:t>as a Percent of Sales</w:t>
      </w:r>
      <w:bookmarkEnd w:id="47"/>
    </w:p>
    <w:tbl>
      <w:tblPr>
        <w:tblStyle w:val="EnergyTable1"/>
        <w:tblW w:w="9990" w:type="dxa"/>
        <w:tblLook w:val="04A0" w:firstRow="1" w:lastRow="0" w:firstColumn="1" w:lastColumn="0" w:noHBand="0" w:noVBand="1"/>
      </w:tblPr>
      <w:tblGrid>
        <w:gridCol w:w="1069"/>
        <w:gridCol w:w="1823"/>
        <w:gridCol w:w="1646"/>
        <w:gridCol w:w="1646"/>
        <w:gridCol w:w="1823"/>
        <w:gridCol w:w="1983"/>
      </w:tblGrid>
      <w:tr w:rsidR="0033629B" w:rsidRPr="0033629B" w14:paraId="1514B632" w14:textId="77777777" w:rsidTr="00AF21BE">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069" w:type="dxa"/>
            <w:hideMark/>
          </w:tcPr>
          <w:p w14:paraId="16BD7843" w14:textId="77777777" w:rsidR="0033629B" w:rsidRPr="0033629B" w:rsidRDefault="009D5F32" w:rsidP="00627798">
            <w:pPr>
              <w:spacing w:line="240" w:lineRule="auto"/>
              <w:rPr>
                <w:rFonts w:ascii="Arial Narrow" w:hAnsi="Arial Narrow" w:cs="Calibri"/>
                <w:bCs/>
                <w:sz w:val="18"/>
                <w:szCs w:val="18"/>
              </w:rPr>
            </w:pPr>
            <w:r>
              <w:rPr>
                <w:rFonts w:ascii="Arial Narrow" w:hAnsi="Arial Narrow" w:cs="Calibri"/>
                <w:bCs/>
                <w:sz w:val="18"/>
                <w:szCs w:val="18"/>
              </w:rPr>
              <w:t>Year</w:t>
            </w:r>
          </w:p>
        </w:tc>
        <w:tc>
          <w:tcPr>
            <w:tcW w:w="1823" w:type="dxa"/>
            <w:hideMark/>
          </w:tcPr>
          <w:p w14:paraId="7DBB616D" w14:textId="77777777" w:rsidR="0033629B" w:rsidRPr="0033629B" w:rsidRDefault="009D5F32" w:rsidP="00627798">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sz w:val="18"/>
                <w:szCs w:val="18"/>
              </w:rPr>
            </w:pPr>
            <w:r>
              <w:rPr>
                <w:rFonts w:ascii="Arial Narrow" w:hAnsi="Arial Narrow" w:cs="Calibri"/>
                <w:bCs/>
                <w:sz w:val="18"/>
                <w:szCs w:val="18"/>
              </w:rPr>
              <w:t xml:space="preserve">Scenario 1: </w:t>
            </w:r>
            <w:r w:rsidR="0033629B" w:rsidRPr="0033629B">
              <w:rPr>
                <w:rFonts w:ascii="Arial Narrow" w:hAnsi="Arial Narrow" w:cs="Calibri"/>
                <w:bCs/>
                <w:sz w:val="18"/>
                <w:szCs w:val="18"/>
              </w:rPr>
              <w:t>TRC  Reference</w:t>
            </w:r>
          </w:p>
        </w:tc>
        <w:tc>
          <w:tcPr>
            <w:tcW w:w="1646" w:type="dxa"/>
            <w:hideMark/>
          </w:tcPr>
          <w:p w14:paraId="1895908E" w14:textId="77777777" w:rsidR="0033629B" w:rsidRPr="0033629B" w:rsidRDefault="009D5F32" w:rsidP="00627798">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sz w:val="18"/>
                <w:szCs w:val="18"/>
              </w:rPr>
            </w:pPr>
            <w:r>
              <w:rPr>
                <w:rFonts w:ascii="Arial Narrow" w:hAnsi="Arial Narrow" w:cs="Calibri"/>
                <w:bCs/>
                <w:sz w:val="18"/>
                <w:szCs w:val="18"/>
              </w:rPr>
              <w:t xml:space="preserve">Scenario 2: </w:t>
            </w:r>
            <w:r w:rsidR="0033629B" w:rsidRPr="0033629B">
              <w:rPr>
                <w:rFonts w:ascii="Arial Narrow" w:hAnsi="Arial Narrow" w:cs="Calibri"/>
                <w:bCs/>
                <w:sz w:val="18"/>
                <w:szCs w:val="18"/>
              </w:rPr>
              <w:t xml:space="preserve">mTRC </w:t>
            </w:r>
            <w:r>
              <w:rPr>
                <w:rFonts w:ascii="Arial Narrow" w:hAnsi="Arial Narrow" w:cs="Calibri"/>
                <w:bCs/>
                <w:sz w:val="18"/>
                <w:szCs w:val="18"/>
              </w:rPr>
              <w:t xml:space="preserve">w/ </w:t>
            </w:r>
            <w:r w:rsidR="0033629B" w:rsidRPr="0033629B">
              <w:rPr>
                <w:rFonts w:ascii="Arial Narrow" w:hAnsi="Arial Narrow" w:cs="Calibri"/>
                <w:bCs/>
                <w:sz w:val="18"/>
                <w:szCs w:val="18"/>
              </w:rPr>
              <w:t>GHG adder 1</w:t>
            </w:r>
          </w:p>
        </w:tc>
        <w:tc>
          <w:tcPr>
            <w:tcW w:w="1646" w:type="dxa"/>
            <w:hideMark/>
          </w:tcPr>
          <w:p w14:paraId="3CD7581A" w14:textId="77777777" w:rsidR="0033629B" w:rsidRPr="0033629B" w:rsidRDefault="009D5F32" w:rsidP="00627798">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sz w:val="18"/>
                <w:szCs w:val="18"/>
              </w:rPr>
            </w:pPr>
            <w:r>
              <w:rPr>
                <w:rFonts w:ascii="Arial Narrow" w:hAnsi="Arial Narrow" w:cs="Calibri"/>
                <w:bCs/>
                <w:sz w:val="18"/>
                <w:szCs w:val="18"/>
              </w:rPr>
              <w:t xml:space="preserve">Scenario 3: </w:t>
            </w:r>
            <w:r w:rsidR="0033629B" w:rsidRPr="0033629B">
              <w:rPr>
                <w:rFonts w:ascii="Arial Narrow" w:hAnsi="Arial Narrow" w:cs="Calibri"/>
                <w:bCs/>
                <w:sz w:val="18"/>
                <w:szCs w:val="18"/>
              </w:rPr>
              <w:t xml:space="preserve">mTRC </w:t>
            </w:r>
            <w:r>
              <w:rPr>
                <w:rFonts w:ascii="Arial Narrow" w:hAnsi="Arial Narrow" w:cs="Calibri"/>
                <w:bCs/>
                <w:sz w:val="18"/>
                <w:szCs w:val="18"/>
              </w:rPr>
              <w:t xml:space="preserve">w/ </w:t>
            </w:r>
            <w:r w:rsidR="0033629B" w:rsidRPr="0033629B">
              <w:rPr>
                <w:rFonts w:ascii="Arial Narrow" w:hAnsi="Arial Narrow" w:cs="Calibri"/>
                <w:bCs/>
                <w:sz w:val="18"/>
                <w:szCs w:val="18"/>
              </w:rPr>
              <w:t>GHG adder 2</w:t>
            </w:r>
          </w:p>
        </w:tc>
        <w:tc>
          <w:tcPr>
            <w:tcW w:w="1823" w:type="dxa"/>
            <w:hideMark/>
          </w:tcPr>
          <w:p w14:paraId="2C5B9FFC" w14:textId="77777777" w:rsidR="0033629B" w:rsidRPr="0033629B" w:rsidRDefault="009D5F32" w:rsidP="00627798">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sz w:val="18"/>
                <w:szCs w:val="18"/>
              </w:rPr>
            </w:pPr>
            <w:r>
              <w:rPr>
                <w:rFonts w:ascii="Arial Narrow" w:hAnsi="Arial Narrow" w:cs="Calibri"/>
                <w:bCs/>
                <w:sz w:val="18"/>
                <w:szCs w:val="18"/>
              </w:rPr>
              <w:t xml:space="preserve">Scenario 4: </w:t>
            </w:r>
            <w:r w:rsidR="0033629B" w:rsidRPr="0033629B">
              <w:rPr>
                <w:rFonts w:ascii="Arial Narrow" w:hAnsi="Arial Narrow" w:cs="Calibri"/>
                <w:bCs/>
                <w:sz w:val="18"/>
                <w:szCs w:val="18"/>
              </w:rPr>
              <w:t>PAC  Reference</w:t>
            </w:r>
          </w:p>
        </w:tc>
        <w:tc>
          <w:tcPr>
            <w:tcW w:w="1983" w:type="dxa"/>
            <w:hideMark/>
          </w:tcPr>
          <w:p w14:paraId="52154569" w14:textId="77777777" w:rsidR="0033629B" w:rsidRPr="0033629B" w:rsidRDefault="009D5F32" w:rsidP="00627798">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sz w:val="18"/>
                <w:szCs w:val="18"/>
              </w:rPr>
            </w:pPr>
            <w:r>
              <w:rPr>
                <w:rFonts w:ascii="Arial Narrow" w:hAnsi="Arial Narrow" w:cs="Calibri"/>
                <w:bCs/>
                <w:sz w:val="18"/>
                <w:szCs w:val="18"/>
              </w:rPr>
              <w:t xml:space="preserve">Scenario 5: </w:t>
            </w:r>
            <w:r w:rsidR="0033629B" w:rsidRPr="0033629B">
              <w:rPr>
                <w:rFonts w:ascii="Arial Narrow" w:hAnsi="Arial Narrow" w:cs="Calibri"/>
                <w:bCs/>
                <w:sz w:val="18"/>
                <w:szCs w:val="18"/>
              </w:rPr>
              <w:t>PAC  Aggressive</w:t>
            </w:r>
          </w:p>
        </w:tc>
      </w:tr>
      <w:tr w:rsidR="00700A9D" w:rsidRPr="0033629B" w14:paraId="30249766"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9" w:type="dxa"/>
            <w:noWrap/>
            <w:hideMark/>
          </w:tcPr>
          <w:p w14:paraId="569E68F7" w14:textId="77777777" w:rsidR="00700A9D" w:rsidRPr="0033629B" w:rsidRDefault="00700A9D" w:rsidP="00700A9D">
            <w:pPr>
              <w:spacing w:line="240" w:lineRule="auto"/>
              <w:rPr>
                <w:rFonts w:ascii="Arial Narrow" w:hAnsi="Arial Narrow" w:cs="Calibri"/>
                <w:sz w:val="18"/>
                <w:szCs w:val="18"/>
              </w:rPr>
            </w:pPr>
            <w:r w:rsidRPr="0033629B">
              <w:rPr>
                <w:rFonts w:ascii="Arial Narrow" w:hAnsi="Arial Narrow" w:cs="Calibri"/>
                <w:sz w:val="18"/>
                <w:szCs w:val="18"/>
              </w:rPr>
              <w:t>2018</w:t>
            </w:r>
          </w:p>
        </w:tc>
        <w:tc>
          <w:tcPr>
            <w:tcW w:w="1823" w:type="dxa"/>
            <w:noWrap/>
            <w:vAlign w:val="top"/>
            <w:hideMark/>
          </w:tcPr>
          <w:p w14:paraId="162DAC8A"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0.48%</w:t>
            </w:r>
          </w:p>
        </w:tc>
        <w:tc>
          <w:tcPr>
            <w:tcW w:w="1646" w:type="dxa"/>
            <w:noWrap/>
            <w:vAlign w:val="top"/>
            <w:hideMark/>
          </w:tcPr>
          <w:p w14:paraId="7140F7AE"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0.50%</w:t>
            </w:r>
          </w:p>
        </w:tc>
        <w:tc>
          <w:tcPr>
            <w:tcW w:w="1646" w:type="dxa"/>
            <w:noWrap/>
            <w:vAlign w:val="top"/>
            <w:hideMark/>
          </w:tcPr>
          <w:p w14:paraId="646ACE56"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0.51%</w:t>
            </w:r>
          </w:p>
        </w:tc>
        <w:tc>
          <w:tcPr>
            <w:tcW w:w="1823" w:type="dxa"/>
            <w:noWrap/>
            <w:vAlign w:val="top"/>
            <w:hideMark/>
          </w:tcPr>
          <w:p w14:paraId="707AAA75"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0.61%</w:t>
            </w:r>
          </w:p>
        </w:tc>
        <w:tc>
          <w:tcPr>
            <w:tcW w:w="1983" w:type="dxa"/>
            <w:noWrap/>
            <w:vAlign w:val="top"/>
            <w:hideMark/>
          </w:tcPr>
          <w:p w14:paraId="2CEA35F4"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0.66%</w:t>
            </w:r>
          </w:p>
        </w:tc>
      </w:tr>
      <w:tr w:rsidR="00700A9D" w:rsidRPr="0033629B" w14:paraId="79F9EBD8"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9" w:type="dxa"/>
            <w:noWrap/>
            <w:hideMark/>
          </w:tcPr>
          <w:p w14:paraId="06D10205" w14:textId="77777777" w:rsidR="00700A9D" w:rsidRPr="0033629B" w:rsidRDefault="00700A9D" w:rsidP="00700A9D">
            <w:pPr>
              <w:spacing w:line="240" w:lineRule="auto"/>
              <w:rPr>
                <w:rFonts w:ascii="Arial Narrow" w:hAnsi="Arial Narrow" w:cs="Calibri"/>
                <w:sz w:val="18"/>
                <w:szCs w:val="18"/>
              </w:rPr>
            </w:pPr>
            <w:r w:rsidRPr="0033629B">
              <w:rPr>
                <w:rFonts w:ascii="Arial Narrow" w:hAnsi="Arial Narrow" w:cs="Calibri"/>
                <w:sz w:val="18"/>
                <w:szCs w:val="18"/>
              </w:rPr>
              <w:t>2019</w:t>
            </w:r>
          </w:p>
        </w:tc>
        <w:tc>
          <w:tcPr>
            <w:tcW w:w="1823" w:type="dxa"/>
            <w:noWrap/>
            <w:vAlign w:val="top"/>
            <w:hideMark/>
          </w:tcPr>
          <w:p w14:paraId="1B4724C1"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0.54%</w:t>
            </w:r>
          </w:p>
        </w:tc>
        <w:tc>
          <w:tcPr>
            <w:tcW w:w="1646" w:type="dxa"/>
            <w:noWrap/>
            <w:vAlign w:val="top"/>
            <w:hideMark/>
          </w:tcPr>
          <w:p w14:paraId="1359B6AA"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0.55%</w:t>
            </w:r>
          </w:p>
        </w:tc>
        <w:tc>
          <w:tcPr>
            <w:tcW w:w="1646" w:type="dxa"/>
            <w:noWrap/>
            <w:vAlign w:val="top"/>
            <w:hideMark/>
          </w:tcPr>
          <w:p w14:paraId="73C15439"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0.56%</w:t>
            </w:r>
          </w:p>
        </w:tc>
        <w:tc>
          <w:tcPr>
            <w:tcW w:w="1823" w:type="dxa"/>
            <w:noWrap/>
            <w:vAlign w:val="top"/>
            <w:hideMark/>
          </w:tcPr>
          <w:p w14:paraId="5AC8FEF3"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0.66%</w:t>
            </w:r>
          </w:p>
        </w:tc>
        <w:tc>
          <w:tcPr>
            <w:tcW w:w="1983" w:type="dxa"/>
            <w:noWrap/>
            <w:vAlign w:val="top"/>
            <w:hideMark/>
          </w:tcPr>
          <w:p w14:paraId="6BE98E03"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0.74%</w:t>
            </w:r>
          </w:p>
        </w:tc>
      </w:tr>
      <w:tr w:rsidR="00700A9D" w:rsidRPr="0033629B" w14:paraId="305061FF"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9" w:type="dxa"/>
            <w:noWrap/>
            <w:hideMark/>
          </w:tcPr>
          <w:p w14:paraId="03D9A6E6" w14:textId="77777777" w:rsidR="00700A9D" w:rsidRPr="0033629B" w:rsidRDefault="00700A9D" w:rsidP="00700A9D">
            <w:pPr>
              <w:spacing w:line="240" w:lineRule="auto"/>
              <w:rPr>
                <w:rFonts w:ascii="Arial Narrow" w:hAnsi="Arial Narrow" w:cs="Calibri"/>
                <w:sz w:val="18"/>
                <w:szCs w:val="18"/>
              </w:rPr>
            </w:pPr>
            <w:r w:rsidRPr="0033629B">
              <w:rPr>
                <w:rFonts w:ascii="Arial Narrow" w:hAnsi="Arial Narrow" w:cs="Calibri"/>
                <w:sz w:val="18"/>
                <w:szCs w:val="18"/>
              </w:rPr>
              <w:t>2020</w:t>
            </w:r>
          </w:p>
        </w:tc>
        <w:tc>
          <w:tcPr>
            <w:tcW w:w="1823" w:type="dxa"/>
            <w:noWrap/>
            <w:vAlign w:val="top"/>
            <w:hideMark/>
          </w:tcPr>
          <w:p w14:paraId="4FE4688C"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0.54%</w:t>
            </w:r>
          </w:p>
        </w:tc>
        <w:tc>
          <w:tcPr>
            <w:tcW w:w="1646" w:type="dxa"/>
            <w:noWrap/>
            <w:vAlign w:val="top"/>
            <w:hideMark/>
          </w:tcPr>
          <w:p w14:paraId="088B9609"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0.55%</w:t>
            </w:r>
          </w:p>
        </w:tc>
        <w:tc>
          <w:tcPr>
            <w:tcW w:w="1646" w:type="dxa"/>
            <w:noWrap/>
            <w:vAlign w:val="top"/>
            <w:hideMark/>
          </w:tcPr>
          <w:p w14:paraId="6E077C35"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0.56%</w:t>
            </w:r>
          </w:p>
        </w:tc>
        <w:tc>
          <w:tcPr>
            <w:tcW w:w="1823" w:type="dxa"/>
            <w:noWrap/>
            <w:vAlign w:val="top"/>
            <w:hideMark/>
          </w:tcPr>
          <w:p w14:paraId="3034EC26"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0.65%</w:t>
            </w:r>
          </w:p>
        </w:tc>
        <w:tc>
          <w:tcPr>
            <w:tcW w:w="1983" w:type="dxa"/>
            <w:noWrap/>
            <w:vAlign w:val="top"/>
            <w:hideMark/>
          </w:tcPr>
          <w:p w14:paraId="7954410C"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0.75%</w:t>
            </w:r>
          </w:p>
        </w:tc>
      </w:tr>
      <w:tr w:rsidR="00700A9D" w:rsidRPr="0033629B" w14:paraId="52168D71"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9" w:type="dxa"/>
            <w:noWrap/>
            <w:hideMark/>
          </w:tcPr>
          <w:p w14:paraId="16CC3833" w14:textId="77777777" w:rsidR="00700A9D" w:rsidRPr="0033629B" w:rsidRDefault="00700A9D" w:rsidP="00700A9D">
            <w:pPr>
              <w:spacing w:line="240" w:lineRule="auto"/>
              <w:rPr>
                <w:rFonts w:ascii="Arial Narrow" w:hAnsi="Arial Narrow" w:cs="Calibri"/>
                <w:sz w:val="18"/>
                <w:szCs w:val="18"/>
              </w:rPr>
            </w:pPr>
            <w:r w:rsidRPr="0033629B">
              <w:rPr>
                <w:rFonts w:ascii="Arial Narrow" w:hAnsi="Arial Narrow" w:cs="Calibri"/>
                <w:sz w:val="18"/>
                <w:szCs w:val="18"/>
              </w:rPr>
              <w:t>2021</w:t>
            </w:r>
          </w:p>
        </w:tc>
        <w:tc>
          <w:tcPr>
            <w:tcW w:w="1823" w:type="dxa"/>
            <w:noWrap/>
            <w:vAlign w:val="top"/>
            <w:hideMark/>
          </w:tcPr>
          <w:p w14:paraId="3394B7B9"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0.58%</w:t>
            </w:r>
          </w:p>
        </w:tc>
        <w:tc>
          <w:tcPr>
            <w:tcW w:w="1646" w:type="dxa"/>
            <w:noWrap/>
            <w:vAlign w:val="top"/>
            <w:hideMark/>
          </w:tcPr>
          <w:p w14:paraId="6B58FAB6"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0.60%</w:t>
            </w:r>
          </w:p>
        </w:tc>
        <w:tc>
          <w:tcPr>
            <w:tcW w:w="1646" w:type="dxa"/>
            <w:noWrap/>
            <w:vAlign w:val="top"/>
            <w:hideMark/>
          </w:tcPr>
          <w:p w14:paraId="4F971566"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0.62%</w:t>
            </w:r>
          </w:p>
        </w:tc>
        <w:tc>
          <w:tcPr>
            <w:tcW w:w="1823" w:type="dxa"/>
            <w:noWrap/>
            <w:vAlign w:val="top"/>
            <w:hideMark/>
          </w:tcPr>
          <w:p w14:paraId="721CB880"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0.70%</w:t>
            </w:r>
          </w:p>
        </w:tc>
        <w:tc>
          <w:tcPr>
            <w:tcW w:w="1983" w:type="dxa"/>
            <w:noWrap/>
            <w:vAlign w:val="top"/>
            <w:hideMark/>
          </w:tcPr>
          <w:p w14:paraId="52DF0D85"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0.81%</w:t>
            </w:r>
          </w:p>
        </w:tc>
      </w:tr>
      <w:tr w:rsidR="00700A9D" w:rsidRPr="0033629B" w14:paraId="07F54EF8"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9" w:type="dxa"/>
            <w:noWrap/>
            <w:hideMark/>
          </w:tcPr>
          <w:p w14:paraId="463D17FE" w14:textId="77777777" w:rsidR="00700A9D" w:rsidRPr="0033629B" w:rsidRDefault="00700A9D" w:rsidP="00700A9D">
            <w:pPr>
              <w:spacing w:line="240" w:lineRule="auto"/>
              <w:rPr>
                <w:rFonts w:ascii="Arial Narrow" w:hAnsi="Arial Narrow" w:cs="Calibri"/>
                <w:sz w:val="18"/>
                <w:szCs w:val="18"/>
              </w:rPr>
            </w:pPr>
            <w:r w:rsidRPr="0033629B">
              <w:rPr>
                <w:rFonts w:ascii="Arial Narrow" w:hAnsi="Arial Narrow" w:cs="Calibri"/>
                <w:sz w:val="18"/>
                <w:szCs w:val="18"/>
              </w:rPr>
              <w:t>2022</w:t>
            </w:r>
          </w:p>
        </w:tc>
        <w:tc>
          <w:tcPr>
            <w:tcW w:w="1823" w:type="dxa"/>
            <w:noWrap/>
            <w:vAlign w:val="top"/>
            <w:hideMark/>
          </w:tcPr>
          <w:p w14:paraId="30CE535A"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0.59%</w:t>
            </w:r>
          </w:p>
        </w:tc>
        <w:tc>
          <w:tcPr>
            <w:tcW w:w="1646" w:type="dxa"/>
            <w:noWrap/>
            <w:vAlign w:val="top"/>
            <w:hideMark/>
          </w:tcPr>
          <w:p w14:paraId="766062A2"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0.62%</w:t>
            </w:r>
          </w:p>
        </w:tc>
        <w:tc>
          <w:tcPr>
            <w:tcW w:w="1646" w:type="dxa"/>
            <w:noWrap/>
            <w:vAlign w:val="top"/>
            <w:hideMark/>
          </w:tcPr>
          <w:p w14:paraId="6AB4D0DE"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0.64%</w:t>
            </w:r>
          </w:p>
        </w:tc>
        <w:tc>
          <w:tcPr>
            <w:tcW w:w="1823" w:type="dxa"/>
            <w:noWrap/>
            <w:vAlign w:val="top"/>
            <w:hideMark/>
          </w:tcPr>
          <w:p w14:paraId="35BDC3C5"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0.71%</w:t>
            </w:r>
          </w:p>
        </w:tc>
        <w:tc>
          <w:tcPr>
            <w:tcW w:w="1983" w:type="dxa"/>
            <w:noWrap/>
            <w:vAlign w:val="top"/>
            <w:hideMark/>
          </w:tcPr>
          <w:p w14:paraId="4C0C1E5A"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0.83%</w:t>
            </w:r>
          </w:p>
        </w:tc>
      </w:tr>
      <w:tr w:rsidR="00700A9D" w:rsidRPr="0033629B" w14:paraId="0BE53723"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9" w:type="dxa"/>
            <w:noWrap/>
            <w:hideMark/>
          </w:tcPr>
          <w:p w14:paraId="68E345A0" w14:textId="77777777" w:rsidR="00700A9D" w:rsidRPr="0033629B" w:rsidRDefault="00700A9D" w:rsidP="00700A9D">
            <w:pPr>
              <w:spacing w:line="240" w:lineRule="auto"/>
              <w:rPr>
                <w:rFonts w:ascii="Arial Narrow" w:hAnsi="Arial Narrow" w:cs="Calibri"/>
                <w:sz w:val="18"/>
                <w:szCs w:val="18"/>
              </w:rPr>
            </w:pPr>
            <w:r w:rsidRPr="0033629B">
              <w:rPr>
                <w:rFonts w:ascii="Arial Narrow" w:hAnsi="Arial Narrow" w:cs="Calibri"/>
                <w:sz w:val="18"/>
                <w:szCs w:val="18"/>
              </w:rPr>
              <w:t>2023</w:t>
            </w:r>
          </w:p>
        </w:tc>
        <w:tc>
          <w:tcPr>
            <w:tcW w:w="1823" w:type="dxa"/>
            <w:noWrap/>
            <w:vAlign w:val="top"/>
            <w:hideMark/>
          </w:tcPr>
          <w:p w14:paraId="71F2FA8A"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0.61%</w:t>
            </w:r>
          </w:p>
        </w:tc>
        <w:tc>
          <w:tcPr>
            <w:tcW w:w="1646" w:type="dxa"/>
            <w:noWrap/>
            <w:vAlign w:val="top"/>
            <w:hideMark/>
          </w:tcPr>
          <w:p w14:paraId="11828429"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0.64%</w:t>
            </w:r>
          </w:p>
        </w:tc>
        <w:tc>
          <w:tcPr>
            <w:tcW w:w="1646" w:type="dxa"/>
            <w:noWrap/>
            <w:vAlign w:val="top"/>
            <w:hideMark/>
          </w:tcPr>
          <w:p w14:paraId="5714CE78"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0.66%</w:t>
            </w:r>
          </w:p>
        </w:tc>
        <w:tc>
          <w:tcPr>
            <w:tcW w:w="1823" w:type="dxa"/>
            <w:noWrap/>
            <w:vAlign w:val="top"/>
            <w:hideMark/>
          </w:tcPr>
          <w:p w14:paraId="5441A690"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0.73%</w:t>
            </w:r>
          </w:p>
        </w:tc>
        <w:tc>
          <w:tcPr>
            <w:tcW w:w="1983" w:type="dxa"/>
            <w:noWrap/>
            <w:vAlign w:val="top"/>
            <w:hideMark/>
          </w:tcPr>
          <w:p w14:paraId="759FBB66"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0.86%</w:t>
            </w:r>
          </w:p>
        </w:tc>
      </w:tr>
      <w:tr w:rsidR="00700A9D" w:rsidRPr="0033629B" w14:paraId="6A70B5B6"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9" w:type="dxa"/>
            <w:noWrap/>
            <w:hideMark/>
          </w:tcPr>
          <w:p w14:paraId="7380EF96" w14:textId="77777777" w:rsidR="00700A9D" w:rsidRPr="0033629B" w:rsidRDefault="00700A9D" w:rsidP="00700A9D">
            <w:pPr>
              <w:spacing w:line="240" w:lineRule="auto"/>
              <w:rPr>
                <w:rFonts w:ascii="Arial Narrow" w:hAnsi="Arial Narrow" w:cs="Calibri"/>
                <w:sz w:val="18"/>
                <w:szCs w:val="18"/>
              </w:rPr>
            </w:pPr>
            <w:r w:rsidRPr="0033629B">
              <w:rPr>
                <w:rFonts w:ascii="Arial Narrow" w:hAnsi="Arial Narrow" w:cs="Calibri"/>
                <w:sz w:val="18"/>
                <w:szCs w:val="18"/>
              </w:rPr>
              <w:t>2024</w:t>
            </w:r>
          </w:p>
        </w:tc>
        <w:tc>
          <w:tcPr>
            <w:tcW w:w="1823" w:type="dxa"/>
            <w:noWrap/>
            <w:vAlign w:val="top"/>
            <w:hideMark/>
          </w:tcPr>
          <w:p w14:paraId="34743E56"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0.64%</w:t>
            </w:r>
          </w:p>
        </w:tc>
        <w:tc>
          <w:tcPr>
            <w:tcW w:w="1646" w:type="dxa"/>
            <w:noWrap/>
            <w:vAlign w:val="top"/>
            <w:hideMark/>
          </w:tcPr>
          <w:p w14:paraId="6A8831FF"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0.66%</w:t>
            </w:r>
          </w:p>
        </w:tc>
        <w:tc>
          <w:tcPr>
            <w:tcW w:w="1646" w:type="dxa"/>
            <w:noWrap/>
            <w:vAlign w:val="top"/>
            <w:hideMark/>
          </w:tcPr>
          <w:p w14:paraId="05F2EBCA"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0.68%</w:t>
            </w:r>
          </w:p>
        </w:tc>
        <w:tc>
          <w:tcPr>
            <w:tcW w:w="1823" w:type="dxa"/>
            <w:noWrap/>
            <w:vAlign w:val="top"/>
            <w:hideMark/>
          </w:tcPr>
          <w:p w14:paraId="534C6A4A"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0.74%</w:t>
            </w:r>
          </w:p>
        </w:tc>
        <w:tc>
          <w:tcPr>
            <w:tcW w:w="1983" w:type="dxa"/>
            <w:noWrap/>
            <w:vAlign w:val="top"/>
            <w:hideMark/>
          </w:tcPr>
          <w:p w14:paraId="359684C8"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0.89%</w:t>
            </w:r>
          </w:p>
        </w:tc>
      </w:tr>
      <w:tr w:rsidR="00700A9D" w:rsidRPr="0033629B" w14:paraId="43D64712"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9" w:type="dxa"/>
            <w:noWrap/>
            <w:hideMark/>
          </w:tcPr>
          <w:p w14:paraId="00F7E4C8" w14:textId="77777777" w:rsidR="00700A9D" w:rsidRPr="0033629B" w:rsidRDefault="00700A9D" w:rsidP="00700A9D">
            <w:pPr>
              <w:spacing w:line="240" w:lineRule="auto"/>
              <w:rPr>
                <w:rFonts w:ascii="Arial Narrow" w:hAnsi="Arial Narrow" w:cs="Calibri"/>
                <w:sz w:val="18"/>
                <w:szCs w:val="18"/>
              </w:rPr>
            </w:pPr>
            <w:r w:rsidRPr="0033629B">
              <w:rPr>
                <w:rFonts w:ascii="Arial Narrow" w:hAnsi="Arial Narrow" w:cs="Calibri"/>
                <w:sz w:val="18"/>
                <w:szCs w:val="18"/>
              </w:rPr>
              <w:t>2025</w:t>
            </w:r>
          </w:p>
        </w:tc>
        <w:tc>
          <w:tcPr>
            <w:tcW w:w="1823" w:type="dxa"/>
            <w:noWrap/>
            <w:vAlign w:val="top"/>
            <w:hideMark/>
          </w:tcPr>
          <w:p w14:paraId="41108215"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0.67%</w:t>
            </w:r>
          </w:p>
        </w:tc>
        <w:tc>
          <w:tcPr>
            <w:tcW w:w="1646" w:type="dxa"/>
            <w:noWrap/>
            <w:vAlign w:val="top"/>
            <w:hideMark/>
          </w:tcPr>
          <w:p w14:paraId="315B26AA"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0.68%</w:t>
            </w:r>
          </w:p>
        </w:tc>
        <w:tc>
          <w:tcPr>
            <w:tcW w:w="1646" w:type="dxa"/>
            <w:noWrap/>
            <w:vAlign w:val="top"/>
            <w:hideMark/>
          </w:tcPr>
          <w:p w14:paraId="10E70E32"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0.70%</w:t>
            </w:r>
          </w:p>
        </w:tc>
        <w:tc>
          <w:tcPr>
            <w:tcW w:w="1823" w:type="dxa"/>
            <w:noWrap/>
            <w:vAlign w:val="top"/>
            <w:hideMark/>
          </w:tcPr>
          <w:p w14:paraId="0B183DC1"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0.76%</w:t>
            </w:r>
          </w:p>
        </w:tc>
        <w:tc>
          <w:tcPr>
            <w:tcW w:w="1983" w:type="dxa"/>
            <w:noWrap/>
            <w:vAlign w:val="top"/>
            <w:hideMark/>
          </w:tcPr>
          <w:p w14:paraId="3C05C152"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0.94%</w:t>
            </w:r>
          </w:p>
        </w:tc>
      </w:tr>
      <w:tr w:rsidR="00700A9D" w:rsidRPr="0033629B" w14:paraId="47828AC3"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9" w:type="dxa"/>
            <w:noWrap/>
            <w:hideMark/>
          </w:tcPr>
          <w:p w14:paraId="0E71670B" w14:textId="77777777" w:rsidR="00700A9D" w:rsidRPr="0033629B" w:rsidRDefault="00700A9D" w:rsidP="00700A9D">
            <w:pPr>
              <w:spacing w:line="240" w:lineRule="auto"/>
              <w:rPr>
                <w:rFonts w:ascii="Arial Narrow" w:hAnsi="Arial Narrow" w:cs="Calibri"/>
                <w:sz w:val="18"/>
                <w:szCs w:val="18"/>
              </w:rPr>
            </w:pPr>
            <w:r w:rsidRPr="0033629B">
              <w:rPr>
                <w:rFonts w:ascii="Arial Narrow" w:hAnsi="Arial Narrow" w:cs="Calibri"/>
                <w:sz w:val="18"/>
                <w:szCs w:val="18"/>
              </w:rPr>
              <w:t>2026</w:t>
            </w:r>
          </w:p>
        </w:tc>
        <w:tc>
          <w:tcPr>
            <w:tcW w:w="1823" w:type="dxa"/>
            <w:noWrap/>
            <w:vAlign w:val="top"/>
            <w:hideMark/>
          </w:tcPr>
          <w:p w14:paraId="2F8ABAE2"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0.69%</w:t>
            </w:r>
          </w:p>
        </w:tc>
        <w:tc>
          <w:tcPr>
            <w:tcW w:w="1646" w:type="dxa"/>
            <w:noWrap/>
            <w:vAlign w:val="top"/>
            <w:hideMark/>
          </w:tcPr>
          <w:p w14:paraId="7830382E"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0.70%</w:t>
            </w:r>
          </w:p>
        </w:tc>
        <w:tc>
          <w:tcPr>
            <w:tcW w:w="1646" w:type="dxa"/>
            <w:noWrap/>
            <w:vAlign w:val="top"/>
            <w:hideMark/>
          </w:tcPr>
          <w:p w14:paraId="6CE832DF"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0.72%</w:t>
            </w:r>
          </w:p>
        </w:tc>
        <w:tc>
          <w:tcPr>
            <w:tcW w:w="1823" w:type="dxa"/>
            <w:noWrap/>
            <w:vAlign w:val="top"/>
            <w:hideMark/>
          </w:tcPr>
          <w:p w14:paraId="22F48016"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0.77%</w:t>
            </w:r>
          </w:p>
        </w:tc>
        <w:tc>
          <w:tcPr>
            <w:tcW w:w="1983" w:type="dxa"/>
            <w:noWrap/>
            <w:vAlign w:val="top"/>
            <w:hideMark/>
          </w:tcPr>
          <w:p w14:paraId="18E29533"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0.97%</w:t>
            </w:r>
          </w:p>
        </w:tc>
      </w:tr>
      <w:tr w:rsidR="00700A9D" w:rsidRPr="0033629B" w14:paraId="0BCD02C9"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9" w:type="dxa"/>
            <w:noWrap/>
            <w:hideMark/>
          </w:tcPr>
          <w:p w14:paraId="76122E62" w14:textId="77777777" w:rsidR="00700A9D" w:rsidRPr="0033629B" w:rsidRDefault="00700A9D" w:rsidP="00700A9D">
            <w:pPr>
              <w:spacing w:line="240" w:lineRule="auto"/>
              <w:rPr>
                <w:rFonts w:ascii="Arial Narrow" w:hAnsi="Arial Narrow" w:cs="Calibri"/>
                <w:sz w:val="18"/>
                <w:szCs w:val="18"/>
              </w:rPr>
            </w:pPr>
            <w:r w:rsidRPr="0033629B">
              <w:rPr>
                <w:rFonts w:ascii="Arial Narrow" w:hAnsi="Arial Narrow" w:cs="Calibri"/>
                <w:sz w:val="18"/>
                <w:szCs w:val="18"/>
              </w:rPr>
              <w:t>2027</w:t>
            </w:r>
          </w:p>
        </w:tc>
        <w:tc>
          <w:tcPr>
            <w:tcW w:w="1823" w:type="dxa"/>
            <w:noWrap/>
            <w:vAlign w:val="top"/>
            <w:hideMark/>
          </w:tcPr>
          <w:p w14:paraId="328A53BF"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0.71%</w:t>
            </w:r>
          </w:p>
        </w:tc>
        <w:tc>
          <w:tcPr>
            <w:tcW w:w="1646" w:type="dxa"/>
            <w:noWrap/>
            <w:vAlign w:val="top"/>
            <w:hideMark/>
          </w:tcPr>
          <w:p w14:paraId="7FBBA0D2"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0.72%</w:t>
            </w:r>
          </w:p>
        </w:tc>
        <w:tc>
          <w:tcPr>
            <w:tcW w:w="1646" w:type="dxa"/>
            <w:noWrap/>
            <w:vAlign w:val="top"/>
            <w:hideMark/>
          </w:tcPr>
          <w:p w14:paraId="5C15A1B5"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0.73%</w:t>
            </w:r>
          </w:p>
        </w:tc>
        <w:tc>
          <w:tcPr>
            <w:tcW w:w="1823" w:type="dxa"/>
            <w:noWrap/>
            <w:vAlign w:val="top"/>
            <w:hideMark/>
          </w:tcPr>
          <w:p w14:paraId="44E97BB0"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0.79%</w:t>
            </w:r>
          </w:p>
        </w:tc>
        <w:tc>
          <w:tcPr>
            <w:tcW w:w="1983" w:type="dxa"/>
            <w:noWrap/>
            <w:vAlign w:val="top"/>
            <w:hideMark/>
          </w:tcPr>
          <w:p w14:paraId="4C3AEE19"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1.00%</w:t>
            </w:r>
          </w:p>
        </w:tc>
      </w:tr>
      <w:tr w:rsidR="00700A9D" w:rsidRPr="0033629B" w14:paraId="620A6DA0"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9" w:type="dxa"/>
            <w:noWrap/>
            <w:hideMark/>
          </w:tcPr>
          <w:p w14:paraId="52F09A5B" w14:textId="77777777" w:rsidR="00700A9D" w:rsidRPr="0033629B" w:rsidRDefault="00700A9D" w:rsidP="00700A9D">
            <w:pPr>
              <w:spacing w:line="240" w:lineRule="auto"/>
              <w:rPr>
                <w:rFonts w:ascii="Arial Narrow" w:hAnsi="Arial Narrow" w:cs="Calibri"/>
                <w:sz w:val="18"/>
                <w:szCs w:val="18"/>
              </w:rPr>
            </w:pPr>
            <w:r w:rsidRPr="0033629B">
              <w:rPr>
                <w:rFonts w:ascii="Arial Narrow" w:hAnsi="Arial Narrow" w:cs="Calibri"/>
                <w:sz w:val="18"/>
                <w:szCs w:val="18"/>
              </w:rPr>
              <w:t>2028</w:t>
            </w:r>
          </w:p>
        </w:tc>
        <w:tc>
          <w:tcPr>
            <w:tcW w:w="1823" w:type="dxa"/>
            <w:noWrap/>
            <w:vAlign w:val="top"/>
            <w:hideMark/>
          </w:tcPr>
          <w:p w14:paraId="735E7DE1"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0.72%</w:t>
            </w:r>
          </w:p>
        </w:tc>
        <w:tc>
          <w:tcPr>
            <w:tcW w:w="1646" w:type="dxa"/>
            <w:noWrap/>
            <w:vAlign w:val="top"/>
            <w:hideMark/>
          </w:tcPr>
          <w:p w14:paraId="0B10255D"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0.73%</w:t>
            </w:r>
          </w:p>
        </w:tc>
        <w:tc>
          <w:tcPr>
            <w:tcW w:w="1646" w:type="dxa"/>
            <w:noWrap/>
            <w:vAlign w:val="top"/>
            <w:hideMark/>
          </w:tcPr>
          <w:p w14:paraId="057627BF"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0.75%</w:t>
            </w:r>
          </w:p>
        </w:tc>
        <w:tc>
          <w:tcPr>
            <w:tcW w:w="1823" w:type="dxa"/>
            <w:noWrap/>
            <w:vAlign w:val="top"/>
            <w:hideMark/>
          </w:tcPr>
          <w:p w14:paraId="20DF7E64"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0.80%</w:t>
            </w:r>
          </w:p>
        </w:tc>
        <w:tc>
          <w:tcPr>
            <w:tcW w:w="1983" w:type="dxa"/>
            <w:noWrap/>
            <w:vAlign w:val="top"/>
            <w:hideMark/>
          </w:tcPr>
          <w:p w14:paraId="3900780D"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1.04%</w:t>
            </w:r>
          </w:p>
        </w:tc>
      </w:tr>
      <w:tr w:rsidR="00700A9D" w:rsidRPr="0033629B" w14:paraId="6F87E91D"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9" w:type="dxa"/>
            <w:noWrap/>
            <w:hideMark/>
          </w:tcPr>
          <w:p w14:paraId="451C8A56" w14:textId="77777777" w:rsidR="00700A9D" w:rsidRPr="0033629B" w:rsidRDefault="00700A9D" w:rsidP="00700A9D">
            <w:pPr>
              <w:spacing w:line="240" w:lineRule="auto"/>
              <w:rPr>
                <w:rFonts w:ascii="Arial Narrow" w:hAnsi="Arial Narrow" w:cs="Calibri"/>
                <w:sz w:val="18"/>
                <w:szCs w:val="18"/>
              </w:rPr>
            </w:pPr>
            <w:r w:rsidRPr="0033629B">
              <w:rPr>
                <w:rFonts w:ascii="Arial Narrow" w:hAnsi="Arial Narrow" w:cs="Calibri"/>
                <w:sz w:val="18"/>
                <w:szCs w:val="18"/>
              </w:rPr>
              <w:t>2029</w:t>
            </w:r>
          </w:p>
        </w:tc>
        <w:tc>
          <w:tcPr>
            <w:tcW w:w="1823" w:type="dxa"/>
            <w:noWrap/>
            <w:vAlign w:val="top"/>
            <w:hideMark/>
          </w:tcPr>
          <w:p w14:paraId="72F3DEB4"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0.74%</w:t>
            </w:r>
          </w:p>
        </w:tc>
        <w:tc>
          <w:tcPr>
            <w:tcW w:w="1646" w:type="dxa"/>
            <w:noWrap/>
            <w:vAlign w:val="top"/>
            <w:hideMark/>
          </w:tcPr>
          <w:p w14:paraId="10B39AF3"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0.75%</w:t>
            </w:r>
          </w:p>
        </w:tc>
        <w:tc>
          <w:tcPr>
            <w:tcW w:w="1646" w:type="dxa"/>
            <w:noWrap/>
            <w:vAlign w:val="top"/>
            <w:hideMark/>
          </w:tcPr>
          <w:p w14:paraId="554C23FC"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0.77%</w:t>
            </w:r>
          </w:p>
        </w:tc>
        <w:tc>
          <w:tcPr>
            <w:tcW w:w="1823" w:type="dxa"/>
            <w:noWrap/>
            <w:vAlign w:val="top"/>
            <w:hideMark/>
          </w:tcPr>
          <w:p w14:paraId="650D4DDD"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0.81%</w:t>
            </w:r>
          </w:p>
        </w:tc>
        <w:tc>
          <w:tcPr>
            <w:tcW w:w="1983" w:type="dxa"/>
            <w:noWrap/>
            <w:vAlign w:val="top"/>
            <w:hideMark/>
          </w:tcPr>
          <w:p w14:paraId="4A7116E3" w14:textId="77777777" w:rsidR="00700A9D" w:rsidRPr="0033629B" w:rsidRDefault="00700A9D" w:rsidP="00700A9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1.09%</w:t>
            </w:r>
          </w:p>
        </w:tc>
      </w:tr>
      <w:tr w:rsidR="00700A9D" w:rsidRPr="0033629B" w14:paraId="7DF0168F"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9" w:type="dxa"/>
            <w:noWrap/>
            <w:hideMark/>
          </w:tcPr>
          <w:p w14:paraId="4C06F7E5" w14:textId="77777777" w:rsidR="00700A9D" w:rsidRPr="0033629B" w:rsidRDefault="00700A9D" w:rsidP="00700A9D">
            <w:pPr>
              <w:spacing w:line="240" w:lineRule="auto"/>
              <w:rPr>
                <w:rFonts w:ascii="Arial Narrow" w:hAnsi="Arial Narrow" w:cs="Calibri"/>
                <w:sz w:val="18"/>
                <w:szCs w:val="18"/>
              </w:rPr>
            </w:pPr>
            <w:r w:rsidRPr="0033629B">
              <w:rPr>
                <w:rFonts w:ascii="Arial Narrow" w:hAnsi="Arial Narrow" w:cs="Calibri"/>
                <w:sz w:val="18"/>
                <w:szCs w:val="18"/>
              </w:rPr>
              <w:t>2030</w:t>
            </w:r>
          </w:p>
        </w:tc>
        <w:tc>
          <w:tcPr>
            <w:tcW w:w="1823" w:type="dxa"/>
            <w:noWrap/>
            <w:vAlign w:val="top"/>
            <w:hideMark/>
          </w:tcPr>
          <w:p w14:paraId="4260D77F"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0.75%</w:t>
            </w:r>
          </w:p>
        </w:tc>
        <w:tc>
          <w:tcPr>
            <w:tcW w:w="1646" w:type="dxa"/>
            <w:noWrap/>
            <w:vAlign w:val="top"/>
            <w:hideMark/>
          </w:tcPr>
          <w:p w14:paraId="1837EBAC"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0.76%</w:t>
            </w:r>
          </w:p>
        </w:tc>
        <w:tc>
          <w:tcPr>
            <w:tcW w:w="1646" w:type="dxa"/>
            <w:noWrap/>
            <w:vAlign w:val="top"/>
            <w:hideMark/>
          </w:tcPr>
          <w:p w14:paraId="3458D25E"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0.78%</w:t>
            </w:r>
          </w:p>
        </w:tc>
        <w:tc>
          <w:tcPr>
            <w:tcW w:w="1823" w:type="dxa"/>
            <w:noWrap/>
            <w:vAlign w:val="top"/>
            <w:hideMark/>
          </w:tcPr>
          <w:p w14:paraId="4E8B326B"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0.82%</w:t>
            </w:r>
          </w:p>
        </w:tc>
        <w:tc>
          <w:tcPr>
            <w:tcW w:w="1983" w:type="dxa"/>
            <w:noWrap/>
            <w:vAlign w:val="top"/>
            <w:hideMark/>
          </w:tcPr>
          <w:p w14:paraId="4D1A1DA5" w14:textId="77777777" w:rsidR="00700A9D" w:rsidRPr="0033629B" w:rsidRDefault="00700A9D" w:rsidP="00700A9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1.13%</w:t>
            </w:r>
          </w:p>
        </w:tc>
      </w:tr>
    </w:tbl>
    <w:p w14:paraId="7E9E610F" w14:textId="77777777" w:rsidR="0033629B" w:rsidRDefault="0033629B" w:rsidP="0033629B">
      <w:pPr>
        <w:jc w:val="center"/>
        <w:rPr>
          <w:sz w:val="16"/>
        </w:rPr>
      </w:pPr>
    </w:p>
    <w:p w14:paraId="1CFE790F" w14:textId="77777777" w:rsidR="006B0582" w:rsidRDefault="006B0582" w:rsidP="006B0582">
      <w:pPr>
        <w:pStyle w:val="Caption"/>
      </w:pPr>
    </w:p>
    <w:p w14:paraId="6976EA9F" w14:textId="77777777" w:rsidR="009D5F32" w:rsidRDefault="009D5F32">
      <w:pPr>
        <w:spacing w:line="240" w:lineRule="auto"/>
        <w:rPr>
          <w:b/>
          <w:bCs/>
          <w:color w:val="3F4042"/>
          <w:szCs w:val="20"/>
        </w:rPr>
      </w:pPr>
      <w:bookmarkStart w:id="48" w:name="_Ref484779937"/>
      <w:r>
        <w:br w:type="page"/>
      </w:r>
    </w:p>
    <w:p w14:paraId="1213BC1E" w14:textId="77777777" w:rsidR="006B0582" w:rsidRPr="00F123A3" w:rsidRDefault="006B0582" w:rsidP="006B0582">
      <w:pPr>
        <w:pStyle w:val="Caption"/>
      </w:pPr>
      <w:bookmarkStart w:id="49" w:name="_Toc490225863"/>
      <w:r>
        <w:lastRenderedPageBreak/>
        <w:t>Figure ES-</w:t>
      </w:r>
      <w:fldSimple w:instr=" SEQ Figure_ES- \* ARABIC ">
        <w:r w:rsidR="007566B9">
          <w:rPr>
            <w:noProof/>
          </w:rPr>
          <w:t>4</w:t>
        </w:r>
      </w:fldSimple>
      <w:bookmarkEnd w:id="48"/>
      <w:r>
        <w:t xml:space="preserve">. </w:t>
      </w:r>
      <w:r w:rsidR="009E47A3">
        <w:t xml:space="preserve">Incremental </w:t>
      </w:r>
      <w:r w:rsidR="003F7321">
        <w:t xml:space="preserve">Net </w:t>
      </w:r>
      <w:r w:rsidR="009E47A3">
        <w:t>Gas</w:t>
      </w:r>
      <w:r w:rsidR="009E47A3" w:rsidRPr="00F123A3">
        <w:t xml:space="preserve"> </w:t>
      </w:r>
      <w:r w:rsidR="009E47A3">
        <w:t xml:space="preserve">Market </w:t>
      </w:r>
      <w:r w:rsidR="009E47A3" w:rsidRPr="00F123A3">
        <w:t xml:space="preserve">Potential </w:t>
      </w:r>
      <w:r w:rsidR="009E47A3">
        <w:t>as a Percent of Sales</w:t>
      </w:r>
      <w:bookmarkEnd w:id="49"/>
    </w:p>
    <w:p w14:paraId="1A248306" w14:textId="77777777" w:rsidR="006B0582" w:rsidRDefault="006B0582" w:rsidP="006B0582">
      <w:pPr>
        <w:jc w:val="center"/>
      </w:pPr>
    </w:p>
    <w:p w14:paraId="05C33288" w14:textId="77777777" w:rsidR="0033629B" w:rsidRDefault="00E86E12" w:rsidP="006B0582">
      <w:pPr>
        <w:jc w:val="center"/>
        <w:rPr>
          <w:sz w:val="16"/>
        </w:rPr>
      </w:pPr>
      <w:r>
        <w:rPr>
          <w:noProof/>
          <w:sz w:val="16"/>
        </w:rPr>
        <w:drawing>
          <wp:inline distT="0" distB="0" distL="0" distR="0" wp14:anchorId="5823E95B" wp14:editId="74BC220B">
            <wp:extent cx="6192802" cy="28575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93453" cy="2857800"/>
                    </a:xfrm>
                    <a:prstGeom prst="rect">
                      <a:avLst/>
                    </a:prstGeom>
                    <a:noFill/>
                  </pic:spPr>
                </pic:pic>
              </a:graphicData>
            </a:graphic>
          </wp:inline>
        </w:drawing>
      </w:r>
    </w:p>
    <w:p w14:paraId="2C764B79" w14:textId="77777777" w:rsidR="006B0582" w:rsidRDefault="006B0582" w:rsidP="006B0582">
      <w:pPr>
        <w:jc w:val="center"/>
        <w:rPr>
          <w:sz w:val="16"/>
        </w:rPr>
      </w:pPr>
      <w:r w:rsidRPr="00A47C15">
        <w:rPr>
          <w:sz w:val="16"/>
        </w:rPr>
        <w:t>Note: Excludes C&amp;S</w:t>
      </w:r>
    </w:p>
    <w:p w14:paraId="513A200C" w14:textId="77777777" w:rsidR="0033629B" w:rsidRPr="0033629B" w:rsidRDefault="0033629B" w:rsidP="00AF21BE">
      <w:pPr>
        <w:pStyle w:val="Caption"/>
        <w:jc w:val="left"/>
      </w:pPr>
    </w:p>
    <w:p w14:paraId="3DEC43F3" w14:textId="77777777" w:rsidR="00AF21BE" w:rsidRDefault="00AF21BE" w:rsidP="00AF21BE">
      <w:pPr>
        <w:pStyle w:val="Caption"/>
      </w:pPr>
      <w:bookmarkStart w:id="50" w:name="_Toc490226069"/>
      <w:r>
        <w:t xml:space="preserve">Table ES- </w:t>
      </w:r>
      <w:fldSimple w:instr=" SEQ Table_ES- \* ARABIC ">
        <w:r w:rsidR="007566B9">
          <w:rPr>
            <w:noProof/>
          </w:rPr>
          <w:t>5</w:t>
        </w:r>
      </w:fldSimple>
      <w:r>
        <w:t xml:space="preserve">. </w:t>
      </w:r>
      <w:r w:rsidRPr="00232EC2">
        <w:t xml:space="preserve">Incremental </w:t>
      </w:r>
      <w:r w:rsidR="003F7321">
        <w:t xml:space="preserve">Net </w:t>
      </w:r>
      <w:r w:rsidRPr="00232EC2">
        <w:t>Gas Market Potential as a Percent of Sales</w:t>
      </w:r>
      <w:bookmarkEnd w:id="50"/>
    </w:p>
    <w:tbl>
      <w:tblPr>
        <w:tblStyle w:val="EnergyTable1"/>
        <w:tblW w:w="9990" w:type="dxa"/>
        <w:tblLook w:val="04A0" w:firstRow="1" w:lastRow="0" w:firstColumn="1" w:lastColumn="0" w:noHBand="0" w:noVBand="1"/>
      </w:tblPr>
      <w:tblGrid>
        <w:gridCol w:w="1170"/>
        <w:gridCol w:w="1940"/>
        <w:gridCol w:w="2020"/>
        <w:gridCol w:w="1680"/>
        <w:gridCol w:w="1650"/>
        <w:gridCol w:w="1530"/>
      </w:tblGrid>
      <w:tr w:rsidR="009D5F32" w:rsidRPr="0033629B" w14:paraId="3EEBD2CA" w14:textId="77777777" w:rsidTr="00AF21BE">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170" w:type="dxa"/>
            <w:hideMark/>
          </w:tcPr>
          <w:p w14:paraId="2BF7A815" w14:textId="77777777" w:rsidR="009D5F32" w:rsidRPr="0033629B" w:rsidRDefault="009D5F32" w:rsidP="009D5F32">
            <w:pPr>
              <w:spacing w:line="240" w:lineRule="auto"/>
              <w:rPr>
                <w:rFonts w:ascii="Arial Narrow" w:hAnsi="Arial Narrow" w:cs="Calibri"/>
                <w:bCs/>
                <w:sz w:val="18"/>
                <w:szCs w:val="18"/>
              </w:rPr>
            </w:pPr>
            <w:r>
              <w:rPr>
                <w:rFonts w:ascii="Arial Narrow" w:hAnsi="Arial Narrow" w:cs="Calibri"/>
                <w:bCs/>
                <w:sz w:val="18"/>
                <w:szCs w:val="18"/>
              </w:rPr>
              <w:t>Year</w:t>
            </w:r>
          </w:p>
        </w:tc>
        <w:tc>
          <w:tcPr>
            <w:tcW w:w="1940" w:type="dxa"/>
            <w:hideMark/>
          </w:tcPr>
          <w:p w14:paraId="56F7E932" w14:textId="77777777" w:rsidR="009D5F32" w:rsidRPr="0033629B" w:rsidRDefault="009D5F32" w:rsidP="009D5F32">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sz w:val="18"/>
                <w:szCs w:val="18"/>
              </w:rPr>
            </w:pPr>
            <w:r>
              <w:rPr>
                <w:rFonts w:ascii="Arial Narrow" w:hAnsi="Arial Narrow" w:cs="Calibri"/>
                <w:bCs/>
                <w:sz w:val="18"/>
                <w:szCs w:val="18"/>
              </w:rPr>
              <w:t xml:space="preserve">Scenario 1: </w:t>
            </w:r>
            <w:r w:rsidRPr="0033629B">
              <w:rPr>
                <w:rFonts w:ascii="Arial Narrow" w:hAnsi="Arial Narrow" w:cs="Calibri"/>
                <w:bCs/>
                <w:sz w:val="18"/>
                <w:szCs w:val="18"/>
              </w:rPr>
              <w:t>TRC  Reference</w:t>
            </w:r>
          </w:p>
        </w:tc>
        <w:tc>
          <w:tcPr>
            <w:tcW w:w="2020" w:type="dxa"/>
            <w:hideMark/>
          </w:tcPr>
          <w:p w14:paraId="7FBA0C82" w14:textId="77777777" w:rsidR="009D5F32" w:rsidRPr="0033629B" w:rsidRDefault="009D5F32" w:rsidP="009D5F32">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sz w:val="18"/>
                <w:szCs w:val="18"/>
              </w:rPr>
            </w:pPr>
            <w:r>
              <w:rPr>
                <w:rFonts w:ascii="Arial Narrow" w:hAnsi="Arial Narrow" w:cs="Calibri"/>
                <w:bCs/>
                <w:sz w:val="18"/>
                <w:szCs w:val="18"/>
              </w:rPr>
              <w:t xml:space="preserve">Scenario 2: </w:t>
            </w:r>
            <w:r w:rsidRPr="0033629B">
              <w:rPr>
                <w:rFonts w:ascii="Arial Narrow" w:hAnsi="Arial Narrow" w:cs="Calibri"/>
                <w:bCs/>
                <w:sz w:val="18"/>
                <w:szCs w:val="18"/>
              </w:rPr>
              <w:t xml:space="preserve">mTRC </w:t>
            </w:r>
            <w:r>
              <w:rPr>
                <w:rFonts w:ascii="Arial Narrow" w:hAnsi="Arial Narrow" w:cs="Calibri"/>
                <w:bCs/>
                <w:sz w:val="18"/>
                <w:szCs w:val="18"/>
              </w:rPr>
              <w:t xml:space="preserve">w/ </w:t>
            </w:r>
            <w:r w:rsidRPr="0033629B">
              <w:rPr>
                <w:rFonts w:ascii="Arial Narrow" w:hAnsi="Arial Narrow" w:cs="Calibri"/>
                <w:bCs/>
                <w:sz w:val="18"/>
                <w:szCs w:val="18"/>
              </w:rPr>
              <w:t>GHG adder 1</w:t>
            </w:r>
          </w:p>
        </w:tc>
        <w:tc>
          <w:tcPr>
            <w:tcW w:w="1680" w:type="dxa"/>
            <w:hideMark/>
          </w:tcPr>
          <w:p w14:paraId="1F7EE644" w14:textId="77777777" w:rsidR="009D5F32" w:rsidRPr="0033629B" w:rsidRDefault="009D5F32" w:rsidP="009D5F32">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sz w:val="18"/>
                <w:szCs w:val="18"/>
              </w:rPr>
            </w:pPr>
            <w:r>
              <w:rPr>
                <w:rFonts w:ascii="Arial Narrow" w:hAnsi="Arial Narrow" w:cs="Calibri"/>
                <w:bCs/>
                <w:sz w:val="18"/>
                <w:szCs w:val="18"/>
              </w:rPr>
              <w:t xml:space="preserve">Scenario 3: </w:t>
            </w:r>
            <w:r w:rsidRPr="0033629B">
              <w:rPr>
                <w:rFonts w:ascii="Arial Narrow" w:hAnsi="Arial Narrow" w:cs="Calibri"/>
                <w:bCs/>
                <w:sz w:val="18"/>
                <w:szCs w:val="18"/>
              </w:rPr>
              <w:t xml:space="preserve">mTRC </w:t>
            </w:r>
            <w:r>
              <w:rPr>
                <w:rFonts w:ascii="Arial Narrow" w:hAnsi="Arial Narrow" w:cs="Calibri"/>
                <w:bCs/>
                <w:sz w:val="18"/>
                <w:szCs w:val="18"/>
              </w:rPr>
              <w:t xml:space="preserve">w/ </w:t>
            </w:r>
            <w:r w:rsidRPr="0033629B">
              <w:rPr>
                <w:rFonts w:ascii="Arial Narrow" w:hAnsi="Arial Narrow" w:cs="Calibri"/>
                <w:bCs/>
                <w:sz w:val="18"/>
                <w:szCs w:val="18"/>
              </w:rPr>
              <w:t>GHG adder 2</w:t>
            </w:r>
          </w:p>
        </w:tc>
        <w:tc>
          <w:tcPr>
            <w:tcW w:w="1650" w:type="dxa"/>
            <w:hideMark/>
          </w:tcPr>
          <w:p w14:paraId="62548F19" w14:textId="77777777" w:rsidR="009D5F32" w:rsidRPr="0033629B" w:rsidRDefault="009D5F32" w:rsidP="009D5F32">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sz w:val="18"/>
                <w:szCs w:val="18"/>
              </w:rPr>
            </w:pPr>
            <w:r>
              <w:rPr>
                <w:rFonts w:ascii="Arial Narrow" w:hAnsi="Arial Narrow" w:cs="Calibri"/>
                <w:bCs/>
                <w:sz w:val="18"/>
                <w:szCs w:val="18"/>
              </w:rPr>
              <w:t xml:space="preserve">Scenario 4: </w:t>
            </w:r>
            <w:r w:rsidRPr="0033629B">
              <w:rPr>
                <w:rFonts w:ascii="Arial Narrow" w:hAnsi="Arial Narrow" w:cs="Calibri"/>
                <w:bCs/>
                <w:sz w:val="18"/>
                <w:szCs w:val="18"/>
              </w:rPr>
              <w:t>PAC  Reference</w:t>
            </w:r>
          </w:p>
        </w:tc>
        <w:tc>
          <w:tcPr>
            <w:tcW w:w="1530" w:type="dxa"/>
            <w:hideMark/>
          </w:tcPr>
          <w:p w14:paraId="6102AE76" w14:textId="77777777" w:rsidR="009D5F32" w:rsidRPr="0033629B" w:rsidRDefault="009D5F32" w:rsidP="009D5F32">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sz w:val="18"/>
                <w:szCs w:val="18"/>
              </w:rPr>
            </w:pPr>
            <w:r>
              <w:rPr>
                <w:rFonts w:ascii="Arial Narrow" w:hAnsi="Arial Narrow" w:cs="Calibri"/>
                <w:bCs/>
                <w:sz w:val="18"/>
                <w:szCs w:val="18"/>
              </w:rPr>
              <w:t xml:space="preserve">Scenario 5: </w:t>
            </w:r>
            <w:r w:rsidRPr="0033629B">
              <w:rPr>
                <w:rFonts w:ascii="Arial Narrow" w:hAnsi="Arial Narrow" w:cs="Calibri"/>
                <w:bCs/>
                <w:sz w:val="18"/>
                <w:szCs w:val="18"/>
              </w:rPr>
              <w:t>PAC  Aggressive</w:t>
            </w:r>
          </w:p>
        </w:tc>
      </w:tr>
      <w:tr w:rsidR="00D27D5D" w:rsidRPr="0033629B" w14:paraId="35AD6BE3"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dxa"/>
            <w:noWrap/>
            <w:vAlign w:val="top"/>
            <w:hideMark/>
          </w:tcPr>
          <w:p w14:paraId="780254C3" w14:textId="77777777" w:rsidR="00D27D5D" w:rsidRPr="0033629B" w:rsidRDefault="00D27D5D" w:rsidP="00D27D5D">
            <w:pPr>
              <w:spacing w:line="240" w:lineRule="auto"/>
              <w:rPr>
                <w:rFonts w:ascii="Arial Narrow" w:hAnsi="Arial Narrow" w:cs="Calibri"/>
                <w:sz w:val="18"/>
                <w:szCs w:val="18"/>
              </w:rPr>
            </w:pPr>
            <w:r w:rsidRPr="002A1C23">
              <w:rPr>
                <w:rFonts w:ascii="Arial Narrow" w:hAnsi="Arial Narrow"/>
                <w:sz w:val="18"/>
                <w:szCs w:val="18"/>
              </w:rPr>
              <w:t>2018</w:t>
            </w:r>
          </w:p>
        </w:tc>
        <w:tc>
          <w:tcPr>
            <w:tcW w:w="1940" w:type="dxa"/>
            <w:noWrap/>
            <w:vAlign w:val="top"/>
            <w:hideMark/>
          </w:tcPr>
          <w:p w14:paraId="0C7AC4B0"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0.28%</w:t>
            </w:r>
          </w:p>
        </w:tc>
        <w:tc>
          <w:tcPr>
            <w:tcW w:w="2020" w:type="dxa"/>
            <w:noWrap/>
            <w:vAlign w:val="top"/>
            <w:hideMark/>
          </w:tcPr>
          <w:p w14:paraId="5CD8538D"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0.33%</w:t>
            </w:r>
          </w:p>
        </w:tc>
        <w:tc>
          <w:tcPr>
            <w:tcW w:w="1680" w:type="dxa"/>
            <w:noWrap/>
            <w:vAlign w:val="top"/>
            <w:hideMark/>
          </w:tcPr>
          <w:p w14:paraId="720A2A3A"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0.36%</w:t>
            </w:r>
          </w:p>
        </w:tc>
        <w:tc>
          <w:tcPr>
            <w:tcW w:w="1650" w:type="dxa"/>
            <w:noWrap/>
            <w:vAlign w:val="top"/>
            <w:hideMark/>
          </w:tcPr>
          <w:p w14:paraId="0B02E364"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0.35%</w:t>
            </w:r>
          </w:p>
        </w:tc>
        <w:tc>
          <w:tcPr>
            <w:tcW w:w="1530" w:type="dxa"/>
            <w:noWrap/>
            <w:vAlign w:val="top"/>
            <w:hideMark/>
          </w:tcPr>
          <w:p w14:paraId="08DA3199"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0.37%</w:t>
            </w:r>
          </w:p>
        </w:tc>
      </w:tr>
      <w:tr w:rsidR="00D27D5D" w:rsidRPr="0033629B" w14:paraId="256CF8F6" w14:textId="77777777" w:rsidTr="0062779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dxa"/>
            <w:noWrap/>
            <w:vAlign w:val="top"/>
            <w:hideMark/>
          </w:tcPr>
          <w:p w14:paraId="5910AADF" w14:textId="77777777" w:rsidR="00D27D5D" w:rsidRPr="0033629B" w:rsidRDefault="00D27D5D" w:rsidP="00D27D5D">
            <w:pPr>
              <w:spacing w:line="240" w:lineRule="auto"/>
              <w:rPr>
                <w:rFonts w:ascii="Arial Narrow" w:hAnsi="Arial Narrow" w:cs="Calibri"/>
                <w:sz w:val="18"/>
                <w:szCs w:val="18"/>
              </w:rPr>
            </w:pPr>
            <w:r w:rsidRPr="002A1C23">
              <w:rPr>
                <w:rFonts w:ascii="Arial Narrow" w:hAnsi="Arial Narrow"/>
                <w:sz w:val="18"/>
                <w:szCs w:val="18"/>
              </w:rPr>
              <w:t>2019</w:t>
            </w:r>
          </w:p>
        </w:tc>
        <w:tc>
          <w:tcPr>
            <w:tcW w:w="1940" w:type="dxa"/>
            <w:noWrap/>
            <w:vAlign w:val="top"/>
            <w:hideMark/>
          </w:tcPr>
          <w:p w14:paraId="6F780AD2"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0.30%</w:t>
            </w:r>
          </w:p>
        </w:tc>
        <w:tc>
          <w:tcPr>
            <w:tcW w:w="2020" w:type="dxa"/>
            <w:noWrap/>
            <w:vAlign w:val="top"/>
            <w:hideMark/>
          </w:tcPr>
          <w:p w14:paraId="6B440403"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0.35%</w:t>
            </w:r>
          </w:p>
        </w:tc>
        <w:tc>
          <w:tcPr>
            <w:tcW w:w="1680" w:type="dxa"/>
            <w:noWrap/>
            <w:vAlign w:val="top"/>
            <w:hideMark/>
          </w:tcPr>
          <w:p w14:paraId="2B5ACC52"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0.41%</w:t>
            </w:r>
          </w:p>
        </w:tc>
        <w:tc>
          <w:tcPr>
            <w:tcW w:w="1650" w:type="dxa"/>
            <w:noWrap/>
            <w:vAlign w:val="top"/>
            <w:hideMark/>
          </w:tcPr>
          <w:p w14:paraId="555D288D"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0.38%</w:t>
            </w:r>
          </w:p>
        </w:tc>
        <w:tc>
          <w:tcPr>
            <w:tcW w:w="1530" w:type="dxa"/>
            <w:noWrap/>
            <w:vAlign w:val="top"/>
            <w:hideMark/>
          </w:tcPr>
          <w:p w14:paraId="71E97CFD"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0.41%</w:t>
            </w:r>
          </w:p>
        </w:tc>
      </w:tr>
      <w:tr w:rsidR="00D27D5D" w:rsidRPr="0033629B" w14:paraId="5EBBBC04"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dxa"/>
            <w:noWrap/>
            <w:vAlign w:val="top"/>
            <w:hideMark/>
          </w:tcPr>
          <w:p w14:paraId="6097C35E" w14:textId="77777777" w:rsidR="00D27D5D" w:rsidRPr="0033629B" w:rsidRDefault="00D27D5D" w:rsidP="00D27D5D">
            <w:pPr>
              <w:spacing w:line="240" w:lineRule="auto"/>
              <w:rPr>
                <w:rFonts w:ascii="Arial Narrow" w:hAnsi="Arial Narrow" w:cs="Calibri"/>
                <w:sz w:val="18"/>
                <w:szCs w:val="18"/>
              </w:rPr>
            </w:pPr>
            <w:r w:rsidRPr="002A1C23">
              <w:rPr>
                <w:rFonts w:ascii="Arial Narrow" w:hAnsi="Arial Narrow"/>
                <w:sz w:val="18"/>
                <w:szCs w:val="18"/>
              </w:rPr>
              <w:t>2020</w:t>
            </w:r>
          </w:p>
        </w:tc>
        <w:tc>
          <w:tcPr>
            <w:tcW w:w="1940" w:type="dxa"/>
            <w:noWrap/>
            <w:vAlign w:val="top"/>
            <w:hideMark/>
          </w:tcPr>
          <w:p w14:paraId="392ECA5C"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0.29%</w:t>
            </w:r>
          </w:p>
        </w:tc>
        <w:tc>
          <w:tcPr>
            <w:tcW w:w="2020" w:type="dxa"/>
            <w:noWrap/>
            <w:vAlign w:val="top"/>
            <w:hideMark/>
          </w:tcPr>
          <w:p w14:paraId="531603C3"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0.34%</w:t>
            </w:r>
          </w:p>
        </w:tc>
        <w:tc>
          <w:tcPr>
            <w:tcW w:w="1680" w:type="dxa"/>
            <w:noWrap/>
            <w:vAlign w:val="top"/>
            <w:hideMark/>
          </w:tcPr>
          <w:p w14:paraId="0E9B2F9A"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0.43%</w:t>
            </w:r>
          </w:p>
        </w:tc>
        <w:tc>
          <w:tcPr>
            <w:tcW w:w="1650" w:type="dxa"/>
            <w:noWrap/>
            <w:vAlign w:val="top"/>
            <w:hideMark/>
          </w:tcPr>
          <w:p w14:paraId="727DDFAA"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0.39%</w:t>
            </w:r>
          </w:p>
        </w:tc>
        <w:tc>
          <w:tcPr>
            <w:tcW w:w="1530" w:type="dxa"/>
            <w:noWrap/>
            <w:vAlign w:val="top"/>
            <w:hideMark/>
          </w:tcPr>
          <w:p w14:paraId="61FA69DA"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0.42%</w:t>
            </w:r>
          </w:p>
        </w:tc>
      </w:tr>
      <w:tr w:rsidR="00D27D5D" w:rsidRPr="0033629B" w14:paraId="4B466E94" w14:textId="77777777" w:rsidTr="0062779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dxa"/>
            <w:noWrap/>
            <w:vAlign w:val="top"/>
            <w:hideMark/>
          </w:tcPr>
          <w:p w14:paraId="6328CDE7" w14:textId="77777777" w:rsidR="00D27D5D" w:rsidRPr="0033629B" w:rsidRDefault="00D27D5D" w:rsidP="00D27D5D">
            <w:pPr>
              <w:spacing w:line="240" w:lineRule="auto"/>
              <w:rPr>
                <w:rFonts w:ascii="Arial Narrow" w:hAnsi="Arial Narrow" w:cs="Calibri"/>
                <w:sz w:val="18"/>
                <w:szCs w:val="18"/>
              </w:rPr>
            </w:pPr>
            <w:r w:rsidRPr="002A1C23">
              <w:rPr>
                <w:rFonts w:ascii="Arial Narrow" w:hAnsi="Arial Narrow"/>
                <w:sz w:val="18"/>
                <w:szCs w:val="18"/>
              </w:rPr>
              <w:t>2021</w:t>
            </w:r>
          </w:p>
        </w:tc>
        <w:tc>
          <w:tcPr>
            <w:tcW w:w="1940" w:type="dxa"/>
            <w:noWrap/>
            <w:vAlign w:val="top"/>
            <w:hideMark/>
          </w:tcPr>
          <w:p w14:paraId="2F6FF8B3"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0.32%</w:t>
            </w:r>
          </w:p>
        </w:tc>
        <w:tc>
          <w:tcPr>
            <w:tcW w:w="2020" w:type="dxa"/>
            <w:noWrap/>
            <w:vAlign w:val="top"/>
            <w:hideMark/>
          </w:tcPr>
          <w:p w14:paraId="75A4C670"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0.36%</w:t>
            </w:r>
          </w:p>
        </w:tc>
        <w:tc>
          <w:tcPr>
            <w:tcW w:w="1680" w:type="dxa"/>
            <w:noWrap/>
            <w:vAlign w:val="top"/>
            <w:hideMark/>
          </w:tcPr>
          <w:p w14:paraId="4D5DA79B"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0.46%</w:t>
            </w:r>
          </w:p>
        </w:tc>
        <w:tc>
          <w:tcPr>
            <w:tcW w:w="1650" w:type="dxa"/>
            <w:noWrap/>
            <w:vAlign w:val="top"/>
            <w:hideMark/>
          </w:tcPr>
          <w:p w14:paraId="1CF3B4F6"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0.40%</w:t>
            </w:r>
          </w:p>
        </w:tc>
        <w:tc>
          <w:tcPr>
            <w:tcW w:w="1530" w:type="dxa"/>
            <w:noWrap/>
            <w:vAlign w:val="top"/>
            <w:hideMark/>
          </w:tcPr>
          <w:p w14:paraId="4C71F810"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0.44%</w:t>
            </w:r>
          </w:p>
        </w:tc>
      </w:tr>
      <w:tr w:rsidR="00D27D5D" w:rsidRPr="0033629B" w14:paraId="06FE9994"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dxa"/>
            <w:noWrap/>
            <w:vAlign w:val="top"/>
            <w:hideMark/>
          </w:tcPr>
          <w:p w14:paraId="680D0BC4" w14:textId="77777777" w:rsidR="00D27D5D" w:rsidRPr="0033629B" w:rsidRDefault="00D27D5D" w:rsidP="00D27D5D">
            <w:pPr>
              <w:spacing w:line="240" w:lineRule="auto"/>
              <w:rPr>
                <w:rFonts w:ascii="Arial Narrow" w:hAnsi="Arial Narrow" w:cs="Calibri"/>
                <w:sz w:val="18"/>
                <w:szCs w:val="18"/>
              </w:rPr>
            </w:pPr>
            <w:r w:rsidRPr="002A1C23">
              <w:rPr>
                <w:rFonts w:ascii="Arial Narrow" w:hAnsi="Arial Narrow"/>
                <w:sz w:val="18"/>
                <w:szCs w:val="18"/>
              </w:rPr>
              <w:t>2022</w:t>
            </w:r>
          </w:p>
        </w:tc>
        <w:tc>
          <w:tcPr>
            <w:tcW w:w="1940" w:type="dxa"/>
            <w:noWrap/>
            <w:vAlign w:val="top"/>
            <w:hideMark/>
          </w:tcPr>
          <w:p w14:paraId="57893C89"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0.33%</w:t>
            </w:r>
          </w:p>
        </w:tc>
        <w:tc>
          <w:tcPr>
            <w:tcW w:w="2020" w:type="dxa"/>
            <w:noWrap/>
            <w:vAlign w:val="top"/>
            <w:hideMark/>
          </w:tcPr>
          <w:p w14:paraId="46E447E9"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0.39%</w:t>
            </w:r>
          </w:p>
        </w:tc>
        <w:tc>
          <w:tcPr>
            <w:tcW w:w="1680" w:type="dxa"/>
            <w:noWrap/>
            <w:vAlign w:val="top"/>
            <w:hideMark/>
          </w:tcPr>
          <w:p w14:paraId="3EA77DF3"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0.46%</w:t>
            </w:r>
          </w:p>
        </w:tc>
        <w:tc>
          <w:tcPr>
            <w:tcW w:w="1650" w:type="dxa"/>
            <w:noWrap/>
            <w:vAlign w:val="top"/>
            <w:hideMark/>
          </w:tcPr>
          <w:p w14:paraId="3A97B7FB"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0.43%</w:t>
            </w:r>
          </w:p>
        </w:tc>
        <w:tc>
          <w:tcPr>
            <w:tcW w:w="1530" w:type="dxa"/>
            <w:noWrap/>
            <w:vAlign w:val="top"/>
            <w:hideMark/>
          </w:tcPr>
          <w:p w14:paraId="6979F6D1"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0.48%</w:t>
            </w:r>
          </w:p>
        </w:tc>
      </w:tr>
      <w:tr w:rsidR="00D27D5D" w:rsidRPr="0033629B" w14:paraId="1D407D43" w14:textId="77777777" w:rsidTr="0062779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dxa"/>
            <w:noWrap/>
            <w:vAlign w:val="top"/>
            <w:hideMark/>
          </w:tcPr>
          <w:p w14:paraId="70567A96" w14:textId="77777777" w:rsidR="00D27D5D" w:rsidRPr="0033629B" w:rsidRDefault="00D27D5D" w:rsidP="00D27D5D">
            <w:pPr>
              <w:spacing w:line="240" w:lineRule="auto"/>
              <w:rPr>
                <w:rFonts w:ascii="Arial Narrow" w:hAnsi="Arial Narrow" w:cs="Calibri"/>
                <w:sz w:val="18"/>
                <w:szCs w:val="18"/>
              </w:rPr>
            </w:pPr>
            <w:r w:rsidRPr="002A1C23">
              <w:rPr>
                <w:rFonts w:ascii="Arial Narrow" w:hAnsi="Arial Narrow"/>
                <w:sz w:val="18"/>
                <w:szCs w:val="18"/>
              </w:rPr>
              <w:t>2023</w:t>
            </w:r>
          </w:p>
        </w:tc>
        <w:tc>
          <w:tcPr>
            <w:tcW w:w="1940" w:type="dxa"/>
            <w:noWrap/>
            <w:vAlign w:val="top"/>
            <w:hideMark/>
          </w:tcPr>
          <w:p w14:paraId="40A9B2B2"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0.34%</w:t>
            </w:r>
          </w:p>
        </w:tc>
        <w:tc>
          <w:tcPr>
            <w:tcW w:w="2020" w:type="dxa"/>
            <w:noWrap/>
            <w:vAlign w:val="top"/>
            <w:hideMark/>
          </w:tcPr>
          <w:p w14:paraId="49392736"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0.42%</w:t>
            </w:r>
          </w:p>
        </w:tc>
        <w:tc>
          <w:tcPr>
            <w:tcW w:w="1680" w:type="dxa"/>
            <w:noWrap/>
            <w:vAlign w:val="top"/>
            <w:hideMark/>
          </w:tcPr>
          <w:p w14:paraId="30A22693"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0.50%</w:t>
            </w:r>
          </w:p>
        </w:tc>
        <w:tc>
          <w:tcPr>
            <w:tcW w:w="1650" w:type="dxa"/>
            <w:noWrap/>
            <w:vAlign w:val="top"/>
            <w:hideMark/>
          </w:tcPr>
          <w:p w14:paraId="57AE94B7"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0.46%</w:t>
            </w:r>
          </w:p>
        </w:tc>
        <w:tc>
          <w:tcPr>
            <w:tcW w:w="1530" w:type="dxa"/>
            <w:noWrap/>
            <w:vAlign w:val="top"/>
            <w:hideMark/>
          </w:tcPr>
          <w:p w14:paraId="5F8C1CFA"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0.51%</w:t>
            </w:r>
          </w:p>
        </w:tc>
      </w:tr>
      <w:tr w:rsidR="00D27D5D" w:rsidRPr="0033629B" w14:paraId="64B5B565"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dxa"/>
            <w:noWrap/>
            <w:vAlign w:val="top"/>
            <w:hideMark/>
          </w:tcPr>
          <w:p w14:paraId="4E123008" w14:textId="77777777" w:rsidR="00D27D5D" w:rsidRPr="0033629B" w:rsidRDefault="00D27D5D" w:rsidP="00D27D5D">
            <w:pPr>
              <w:spacing w:line="240" w:lineRule="auto"/>
              <w:rPr>
                <w:rFonts w:ascii="Arial Narrow" w:hAnsi="Arial Narrow" w:cs="Calibri"/>
                <w:sz w:val="18"/>
                <w:szCs w:val="18"/>
              </w:rPr>
            </w:pPr>
            <w:r w:rsidRPr="002A1C23">
              <w:rPr>
                <w:rFonts w:ascii="Arial Narrow" w:hAnsi="Arial Narrow"/>
                <w:sz w:val="18"/>
                <w:szCs w:val="18"/>
              </w:rPr>
              <w:t>2024</w:t>
            </w:r>
          </w:p>
        </w:tc>
        <w:tc>
          <w:tcPr>
            <w:tcW w:w="1940" w:type="dxa"/>
            <w:noWrap/>
            <w:vAlign w:val="top"/>
            <w:hideMark/>
          </w:tcPr>
          <w:p w14:paraId="2AC981B1"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0.34%</w:t>
            </w:r>
          </w:p>
        </w:tc>
        <w:tc>
          <w:tcPr>
            <w:tcW w:w="2020" w:type="dxa"/>
            <w:noWrap/>
            <w:vAlign w:val="top"/>
            <w:hideMark/>
          </w:tcPr>
          <w:p w14:paraId="0F813487"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0.42%</w:t>
            </w:r>
          </w:p>
        </w:tc>
        <w:tc>
          <w:tcPr>
            <w:tcW w:w="1680" w:type="dxa"/>
            <w:noWrap/>
            <w:vAlign w:val="top"/>
            <w:hideMark/>
          </w:tcPr>
          <w:p w14:paraId="6AC8CE9F"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0.50%</w:t>
            </w:r>
          </w:p>
        </w:tc>
        <w:tc>
          <w:tcPr>
            <w:tcW w:w="1650" w:type="dxa"/>
            <w:noWrap/>
            <w:vAlign w:val="top"/>
            <w:hideMark/>
          </w:tcPr>
          <w:p w14:paraId="34AB90B7"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0.45%</w:t>
            </w:r>
          </w:p>
        </w:tc>
        <w:tc>
          <w:tcPr>
            <w:tcW w:w="1530" w:type="dxa"/>
            <w:noWrap/>
            <w:vAlign w:val="top"/>
            <w:hideMark/>
          </w:tcPr>
          <w:p w14:paraId="34DB8623"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0.52%</w:t>
            </w:r>
          </w:p>
        </w:tc>
      </w:tr>
      <w:tr w:rsidR="00D27D5D" w:rsidRPr="0033629B" w14:paraId="151C798A" w14:textId="77777777" w:rsidTr="0062779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dxa"/>
            <w:noWrap/>
            <w:vAlign w:val="top"/>
            <w:hideMark/>
          </w:tcPr>
          <w:p w14:paraId="29FCC4E0" w14:textId="77777777" w:rsidR="00D27D5D" w:rsidRPr="0033629B" w:rsidRDefault="00D27D5D" w:rsidP="00D27D5D">
            <w:pPr>
              <w:spacing w:line="240" w:lineRule="auto"/>
              <w:rPr>
                <w:rFonts w:ascii="Arial Narrow" w:hAnsi="Arial Narrow" w:cs="Calibri"/>
                <w:sz w:val="18"/>
                <w:szCs w:val="18"/>
              </w:rPr>
            </w:pPr>
            <w:r w:rsidRPr="002A1C23">
              <w:rPr>
                <w:rFonts w:ascii="Arial Narrow" w:hAnsi="Arial Narrow"/>
                <w:sz w:val="18"/>
                <w:szCs w:val="18"/>
              </w:rPr>
              <w:t>2025</w:t>
            </w:r>
          </w:p>
        </w:tc>
        <w:tc>
          <w:tcPr>
            <w:tcW w:w="1940" w:type="dxa"/>
            <w:noWrap/>
            <w:vAlign w:val="top"/>
            <w:hideMark/>
          </w:tcPr>
          <w:p w14:paraId="61198F67"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0.36%</w:t>
            </w:r>
          </w:p>
        </w:tc>
        <w:tc>
          <w:tcPr>
            <w:tcW w:w="2020" w:type="dxa"/>
            <w:noWrap/>
            <w:vAlign w:val="top"/>
            <w:hideMark/>
          </w:tcPr>
          <w:p w14:paraId="2C9F4DF1"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0.42%</w:t>
            </w:r>
          </w:p>
        </w:tc>
        <w:tc>
          <w:tcPr>
            <w:tcW w:w="1680" w:type="dxa"/>
            <w:noWrap/>
            <w:vAlign w:val="top"/>
            <w:hideMark/>
          </w:tcPr>
          <w:p w14:paraId="767DE320"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0.49%</w:t>
            </w:r>
          </w:p>
        </w:tc>
        <w:tc>
          <w:tcPr>
            <w:tcW w:w="1650" w:type="dxa"/>
            <w:noWrap/>
            <w:vAlign w:val="top"/>
            <w:hideMark/>
          </w:tcPr>
          <w:p w14:paraId="567F34E4"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0.46%</w:t>
            </w:r>
          </w:p>
        </w:tc>
        <w:tc>
          <w:tcPr>
            <w:tcW w:w="1530" w:type="dxa"/>
            <w:noWrap/>
            <w:vAlign w:val="top"/>
            <w:hideMark/>
          </w:tcPr>
          <w:p w14:paraId="691CE8D1"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0.53%</w:t>
            </w:r>
          </w:p>
        </w:tc>
      </w:tr>
      <w:tr w:rsidR="00D27D5D" w:rsidRPr="0033629B" w14:paraId="2F521A96"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dxa"/>
            <w:noWrap/>
            <w:vAlign w:val="top"/>
            <w:hideMark/>
          </w:tcPr>
          <w:p w14:paraId="006F4DEC" w14:textId="77777777" w:rsidR="00D27D5D" w:rsidRPr="0033629B" w:rsidRDefault="00D27D5D" w:rsidP="00D27D5D">
            <w:pPr>
              <w:spacing w:line="240" w:lineRule="auto"/>
              <w:rPr>
                <w:rFonts w:ascii="Arial Narrow" w:hAnsi="Arial Narrow" w:cs="Calibri"/>
                <w:sz w:val="18"/>
                <w:szCs w:val="18"/>
              </w:rPr>
            </w:pPr>
            <w:r w:rsidRPr="002A1C23">
              <w:rPr>
                <w:rFonts w:ascii="Arial Narrow" w:hAnsi="Arial Narrow"/>
                <w:sz w:val="18"/>
                <w:szCs w:val="18"/>
              </w:rPr>
              <w:t>2026</w:t>
            </w:r>
          </w:p>
        </w:tc>
        <w:tc>
          <w:tcPr>
            <w:tcW w:w="1940" w:type="dxa"/>
            <w:noWrap/>
            <w:vAlign w:val="top"/>
            <w:hideMark/>
          </w:tcPr>
          <w:p w14:paraId="490CFF58"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0.37%</w:t>
            </w:r>
          </w:p>
        </w:tc>
        <w:tc>
          <w:tcPr>
            <w:tcW w:w="2020" w:type="dxa"/>
            <w:noWrap/>
            <w:vAlign w:val="top"/>
            <w:hideMark/>
          </w:tcPr>
          <w:p w14:paraId="12ACBE0C"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0.41%</w:t>
            </w:r>
          </w:p>
        </w:tc>
        <w:tc>
          <w:tcPr>
            <w:tcW w:w="1680" w:type="dxa"/>
            <w:noWrap/>
            <w:vAlign w:val="top"/>
            <w:hideMark/>
          </w:tcPr>
          <w:p w14:paraId="08038098"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0.48%</w:t>
            </w:r>
          </w:p>
        </w:tc>
        <w:tc>
          <w:tcPr>
            <w:tcW w:w="1650" w:type="dxa"/>
            <w:noWrap/>
            <w:vAlign w:val="top"/>
            <w:hideMark/>
          </w:tcPr>
          <w:p w14:paraId="0968FD78"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0.45%</w:t>
            </w:r>
          </w:p>
        </w:tc>
        <w:tc>
          <w:tcPr>
            <w:tcW w:w="1530" w:type="dxa"/>
            <w:noWrap/>
            <w:vAlign w:val="top"/>
            <w:hideMark/>
          </w:tcPr>
          <w:p w14:paraId="1BD0AB8E"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0.53%</w:t>
            </w:r>
          </w:p>
        </w:tc>
      </w:tr>
      <w:tr w:rsidR="00D27D5D" w:rsidRPr="0033629B" w14:paraId="3724FB2E" w14:textId="77777777" w:rsidTr="0062779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dxa"/>
            <w:noWrap/>
            <w:vAlign w:val="top"/>
            <w:hideMark/>
          </w:tcPr>
          <w:p w14:paraId="7BD2C893" w14:textId="77777777" w:rsidR="00D27D5D" w:rsidRPr="0033629B" w:rsidRDefault="00D27D5D" w:rsidP="00D27D5D">
            <w:pPr>
              <w:spacing w:line="240" w:lineRule="auto"/>
              <w:rPr>
                <w:rFonts w:ascii="Arial Narrow" w:hAnsi="Arial Narrow" w:cs="Calibri"/>
                <w:sz w:val="18"/>
                <w:szCs w:val="18"/>
              </w:rPr>
            </w:pPr>
            <w:r w:rsidRPr="002A1C23">
              <w:rPr>
                <w:rFonts w:ascii="Arial Narrow" w:hAnsi="Arial Narrow"/>
                <w:sz w:val="18"/>
                <w:szCs w:val="18"/>
              </w:rPr>
              <w:t>2027</w:t>
            </w:r>
          </w:p>
        </w:tc>
        <w:tc>
          <w:tcPr>
            <w:tcW w:w="1940" w:type="dxa"/>
            <w:noWrap/>
            <w:vAlign w:val="top"/>
            <w:hideMark/>
          </w:tcPr>
          <w:p w14:paraId="6065B8AB"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0.38%</w:t>
            </w:r>
          </w:p>
        </w:tc>
        <w:tc>
          <w:tcPr>
            <w:tcW w:w="2020" w:type="dxa"/>
            <w:noWrap/>
            <w:vAlign w:val="top"/>
            <w:hideMark/>
          </w:tcPr>
          <w:p w14:paraId="396A6F55"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0.41%</w:t>
            </w:r>
          </w:p>
        </w:tc>
        <w:tc>
          <w:tcPr>
            <w:tcW w:w="1680" w:type="dxa"/>
            <w:noWrap/>
            <w:vAlign w:val="top"/>
            <w:hideMark/>
          </w:tcPr>
          <w:p w14:paraId="433DE958"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0.47%</w:t>
            </w:r>
          </w:p>
        </w:tc>
        <w:tc>
          <w:tcPr>
            <w:tcW w:w="1650" w:type="dxa"/>
            <w:noWrap/>
            <w:vAlign w:val="top"/>
            <w:hideMark/>
          </w:tcPr>
          <w:p w14:paraId="392DAA2A"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0.44%</w:t>
            </w:r>
          </w:p>
        </w:tc>
        <w:tc>
          <w:tcPr>
            <w:tcW w:w="1530" w:type="dxa"/>
            <w:noWrap/>
            <w:vAlign w:val="top"/>
            <w:hideMark/>
          </w:tcPr>
          <w:p w14:paraId="27E5D4E4"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0.54%</w:t>
            </w:r>
          </w:p>
        </w:tc>
      </w:tr>
      <w:tr w:rsidR="00D27D5D" w:rsidRPr="0033629B" w14:paraId="3F211246"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dxa"/>
            <w:noWrap/>
            <w:vAlign w:val="top"/>
            <w:hideMark/>
          </w:tcPr>
          <w:p w14:paraId="20C4F113" w14:textId="77777777" w:rsidR="00D27D5D" w:rsidRPr="0033629B" w:rsidRDefault="00D27D5D" w:rsidP="00D27D5D">
            <w:pPr>
              <w:spacing w:line="240" w:lineRule="auto"/>
              <w:rPr>
                <w:rFonts w:ascii="Arial Narrow" w:hAnsi="Arial Narrow" w:cs="Calibri"/>
                <w:sz w:val="18"/>
                <w:szCs w:val="18"/>
              </w:rPr>
            </w:pPr>
            <w:r w:rsidRPr="002A1C23">
              <w:rPr>
                <w:rFonts w:ascii="Arial Narrow" w:hAnsi="Arial Narrow"/>
                <w:sz w:val="18"/>
                <w:szCs w:val="18"/>
              </w:rPr>
              <w:t>2028</w:t>
            </w:r>
          </w:p>
        </w:tc>
        <w:tc>
          <w:tcPr>
            <w:tcW w:w="1940" w:type="dxa"/>
            <w:noWrap/>
            <w:vAlign w:val="top"/>
            <w:hideMark/>
          </w:tcPr>
          <w:p w14:paraId="3E6125D1"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0.39%</w:t>
            </w:r>
          </w:p>
        </w:tc>
        <w:tc>
          <w:tcPr>
            <w:tcW w:w="2020" w:type="dxa"/>
            <w:noWrap/>
            <w:vAlign w:val="top"/>
            <w:hideMark/>
          </w:tcPr>
          <w:p w14:paraId="2FF49A71"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0.41%</w:t>
            </w:r>
          </w:p>
        </w:tc>
        <w:tc>
          <w:tcPr>
            <w:tcW w:w="1680" w:type="dxa"/>
            <w:noWrap/>
            <w:vAlign w:val="top"/>
            <w:hideMark/>
          </w:tcPr>
          <w:p w14:paraId="55D5C0E2"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0.47%</w:t>
            </w:r>
          </w:p>
        </w:tc>
        <w:tc>
          <w:tcPr>
            <w:tcW w:w="1650" w:type="dxa"/>
            <w:noWrap/>
            <w:vAlign w:val="top"/>
            <w:hideMark/>
          </w:tcPr>
          <w:p w14:paraId="04558428"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0.44%</w:t>
            </w:r>
          </w:p>
        </w:tc>
        <w:tc>
          <w:tcPr>
            <w:tcW w:w="1530" w:type="dxa"/>
            <w:noWrap/>
            <w:vAlign w:val="top"/>
            <w:hideMark/>
          </w:tcPr>
          <w:p w14:paraId="5FBBB524"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0.56%</w:t>
            </w:r>
          </w:p>
        </w:tc>
      </w:tr>
      <w:tr w:rsidR="00D27D5D" w:rsidRPr="0033629B" w14:paraId="0EEDB15E" w14:textId="77777777" w:rsidTr="0062779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dxa"/>
            <w:noWrap/>
            <w:vAlign w:val="top"/>
            <w:hideMark/>
          </w:tcPr>
          <w:p w14:paraId="72C6EC5B" w14:textId="77777777" w:rsidR="00D27D5D" w:rsidRPr="0033629B" w:rsidRDefault="00D27D5D" w:rsidP="00D27D5D">
            <w:pPr>
              <w:spacing w:line="240" w:lineRule="auto"/>
              <w:rPr>
                <w:rFonts w:ascii="Arial Narrow" w:hAnsi="Arial Narrow" w:cs="Calibri"/>
                <w:sz w:val="18"/>
                <w:szCs w:val="18"/>
              </w:rPr>
            </w:pPr>
            <w:r w:rsidRPr="002A1C23">
              <w:rPr>
                <w:rFonts w:ascii="Arial Narrow" w:hAnsi="Arial Narrow"/>
                <w:sz w:val="18"/>
                <w:szCs w:val="18"/>
              </w:rPr>
              <w:t>2029</w:t>
            </w:r>
          </w:p>
        </w:tc>
        <w:tc>
          <w:tcPr>
            <w:tcW w:w="1940" w:type="dxa"/>
            <w:noWrap/>
            <w:vAlign w:val="top"/>
            <w:hideMark/>
          </w:tcPr>
          <w:p w14:paraId="54665299"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0.39%</w:t>
            </w:r>
          </w:p>
        </w:tc>
        <w:tc>
          <w:tcPr>
            <w:tcW w:w="2020" w:type="dxa"/>
            <w:noWrap/>
            <w:vAlign w:val="top"/>
            <w:hideMark/>
          </w:tcPr>
          <w:p w14:paraId="747B9504"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0.41%</w:t>
            </w:r>
          </w:p>
        </w:tc>
        <w:tc>
          <w:tcPr>
            <w:tcW w:w="1680" w:type="dxa"/>
            <w:noWrap/>
            <w:vAlign w:val="top"/>
            <w:hideMark/>
          </w:tcPr>
          <w:p w14:paraId="4410A7B3"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0.47%</w:t>
            </w:r>
          </w:p>
        </w:tc>
        <w:tc>
          <w:tcPr>
            <w:tcW w:w="1650" w:type="dxa"/>
            <w:noWrap/>
            <w:vAlign w:val="top"/>
            <w:hideMark/>
          </w:tcPr>
          <w:p w14:paraId="4DFE5192"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0.45%</w:t>
            </w:r>
          </w:p>
        </w:tc>
        <w:tc>
          <w:tcPr>
            <w:tcW w:w="1530" w:type="dxa"/>
            <w:noWrap/>
            <w:vAlign w:val="top"/>
            <w:hideMark/>
          </w:tcPr>
          <w:p w14:paraId="308C3C2F" w14:textId="77777777" w:rsidR="00D27D5D" w:rsidRPr="00D27D5D" w:rsidRDefault="00D27D5D" w:rsidP="00D27D5D">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0.59%</w:t>
            </w:r>
          </w:p>
        </w:tc>
      </w:tr>
      <w:tr w:rsidR="00D27D5D" w:rsidRPr="0033629B" w14:paraId="1E65F424"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dxa"/>
            <w:noWrap/>
            <w:vAlign w:val="top"/>
            <w:hideMark/>
          </w:tcPr>
          <w:p w14:paraId="4FBA11E7" w14:textId="77777777" w:rsidR="00D27D5D" w:rsidRPr="0033629B" w:rsidRDefault="00D27D5D" w:rsidP="00D27D5D">
            <w:pPr>
              <w:spacing w:line="240" w:lineRule="auto"/>
              <w:rPr>
                <w:rFonts w:ascii="Arial Narrow" w:hAnsi="Arial Narrow" w:cs="Calibri"/>
                <w:sz w:val="18"/>
                <w:szCs w:val="18"/>
              </w:rPr>
            </w:pPr>
            <w:r w:rsidRPr="002A1C23">
              <w:rPr>
                <w:rFonts w:ascii="Arial Narrow" w:hAnsi="Arial Narrow"/>
                <w:sz w:val="18"/>
                <w:szCs w:val="18"/>
              </w:rPr>
              <w:t>2030</w:t>
            </w:r>
          </w:p>
        </w:tc>
        <w:tc>
          <w:tcPr>
            <w:tcW w:w="1940" w:type="dxa"/>
            <w:noWrap/>
            <w:vAlign w:val="top"/>
            <w:hideMark/>
          </w:tcPr>
          <w:p w14:paraId="304DB1F2"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0.41%</w:t>
            </w:r>
          </w:p>
        </w:tc>
        <w:tc>
          <w:tcPr>
            <w:tcW w:w="2020" w:type="dxa"/>
            <w:noWrap/>
            <w:vAlign w:val="top"/>
            <w:hideMark/>
          </w:tcPr>
          <w:p w14:paraId="2FB06163"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0.42%</w:t>
            </w:r>
          </w:p>
        </w:tc>
        <w:tc>
          <w:tcPr>
            <w:tcW w:w="1680" w:type="dxa"/>
            <w:noWrap/>
            <w:vAlign w:val="top"/>
            <w:hideMark/>
          </w:tcPr>
          <w:p w14:paraId="1C94EFF4"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0.47%</w:t>
            </w:r>
          </w:p>
        </w:tc>
        <w:tc>
          <w:tcPr>
            <w:tcW w:w="1650" w:type="dxa"/>
            <w:noWrap/>
            <w:vAlign w:val="top"/>
            <w:hideMark/>
          </w:tcPr>
          <w:p w14:paraId="18C62714"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0.46%</w:t>
            </w:r>
          </w:p>
        </w:tc>
        <w:tc>
          <w:tcPr>
            <w:tcW w:w="1530" w:type="dxa"/>
            <w:noWrap/>
            <w:vAlign w:val="top"/>
            <w:hideMark/>
          </w:tcPr>
          <w:p w14:paraId="04D5F007" w14:textId="77777777" w:rsidR="00D27D5D" w:rsidRPr="00D27D5D" w:rsidRDefault="00D27D5D" w:rsidP="00D27D5D">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0.63%</w:t>
            </w:r>
          </w:p>
        </w:tc>
      </w:tr>
    </w:tbl>
    <w:p w14:paraId="4853DA60" w14:textId="77777777" w:rsidR="00750317" w:rsidRDefault="00750317" w:rsidP="00031C0C">
      <w:pPr>
        <w:rPr>
          <w:color w:val="555759"/>
          <w:sz w:val="22"/>
          <w:szCs w:val="22"/>
        </w:rPr>
      </w:pPr>
    </w:p>
    <w:p w14:paraId="53ED71C9" w14:textId="77777777" w:rsidR="002E3358" w:rsidRDefault="002E3358">
      <w:pPr>
        <w:spacing w:line="240" w:lineRule="auto"/>
        <w:rPr>
          <w:b/>
          <w:i/>
          <w:iCs/>
          <w:color w:val="555759"/>
          <w:sz w:val="22"/>
          <w:szCs w:val="22"/>
        </w:rPr>
      </w:pPr>
      <w:r>
        <w:br w:type="page"/>
      </w:r>
    </w:p>
    <w:p w14:paraId="57330ED9" w14:textId="77777777" w:rsidR="009D5F32" w:rsidRDefault="009D5F32" w:rsidP="00E05BCD">
      <w:pPr>
        <w:pStyle w:val="Heading9"/>
      </w:pPr>
      <w:bookmarkStart w:id="51" w:name="_Toc490225758"/>
      <w:r>
        <w:lastRenderedPageBreak/>
        <w:t>Market Potential by Sector</w:t>
      </w:r>
      <w:bookmarkEnd w:id="51"/>
    </w:p>
    <w:p w14:paraId="5CCD8B13" w14:textId="77777777" w:rsidR="009D5F32" w:rsidRPr="00C41188" w:rsidRDefault="00010541" w:rsidP="00031C0C">
      <w:r>
        <w:t>Figure ES-5</w:t>
      </w:r>
      <w:r w:rsidR="00C8553E">
        <w:t xml:space="preserve"> </w:t>
      </w:r>
      <w:r>
        <w:t xml:space="preserve">and Table ES-6 </w:t>
      </w:r>
      <w:r w:rsidR="00076549">
        <w:t>illustrate</w:t>
      </w:r>
      <w:r w:rsidR="00C8553E">
        <w:t>s</w:t>
      </w:r>
      <w:r w:rsidR="00076549">
        <w:t xml:space="preserve"> the </w:t>
      </w:r>
      <w:r w:rsidR="00C8553E">
        <w:t xml:space="preserve">electric </w:t>
      </w:r>
      <w:r w:rsidR="00076549">
        <w:t xml:space="preserve">market potential savings for </w:t>
      </w:r>
      <w:r w:rsidR="002E3358">
        <w:t>i</w:t>
      </w:r>
      <w:r w:rsidR="00076549">
        <w:t xml:space="preserve">ncentive programs (Equipment Rebates, BROs and LI) </w:t>
      </w:r>
      <w:r w:rsidR="002E3358">
        <w:t>separated for each of the six sectors assessed in this study (Residential, Commercial, Industrial, Agricultural, Mining, and Streetlighting)</w:t>
      </w:r>
      <w:r w:rsidR="00076549">
        <w:t xml:space="preserve">. </w:t>
      </w:r>
      <w:r>
        <w:t xml:space="preserve">Figure ES-6 and Table ES-7 provides the comparable information for </w:t>
      </w:r>
      <w:r w:rsidR="00D43636">
        <w:t xml:space="preserve">the </w:t>
      </w:r>
      <w:r>
        <w:t>gas</w:t>
      </w:r>
      <w:r w:rsidR="00D43636">
        <w:t xml:space="preserve"> market potential savings</w:t>
      </w:r>
      <w:r>
        <w:t xml:space="preserve">.  </w:t>
      </w:r>
      <w:r w:rsidR="00076549">
        <w:t xml:space="preserve">Savings </w:t>
      </w:r>
      <w:r w:rsidR="002E3358">
        <w:t xml:space="preserve">represented by sector helps to inform the magnitude of potential for each of the sectors.  </w:t>
      </w:r>
      <w:r w:rsidR="00076549">
        <w:t xml:space="preserve">It should be noted that savings from C&amp;S were excluded from these calculations.  The rationale for the exclusion was that </w:t>
      </w:r>
      <w:r w:rsidR="00622122">
        <w:t>the C</w:t>
      </w:r>
      <w:r w:rsidR="00696AE6">
        <w:t>P</w:t>
      </w:r>
      <w:r w:rsidR="00622122">
        <w:t>UC adopts separate goals for C&amp;S</w:t>
      </w:r>
      <w:r w:rsidR="00076549">
        <w:t>.</w:t>
      </w:r>
      <w:r w:rsidR="002E3358">
        <w:t xml:space="preserve">  Note further that the sector-specific results are only shown for Scenario 1 (TRC Reference).  The rationale for reporting on only one scenario is that while the magnitude of savings for the other four scenarios differ, the relative share of savings across the various sectors does not vary significantly.</w:t>
      </w:r>
      <w:r w:rsidR="00EE2562">
        <w:t xml:space="preserve"> Sector-level results for all scenarios are provided in section 4.</w:t>
      </w:r>
    </w:p>
    <w:p w14:paraId="545D357D" w14:textId="77777777" w:rsidR="002E3358" w:rsidRDefault="002E3358" w:rsidP="00031C0C"/>
    <w:p w14:paraId="16D9D13B" w14:textId="77777777" w:rsidR="002E3358" w:rsidRDefault="002E3358" w:rsidP="00031C0C">
      <w:r>
        <w:t>The following observations are noted about the electric results:</w:t>
      </w:r>
    </w:p>
    <w:p w14:paraId="3D3C8F96" w14:textId="77777777" w:rsidR="00EA1B60" w:rsidRDefault="00052E45" w:rsidP="00031C0C">
      <w:pPr>
        <w:pStyle w:val="ListParagraph"/>
        <w:numPr>
          <w:ilvl w:val="0"/>
          <w:numId w:val="91"/>
        </w:numPr>
      </w:pPr>
      <w:r>
        <w:t>As can be seen</w:t>
      </w:r>
      <w:r w:rsidR="00D43636">
        <w:t xml:space="preserve"> in the chart and table, </w:t>
      </w:r>
      <w:r w:rsidR="00DA34F5">
        <w:t>the commercial and residential sector dominate the savings with the commercial sector showing slightly higher potential over the study horizon.</w:t>
      </w:r>
    </w:p>
    <w:p w14:paraId="575D4E73" w14:textId="77777777" w:rsidR="00D43636" w:rsidRDefault="00D43636" w:rsidP="00031C0C">
      <w:pPr>
        <w:pStyle w:val="ListParagraph"/>
        <w:numPr>
          <w:ilvl w:val="0"/>
          <w:numId w:val="91"/>
        </w:numPr>
      </w:pPr>
      <w:r>
        <w:t xml:space="preserve">The incremental savings potential grows over time for the residential, commercial and agricultural sectors. This growth is largely attributable to sectoral growth but also reflects greater levels of market uptake for BROs in the later years.  </w:t>
      </w:r>
    </w:p>
    <w:p w14:paraId="31976D44" w14:textId="77777777" w:rsidR="00D43636" w:rsidRDefault="00D43636" w:rsidP="00031C0C">
      <w:pPr>
        <w:pStyle w:val="ListParagraph"/>
        <w:numPr>
          <w:ilvl w:val="0"/>
          <w:numId w:val="91"/>
        </w:numPr>
      </w:pPr>
      <w:r>
        <w:t>Conversely, the incremental savings potential declines for the industrial, mining and streetlighting sectors.  For industrial and mining, this savings decline is highly correlated with flat or negative customer growth rates during the time horizon.  For streetlighting, the market potential for high efficiency measures becomes more saturated over time.</w:t>
      </w:r>
    </w:p>
    <w:p w14:paraId="19479B3A" w14:textId="77777777" w:rsidR="00D43636" w:rsidRDefault="00D43636" w:rsidP="00E05BCD">
      <w:pPr>
        <w:jc w:val="both"/>
      </w:pPr>
    </w:p>
    <w:p w14:paraId="6B1ACB85" w14:textId="77777777" w:rsidR="00D43636" w:rsidRDefault="00D43636" w:rsidP="00E05BCD">
      <w:pPr>
        <w:jc w:val="both"/>
      </w:pPr>
      <w:r>
        <w:t>The following observations are noted about the gas results:</w:t>
      </w:r>
    </w:p>
    <w:p w14:paraId="7DFEAA25" w14:textId="77777777" w:rsidR="005A7FF2" w:rsidRDefault="00EA1B60" w:rsidP="00031C0C">
      <w:pPr>
        <w:pStyle w:val="ListParagraph"/>
        <w:numPr>
          <w:ilvl w:val="0"/>
          <w:numId w:val="95"/>
        </w:numPr>
      </w:pPr>
      <w:r>
        <w:t>The largest savings potential comes from the residential sector</w:t>
      </w:r>
      <w:r w:rsidR="005A7FF2">
        <w:t xml:space="preserve">, with smaller savings for industrial and commercial, and minimal savings for the agricultural and mining sectors.  </w:t>
      </w:r>
    </w:p>
    <w:p w14:paraId="2DD23EF6" w14:textId="77777777" w:rsidR="005A7FF2" w:rsidRDefault="005A7FF2" w:rsidP="00031C0C">
      <w:pPr>
        <w:pStyle w:val="ListParagraph"/>
        <w:numPr>
          <w:ilvl w:val="0"/>
          <w:numId w:val="95"/>
        </w:numPr>
      </w:pPr>
      <w:r>
        <w:t>Yearly savings potential for all sectors grows modestly over time</w:t>
      </w:r>
      <w:r w:rsidR="00FC272D">
        <w:t xml:space="preserve"> with much of the growth coming from higher levels of market up</w:t>
      </w:r>
      <w:r w:rsidR="00EE2562">
        <w:t>take</w:t>
      </w:r>
      <w:r w:rsidR="00FC272D">
        <w:t xml:space="preserve"> for BROs in the outer years.</w:t>
      </w:r>
    </w:p>
    <w:p w14:paraId="75C61E08" w14:textId="77777777" w:rsidR="00124456" w:rsidRDefault="00124456" w:rsidP="00E05BCD">
      <w:pPr>
        <w:jc w:val="both"/>
      </w:pPr>
    </w:p>
    <w:p w14:paraId="4C7B21BA" w14:textId="77777777" w:rsidR="00750317" w:rsidRDefault="00750317">
      <w:pPr>
        <w:spacing w:line="240" w:lineRule="auto"/>
      </w:pPr>
      <w:r>
        <w:br w:type="page"/>
      </w:r>
    </w:p>
    <w:p w14:paraId="2AC9AA1F" w14:textId="4AAD6C96" w:rsidR="00AF21BE" w:rsidRDefault="00AF21BE" w:rsidP="00AF21BE">
      <w:pPr>
        <w:pStyle w:val="Caption"/>
      </w:pPr>
      <w:bookmarkStart w:id="52" w:name="_Toc490225864"/>
      <w:r>
        <w:lastRenderedPageBreak/>
        <w:t xml:space="preserve">Figure ES- </w:t>
      </w:r>
      <w:fldSimple w:instr=" SEQ Figure_ES- \* ARABIC ">
        <w:r w:rsidR="007566B9">
          <w:rPr>
            <w:noProof/>
          </w:rPr>
          <w:t>5</w:t>
        </w:r>
      </w:fldSimple>
      <w:r>
        <w:t xml:space="preserve">. Statewide </w:t>
      </w:r>
      <w:r w:rsidR="006406EC">
        <w:t xml:space="preserve">Net </w:t>
      </w:r>
      <w:r>
        <w:t>Incremental Electric Market Potential for Incentive Programs by Sector for the TRC Reference Scenario</w:t>
      </w:r>
      <w:bookmarkEnd w:id="52"/>
    </w:p>
    <w:p w14:paraId="15904107" w14:textId="77777777" w:rsidR="00EC2569" w:rsidRDefault="006E3545" w:rsidP="00AF21BE">
      <w:pPr>
        <w:jc w:val="center"/>
        <w:rPr>
          <w:color w:val="555759"/>
          <w:sz w:val="22"/>
          <w:szCs w:val="22"/>
        </w:rPr>
      </w:pPr>
      <w:r>
        <w:rPr>
          <w:noProof/>
          <w:color w:val="555759"/>
          <w:sz w:val="22"/>
          <w:szCs w:val="22"/>
        </w:rPr>
        <w:drawing>
          <wp:inline distT="0" distB="0" distL="0" distR="0" wp14:anchorId="707305F7" wp14:editId="07B8CC3F">
            <wp:extent cx="5822899" cy="2837259"/>
            <wp:effectExtent l="0" t="0" r="698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9432" cy="2840442"/>
                    </a:xfrm>
                    <a:prstGeom prst="rect">
                      <a:avLst/>
                    </a:prstGeom>
                    <a:noFill/>
                  </pic:spPr>
                </pic:pic>
              </a:graphicData>
            </a:graphic>
          </wp:inline>
        </w:drawing>
      </w:r>
    </w:p>
    <w:p w14:paraId="5A1B743F" w14:textId="77777777" w:rsidR="00AF21BE" w:rsidRPr="00AF21BE" w:rsidRDefault="00AF21BE" w:rsidP="00AF21BE">
      <w:pPr>
        <w:jc w:val="center"/>
        <w:rPr>
          <w:color w:val="555759"/>
          <w:sz w:val="22"/>
          <w:szCs w:val="22"/>
        </w:rPr>
      </w:pPr>
    </w:p>
    <w:p w14:paraId="6A477265" w14:textId="409829C6" w:rsidR="00AF21BE" w:rsidRDefault="00AF21BE" w:rsidP="00AF21BE">
      <w:pPr>
        <w:pStyle w:val="Caption"/>
      </w:pPr>
      <w:bookmarkStart w:id="53" w:name="_Toc490226070"/>
      <w:r>
        <w:t xml:space="preserve">Table ES- </w:t>
      </w:r>
      <w:fldSimple w:instr=" SEQ Table_ES- \* ARABIC ">
        <w:r w:rsidR="007566B9">
          <w:rPr>
            <w:noProof/>
          </w:rPr>
          <w:t>6</w:t>
        </w:r>
      </w:fldSimple>
      <w:r>
        <w:t xml:space="preserve">. Statewide </w:t>
      </w:r>
      <w:r w:rsidR="006406EC">
        <w:t xml:space="preserve">Net </w:t>
      </w:r>
      <w:r>
        <w:t>Incremental Electric Market Potential for Incentive Programs by Sector for the TRC Reference Scenario</w:t>
      </w:r>
      <w:bookmarkEnd w:id="53"/>
    </w:p>
    <w:tbl>
      <w:tblPr>
        <w:tblStyle w:val="EnergyTable1"/>
        <w:tblW w:w="5000" w:type="pct"/>
        <w:tblLayout w:type="fixed"/>
        <w:tblLook w:val="04A0" w:firstRow="1" w:lastRow="0" w:firstColumn="1" w:lastColumn="0" w:noHBand="0" w:noVBand="1"/>
      </w:tblPr>
      <w:tblGrid>
        <w:gridCol w:w="669"/>
        <w:gridCol w:w="669"/>
        <w:gridCol w:w="669"/>
        <w:gridCol w:w="669"/>
        <w:gridCol w:w="669"/>
        <w:gridCol w:w="669"/>
        <w:gridCol w:w="669"/>
        <w:gridCol w:w="669"/>
        <w:gridCol w:w="668"/>
        <w:gridCol w:w="668"/>
        <w:gridCol w:w="668"/>
        <w:gridCol w:w="668"/>
        <w:gridCol w:w="668"/>
        <w:gridCol w:w="668"/>
      </w:tblGrid>
      <w:tr w:rsidR="002544A3" w:rsidRPr="00ED74DF" w14:paraId="4F693780" w14:textId="77777777" w:rsidTr="006E354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 w:type="pct"/>
            <w:noWrap/>
            <w:hideMark/>
          </w:tcPr>
          <w:p w14:paraId="51FC80E8" w14:textId="77777777" w:rsidR="00ED74DF" w:rsidRPr="00031C0C" w:rsidRDefault="00ED74DF" w:rsidP="00ED74DF">
            <w:pPr>
              <w:spacing w:line="240" w:lineRule="auto"/>
              <w:rPr>
                <w:rFonts w:ascii="Arial Narrow" w:hAnsi="Arial Narrow"/>
                <w:bCs/>
                <w:sz w:val="16"/>
                <w:szCs w:val="16"/>
              </w:rPr>
            </w:pPr>
            <w:r w:rsidRPr="00031C0C">
              <w:rPr>
                <w:rFonts w:ascii="Arial Narrow" w:hAnsi="Arial Narrow"/>
                <w:bCs/>
                <w:sz w:val="16"/>
                <w:szCs w:val="16"/>
              </w:rPr>
              <w:t>Sector</w:t>
            </w:r>
          </w:p>
        </w:tc>
        <w:tc>
          <w:tcPr>
            <w:tcW w:w="357" w:type="pct"/>
            <w:noWrap/>
            <w:hideMark/>
          </w:tcPr>
          <w:p w14:paraId="5EEA138E" w14:textId="77777777" w:rsidR="00ED74DF" w:rsidRPr="00031C0C"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r w:rsidRPr="00031C0C">
              <w:rPr>
                <w:rFonts w:ascii="Arial Narrow" w:hAnsi="Arial Narrow"/>
                <w:bCs/>
                <w:sz w:val="18"/>
                <w:szCs w:val="18"/>
              </w:rPr>
              <w:t>2018</w:t>
            </w:r>
          </w:p>
        </w:tc>
        <w:tc>
          <w:tcPr>
            <w:tcW w:w="357" w:type="pct"/>
            <w:noWrap/>
            <w:hideMark/>
          </w:tcPr>
          <w:p w14:paraId="54FD0F2B" w14:textId="77777777" w:rsidR="00ED74DF" w:rsidRPr="00031C0C"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r w:rsidRPr="00031C0C">
              <w:rPr>
                <w:rFonts w:ascii="Arial Narrow" w:hAnsi="Arial Narrow"/>
                <w:bCs/>
                <w:sz w:val="18"/>
                <w:szCs w:val="18"/>
              </w:rPr>
              <w:t>2019</w:t>
            </w:r>
          </w:p>
        </w:tc>
        <w:tc>
          <w:tcPr>
            <w:tcW w:w="357" w:type="pct"/>
            <w:noWrap/>
            <w:hideMark/>
          </w:tcPr>
          <w:p w14:paraId="0B3BC3A2" w14:textId="77777777" w:rsidR="00ED74DF" w:rsidRPr="00031C0C"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r w:rsidRPr="00031C0C">
              <w:rPr>
                <w:rFonts w:ascii="Arial Narrow" w:hAnsi="Arial Narrow"/>
                <w:bCs/>
                <w:sz w:val="18"/>
                <w:szCs w:val="18"/>
              </w:rPr>
              <w:t>2020</w:t>
            </w:r>
          </w:p>
        </w:tc>
        <w:tc>
          <w:tcPr>
            <w:tcW w:w="357" w:type="pct"/>
            <w:noWrap/>
            <w:hideMark/>
          </w:tcPr>
          <w:p w14:paraId="0ECCDD9E" w14:textId="77777777" w:rsidR="00ED74DF" w:rsidRPr="00031C0C"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r w:rsidRPr="00031C0C">
              <w:rPr>
                <w:rFonts w:ascii="Arial Narrow" w:hAnsi="Arial Narrow"/>
                <w:bCs/>
                <w:sz w:val="18"/>
                <w:szCs w:val="18"/>
              </w:rPr>
              <w:t>2021</w:t>
            </w:r>
          </w:p>
        </w:tc>
        <w:tc>
          <w:tcPr>
            <w:tcW w:w="357" w:type="pct"/>
            <w:noWrap/>
            <w:hideMark/>
          </w:tcPr>
          <w:p w14:paraId="645EBFFA" w14:textId="77777777" w:rsidR="00ED74DF" w:rsidRPr="00031C0C"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r w:rsidRPr="00031C0C">
              <w:rPr>
                <w:rFonts w:ascii="Arial Narrow" w:hAnsi="Arial Narrow"/>
                <w:bCs/>
                <w:sz w:val="18"/>
                <w:szCs w:val="18"/>
              </w:rPr>
              <w:t>2022</w:t>
            </w:r>
          </w:p>
        </w:tc>
        <w:tc>
          <w:tcPr>
            <w:tcW w:w="357" w:type="pct"/>
            <w:noWrap/>
            <w:hideMark/>
          </w:tcPr>
          <w:p w14:paraId="21F7C1E6" w14:textId="77777777" w:rsidR="00ED74DF" w:rsidRPr="00031C0C"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r w:rsidRPr="00031C0C">
              <w:rPr>
                <w:rFonts w:ascii="Arial Narrow" w:hAnsi="Arial Narrow"/>
                <w:bCs/>
                <w:sz w:val="18"/>
                <w:szCs w:val="18"/>
              </w:rPr>
              <w:t>2023</w:t>
            </w:r>
          </w:p>
        </w:tc>
        <w:tc>
          <w:tcPr>
            <w:tcW w:w="357" w:type="pct"/>
            <w:noWrap/>
            <w:hideMark/>
          </w:tcPr>
          <w:p w14:paraId="38D6537F" w14:textId="77777777" w:rsidR="00ED74DF" w:rsidRPr="00031C0C"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r w:rsidRPr="00031C0C">
              <w:rPr>
                <w:rFonts w:ascii="Arial Narrow" w:hAnsi="Arial Narrow"/>
                <w:bCs/>
                <w:sz w:val="18"/>
                <w:szCs w:val="18"/>
              </w:rPr>
              <w:t>2024</w:t>
            </w:r>
          </w:p>
        </w:tc>
        <w:tc>
          <w:tcPr>
            <w:tcW w:w="357" w:type="pct"/>
            <w:noWrap/>
            <w:hideMark/>
          </w:tcPr>
          <w:p w14:paraId="114DF8CB" w14:textId="77777777" w:rsidR="00ED74DF" w:rsidRPr="00031C0C"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r w:rsidRPr="00031C0C">
              <w:rPr>
                <w:rFonts w:ascii="Arial Narrow" w:hAnsi="Arial Narrow"/>
                <w:bCs/>
                <w:sz w:val="18"/>
                <w:szCs w:val="18"/>
              </w:rPr>
              <w:t>2025</w:t>
            </w:r>
          </w:p>
        </w:tc>
        <w:tc>
          <w:tcPr>
            <w:tcW w:w="357" w:type="pct"/>
            <w:noWrap/>
            <w:hideMark/>
          </w:tcPr>
          <w:p w14:paraId="774E4C6C" w14:textId="77777777" w:rsidR="00ED74DF" w:rsidRPr="00031C0C"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r w:rsidRPr="00031C0C">
              <w:rPr>
                <w:rFonts w:ascii="Arial Narrow" w:hAnsi="Arial Narrow"/>
                <w:bCs/>
                <w:sz w:val="18"/>
                <w:szCs w:val="18"/>
              </w:rPr>
              <w:t>2026</w:t>
            </w:r>
          </w:p>
        </w:tc>
        <w:tc>
          <w:tcPr>
            <w:tcW w:w="357" w:type="pct"/>
            <w:noWrap/>
            <w:hideMark/>
          </w:tcPr>
          <w:p w14:paraId="11D6D2C8" w14:textId="77777777" w:rsidR="00ED74DF" w:rsidRPr="00031C0C"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r w:rsidRPr="00031C0C">
              <w:rPr>
                <w:rFonts w:ascii="Arial Narrow" w:hAnsi="Arial Narrow"/>
                <w:bCs/>
                <w:sz w:val="18"/>
                <w:szCs w:val="18"/>
              </w:rPr>
              <w:t>2027</w:t>
            </w:r>
          </w:p>
        </w:tc>
        <w:tc>
          <w:tcPr>
            <w:tcW w:w="357" w:type="pct"/>
            <w:noWrap/>
            <w:hideMark/>
          </w:tcPr>
          <w:p w14:paraId="79610CC2" w14:textId="77777777" w:rsidR="00ED74DF" w:rsidRPr="00031C0C"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r w:rsidRPr="00031C0C">
              <w:rPr>
                <w:rFonts w:ascii="Arial Narrow" w:hAnsi="Arial Narrow"/>
                <w:bCs/>
                <w:sz w:val="18"/>
                <w:szCs w:val="18"/>
              </w:rPr>
              <w:t>2028</w:t>
            </w:r>
          </w:p>
        </w:tc>
        <w:tc>
          <w:tcPr>
            <w:tcW w:w="357" w:type="pct"/>
            <w:noWrap/>
            <w:hideMark/>
          </w:tcPr>
          <w:p w14:paraId="1B3360F8" w14:textId="77777777" w:rsidR="00ED74DF" w:rsidRPr="00031C0C"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r w:rsidRPr="00031C0C">
              <w:rPr>
                <w:rFonts w:ascii="Arial Narrow" w:hAnsi="Arial Narrow"/>
                <w:bCs/>
                <w:sz w:val="18"/>
                <w:szCs w:val="18"/>
              </w:rPr>
              <w:t>2029</w:t>
            </w:r>
          </w:p>
        </w:tc>
        <w:tc>
          <w:tcPr>
            <w:tcW w:w="357" w:type="pct"/>
            <w:noWrap/>
            <w:hideMark/>
          </w:tcPr>
          <w:p w14:paraId="1D1BD28D" w14:textId="77777777" w:rsidR="00ED74DF" w:rsidRPr="00031C0C"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r w:rsidRPr="00031C0C">
              <w:rPr>
                <w:rFonts w:ascii="Arial Narrow" w:hAnsi="Arial Narrow"/>
                <w:bCs/>
                <w:sz w:val="18"/>
                <w:szCs w:val="18"/>
              </w:rPr>
              <w:t>2030</w:t>
            </w:r>
          </w:p>
        </w:tc>
      </w:tr>
      <w:tr w:rsidR="006E3545" w:rsidRPr="00ED74DF" w14:paraId="5C7D4226"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 w:type="pct"/>
            <w:noWrap/>
            <w:hideMark/>
          </w:tcPr>
          <w:p w14:paraId="1282FFE5" w14:textId="77777777" w:rsidR="006E3545" w:rsidRPr="00031C0C" w:rsidRDefault="006E3545" w:rsidP="006E3545">
            <w:pPr>
              <w:spacing w:line="240" w:lineRule="auto"/>
              <w:rPr>
                <w:rFonts w:ascii="Arial Narrow" w:hAnsi="Arial Narrow"/>
                <w:sz w:val="18"/>
                <w:szCs w:val="18"/>
              </w:rPr>
            </w:pPr>
            <w:r w:rsidRPr="00031C0C">
              <w:rPr>
                <w:rFonts w:ascii="Arial Narrow" w:hAnsi="Arial Narrow"/>
                <w:sz w:val="18"/>
                <w:szCs w:val="18"/>
              </w:rPr>
              <w:t>Res</w:t>
            </w:r>
          </w:p>
        </w:tc>
        <w:tc>
          <w:tcPr>
            <w:tcW w:w="357" w:type="pct"/>
            <w:noWrap/>
            <w:vAlign w:val="top"/>
            <w:hideMark/>
          </w:tcPr>
          <w:p w14:paraId="469FB83A"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288.42</w:t>
            </w:r>
          </w:p>
        </w:tc>
        <w:tc>
          <w:tcPr>
            <w:tcW w:w="357" w:type="pct"/>
            <w:noWrap/>
            <w:vAlign w:val="top"/>
            <w:hideMark/>
          </w:tcPr>
          <w:p w14:paraId="786B6035"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363.72</w:t>
            </w:r>
          </w:p>
        </w:tc>
        <w:tc>
          <w:tcPr>
            <w:tcW w:w="357" w:type="pct"/>
            <w:noWrap/>
            <w:vAlign w:val="top"/>
            <w:hideMark/>
          </w:tcPr>
          <w:p w14:paraId="4A56DAF9"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364.89</w:t>
            </w:r>
          </w:p>
        </w:tc>
        <w:tc>
          <w:tcPr>
            <w:tcW w:w="357" w:type="pct"/>
            <w:noWrap/>
            <w:vAlign w:val="top"/>
            <w:hideMark/>
          </w:tcPr>
          <w:p w14:paraId="011B56E8"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379.77</w:t>
            </w:r>
          </w:p>
        </w:tc>
        <w:tc>
          <w:tcPr>
            <w:tcW w:w="357" w:type="pct"/>
            <w:noWrap/>
            <w:vAlign w:val="top"/>
            <w:hideMark/>
          </w:tcPr>
          <w:p w14:paraId="10E1AA99"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414.97</w:t>
            </w:r>
          </w:p>
        </w:tc>
        <w:tc>
          <w:tcPr>
            <w:tcW w:w="357" w:type="pct"/>
            <w:noWrap/>
            <w:vAlign w:val="top"/>
            <w:hideMark/>
          </w:tcPr>
          <w:p w14:paraId="3C5A586B"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445.20</w:t>
            </w:r>
          </w:p>
        </w:tc>
        <w:tc>
          <w:tcPr>
            <w:tcW w:w="357" w:type="pct"/>
            <w:noWrap/>
            <w:vAlign w:val="top"/>
            <w:hideMark/>
          </w:tcPr>
          <w:p w14:paraId="70FEE5FC"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481.69</w:t>
            </w:r>
          </w:p>
        </w:tc>
        <w:tc>
          <w:tcPr>
            <w:tcW w:w="357" w:type="pct"/>
            <w:noWrap/>
            <w:vAlign w:val="top"/>
            <w:hideMark/>
          </w:tcPr>
          <w:p w14:paraId="7DC9E649"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506.66</w:t>
            </w:r>
          </w:p>
        </w:tc>
        <w:tc>
          <w:tcPr>
            <w:tcW w:w="357" w:type="pct"/>
            <w:noWrap/>
            <w:vAlign w:val="top"/>
            <w:hideMark/>
          </w:tcPr>
          <w:p w14:paraId="45947488"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530.09</w:t>
            </w:r>
          </w:p>
        </w:tc>
        <w:tc>
          <w:tcPr>
            <w:tcW w:w="357" w:type="pct"/>
            <w:noWrap/>
            <w:vAlign w:val="top"/>
            <w:hideMark/>
          </w:tcPr>
          <w:p w14:paraId="6B47628A"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548.55</w:t>
            </w:r>
          </w:p>
        </w:tc>
        <w:tc>
          <w:tcPr>
            <w:tcW w:w="357" w:type="pct"/>
            <w:noWrap/>
            <w:vAlign w:val="top"/>
            <w:hideMark/>
          </w:tcPr>
          <w:p w14:paraId="2C9C3FDF"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566.71</w:t>
            </w:r>
          </w:p>
        </w:tc>
        <w:tc>
          <w:tcPr>
            <w:tcW w:w="357" w:type="pct"/>
            <w:noWrap/>
            <w:vAlign w:val="top"/>
            <w:hideMark/>
          </w:tcPr>
          <w:p w14:paraId="014B0BAF"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583.29</w:t>
            </w:r>
          </w:p>
        </w:tc>
        <w:tc>
          <w:tcPr>
            <w:tcW w:w="357" w:type="pct"/>
            <w:noWrap/>
            <w:vAlign w:val="top"/>
            <w:hideMark/>
          </w:tcPr>
          <w:p w14:paraId="370BD87F"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595.86</w:t>
            </w:r>
          </w:p>
        </w:tc>
      </w:tr>
      <w:tr w:rsidR="006E3545" w:rsidRPr="00ED74DF" w14:paraId="207F2B94"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 w:type="pct"/>
            <w:noWrap/>
            <w:hideMark/>
          </w:tcPr>
          <w:p w14:paraId="4C5F9215" w14:textId="77777777" w:rsidR="006E3545" w:rsidRPr="00031C0C" w:rsidRDefault="006E3545" w:rsidP="006E3545">
            <w:pPr>
              <w:spacing w:line="240" w:lineRule="auto"/>
              <w:rPr>
                <w:rFonts w:ascii="Arial Narrow" w:hAnsi="Arial Narrow"/>
                <w:sz w:val="18"/>
                <w:szCs w:val="18"/>
              </w:rPr>
            </w:pPr>
            <w:r w:rsidRPr="00031C0C">
              <w:rPr>
                <w:rFonts w:ascii="Arial Narrow" w:hAnsi="Arial Narrow"/>
                <w:sz w:val="18"/>
                <w:szCs w:val="18"/>
              </w:rPr>
              <w:t>Com</w:t>
            </w:r>
          </w:p>
        </w:tc>
        <w:tc>
          <w:tcPr>
            <w:tcW w:w="357" w:type="pct"/>
            <w:noWrap/>
            <w:vAlign w:val="top"/>
            <w:hideMark/>
          </w:tcPr>
          <w:p w14:paraId="09740726"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319.09</w:t>
            </w:r>
          </w:p>
        </w:tc>
        <w:tc>
          <w:tcPr>
            <w:tcW w:w="357" w:type="pct"/>
            <w:noWrap/>
            <w:vAlign w:val="top"/>
            <w:hideMark/>
          </w:tcPr>
          <w:p w14:paraId="4342F646"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345.57</w:t>
            </w:r>
          </w:p>
        </w:tc>
        <w:tc>
          <w:tcPr>
            <w:tcW w:w="357" w:type="pct"/>
            <w:noWrap/>
            <w:vAlign w:val="top"/>
            <w:hideMark/>
          </w:tcPr>
          <w:p w14:paraId="7AEEC17B"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349.69</w:t>
            </w:r>
          </w:p>
        </w:tc>
        <w:tc>
          <w:tcPr>
            <w:tcW w:w="357" w:type="pct"/>
            <w:noWrap/>
            <w:vAlign w:val="top"/>
            <w:hideMark/>
          </w:tcPr>
          <w:p w14:paraId="348174A9"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416.82</w:t>
            </w:r>
          </w:p>
        </w:tc>
        <w:tc>
          <w:tcPr>
            <w:tcW w:w="357" w:type="pct"/>
            <w:noWrap/>
            <w:vAlign w:val="top"/>
            <w:hideMark/>
          </w:tcPr>
          <w:p w14:paraId="65653D4D"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440.93</w:t>
            </w:r>
          </w:p>
        </w:tc>
        <w:tc>
          <w:tcPr>
            <w:tcW w:w="357" w:type="pct"/>
            <w:noWrap/>
            <w:vAlign w:val="top"/>
            <w:hideMark/>
          </w:tcPr>
          <w:p w14:paraId="77ED9EDE"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477.00</w:t>
            </w:r>
          </w:p>
        </w:tc>
        <w:tc>
          <w:tcPr>
            <w:tcW w:w="357" w:type="pct"/>
            <w:noWrap/>
            <w:vAlign w:val="top"/>
            <w:hideMark/>
          </w:tcPr>
          <w:p w14:paraId="71F49A10"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518.60</w:t>
            </w:r>
          </w:p>
        </w:tc>
        <w:tc>
          <w:tcPr>
            <w:tcW w:w="357" w:type="pct"/>
            <w:noWrap/>
            <w:vAlign w:val="top"/>
            <w:hideMark/>
          </w:tcPr>
          <w:p w14:paraId="4FC75BE9"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554.76</w:t>
            </w:r>
          </w:p>
        </w:tc>
        <w:tc>
          <w:tcPr>
            <w:tcW w:w="357" w:type="pct"/>
            <w:noWrap/>
            <w:vAlign w:val="top"/>
            <w:hideMark/>
          </w:tcPr>
          <w:p w14:paraId="2E1DDC7A"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585.26</w:t>
            </w:r>
          </w:p>
        </w:tc>
        <w:tc>
          <w:tcPr>
            <w:tcW w:w="357" w:type="pct"/>
            <w:noWrap/>
            <w:vAlign w:val="top"/>
            <w:hideMark/>
          </w:tcPr>
          <w:p w14:paraId="4A9FFE33"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612.90</w:t>
            </w:r>
          </w:p>
        </w:tc>
        <w:tc>
          <w:tcPr>
            <w:tcW w:w="357" w:type="pct"/>
            <w:noWrap/>
            <w:vAlign w:val="top"/>
            <w:hideMark/>
          </w:tcPr>
          <w:p w14:paraId="76E7C81C"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636.26</w:t>
            </w:r>
          </w:p>
        </w:tc>
        <w:tc>
          <w:tcPr>
            <w:tcW w:w="357" w:type="pct"/>
            <w:noWrap/>
            <w:vAlign w:val="top"/>
            <w:hideMark/>
          </w:tcPr>
          <w:p w14:paraId="34F4D55B"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652.92</w:t>
            </w:r>
          </w:p>
        </w:tc>
        <w:tc>
          <w:tcPr>
            <w:tcW w:w="357" w:type="pct"/>
            <w:noWrap/>
            <w:vAlign w:val="top"/>
            <w:hideMark/>
          </w:tcPr>
          <w:p w14:paraId="2FA9CF37"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664.59</w:t>
            </w:r>
          </w:p>
        </w:tc>
      </w:tr>
      <w:tr w:rsidR="006E3545" w:rsidRPr="00ED74DF" w14:paraId="591EDFD8"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 w:type="pct"/>
            <w:noWrap/>
            <w:hideMark/>
          </w:tcPr>
          <w:p w14:paraId="49B781E4" w14:textId="77777777" w:rsidR="006E3545" w:rsidRPr="00031C0C" w:rsidRDefault="006E3545" w:rsidP="006E3545">
            <w:pPr>
              <w:spacing w:line="240" w:lineRule="auto"/>
              <w:rPr>
                <w:rFonts w:ascii="Arial Narrow" w:hAnsi="Arial Narrow"/>
                <w:sz w:val="18"/>
                <w:szCs w:val="18"/>
              </w:rPr>
            </w:pPr>
            <w:r w:rsidRPr="00031C0C">
              <w:rPr>
                <w:rFonts w:ascii="Arial Narrow" w:hAnsi="Arial Narrow"/>
                <w:sz w:val="18"/>
                <w:szCs w:val="18"/>
              </w:rPr>
              <w:t>Ind</w:t>
            </w:r>
          </w:p>
        </w:tc>
        <w:tc>
          <w:tcPr>
            <w:tcW w:w="357" w:type="pct"/>
            <w:noWrap/>
            <w:vAlign w:val="top"/>
            <w:hideMark/>
          </w:tcPr>
          <w:p w14:paraId="1FFED95A"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173.73</w:t>
            </w:r>
          </w:p>
        </w:tc>
        <w:tc>
          <w:tcPr>
            <w:tcW w:w="357" w:type="pct"/>
            <w:noWrap/>
            <w:vAlign w:val="top"/>
            <w:hideMark/>
          </w:tcPr>
          <w:p w14:paraId="0EE51D27"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171.12</w:t>
            </w:r>
          </w:p>
        </w:tc>
        <w:tc>
          <w:tcPr>
            <w:tcW w:w="357" w:type="pct"/>
            <w:noWrap/>
            <w:vAlign w:val="top"/>
            <w:hideMark/>
          </w:tcPr>
          <w:p w14:paraId="069C1147"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165.78</w:t>
            </w:r>
          </w:p>
        </w:tc>
        <w:tc>
          <w:tcPr>
            <w:tcW w:w="357" w:type="pct"/>
            <w:noWrap/>
            <w:vAlign w:val="top"/>
            <w:hideMark/>
          </w:tcPr>
          <w:p w14:paraId="2C4F756F"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162.16</w:t>
            </w:r>
          </w:p>
        </w:tc>
        <w:tc>
          <w:tcPr>
            <w:tcW w:w="357" w:type="pct"/>
            <w:noWrap/>
            <w:vAlign w:val="top"/>
            <w:hideMark/>
          </w:tcPr>
          <w:p w14:paraId="7F58F657"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145.37</w:t>
            </w:r>
          </w:p>
        </w:tc>
        <w:tc>
          <w:tcPr>
            <w:tcW w:w="357" w:type="pct"/>
            <w:noWrap/>
            <w:vAlign w:val="top"/>
            <w:hideMark/>
          </w:tcPr>
          <w:p w14:paraId="12EF71B4"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125.17</w:t>
            </w:r>
          </w:p>
        </w:tc>
        <w:tc>
          <w:tcPr>
            <w:tcW w:w="357" w:type="pct"/>
            <w:noWrap/>
            <w:vAlign w:val="top"/>
            <w:hideMark/>
          </w:tcPr>
          <w:p w14:paraId="06E9B0E1"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111.37</w:t>
            </w:r>
          </w:p>
        </w:tc>
        <w:tc>
          <w:tcPr>
            <w:tcW w:w="357" w:type="pct"/>
            <w:noWrap/>
            <w:vAlign w:val="top"/>
            <w:hideMark/>
          </w:tcPr>
          <w:p w14:paraId="4E335AD7"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103.28</w:t>
            </w:r>
          </w:p>
        </w:tc>
        <w:tc>
          <w:tcPr>
            <w:tcW w:w="357" w:type="pct"/>
            <w:noWrap/>
            <w:vAlign w:val="top"/>
            <w:hideMark/>
          </w:tcPr>
          <w:p w14:paraId="2330BF4D"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98.70</w:t>
            </w:r>
          </w:p>
        </w:tc>
        <w:tc>
          <w:tcPr>
            <w:tcW w:w="357" w:type="pct"/>
            <w:noWrap/>
            <w:vAlign w:val="top"/>
            <w:hideMark/>
          </w:tcPr>
          <w:p w14:paraId="2027B49B"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91.88</w:t>
            </w:r>
          </w:p>
        </w:tc>
        <w:tc>
          <w:tcPr>
            <w:tcW w:w="357" w:type="pct"/>
            <w:noWrap/>
            <w:vAlign w:val="top"/>
            <w:hideMark/>
          </w:tcPr>
          <w:p w14:paraId="2E486AA9"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90.70</w:t>
            </w:r>
          </w:p>
        </w:tc>
        <w:tc>
          <w:tcPr>
            <w:tcW w:w="357" w:type="pct"/>
            <w:noWrap/>
            <w:vAlign w:val="top"/>
            <w:hideMark/>
          </w:tcPr>
          <w:p w14:paraId="2B30B2C2"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91.28</w:t>
            </w:r>
          </w:p>
        </w:tc>
        <w:tc>
          <w:tcPr>
            <w:tcW w:w="357" w:type="pct"/>
            <w:noWrap/>
            <w:vAlign w:val="top"/>
            <w:hideMark/>
          </w:tcPr>
          <w:p w14:paraId="06467C65"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93.09</w:t>
            </w:r>
          </w:p>
        </w:tc>
      </w:tr>
      <w:tr w:rsidR="006E3545" w:rsidRPr="00ED74DF" w14:paraId="27AD943E"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 w:type="pct"/>
            <w:noWrap/>
            <w:hideMark/>
          </w:tcPr>
          <w:p w14:paraId="107E414E" w14:textId="77777777" w:rsidR="006E3545" w:rsidRPr="00031C0C" w:rsidRDefault="006E3545" w:rsidP="006E3545">
            <w:pPr>
              <w:spacing w:line="240" w:lineRule="auto"/>
              <w:rPr>
                <w:rFonts w:ascii="Arial Narrow" w:hAnsi="Arial Narrow"/>
                <w:sz w:val="18"/>
                <w:szCs w:val="18"/>
              </w:rPr>
            </w:pPr>
            <w:r w:rsidRPr="00031C0C">
              <w:rPr>
                <w:rFonts w:ascii="Arial Narrow" w:hAnsi="Arial Narrow"/>
                <w:sz w:val="18"/>
                <w:szCs w:val="18"/>
              </w:rPr>
              <w:t>Ag</w:t>
            </w:r>
          </w:p>
        </w:tc>
        <w:tc>
          <w:tcPr>
            <w:tcW w:w="357" w:type="pct"/>
            <w:noWrap/>
            <w:vAlign w:val="top"/>
            <w:hideMark/>
          </w:tcPr>
          <w:p w14:paraId="569C0D06"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80.72</w:t>
            </w:r>
          </w:p>
        </w:tc>
        <w:tc>
          <w:tcPr>
            <w:tcW w:w="357" w:type="pct"/>
            <w:noWrap/>
            <w:vAlign w:val="top"/>
            <w:hideMark/>
          </w:tcPr>
          <w:p w14:paraId="3BAC8828"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89.43</w:t>
            </w:r>
          </w:p>
        </w:tc>
        <w:tc>
          <w:tcPr>
            <w:tcW w:w="357" w:type="pct"/>
            <w:noWrap/>
            <w:vAlign w:val="top"/>
            <w:hideMark/>
          </w:tcPr>
          <w:p w14:paraId="64F02C5D"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94.64</w:t>
            </w:r>
          </w:p>
        </w:tc>
        <w:tc>
          <w:tcPr>
            <w:tcW w:w="357" w:type="pct"/>
            <w:noWrap/>
            <w:vAlign w:val="top"/>
            <w:hideMark/>
          </w:tcPr>
          <w:p w14:paraId="6CE2D0B6"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96.22</w:t>
            </w:r>
          </w:p>
        </w:tc>
        <w:tc>
          <w:tcPr>
            <w:tcW w:w="357" w:type="pct"/>
            <w:noWrap/>
            <w:vAlign w:val="top"/>
            <w:hideMark/>
          </w:tcPr>
          <w:p w14:paraId="546DC9A8"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95.37</w:t>
            </w:r>
          </w:p>
        </w:tc>
        <w:tc>
          <w:tcPr>
            <w:tcW w:w="357" w:type="pct"/>
            <w:noWrap/>
            <w:vAlign w:val="top"/>
            <w:hideMark/>
          </w:tcPr>
          <w:p w14:paraId="12DE0F78"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92.44</w:t>
            </w:r>
          </w:p>
        </w:tc>
        <w:tc>
          <w:tcPr>
            <w:tcW w:w="357" w:type="pct"/>
            <w:noWrap/>
            <w:vAlign w:val="top"/>
            <w:hideMark/>
          </w:tcPr>
          <w:p w14:paraId="6C043579"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88.67</w:t>
            </w:r>
          </w:p>
        </w:tc>
        <w:tc>
          <w:tcPr>
            <w:tcW w:w="357" w:type="pct"/>
            <w:noWrap/>
            <w:vAlign w:val="top"/>
            <w:hideMark/>
          </w:tcPr>
          <w:p w14:paraId="78845CB6"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93.16</w:t>
            </w:r>
          </w:p>
        </w:tc>
        <w:tc>
          <w:tcPr>
            <w:tcW w:w="357" w:type="pct"/>
            <w:noWrap/>
            <w:vAlign w:val="top"/>
            <w:hideMark/>
          </w:tcPr>
          <w:p w14:paraId="08E5B8C4"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91.42</w:t>
            </w:r>
          </w:p>
        </w:tc>
        <w:tc>
          <w:tcPr>
            <w:tcW w:w="357" w:type="pct"/>
            <w:noWrap/>
            <w:vAlign w:val="top"/>
            <w:hideMark/>
          </w:tcPr>
          <w:p w14:paraId="6FEDFA69"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90.72</w:t>
            </w:r>
          </w:p>
        </w:tc>
        <w:tc>
          <w:tcPr>
            <w:tcW w:w="357" w:type="pct"/>
            <w:noWrap/>
            <w:vAlign w:val="top"/>
            <w:hideMark/>
          </w:tcPr>
          <w:p w14:paraId="17AC8BBA"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92.20</w:t>
            </w:r>
          </w:p>
        </w:tc>
        <w:tc>
          <w:tcPr>
            <w:tcW w:w="357" w:type="pct"/>
            <w:noWrap/>
            <w:vAlign w:val="top"/>
            <w:hideMark/>
          </w:tcPr>
          <w:p w14:paraId="51792288"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94.96</w:t>
            </w:r>
          </w:p>
        </w:tc>
        <w:tc>
          <w:tcPr>
            <w:tcW w:w="357" w:type="pct"/>
            <w:noWrap/>
            <w:vAlign w:val="top"/>
            <w:hideMark/>
          </w:tcPr>
          <w:p w14:paraId="2F2E8B95"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99.17</w:t>
            </w:r>
          </w:p>
        </w:tc>
      </w:tr>
      <w:tr w:rsidR="006E3545" w:rsidRPr="00ED74DF" w14:paraId="6F2A9A08"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 w:type="pct"/>
            <w:noWrap/>
            <w:hideMark/>
          </w:tcPr>
          <w:p w14:paraId="491CE271" w14:textId="77777777" w:rsidR="006E3545" w:rsidRPr="00031C0C" w:rsidRDefault="006E3545" w:rsidP="006E3545">
            <w:pPr>
              <w:spacing w:line="240" w:lineRule="auto"/>
              <w:rPr>
                <w:rFonts w:ascii="Arial Narrow" w:hAnsi="Arial Narrow"/>
                <w:sz w:val="18"/>
                <w:szCs w:val="18"/>
              </w:rPr>
            </w:pPr>
            <w:r w:rsidRPr="00031C0C">
              <w:rPr>
                <w:rFonts w:ascii="Arial Narrow" w:hAnsi="Arial Narrow"/>
                <w:sz w:val="18"/>
                <w:szCs w:val="18"/>
              </w:rPr>
              <w:t>Min</w:t>
            </w:r>
          </w:p>
        </w:tc>
        <w:tc>
          <w:tcPr>
            <w:tcW w:w="357" w:type="pct"/>
            <w:noWrap/>
            <w:vAlign w:val="top"/>
            <w:hideMark/>
          </w:tcPr>
          <w:p w14:paraId="7427F3AC"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6.24</w:t>
            </w:r>
          </w:p>
        </w:tc>
        <w:tc>
          <w:tcPr>
            <w:tcW w:w="357" w:type="pct"/>
            <w:noWrap/>
            <w:vAlign w:val="top"/>
            <w:hideMark/>
          </w:tcPr>
          <w:p w14:paraId="3BBBF988"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5.02</w:t>
            </w:r>
          </w:p>
        </w:tc>
        <w:tc>
          <w:tcPr>
            <w:tcW w:w="357" w:type="pct"/>
            <w:noWrap/>
            <w:vAlign w:val="top"/>
            <w:hideMark/>
          </w:tcPr>
          <w:p w14:paraId="3560AD8C"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4.76</w:t>
            </w:r>
          </w:p>
        </w:tc>
        <w:tc>
          <w:tcPr>
            <w:tcW w:w="357" w:type="pct"/>
            <w:noWrap/>
            <w:vAlign w:val="top"/>
            <w:hideMark/>
          </w:tcPr>
          <w:p w14:paraId="58EEB737"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4.67</w:t>
            </w:r>
          </w:p>
        </w:tc>
        <w:tc>
          <w:tcPr>
            <w:tcW w:w="357" w:type="pct"/>
            <w:noWrap/>
            <w:vAlign w:val="top"/>
            <w:hideMark/>
          </w:tcPr>
          <w:p w14:paraId="58F78D46"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4.53</w:t>
            </w:r>
          </w:p>
        </w:tc>
        <w:tc>
          <w:tcPr>
            <w:tcW w:w="357" w:type="pct"/>
            <w:noWrap/>
            <w:vAlign w:val="top"/>
            <w:hideMark/>
          </w:tcPr>
          <w:p w14:paraId="2BF39D88"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4.37</w:t>
            </w:r>
          </w:p>
        </w:tc>
        <w:tc>
          <w:tcPr>
            <w:tcW w:w="357" w:type="pct"/>
            <w:noWrap/>
            <w:vAlign w:val="top"/>
            <w:hideMark/>
          </w:tcPr>
          <w:p w14:paraId="3BEF41D9"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4.20</w:t>
            </w:r>
          </w:p>
        </w:tc>
        <w:tc>
          <w:tcPr>
            <w:tcW w:w="357" w:type="pct"/>
            <w:noWrap/>
            <w:vAlign w:val="top"/>
            <w:hideMark/>
          </w:tcPr>
          <w:p w14:paraId="64BDFAB2"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4.03</w:t>
            </w:r>
          </w:p>
        </w:tc>
        <w:tc>
          <w:tcPr>
            <w:tcW w:w="357" w:type="pct"/>
            <w:noWrap/>
            <w:vAlign w:val="top"/>
            <w:hideMark/>
          </w:tcPr>
          <w:p w14:paraId="674768D6"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3.87</w:t>
            </w:r>
          </w:p>
        </w:tc>
        <w:tc>
          <w:tcPr>
            <w:tcW w:w="357" w:type="pct"/>
            <w:noWrap/>
            <w:vAlign w:val="top"/>
            <w:hideMark/>
          </w:tcPr>
          <w:p w14:paraId="398DC258"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3.61</w:t>
            </w:r>
          </w:p>
        </w:tc>
        <w:tc>
          <w:tcPr>
            <w:tcW w:w="357" w:type="pct"/>
            <w:noWrap/>
            <w:vAlign w:val="top"/>
            <w:hideMark/>
          </w:tcPr>
          <w:p w14:paraId="0E657354"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3.43</w:t>
            </w:r>
          </w:p>
        </w:tc>
        <w:tc>
          <w:tcPr>
            <w:tcW w:w="357" w:type="pct"/>
            <w:noWrap/>
            <w:vAlign w:val="top"/>
            <w:hideMark/>
          </w:tcPr>
          <w:p w14:paraId="65060A52"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3.29</w:t>
            </w:r>
          </w:p>
        </w:tc>
        <w:tc>
          <w:tcPr>
            <w:tcW w:w="357" w:type="pct"/>
            <w:noWrap/>
            <w:vAlign w:val="top"/>
            <w:hideMark/>
          </w:tcPr>
          <w:p w14:paraId="33C6DD75" w14:textId="77777777" w:rsidR="006E3545" w:rsidRPr="00031C0C" w:rsidRDefault="006E3545" w:rsidP="006E3545">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3.15</w:t>
            </w:r>
          </w:p>
        </w:tc>
      </w:tr>
      <w:tr w:rsidR="006E3545" w:rsidRPr="00ED74DF" w14:paraId="769B3F64"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 w:type="pct"/>
            <w:noWrap/>
            <w:hideMark/>
          </w:tcPr>
          <w:p w14:paraId="50641E84" w14:textId="77777777" w:rsidR="006E3545" w:rsidRPr="00031C0C" w:rsidRDefault="006E3545" w:rsidP="006E3545">
            <w:pPr>
              <w:spacing w:line="240" w:lineRule="auto"/>
              <w:rPr>
                <w:rFonts w:ascii="Arial Narrow" w:hAnsi="Arial Narrow"/>
                <w:sz w:val="18"/>
                <w:szCs w:val="18"/>
              </w:rPr>
            </w:pPr>
            <w:r w:rsidRPr="00031C0C">
              <w:rPr>
                <w:rFonts w:ascii="Arial Narrow" w:hAnsi="Arial Narrow"/>
                <w:sz w:val="18"/>
                <w:szCs w:val="18"/>
              </w:rPr>
              <w:t>Stl</w:t>
            </w:r>
          </w:p>
        </w:tc>
        <w:tc>
          <w:tcPr>
            <w:tcW w:w="357" w:type="pct"/>
            <w:noWrap/>
            <w:vAlign w:val="top"/>
            <w:hideMark/>
          </w:tcPr>
          <w:p w14:paraId="2BF3804D"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24.29</w:t>
            </w:r>
          </w:p>
        </w:tc>
        <w:tc>
          <w:tcPr>
            <w:tcW w:w="357" w:type="pct"/>
            <w:noWrap/>
            <w:vAlign w:val="top"/>
            <w:hideMark/>
          </w:tcPr>
          <w:p w14:paraId="378DD55A"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23.70</w:t>
            </w:r>
          </w:p>
        </w:tc>
        <w:tc>
          <w:tcPr>
            <w:tcW w:w="357" w:type="pct"/>
            <w:noWrap/>
            <w:vAlign w:val="top"/>
            <w:hideMark/>
          </w:tcPr>
          <w:p w14:paraId="573EAD31"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23.02</w:t>
            </w:r>
          </w:p>
        </w:tc>
        <w:tc>
          <w:tcPr>
            <w:tcW w:w="357" w:type="pct"/>
            <w:noWrap/>
            <w:vAlign w:val="top"/>
            <w:hideMark/>
          </w:tcPr>
          <w:p w14:paraId="1A87264A"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22.37</w:t>
            </w:r>
          </w:p>
        </w:tc>
        <w:tc>
          <w:tcPr>
            <w:tcW w:w="357" w:type="pct"/>
            <w:noWrap/>
            <w:vAlign w:val="top"/>
            <w:hideMark/>
          </w:tcPr>
          <w:p w14:paraId="4DD4B787"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21.74</w:t>
            </w:r>
          </w:p>
        </w:tc>
        <w:tc>
          <w:tcPr>
            <w:tcW w:w="357" w:type="pct"/>
            <w:noWrap/>
            <w:vAlign w:val="top"/>
            <w:hideMark/>
          </w:tcPr>
          <w:p w14:paraId="74919D4B"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21.14</w:t>
            </w:r>
          </w:p>
        </w:tc>
        <w:tc>
          <w:tcPr>
            <w:tcW w:w="357" w:type="pct"/>
            <w:noWrap/>
            <w:vAlign w:val="top"/>
            <w:hideMark/>
          </w:tcPr>
          <w:p w14:paraId="114C2BA1"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20.57</w:t>
            </w:r>
          </w:p>
        </w:tc>
        <w:tc>
          <w:tcPr>
            <w:tcW w:w="357" w:type="pct"/>
            <w:noWrap/>
            <w:vAlign w:val="top"/>
            <w:hideMark/>
          </w:tcPr>
          <w:p w14:paraId="323269D3"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20.04</w:t>
            </w:r>
          </w:p>
        </w:tc>
        <w:tc>
          <w:tcPr>
            <w:tcW w:w="357" w:type="pct"/>
            <w:noWrap/>
            <w:vAlign w:val="top"/>
            <w:hideMark/>
          </w:tcPr>
          <w:p w14:paraId="53128F2E"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19.54</w:t>
            </w:r>
          </w:p>
        </w:tc>
        <w:tc>
          <w:tcPr>
            <w:tcW w:w="357" w:type="pct"/>
            <w:noWrap/>
            <w:vAlign w:val="top"/>
            <w:hideMark/>
          </w:tcPr>
          <w:p w14:paraId="0A0BB526"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19.08</w:t>
            </w:r>
          </w:p>
        </w:tc>
        <w:tc>
          <w:tcPr>
            <w:tcW w:w="357" w:type="pct"/>
            <w:noWrap/>
            <w:vAlign w:val="top"/>
            <w:hideMark/>
          </w:tcPr>
          <w:p w14:paraId="7E3139AF"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18.65</w:t>
            </w:r>
          </w:p>
        </w:tc>
        <w:tc>
          <w:tcPr>
            <w:tcW w:w="357" w:type="pct"/>
            <w:noWrap/>
            <w:vAlign w:val="top"/>
            <w:hideMark/>
          </w:tcPr>
          <w:p w14:paraId="417EE855"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19.05</w:t>
            </w:r>
          </w:p>
        </w:tc>
        <w:tc>
          <w:tcPr>
            <w:tcW w:w="357" w:type="pct"/>
            <w:noWrap/>
            <w:vAlign w:val="top"/>
            <w:hideMark/>
          </w:tcPr>
          <w:p w14:paraId="3CA3E52A" w14:textId="77777777" w:rsidR="006E3545" w:rsidRPr="00031C0C" w:rsidRDefault="006E3545" w:rsidP="006E3545">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19.90</w:t>
            </w:r>
          </w:p>
        </w:tc>
      </w:tr>
    </w:tbl>
    <w:p w14:paraId="3CDBD5F1" w14:textId="77777777" w:rsidR="00ED74DF" w:rsidRDefault="00ED74DF" w:rsidP="00031C0C">
      <w:pPr>
        <w:spacing w:before="40" w:after="40" w:line="240" w:lineRule="auto"/>
        <w:jc w:val="center"/>
        <w:rPr>
          <w:color w:val="555759"/>
          <w:sz w:val="22"/>
          <w:szCs w:val="22"/>
        </w:rPr>
      </w:pPr>
    </w:p>
    <w:p w14:paraId="58AB46B5" w14:textId="77777777" w:rsidR="00D51E5B" w:rsidRDefault="00D51E5B">
      <w:pPr>
        <w:jc w:val="center"/>
      </w:pPr>
    </w:p>
    <w:p w14:paraId="3DC46485" w14:textId="32C2592F" w:rsidR="00AF21BE" w:rsidRDefault="00AF21BE" w:rsidP="00AF21BE">
      <w:pPr>
        <w:pStyle w:val="Caption"/>
      </w:pPr>
      <w:bookmarkStart w:id="54" w:name="_Toc490225865"/>
      <w:r>
        <w:lastRenderedPageBreak/>
        <w:t xml:space="preserve">Figure ES- </w:t>
      </w:r>
      <w:fldSimple w:instr=" SEQ Figure_ES- \* ARABIC ">
        <w:r w:rsidR="007566B9">
          <w:rPr>
            <w:noProof/>
          </w:rPr>
          <w:t>6</w:t>
        </w:r>
      </w:fldSimple>
      <w:r>
        <w:t xml:space="preserve">. </w:t>
      </w:r>
      <w:r w:rsidRPr="008576F8">
        <w:t xml:space="preserve">Statewide </w:t>
      </w:r>
      <w:r w:rsidR="006406EC">
        <w:t xml:space="preserve">Net </w:t>
      </w:r>
      <w:r w:rsidRPr="008576F8">
        <w:t>Incremental Gas Market Potential for Incentive Programs by Sector for the TRC Reference Scenario</w:t>
      </w:r>
      <w:bookmarkEnd w:id="54"/>
    </w:p>
    <w:p w14:paraId="32512932" w14:textId="77777777" w:rsidR="00ED74DF" w:rsidRDefault="006E3545" w:rsidP="00AF21BE">
      <w:pPr>
        <w:jc w:val="center"/>
        <w:rPr>
          <w:color w:val="555759"/>
          <w:sz w:val="22"/>
          <w:szCs w:val="22"/>
        </w:rPr>
      </w:pPr>
      <w:r w:rsidRPr="007E10DC">
        <w:rPr>
          <w:noProof/>
          <w:color w:val="555759"/>
          <w:sz w:val="22"/>
          <w:szCs w:val="22"/>
        </w:rPr>
        <w:drawing>
          <wp:inline distT="0" distB="0" distL="0" distR="0" wp14:anchorId="57803592" wp14:editId="6C941414">
            <wp:extent cx="5859475" cy="2855081"/>
            <wp:effectExtent l="0" t="0" r="825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9165" cy="2859802"/>
                    </a:xfrm>
                    <a:prstGeom prst="rect">
                      <a:avLst/>
                    </a:prstGeom>
                    <a:noFill/>
                  </pic:spPr>
                </pic:pic>
              </a:graphicData>
            </a:graphic>
          </wp:inline>
        </w:drawing>
      </w:r>
      <w:r w:rsidR="00D51E5B" w:rsidRPr="006E1D9B" w:rsidDel="00D51E5B">
        <w:rPr>
          <w:color w:val="555759"/>
          <w:sz w:val="22"/>
          <w:szCs w:val="22"/>
          <w:highlight w:val="yellow"/>
        </w:rPr>
        <w:t xml:space="preserve"> </w:t>
      </w:r>
    </w:p>
    <w:p w14:paraId="6EA625B3" w14:textId="77777777" w:rsidR="00EC2569" w:rsidRDefault="00EC2569" w:rsidP="00031C0C">
      <w:pPr>
        <w:pStyle w:val="Caption"/>
      </w:pPr>
    </w:p>
    <w:p w14:paraId="77012941" w14:textId="09DAE456" w:rsidR="00AF21BE" w:rsidRDefault="00AF21BE" w:rsidP="00AF21BE">
      <w:pPr>
        <w:pStyle w:val="Caption"/>
      </w:pPr>
      <w:bookmarkStart w:id="55" w:name="_Toc490226071"/>
      <w:r>
        <w:t xml:space="preserve">Table ES- </w:t>
      </w:r>
      <w:fldSimple w:instr=" SEQ Table_ES- \* ARABIC ">
        <w:r w:rsidR="007566B9">
          <w:rPr>
            <w:noProof/>
          </w:rPr>
          <w:t>7</w:t>
        </w:r>
      </w:fldSimple>
      <w:r>
        <w:t xml:space="preserve">. </w:t>
      </w:r>
      <w:r w:rsidRPr="00292F5D">
        <w:t xml:space="preserve">Statewide </w:t>
      </w:r>
      <w:r w:rsidR="006406EC">
        <w:t xml:space="preserve">Net </w:t>
      </w:r>
      <w:r w:rsidRPr="00292F5D">
        <w:t xml:space="preserve">Incremental </w:t>
      </w:r>
      <w:r>
        <w:t>Gas</w:t>
      </w:r>
      <w:r w:rsidRPr="00292F5D">
        <w:t xml:space="preserve"> Market Potential for Incentive Programs by Sector for the TRC Reference Scenario</w:t>
      </w:r>
      <w:bookmarkEnd w:id="55"/>
    </w:p>
    <w:tbl>
      <w:tblPr>
        <w:tblStyle w:val="EnergyTable1"/>
        <w:tblW w:w="5000" w:type="pct"/>
        <w:tblLayout w:type="fixed"/>
        <w:tblLook w:val="04A0" w:firstRow="1" w:lastRow="0" w:firstColumn="1" w:lastColumn="0" w:noHBand="0" w:noVBand="1"/>
      </w:tblPr>
      <w:tblGrid>
        <w:gridCol w:w="669"/>
        <w:gridCol w:w="669"/>
        <w:gridCol w:w="669"/>
        <w:gridCol w:w="669"/>
        <w:gridCol w:w="669"/>
        <w:gridCol w:w="669"/>
        <w:gridCol w:w="669"/>
        <w:gridCol w:w="669"/>
        <w:gridCol w:w="668"/>
        <w:gridCol w:w="668"/>
        <w:gridCol w:w="668"/>
        <w:gridCol w:w="668"/>
        <w:gridCol w:w="668"/>
        <w:gridCol w:w="668"/>
      </w:tblGrid>
      <w:tr w:rsidR="002544A3" w:rsidRPr="002F10E5" w14:paraId="25CD1CCA" w14:textId="77777777" w:rsidTr="00E023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 w:type="pct"/>
            <w:noWrap/>
            <w:hideMark/>
          </w:tcPr>
          <w:p w14:paraId="02988BBE" w14:textId="77777777" w:rsidR="00ED74DF" w:rsidRPr="002F10E5" w:rsidRDefault="00ED74DF" w:rsidP="00ED74DF">
            <w:pPr>
              <w:spacing w:line="240" w:lineRule="auto"/>
              <w:rPr>
                <w:rFonts w:ascii="Arial Narrow" w:hAnsi="Arial Narrow"/>
                <w:b w:val="0"/>
                <w:bCs/>
                <w:sz w:val="16"/>
                <w:szCs w:val="16"/>
              </w:rPr>
            </w:pPr>
            <w:r w:rsidRPr="002F10E5">
              <w:rPr>
                <w:rFonts w:ascii="Arial Narrow" w:hAnsi="Arial Narrow"/>
                <w:b w:val="0"/>
                <w:bCs/>
                <w:sz w:val="16"/>
                <w:szCs w:val="16"/>
              </w:rPr>
              <w:t>Sector</w:t>
            </w:r>
          </w:p>
        </w:tc>
        <w:tc>
          <w:tcPr>
            <w:tcW w:w="357" w:type="pct"/>
            <w:noWrap/>
            <w:hideMark/>
          </w:tcPr>
          <w:p w14:paraId="3135A582" w14:textId="77777777" w:rsidR="00ED74DF" w:rsidRPr="002F10E5"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8"/>
                <w:szCs w:val="18"/>
              </w:rPr>
            </w:pPr>
            <w:r w:rsidRPr="002F10E5">
              <w:rPr>
                <w:rFonts w:ascii="Arial Narrow" w:hAnsi="Arial Narrow"/>
                <w:b w:val="0"/>
                <w:bCs/>
                <w:sz w:val="18"/>
                <w:szCs w:val="18"/>
              </w:rPr>
              <w:t>2018</w:t>
            </w:r>
          </w:p>
        </w:tc>
        <w:tc>
          <w:tcPr>
            <w:tcW w:w="357" w:type="pct"/>
            <w:noWrap/>
            <w:hideMark/>
          </w:tcPr>
          <w:p w14:paraId="721B2984" w14:textId="77777777" w:rsidR="00ED74DF" w:rsidRPr="002F10E5"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8"/>
                <w:szCs w:val="18"/>
              </w:rPr>
            </w:pPr>
            <w:r w:rsidRPr="002F10E5">
              <w:rPr>
                <w:rFonts w:ascii="Arial Narrow" w:hAnsi="Arial Narrow"/>
                <w:b w:val="0"/>
                <w:bCs/>
                <w:sz w:val="18"/>
                <w:szCs w:val="18"/>
              </w:rPr>
              <w:t>2019</w:t>
            </w:r>
          </w:p>
        </w:tc>
        <w:tc>
          <w:tcPr>
            <w:tcW w:w="357" w:type="pct"/>
            <w:noWrap/>
            <w:hideMark/>
          </w:tcPr>
          <w:p w14:paraId="1714B420" w14:textId="77777777" w:rsidR="00ED74DF" w:rsidRPr="002F10E5"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8"/>
                <w:szCs w:val="18"/>
              </w:rPr>
            </w:pPr>
            <w:r w:rsidRPr="002F10E5">
              <w:rPr>
                <w:rFonts w:ascii="Arial Narrow" w:hAnsi="Arial Narrow"/>
                <w:b w:val="0"/>
                <w:bCs/>
                <w:sz w:val="18"/>
                <w:szCs w:val="18"/>
              </w:rPr>
              <w:t>2020</w:t>
            </w:r>
          </w:p>
        </w:tc>
        <w:tc>
          <w:tcPr>
            <w:tcW w:w="357" w:type="pct"/>
            <w:noWrap/>
            <w:hideMark/>
          </w:tcPr>
          <w:p w14:paraId="104EFD2E" w14:textId="77777777" w:rsidR="00ED74DF" w:rsidRPr="002F10E5"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8"/>
                <w:szCs w:val="18"/>
              </w:rPr>
            </w:pPr>
            <w:r w:rsidRPr="002F10E5">
              <w:rPr>
                <w:rFonts w:ascii="Arial Narrow" w:hAnsi="Arial Narrow"/>
                <w:b w:val="0"/>
                <w:bCs/>
                <w:sz w:val="18"/>
                <w:szCs w:val="18"/>
              </w:rPr>
              <w:t>2021</w:t>
            </w:r>
          </w:p>
        </w:tc>
        <w:tc>
          <w:tcPr>
            <w:tcW w:w="357" w:type="pct"/>
            <w:noWrap/>
            <w:hideMark/>
          </w:tcPr>
          <w:p w14:paraId="4153811D" w14:textId="77777777" w:rsidR="00ED74DF" w:rsidRPr="002F10E5"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8"/>
                <w:szCs w:val="18"/>
              </w:rPr>
            </w:pPr>
            <w:r w:rsidRPr="002F10E5">
              <w:rPr>
                <w:rFonts w:ascii="Arial Narrow" w:hAnsi="Arial Narrow"/>
                <w:b w:val="0"/>
                <w:bCs/>
                <w:sz w:val="18"/>
                <w:szCs w:val="18"/>
              </w:rPr>
              <w:t>2022</w:t>
            </w:r>
          </w:p>
        </w:tc>
        <w:tc>
          <w:tcPr>
            <w:tcW w:w="357" w:type="pct"/>
            <w:noWrap/>
            <w:hideMark/>
          </w:tcPr>
          <w:p w14:paraId="3B8D003D" w14:textId="77777777" w:rsidR="00ED74DF" w:rsidRPr="002F10E5"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8"/>
                <w:szCs w:val="18"/>
              </w:rPr>
            </w:pPr>
            <w:r w:rsidRPr="002F10E5">
              <w:rPr>
                <w:rFonts w:ascii="Arial Narrow" w:hAnsi="Arial Narrow"/>
                <w:b w:val="0"/>
                <w:bCs/>
                <w:sz w:val="18"/>
                <w:szCs w:val="18"/>
              </w:rPr>
              <w:t>2023</w:t>
            </w:r>
          </w:p>
        </w:tc>
        <w:tc>
          <w:tcPr>
            <w:tcW w:w="357" w:type="pct"/>
            <w:noWrap/>
            <w:hideMark/>
          </w:tcPr>
          <w:p w14:paraId="2B4F01AC" w14:textId="77777777" w:rsidR="00ED74DF" w:rsidRPr="002F10E5"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8"/>
                <w:szCs w:val="18"/>
              </w:rPr>
            </w:pPr>
            <w:r w:rsidRPr="002F10E5">
              <w:rPr>
                <w:rFonts w:ascii="Arial Narrow" w:hAnsi="Arial Narrow"/>
                <w:b w:val="0"/>
                <w:bCs/>
                <w:sz w:val="18"/>
                <w:szCs w:val="18"/>
              </w:rPr>
              <w:t>2024</w:t>
            </w:r>
          </w:p>
        </w:tc>
        <w:tc>
          <w:tcPr>
            <w:tcW w:w="357" w:type="pct"/>
            <w:noWrap/>
            <w:hideMark/>
          </w:tcPr>
          <w:p w14:paraId="10FFF157" w14:textId="77777777" w:rsidR="00ED74DF" w:rsidRPr="002F10E5"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8"/>
                <w:szCs w:val="18"/>
              </w:rPr>
            </w:pPr>
            <w:r w:rsidRPr="002F10E5">
              <w:rPr>
                <w:rFonts w:ascii="Arial Narrow" w:hAnsi="Arial Narrow"/>
                <w:b w:val="0"/>
                <w:bCs/>
                <w:sz w:val="18"/>
                <w:szCs w:val="18"/>
              </w:rPr>
              <w:t>2025</w:t>
            </w:r>
          </w:p>
        </w:tc>
        <w:tc>
          <w:tcPr>
            <w:tcW w:w="357" w:type="pct"/>
            <w:noWrap/>
            <w:hideMark/>
          </w:tcPr>
          <w:p w14:paraId="45DA3F84" w14:textId="77777777" w:rsidR="00ED74DF" w:rsidRPr="002F10E5"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8"/>
                <w:szCs w:val="18"/>
              </w:rPr>
            </w:pPr>
            <w:r w:rsidRPr="002F10E5">
              <w:rPr>
                <w:rFonts w:ascii="Arial Narrow" w:hAnsi="Arial Narrow"/>
                <w:b w:val="0"/>
                <w:bCs/>
                <w:sz w:val="18"/>
                <w:szCs w:val="18"/>
              </w:rPr>
              <w:t>2026</w:t>
            </w:r>
          </w:p>
        </w:tc>
        <w:tc>
          <w:tcPr>
            <w:tcW w:w="357" w:type="pct"/>
            <w:noWrap/>
            <w:hideMark/>
          </w:tcPr>
          <w:p w14:paraId="60C38B89" w14:textId="77777777" w:rsidR="00ED74DF" w:rsidRPr="002F10E5"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8"/>
                <w:szCs w:val="18"/>
              </w:rPr>
            </w:pPr>
            <w:r w:rsidRPr="002F10E5">
              <w:rPr>
                <w:rFonts w:ascii="Arial Narrow" w:hAnsi="Arial Narrow"/>
                <w:b w:val="0"/>
                <w:bCs/>
                <w:sz w:val="18"/>
                <w:szCs w:val="18"/>
              </w:rPr>
              <w:t>2027</w:t>
            </w:r>
          </w:p>
        </w:tc>
        <w:tc>
          <w:tcPr>
            <w:tcW w:w="357" w:type="pct"/>
            <w:noWrap/>
            <w:hideMark/>
          </w:tcPr>
          <w:p w14:paraId="48CCE5C7" w14:textId="77777777" w:rsidR="00ED74DF" w:rsidRPr="002F10E5"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8"/>
                <w:szCs w:val="18"/>
              </w:rPr>
            </w:pPr>
            <w:r w:rsidRPr="002F10E5">
              <w:rPr>
                <w:rFonts w:ascii="Arial Narrow" w:hAnsi="Arial Narrow"/>
                <w:b w:val="0"/>
                <w:bCs/>
                <w:sz w:val="18"/>
                <w:szCs w:val="18"/>
              </w:rPr>
              <w:t>2028</w:t>
            </w:r>
          </w:p>
        </w:tc>
        <w:tc>
          <w:tcPr>
            <w:tcW w:w="357" w:type="pct"/>
            <w:noWrap/>
            <w:hideMark/>
          </w:tcPr>
          <w:p w14:paraId="7797E96B" w14:textId="77777777" w:rsidR="00ED74DF" w:rsidRPr="002F10E5"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8"/>
                <w:szCs w:val="18"/>
              </w:rPr>
            </w:pPr>
            <w:r w:rsidRPr="002F10E5">
              <w:rPr>
                <w:rFonts w:ascii="Arial Narrow" w:hAnsi="Arial Narrow"/>
                <w:b w:val="0"/>
                <w:bCs/>
                <w:sz w:val="18"/>
                <w:szCs w:val="18"/>
              </w:rPr>
              <w:t>2029</w:t>
            </w:r>
          </w:p>
        </w:tc>
        <w:tc>
          <w:tcPr>
            <w:tcW w:w="357" w:type="pct"/>
            <w:noWrap/>
            <w:hideMark/>
          </w:tcPr>
          <w:p w14:paraId="19E29DD1" w14:textId="77777777" w:rsidR="00ED74DF" w:rsidRPr="002F10E5" w:rsidRDefault="00ED74DF" w:rsidP="00ED74DF">
            <w:pPr>
              <w:spacing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8"/>
                <w:szCs w:val="18"/>
              </w:rPr>
            </w:pPr>
            <w:r w:rsidRPr="002F10E5">
              <w:rPr>
                <w:rFonts w:ascii="Arial Narrow" w:hAnsi="Arial Narrow"/>
                <w:b w:val="0"/>
                <w:bCs/>
                <w:sz w:val="18"/>
                <w:szCs w:val="18"/>
              </w:rPr>
              <w:t>2030</w:t>
            </w:r>
          </w:p>
        </w:tc>
      </w:tr>
      <w:tr w:rsidR="00E02389" w:rsidRPr="002F10E5" w14:paraId="7A62EB09"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 w:type="pct"/>
            <w:noWrap/>
            <w:hideMark/>
          </w:tcPr>
          <w:p w14:paraId="48D63E42" w14:textId="77777777" w:rsidR="00E02389" w:rsidRPr="002F10E5" w:rsidRDefault="00E02389" w:rsidP="00E02389">
            <w:pPr>
              <w:spacing w:line="240" w:lineRule="auto"/>
              <w:rPr>
                <w:rFonts w:ascii="Arial Narrow" w:hAnsi="Arial Narrow"/>
                <w:sz w:val="18"/>
                <w:szCs w:val="18"/>
              </w:rPr>
            </w:pPr>
            <w:r w:rsidRPr="002F10E5">
              <w:rPr>
                <w:rFonts w:ascii="Arial Narrow" w:hAnsi="Arial Narrow"/>
                <w:sz w:val="18"/>
                <w:szCs w:val="18"/>
              </w:rPr>
              <w:t>Res</w:t>
            </w:r>
          </w:p>
        </w:tc>
        <w:tc>
          <w:tcPr>
            <w:tcW w:w="357" w:type="pct"/>
            <w:noWrap/>
            <w:vAlign w:val="top"/>
            <w:hideMark/>
          </w:tcPr>
          <w:p w14:paraId="5E1F51C0"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19.42</w:t>
            </w:r>
          </w:p>
        </w:tc>
        <w:tc>
          <w:tcPr>
            <w:tcW w:w="357" w:type="pct"/>
            <w:noWrap/>
            <w:vAlign w:val="top"/>
            <w:hideMark/>
          </w:tcPr>
          <w:p w14:paraId="7290228A"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22.45</w:t>
            </w:r>
          </w:p>
        </w:tc>
        <w:tc>
          <w:tcPr>
            <w:tcW w:w="357" w:type="pct"/>
            <w:noWrap/>
            <w:vAlign w:val="top"/>
            <w:hideMark/>
          </w:tcPr>
          <w:p w14:paraId="1E8A08A3"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21.37</w:t>
            </w:r>
          </w:p>
        </w:tc>
        <w:tc>
          <w:tcPr>
            <w:tcW w:w="357" w:type="pct"/>
            <w:noWrap/>
            <w:vAlign w:val="top"/>
            <w:hideMark/>
          </w:tcPr>
          <w:p w14:paraId="307A1C79"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21.73</w:t>
            </w:r>
          </w:p>
        </w:tc>
        <w:tc>
          <w:tcPr>
            <w:tcW w:w="357" w:type="pct"/>
            <w:noWrap/>
            <w:vAlign w:val="top"/>
            <w:hideMark/>
          </w:tcPr>
          <w:p w14:paraId="57A31DD4"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23.39</w:t>
            </w:r>
          </w:p>
        </w:tc>
        <w:tc>
          <w:tcPr>
            <w:tcW w:w="357" w:type="pct"/>
            <w:noWrap/>
            <w:vAlign w:val="top"/>
            <w:hideMark/>
          </w:tcPr>
          <w:p w14:paraId="27BC3FFC"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24.09</w:t>
            </w:r>
          </w:p>
        </w:tc>
        <w:tc>
          <w:tcPr>
            <w:tcW w:w="357" w:type="pct"/>
            <w:noWrap/>
            <w:vAlign w:val="top"/>
            <w:hideMark/>
          </w:tcPr>
          <w:p w14:paraId="7BEF6496"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24.15</w:t>
            </w:r>
          </w:p>
        </w:tc>
        <w:tc>
          <w:tcPr>
            <w:tcW w:w="357" w:type="pct"/>
            <w:noWrap/>
            <w:vAlign w:val="top"/>
            <w:hideMark/>
          </w:tcPr>
          <w:p w14:paraId="29F2B79E"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26.17</w:t>
            </w:r>
          </w:p>
        </w:tc>
        <w:tc>
          <w:tcPr>
            <w:tcW w:w="357" w:type="pct"/>
            <w:noWrap/>
            <w:vAlign w:val="top"/>
            <w:hideMark/>
          </w:tcPr>
          <w:p w14:paraId="5F7AFC3E"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26.51</w:t>
            </w:r>
          </w:p>
        </w:tc>
        <w:tc>
          <w:tcPr>
            <w:tcW w:w="357" w:type="pct"/>
            <w:noWrap/>
            <w:vAlign w:val="top"/>
            <w:hideMark/>
          </w:tcPr>
          <w:p w14:paraId="0C2BBA2E"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27.21</w:t>
            </w:r>
          </w:p>
        </w:tc>
        <w:tc>
          <w:tcPr>
            <w:tcW w:w="357" w:type="pct"/>
            <w:noWrap/>
            <w:vAlign w:val="top"/>
            <w:hideMark/>
          </w:tcPr>
          <w:p w14:paraId="04924085"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27.94</w:t>
            </w:r>
          </w:p>
        </w:tc>
        <w:tc>
          <w:tcPr>
            <w:tcW w:w="357" w:type="pct"/>
            <w:noWrap/>
            <w:vAlign w:val="top"/>
            <w:hideMark/>
          </w:tcPr>
          <w:p w14:paraId="79C1DE91"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28.41</w:t>
            </w:r>
          </w:p>
        </w:tc>
        <w:tc>
          <w:tcPr>
            <w:tcW w:w="357" w:type="pct"/>
            <w:noWrap/>
            <w:vAlign w:val="top"/>
            <w:hideMark/>
          </w:tcPr>
          <w:p w14:paraId="1D845FFB"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28.87</w:t>
            </w:r>
          </w:p>
        </w:tc>
      </w:tr>
      <w:tr w:rsidR="00E02389" w:rsidRPr="002F10E5" w14:paraId="1A9C2D41"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 w:type="pct"/>
            <w:noWrap/>
            <w:hideMark/>
          </w:tcPr>
          <w:p w14:paraId="3FDFA3B8" w14:textId="77777777" w:rsidR="00E02389" w:rsidRPr="002F10E5" w:rsidRDefault="00E02389" w:rsidP="00E02389">
            <w:pPr>
              <w:spacing w:line="240" w:lineRule="auto"/>
              <w:rPr>
                <w:rFonts w:ascii="Arial Narrow" w:hAnsi="Arial Narrow"/>
                <w:sz w:val="18"/>
                <w:szCs w:val="18"/>
              </w:rPr>
            </w:pPr>
            <w:r w:rsidRPr="002F10E5">
              <w:rPr>
                <w:rFonts w:ascii="Arial Narrow" w:hAnsi="Arial Narrow"/>
                <w:sz w:val="18"/>
                <w:szCs w:val="18"/>
              </w:rPr>
              <w:t>Com</w:t>
            </w:r>
          </w:p>
        </w:tc>
        <w:tc>
          <w:tcPr>
            <w:tcW w:w="357" w:type="pct"/>
            <w:noWrap/>
            <w:vAlign w:val="top"/>
            <w:hideMark/>
          </w:tcPr>
          <w:p w14:paraId="01988F9B"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4.10</w:t>
            </w:r>
          </w:p>
        </w:tc>
        <w:tc>
          <w:tcPr>
            <w:tcW w:w="357" w:type="pct"/>
            <w:noWrap/>
            <w:vAlign w:val="top"/>
            <w:hideMark/>
          </w:tcPr>
          <w:p w14:paraId="54C9E4E8"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4.68</w:t>
            </w:r>
          </w:p>
        </w:tc>
        <w:tc>
          <w:tcPr>
            <w:tcW w:w="357" w:type="pct"/>
            <w:noWrap/>
            <w:vAlign w:val="top"/>
            <w:hideMark/>
          </w:tcPr>
          <w:p w14:paraId="605F6994"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4.89</w:t>
            </w:r>
          </w:p>
        </w:tc>
        <w:tc>
          <w:tcPr>
            <w:tcW w:w="357" w:type="pct"/>
            <w:noWrap/>
            <w:vAlign w:val="top"/>
            <w:hideMark/>
          </w:tcPr>
          <w:p w14:paraId="47623B24"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5.76</w:t>
            </w:r>
          </w:p>
        </w:tc>
        <w:tc>
          <w:tcPr>
            <w:tcW w:w="357" w:type="pct"/>
            <w:noWrap/>
            <w:vAlign w:val="top"/>
            <w:hideMark/>
          </w:tcPr>
          <w:p w14:paraId="1E83AEE5"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6.07</w:t>
            </w:r>
          </w:p>
        </w:tc>
        <w:tc>
          <w:tcPr>
            <w:tcW w:w="357" w:type="pct"/>
            <w:noWrap/>
            <w:vAlign w:val="top"/>
            <w:hideMark/>
          </w:tcPr>
          <w:p w14:paraId="3CD9405D"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6.53</w:t>
            </w:r>
          </w:p>
        </w:tc>
        <w:tc>
          <w:tcPr>
            <w:tcW w:w="357" w:type="pct"/>
            <w:noWrap/>
            <w:vAlign w:val="top"/>
            <w:hideMark/>
          </w:tcPr>
          <w:p w14:paraId="7586F9F6"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6.95</w:t>
            </w:r>
          </w:p>
        </w:tc>
        <w:tc>
          <w:tcPr>
            <w:tcW w:w="357" w:type="pct"/>
            <w:noWrap/>
            <w:vAlign w:val="top"/>
            <w:hideMark/>
          </w:tcPr>
          <w:p w14:paraId="56304BD3"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7.24</w:t>
            </w:r>
          </w:p>
        </w:tc>
        <w:tc>
          <w:tcPr>
            <w:tcW w:w="357" w:type="pct"/>
            <w:noWrap/>
            <w:vAlign w:val="top"/>
            <w:hideMark/>
          </w:tcPr>
          <w:p w14:paraId="15D9C86E"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7.56</w:t>
            </w:r>
          </w:p>
        </w:tc>
        <w:tc>
          <w:tcPr>
            <w:tcW w:w="357" w:type="pct"/>
            <w:noWrap/>
            <w:vAlign w:val="top"/>
            <w:hideMark/>
          </w:tcPr>
          <w:p w14:paraId="5EEAD137"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8.01</w:t>
            </w:r>
          </w:p>
        </w:tc>
        <w:tc>
          <w:tcPr>
            <w:tcW w:w="357" w:type="pct"/>
            <w:noWrap/>
            <w:vAlign w:val="top"/>
            <w:hideMark/>
          </w:tcPr>
          <w:p w14:paraId="71692017"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8.43</w:t>
            </w:r>
          </w:p>
        </w:tc>
        <w:tc>
          <w:tcPr>
            <w:tcW w:w="357" w:type="pct"/>
            <w:noWrap/>
            <w:vAlign w:val="top"/>
            <w:hideMark/>
          </w:tcPr>
          <w:p w14:paraId="69010EE2"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8.90</w:t>
            </w:r>
          </w:p>
        </w:tc>
        <w:tc>
          <w:tcPr>
            <w:tcW w:w="357" w:type="pct"/>
            <w:noWrap/>
            <w:vAlign w:val="top"/>
            <w:hideMark/>
          </w:tcPr>
          <w:p w14:paraId="68A4F01B"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9.51</w:t>
            </w:r>
          </w:p>
        </w:tc>
      </w:tr>
      <w:tr w:rsidR="00E02389" w:rsidRPr="002F10E5" w14:paraId="58FEB01E"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 w:type="pct"/>
            <w:noWrap/>
            <w:hideMark/>
          </w:tcPr>
          <w:p w14:paraId="7480CA3C" w14:textId="77777777" w:rsidR="00E02389" w:rsidRPr="002F10E5" w:rsidRDefault="00E02389" w:rsidP="00E02389">
            <w:pPr>
              <w:spacing w:line="240" w:lineRule="auto"/>
              <w:rPr>
                <w:rFonts w:ascii="Arial Narrow" w:hAnsi="Arial Narrow"/>
                <w:sz w:val="18"/>
                <w:szCs w:val="18"/>
              </w:rPr>
            </w:pPr>
            <w:r w:rsidRPr="002F10E5">
              <w:rPr>
                <w:rFonts w:ascii="Arial Narrow" w:hAnsi="Arial Narrow"/>
                <w:sz w:val="18"/>
                <w:szCs w:val="18"/>
              </w:rPr>
              <w:t>Ind</w:t>
            </w:r>
          </w:p>
        </w:tc>
        <w:tc>
          <w:tcPr>
            <w:tcW w:w="357" w:type="pct"/>
            <w:noWrap/>
            <w:vAlign w:val="top"/>
            <w:hideMark/>
          </w:tcPr>
          <w:p w14:paraId="0BDB65C6"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9.06</w:t>
            </w:r>
          </w:p>
        </w:tc>
        <w:tc>
          <w:tcPr>
            <w:tcW w:w="357" w:type="pct"/>
            <w:noWrap/>
            <w:vAlign w:val="top"/>
            <w:hideMark/>
          </w:tcPr>
          <w:p w14:paraId="7ADC07B6"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9.31</w:t>
            </w:r>
          </w:p>
        </w:tc>
        <w:tc>
          <w:tcPr>
            <w:tcW w:w="357" w:type="pct"/>
            <w:noWrap/>
            <w:vAlign w:val="top"/>
            <w:hideMark/>
          </w:tcPr>
          <w:p w14:paraId="6620C674"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9.67</w:t>
            </w:r>
          </w:p>
        </w:tc>
        <w:tc>
          <w:tcPr>
            <w:tcW w:w="357" w:type="pct"/>
            <w:noWrap/>
            <w:vAlign w:val="top"/>
            <w:hideMark/>
          </w:tcPr>
          <w:p w14:paraId="126A3B5E"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11.88</w:t>
            </w:r>
          </w:p>
        </w:tc>
        <w:tc>
          <w:tcPr>
            <w:tcW w:w="357" w:type="pct"/>
            <w:noWrap/>
            <w:vAlign w:val="top"/>
            <w:hideMark/>
          </w:tcPr>
          <w:p w14:paraId="107435DB"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12.23</w:t>
            </w:r>
          </w:p>
        </w:tc>
        <w:tc>
          <w:tcPr>
            <w:tcW w:w="357" w:type="pct"/>
            <w:noWrap/>
            <w:vAlign w:val="top"/>
            <w:hideMark/>
          </w:tcPr>
          <w:p w14:paraId="5542C895"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12.32</w:t>
            </w:r>
          </w:p>
        </w:tc>
        <w:tc>
          <w:tcPr>
            <w:tcW w:w="357" w:type="pct"/>
            <w:noWrap/>
            <w:vAlign w:val="top"/>
            <w:hideMark/>
          </w:tcPr>
          <w:p w14:paraId="7E15D48A"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12.14</w:t>
            </w:r>
          </w:p>
        </w:tc>
        <w:tc>
          <w:tcPr>
            <w:tcW w:w="357" w:type="pct"/>
            <w:noWrap/>
            <w:vAlign w:val="top"/>
            <w:hideMark/>
          </w:tcPr>
          <w:p w14:paraId="2687BF3A"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11.93</w:t>
            </w:r>
          </w:p>
        </w:tc>
        <w:tc>
          <w:tcPr>
            <w:tcW w:w="357" w:type="pct"/>
            <w:noWrap/>
            <w:vAlign w:val="top"/>
            <w:hideMark/>
          </w:tcPr>
          <w:p w14:paraId="40BFC8BF"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13.46</w:t>
            </w:r>
          </w:p>
        </w:tc>
        <w:tc>
          <w:tcPr>
            <w:tcW w:w="357" w:type="pct"/>
            <w:noWrap/>
            <w:vAlign w:val="top"/>
            <w:hideMark/>
          </w:tcPr>
          <w:p w14:paraId="18851577"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13.11</w:t>
            </w:r>
          </w:p>
        </w:tc>
        <w:tc>
          <w:tcPr>
            <w:tcW w:w="357" w:type="pct"/>
            <w:noWrap/>
            <w:vAlign w:val="top"/>
            <w:hideMark/>
          </w:tcPr>
          <w:p w14:paraId="4495340C"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13.03</w:t>
            </w:r>
          </w:p>
        </w:tc>
        <w:tc>
          <w:tcPr>
            <w:tcW w:w="357" w:type="pct"/>
            <w:noWrap/>
            <w:vAlign w:val="top"/>
            <w:hideMark/>
          </w:tcPr>
          <w:p w14:paraId="2AFA8495"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13.25</w:t>
            </w:r>
          </w:p>
        </w:tc>
        <w:tc>
          <w:tcPr>
            <w:tcW w:w="357" w:type="pct"/>
            <w:noWrap/>
            <w:vAlign w:val="top"/>
            <w:hideMark/>
          </w:tcPr>
          <w:p w14:paraId="67BD01E6"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13.94</w:t>
            </w:r>
          </w:p>
        </w:tc>
      </w:tr>
      <w:tr w:rsidR="00E02389" w:rsidRPr="002F10E5" w14:paraId="128FA34A"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 w:type="pct"/>
            <w:noWrap/>
            <w:hideMark/>
          </w:tcPr>
          <w:p w14:paraId="3DB74764" w14:textId="77777777" w:rsidR="00E02389" w:rsidRPr="002F10E5" w:rsidRDefault="00E02389" w:rsidP="00E02389">
            <w:pPr>
              <w:spacing w:line="240" w:lineRule="auto"/>
              <w:rPr>
                <w:rFonts w:ascii="Arial Narrow" w:hAnsi="Arial Narrow"/>
                <w:sz w:val="18"/>
                <w:szCs w:val="18"/>
              </w:rPr>
            </w:pPr>
            <w:r w:rsidRPr="002F10E5">
              <w:rPr>
                <w:rFonts w:ascii="Arial Narrow" w:hAnsi="Arial Narrow"/>
                <w:sz w:val="18"/>
                <w:szCs w:val="18"/>
              </w:rPr>
              <w:t>Ag</w:t>
            </w:r>
          </w:p>
        </w:tc>
        <w:tc>
          <w:tcPr>
            <w:tcW w:w="357" w:type="pct"/>
            <w:noWrap/>
            <w:vAlign w:val="top"/>
            <w:hideMark/>
          </w:tcPr>
          <w:p w14:paraId="3B3A8EA9"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1.49</w:t>
            </w:r>
          </w:p>
        </w:tc>
        <w:tc>
          <w:tcPr>
            <w:tcW w:w="357" w:type="pct"/>
            <w:noWrap/>
            <w:vAlign w:val="top"/>
            <w:hideMark/>
          </w:tcPr>
          <w:p w14:paraId="507FC03C"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1.50</w:t>
            </w:r>
          </w:p>
        </w:tc>
        <w:tc>
          <w:tcPr>
            <w:tcW w:w="357" w:type="pct"/>
            <w:noWrap/>
            <w:vAlign w:val="top"/>
            <w:hideMark/>
          </w:tcPr>
          <w:p w14:paraId="4FFEABA4"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1.51</w:t>
            </w:r>
          </w:p>
        </w:tc>
        <w:tc>
          <w:tcPr>
            <w:tcW w:w="357" w:type="pct"/>
            <w:noWrap/>
            <w:vAlign w:val="top"/>
            <w:hideMark/>
          </w:tcPr>
          <w:p w14:paraId="780B975B"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1.57</w:t>
            </w:r>
          </w:p>
        </w:tc>
        <w:tc>
          <w:tcPr>
            <w:tcW w:w="357" w:type="pct"/>
            <w:noWrap/>
            <w:vAlign w:val="top"/>
            <w:hideMark/>
          </w:tcPr>
          <w:p w14:paraId="6FBA63A9"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1.64</w:t>
            </w:r>
          </w:p>
        </w:tc>
        <w:tc>
          <w:tcPr>
            <w:tcW w:w="357" w:type="pct"/>
            <w:noWrap/>
            <w:vAlign w:val="top"/>
            <w:hideMark/>
          </w:tcPr>
          <w:p w14:paraId="5C8E2FEC"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1.72</w:t>
            </w:r>
          </w:p>
        </w:tc>
        <w:tc>
          <w:tcPr>
            <w:tcW w:w="357" w:type="pct"/>
            <w:noWrap/>
            <w:vAlign w:val="top"/>
            <w:hideMark/>
          </w:tcPr>
          <w:p w14:paraId="55D14F5E"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1.79</w:t>
            </w:r>
          </w:p>
        </w:tc>
        <w:tc>
          <w:tcPr>
            <w:tcW w:w="357" w:type="pct"/>
            <w:noWrap/>
            <w:vAlign w:val="top"/>
            <w:hideMark/>
          </w:tcPr>
          <w:p w14:paraId="59DEB2CC"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1.93</w:t>
            </w:r>
          </w:p>
        </w:tc>
        <w:tc>
          <w:tcPr>
            <w:tcW w:w="357" w:type="pct"/>
            <w:noWrap/>
            <w:vAlign w:val="top"/>
            <w:hideMark/>
          </w:tcPr>
          <w:p w14:paraId="4F7E1A4B"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2.01</w:t>
            </w:r>
          </w:p>
        </w:tc>
        <w:tc>
          <w:tcPr>
            <w:tcW w:w="357" w:type="pct"/>
            <w:noWrap/>
            <w:vAlign w:val="top"/>
            <w:hideMark/>
          </w:tcPr>
          <w:p w14:paraId="33C39573"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2.10</w:t>
            </w:r>
          </w:p>
        </w:tc>
        <w:tc>
          <w:tcPr>
            <w:tcW w:w="357" w:type="pct"/>
            <w:noWrap/>
            <w:vAlign w:val="top"/>
            <w:hideMark/>
          </w:tcPr>
          <w:p w14:paraId="71492D53"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2.19</w:t>
            </w:r>
          </w:p>
        </w:tc>
        <w:tc>
          <w:tcPr>
            <w:tcW w:w="357" w:type="pct"/>
            <w:noWrap/>
            <w:vAlign w:val="top"/>
            <w:hideMark/>
          </w:tcPr>
          <w:p w14:paraId="1F5CAD1C"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2.28</w:t>
            </w:r>
          </w:p>
        </w:tc>
        <w:tc>
          <w:tcPr>
            <w:tcW w:w="357" w:type="pct"/>
            <w:noWrap/>
            <w:vAlign w:val="top"/>
            <w:hideMark/>
          </w:tcPr>
          <w:p w14:paraId="4169CAA3"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2.39</w:t>
            </w:r>
          </w:p>
        </w:tc>
      </w:tr>
      <w:tr w:rsidR="00E02389" w:rsidRPr="002F10E5" w14:paraId="649DE3F2"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 w:type="pct"/>
            <w:noWrap/>
            <w:hideMark/>
          </w:tcPr>
          <w:p w14:paraId="2B77F9B8" w14:textId="77777777" w:rsidR="00E02389" w:rsidRPr="002F10E5" w:rsidRDefault="00E02389" w:rsidP="00E02389">
            <w:pPr>
              <w:spacing w:line="240" w:lineRule="auto"/>
              <w:rPr>
                <w:rFonts w:ascii="Arial Narrow" w:hAnsi="Arial Narrow"/>
                <w:sz w:val="18"/>
                <w:szCs w:val="18"/>
              </w:rPr>
            </w:pPr>
            <w:r w:rsidRPr="002F10E5">
              <w:rPr>
                <w:rFonts w:ascii="Arial Narrow" w:hAnsi="Arial Narrow"/>
                <w:sz w:val="18"/>
                <w:szCs w:val="18"/>
              </w:rPr>
              <w:t>Min</w:t>
            </w:r>
          </w:p>
        </w:tc>
        <w:tc>
          <w:tcPr>
            <w:tcW w:w="357" w:type="pct"/>
            <w:noWrap/>
            <w:vAlign w:val="top"/>
            <w:hideMark/>
          </w:tcPr>
          <w:p w14:paraId="34B3C549"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3.29</w:t>
            </w:r>
          </w:p>
        </w:tc>
        <w:tc>
          <w:tcPr>
            <w:tcW w:w="357" w:type="pct"/>
            <w:noWrap/>
            <w:vAlign w:val="top"/>
            <w:hideMark/>
          </w:tcPr>
          <w:p w14:paraId="6FA45942"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1.61</w:t>
            </w:r>
          </w:p>
        </w:tc>
        <w:tc>
          <w:tcPr>
            <w:tcW w:w="357" w:type="pct"/>
            <w:noWrap/>
            <w:vAlign w:val="top"/>
            <w:hideMark/>
          </w:tcPr>
          <w:p w14:paraId="0F012DB8"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0.85</w:t>
            </w:r>
          </w:p>
        </w:tc>
        <w:tc>
          <w:tcPr>
            <w:tcW w:w="357" w:type="pct"/>
            <w:noWrap/>
            <w:vAlign w:val="top"/>
            <w:hideMark/>
          </w:tcPr>
          <w:p w14:paraId="3B439F52"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0.86</w:t>
            </w:r>
          </w:p>
        </w:tc>
        <w:tc>
          <w:tcPr>
            <w:tcW w:w="357" w:type="pct"/>
            <w:noWrap/>
            <w:vAlign w:val="top"/>
            <w:hideMark/>
          </w:tcPr>
          <w:p w14:paraId="2C43DE76"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0.85</w:t>
            </w:r>
          </w:p>
        </w:tc>
        <w:tc>
          <w:tcPr>
            <w:tcW w:w="357" w:type="pct"/>
            <w:noWrap/>
            <w:vAlign w:val="top"/>
            <w:hideMark/>
          </w:tcPr>
          <w:p w14:paraId="42BA2E42"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0.83</w:t>
            </w:r>
          </w:p>
        </w:tc>
        <w:tc>
          <w:tcPr>
            <w:tcW w:w="357" w:type="pct"/>
            <w:noWrap/>
            <w:vAlign w:val="top"/>
            <w:hideMark/>
          </w:tcPr>
          <w:p w14:paraId="7B8D6833"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0.81</w:t>
            </w:r>
          </w:p>
        </w:tc>
        <w:tc>
          <w:tcPr>
            <w:tcW w:w="357" w:type="pct"/>
            <w:noWrap/>
            <w:vAlign w:val="top"/>
            <w:hideMark/>
          </w:tcPr>
          <w:p w14:paraId="7AE35EA4"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0.78</w:t>
            </w:r>
          </w:p>
        </w:tc>
        <w:tc>
          <w:tcPr>
            <w:tcW w:w="357" w:type="pct"/>
            <w:noWrap/>
            <w:vAlign w:val="top"/>
            <w:hideMark/>
          </w:tcPr>
          <w:p w14:paraId="7FB2ABFD"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0.75</w:t>
            </w:r>
          </w:p>
        </w:tc>
        <w:tc>
          <w:tcPr>
            <w:tcW w:w="357" w:type="pct"/>
            <w:noWrap/>
            <w:vAlign w:val="top"/>
            <w:hideMark/>
          </w:tcPr>
          <w:p w14:paraId="047D1734"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0.72</w:t>
            </w:r>
          </w:p>
        </w:tc>
        <w:tc>
          <w:tcPr>
            <w:tcW w:w="357" w:type="pct"/>
            <w:noWrap/>
            <w:vAlign w:val="top"/>
            <w:hideMark/>
          </w:tcPr>
          <w:p w14:paraId="4DEFD6F8"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0.70</w:t>
            </w:r>
          </w:p>
        </w:tc>
        <w:tc>
          <w:tcPr>
            <w:tcW w:w="357" w:type="pct"/>
            <w:noWrap/>
            <w:vAlign w:val="top"/>
            <w:hideMark/>
          </w:tcPr>
          <w:p w14:paraId="0516C0F6"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0.67</w:t>
            </w:r>
          </w:p>
        </w:tc>
        <w:tc>
          <w:tcPr>
            <w:tcW w:w="357" w:type="pct"/>
            <w:noWrap/>
            <w:vAlign w:val="top"/>
            <w:hideMark/>
          </w:tcPr>
          <w:p w14:paraId="54F5612D" w14:textId="77777777" w:rsidR="00E02389" w:rsidRPr="00ED74DF" w:rsidRDefault="00E02389" w:rsidP="00E0238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F21BE">
              <w:rPr>
                <w:rFonts w:ascii="Arial Narrow" w:hAnsi="Arial Narrow"/>
                <w:sz w:val="18"/>
                <w:szCs w:val="18"/>
              </w:rPr>
              <w:t>0.64</w:t>
            </w:r>
          </w:p>
        </w:tc>
      </w:tr>
      <w:tr w:rsidR="00E02389" w:rsidRPr="002F10E5" w14:paraId="518AFD33"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 w:type="pct"/>
            <w:noWrap/>
            <w:hideMark/>
          </w:tcPr>
          <w:p w14:paraId="183EAAA3" w14:textId="77777777" w:rsidR="00E02389" w:rsidRPr="002F10E5" w:rsidRDefault="00E02389" w:rsidP="00E02389">
            <w:pPr>
              <w:spacing w:line="240" w:lineRule="auto"/>
              <w:rPr>
                <w:rFonts w:ascii="Arial Narrow" w:hAnsi="Arial Narrow"/>
                <w:sz w:val="18"/>
                <w:szCs w:val="18"/>
              </w:rPr>
            </w:pPr>
            <w:r w:rsidRPr="002F10E5">
              <w:rPr>
                <w:rFonts w:ascii="Arial Narrow" w:hAnsi="Arial Narrow"/>
                <w:sz w:val="18"/>
                <w:szCs w:val="18"/>
              </w:rPr>
              <w:t>Stl</w:t>
            </w:r>
          </w:p>
        </w:tc>
        <w:tc>
          <w:tcPr>
            <w:tcW w:w="357" w:type="pct"/>
            <w:noWrap/>
            <w:vAlign w:val="top"/>
            <w:hideMark/>
          </w:tcPr>
          <w:p w14:paraId="3724DC06"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0.00</w:t>
            </w:r>
          </w:p>
        </w:tc>
        <w:tc>
          <w:tcPr>
            <w:tcW w:w="357" w:type="pct"/>
            <w:noWrap/>
            <w:vAlign w:val="top"/>
            <w:hideMark/>
          </w:tcPr>
          <w:p w14:paraId="1C199D7C"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0.00</w:t>
            </w:r>
          </w:p>
        </w:tc>
        <w:tc>
          <w:tcPr>
            <w:tcW w:w="357" w:type="pct"/>
            <w:noWrap/>
            <w:vAlign w:val="top"/>
            <w:hideMark/>
          </w:tcPr>
          <w:p w14:paraId="1DBB6694"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0.00</w:t>
            </w:r>
          </w:p>
        </w:tc>
        <w:tc>
          <w:tcPr>
            <w:tcW w:w="357" w:type="pct"/>
            <w:noWrap/>
            <w:vAlign w:val="top"/>
            <w:hideMark/>
          </w:tcPr>
          <w:p w14:paraId="395B0F03"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0.00</w:t>
            </w:r>
          </w:p>
        </w:tc>
        <w:tc>
          <w:tcPr>
            <w:tcW w:w="357" w:type="pct"/>
            <w:noWrap/>
            <w:vAlign w:val="top"/>
            <w:hideMark/>
          </w:tcPr>
          <w:p w14:paraId="755BB85C"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0.00</w:t>
            </w:r>
          </w:p>
        </w:tc>
        <w:tc>
          <w:tcPr>
            <w:tcW w:w="357" w:type="pct"/>
            <w:noWrap/>
            <w:vAlign w:val="top"/>
            <w:hideMark/>
          </w:tcPr>
          <w:p w14:paraId="5ABC8C32"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0.00</w:t>
            </w:r>
          </w:p>
        </w:tc>
        <w:tc>
          <w:tcPr>
            <w:tcW w:w="357" w:type="pct"/>
            <w:noWrap/>
            <w:vAlign w:val="top"/>
            <w:hideMark/>
          </w:tcPr>
          <w:p w14:paraId="0E5B2DDD"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0.00</w:t>
            </w:r>
          </w:p>
        </w:tc>
        <w:tc>
          <w:tcPr>
            <w:tcW w:w="357" w:type="pct"/>
            <w:noWrap/>
            <w:vAlign w:val="top"/>
            <w:hideMark/>
          </w:tcPr>
          <w:p w14:paraId="5AFB26A3"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0.00</w:t>
            </w:r>
          </w:p>
        </w:tc>
        <w:tc>
          <w:tcPr>
            <w:tcW w:w="357" w:type="pct"/>
            <w:noWrap/>
            <w:vAlign w:val="top"/>
            <w:hideMark/>
          </w:tcPr>
          <w:p w14:paraId="7006339F"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0.00</w:t>
            </w:r>
          </w:p>
        </w:tc>
        <w:tc>
          <w:tcPr>
            <w:tcW w:w="357" w:type="pct"/>
            <w:noWrap/>
            <w:vAlign w:val="top"/>
            <w:hideMark/>
          </w:tcPr>
          <w:p w14:paraId="38F756FE"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0.00</w:t>
            </w:r>
          </w:p>
        </w:tc>
        <w:tc>
          <w:tcPr>
            <w:tcW w:w="357" w:type="pct"/>
            <w:noWrap/>
            <w:vAlign w:val="top"/>
            <w:hideMark/>
          </w:tcPr>
          <w:p w14:paraId="03D12E69"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0.00</w:t>
            </w:r>
          </w:p>
        </w:tc>
        <w:tc>
          <w:tcPr>
            <w:tcW w:w="357" w:type="pct"/>
            <w:noWrap/>
            <w:vAlign w:val="top"/>
            <w:hideMark/>
          </w:tcPr>
          <w:p w14:paraId="0AEE2759"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0.00</w:t>
            </w:r>
          </w:p>
        </w:tc>
        <w:tc>
          <w:tcPr>
            <w:tcW w:w="357" w:type="pct"/>
            <w:noWrap/>
            <w:vAlign w:val="top"/>
            <w:hideMark/>
          </w:tcPr>
          <w:p w14:paraId="6D683375" w14:textId="77777777" w:rsidR="00E02389" w:rsidRPr="00ED74DF" w:rsidRDefault="00E02389" w:rsidP="00E02389">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F21BE">
              <w:rPr>
                <w:rFonts w:ascii="Arial Narrow" w:hAnsi="Arial Narrow"/>
                <w:sz w:val="18"/>
                <w:szCs w:val="18"/>
              </w:rPr>
              <w:t>0.00</w:t>
            </w:r>
          </w:p>
        </w:tc>
      </w:tr>
    </w:tbl>
    <w:p w14:paraId="5C20645E" w14:textId="77777777" w:rsidR="002E3358" w:rsidRDefault="002E3358">
      <w:pPr>
        <w:spacing w:line="240" w:lineRule="auto"/>
        <w:rPr>
          <w:b/>
          <w:i/>
          <w:iCs/>
          <w:color w:val="555759"/>
          <w:sz w:val="22"/>
          <w:szCs w:val="22"/>
        </w:rPr>
      </w:pPr>
      <w:r>
        <w:br w:type="page"/>
      </w:r>
    </w:p>
    <w:p w14:paraId="61B757FE" w14:textId="77777777" w:rsidR="00D806B2" w:rsidRDefault="00D806B2" w:rsidP="00031C0C">
      <w:pPr>
        <w:pStyle w:val="Heading9"/>
      </w:pPr>
      <w:bookmarkStart w:id="56" w:name="_Toc490225759"/>
      <w:r>
        <w:lastRenderedPageBreak/>
        <w:t>Expenditures</w:t>
      </w:r>
      <w:bookmarkEnd w:id="56"/>
    </w:p>
    <w:p w14:paraId="51B7900D" w14:textId="77777777" w:rsidR="00FC1770" w:rsidRDefault="00EA1B60" w:rsidP="00FC1770">
      <w:r>
        <w:t xml:space="preserve">Figure ES-7 and Table ES-6 </w:t>
      </w:r>
      <w:r w:rsidR="00E05BCD">
        <w:t xml:space="preserve">show projected statewide spending by scenario. </w:t>
      </w:r>
      <w:r w:rsidR="00D806B2">
        <w:t>Expenditures represent</w:t>
      </w:r>
      <w:r w:rsidR="00E05BCD">
        <w:t xml:space="preserve"> </w:t>
      </w:r>
      <w:r w:rsidR="00BE4EAC">
        <w:t xml:space="preserve">the costs for </w:t>
      </w:r>
      <w:r w:rsidR="00E05BCD">
        <w:t xml:space="preserve">both </w:t>
      </w:r>
      <w:r w:rsidR="00BE4EAC">
        <w:t xml:space="preserve">rebates and </w:t>
      </w:r>
      <w:r w:rsidR="009265B9">
        <w:t xml:space="preserve">program </w:t>
      </w:r>
      <w:r w:rsidR="00BE4EAC">
        <w:t xml:space="preserve">administration </w:t>
      </w:r>
      <w:r w:rsidR="009265B9">
        <w:t xml:space="preserve">costs. </w:t>
      </w:r>
      <w:r w:rsidR="00FC1770">
        <w:t>Expenditures are only shown for Equipment Rebates and BROs costs</w:t>
      </w:r>
      <w:r w:rsidR="00EE2562">
        <w:rPr>
          <w:rStyle w:val="FootnoteReference"/>
        </w:rPr>
        <w:footnoteReference w:id="9"/>
      </w:r>
      <w:r w:rsidR="00FC1770">
        <w:t xml:space="preserve">.  No cost data </w:t>
      </w:r>
      <w:r w:rsidR="00EE2562">
        <w:t>is reported for</w:t>
      </w:r>
      <w:r w:rsidR="00FC1770">
        <w:t xml:space="preserve"> LI and C&amp;S programs.  Cost increases over time for all scenarios are </w:t>
      </w:r>
      <w:r w:rsidR="00E86E12">
        <w:t xml:space="preserve">explained by </w:t>
      </w:r>
      <w:r w:rsidR="009B74FF">
        <w:t xml:space="preserve">forecasted increase in annual adoption (a function of rebates and increased awareness and willingness to adopt) as well as </w:t>
      </w:r>
      <w:r w:rsidR="00FC1770">
        <w:t xml:space="preserve">cost inflation.  In addition, higher program acquisition costs are experienced due to greater shares of higher cost measures being rebated over time.  </w:t>
      </w:r>
    </w:p>
    <w:p w14:paraId="0A1E2854" w14:textId="77777777" w:rsidR="00FC1770" w:rsidRDefault="00FC1770" w:rsidP="00031C0C"/>
    <w:p w14:paraId="41FDDDAE" w14:textId="77777777" w:rsidR="00DC4494" w:rsidRDefault="00E05BCD" w:rsidP="00031C0C">
      <w:r>
        <w:t xml:space="preserve">Since overall potential is driven by electric savings, the trend generally follows that of electric potential whereby </w:t>
      </w:r>
      <w:r w:rsidR="00EE2562">
        <w:t>Scenario 5 (PAC Aggressive)</w:t>
      </w:r>
      <w:r>
        <w:t xml:space="preserve"> produces the most expensive portfolio for equipment savings, and </w:t>
      </w:r>
      <w:r w:rsidR="00EE2562">
        <w:t>Scenario 1 (TRC Reference)</w:t>
      </w:r>
      <w:r>
        <w:t xml:space="preserve">, the least. By 2030, </w:t>
      </w:r>
      <w:r w:rsidR="00EE2562">
        <w:t>Scenario 4 (PAC Reference)</w:t>
      </w:r>
      <w:r>
        <w:t xml:space="preserve"> is expected to cost </w:t>
      </w:r>
      <w:r w:rsidRPr="000837A7">
        <w:t xml:space="preserve">about </w:t>
      </w:r>
      <w:r w:rsidR="00EE2562">
        <w:t>36</w:t>
      </w:r>
      <w:r w:rsidRPr="000837A7">
        <w:t xml:space="preserve">% more than </w:t>
      </w:r>
      <w:r w:rsidR="00EE2562">
        <w:t>Scenario 1 (TRC Reference)</w:t>
      </w:r>
      <w:r w:rsidRPr="000837A7">
        <w:t xml:space="preserve">. Aggressive program engagement further increases spending as illustrated by </w:t>
      </w:r>
      <w:r w:rsidR="00714DD5">
        <w:t>Scenario 5 (PAC Aggressive)</w:t>
      </w:r>
      <w:r w:rsidRPr="000837A7">
        <w:t xml:space="preserve">, which costs about </w:t>
      </w:r>
      <w:r w:rsidR="000837A7" w:rsidRPr="000837A7">
        <w:t>3</w:t>
      </w:r>
      <w:r w:rsidR="00714DD5">
        <w:t>8</w:t>
      </w:r>
      <w:r w:rsidRPr="000837A7">
        <w:t>% more</w:t>
      </w:r>
      <w:r>
        <w:t xml:space="preserve"> than </w:t>
      </w:r>
      <w:r w:rsidR="00714DD5">
        <w:t>Scenario 4 (PAC Aggressive).</w:t>
      </w:r>
    </w:p>
    <w:p w14:paraId="432E3AC5" w14:textId="77777777" w:rsidR="00E05BCD" w:rsidRDefault="00E05BCD"/>
    <w:p w14:paraId="5F917A3F" w14:textId="77777777" w:rsidR="00750317" w:rsidRDefault="00750317" w:rsidP="00031C0C">
      <w:pPr>
        <w:rPr>
          <w:color w:val="3F4042"/>
          <w:szCs w:val="20"/>
        </w:rPr>
      </w:pPr>
      <w:bookmarkStart w:id="57" w:name="_Ref484636086"/>
    </w:p>
    <w:p w14:paraId="6B0BA531" w14:textId="77777777" w:rsidR="00AF21BE" w:rsidRDefault="00AF21BE" w:rsidP="00AF21BE">
      <w:pPr>
        <w:pStyle w:val="Caption"/>
      </w:pPr>
      <w:bookmarkStart w:id="58" w:name="_Toc490225866"/>
      <w:bookmarkEnd w:id="57"/>
      <w:r>
        <w:t xml:space="preserve">Figure ES- </w:t>
      </w:r>
      <w:fldSimple w:instr=" SEQ Figure_ES- \* ARABIC ">
        <w:r w:rsidR="007566B9">
          <w:rPr>
            <w:noProof/>
          </w:rPr>
          <w:t>7</w:t>
        </w:r>
      </w:fldSimple>
      <w:r>
        <w:t xml:space="preserve">. Statewide Program Expenditures </w:t>
      </w:r>
      <w:r w:rsidRPr="00F123A3">
        <w:t xml:space="preserve">by Scenario for </w:t>
      </w:r>
      <w:r>
        <w:t xml:space="preserve">Incentive </w:t>
      </w:r>
      <w:r w:rsidRPr="00F123A3">
        <w:t>Programs</w:t>
      </w:r>
      <w:bookmarkEnd w:id="58"/>
    </w:p>
    <w:p w14:paraId="38CD2EA1" w14:textId="77777777" w:rsidR="009401F3" w:rsidRDefault="00C419E0" w:rsidP="00AF21BE">
      <w:pPr>
        <w:jc w:val="center"/>
      </w:pPr>
      <w:r>
        <w:rPr>
          <w:noProof/>
        </w:rPr>
        <w:drawing>
          <wp:inline distT="0" distB="0" distL="0" distR="0" wp14:anchorId="07D32EA4" wp14:editId="4BB1084B">
            <wp:extent cx="6290027" cy="280172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6474" cy="2804594"/>
                    </a:xfrm>
                    <a:prstGeom prst="rect">
                      <a:avLst/>
                    </a:prstGeom>
                    <a:noFill/>
                  </pic:spPr>
                </pic:pic>
              </a:graphicData>
            </a:graphic>
          </wp:inline>
        </w:drawing>
      </w:r>
    </w:p>
    <w:p w14:paraId="3282AAA2" w14:textId="77777777" w:rsidR="009401F3" w:rsidRDefault="009401F3" w:rsidP="009401F3">
      <w:pPr>
        <w:jc w:val="center"/>
        <w:rPr>
          <w:sz w:val="16"/>
        </w:rPr>
      </w:pPr>
      <w:r w:rsidRPr="00A47C15">
        <w:rPr>
          <w:sz w:val="16"/>
        </w:rPr>
        <w:t>Note: Excludes C&amp;S</w:t>
      </w:r>
      <w:r>
        <w:rPr>
          <w:sz w:val="16"/>
        </w:rPr>
        <w:t xml:space="preserve"> and Low Income</w:t>
      </w:r>
    </w:p>
    <w:p w14:paraId="59D8E204" w14:textId="77777777" w:rsidR="00750317" w:rsidRPr="00750317" w:rsidRDefault="00750317"/>
    <w:p w14:paraId="70639322" w14:textId="77777777" w:rsidR="00FC1770" w:rsidRDefault="00FC1770" w:rsidP="009401F3">
      <w:pPr>
        <w:pStyle w:val="Caption"/>
      </w:pPr>
    </w:p>
    <w:p w14:paraId="37107DD5" w14:textId="77777777" w:rsidR="00FC1770" w:rsidRDefault="00FC1770" w:rsidP="00031C0C">
      <w:pPr>
        <w:rPr>
          <w:color w:val="3F4042"/>
          <w:szCs w:val="20"/>
        </w:rPr>
      </w:pPr>
      <w:r>
        <w:br w:type="page"/>
      </w:r>
    </w:p>
    <w:p w14:paraId="0EB81F3C" w14:textId="77777777" w:rsidR="009401F3" w:rsidRDefault="009401F3" w:rsidP="009401F3">
      <w:pPr>
        <w:pStyle w:val="Caption"/>
      </w:pPr>
    </w:p>
    <w:p w14:paraId="489305E1" w14:textId="77777777" w:rsidR="00AF21BE" w:rsidRDefault="00AF21BE" w:rsidP="00AF21BE">
      <w:pPr>
        <w:pStyle w:val="Caption"/>
      </w:pPr>
      <w:bookmarkStart w:id="59" w:name="_Toc490226072"/>
      <w:r>
        <w:t xml:space="preserve">Table ES- </w:t>
      </w:r>
      <w:fldSimple w:instr=" SEQ Table_ES- \* ARABIC ">
        <w:r w:rsidR="007566B9">
          <w:rPr>
            <w:noProof/>
          </w:rPr>
          <w:t>8</w:t>
        </w:r>
      </w:fldSimple>
      <w:r>
        <w:t xml:space="preserve">. </w:t>
      </w:r>
      <w:r w:rsidRPr="00F123A3">
        <w:t>Statewide Spending by Scenario for IOU Rebate Programs</w:t>
      </w:r>
      <w:r>
        <w:t xml:space="preserve"> (Million $)</w:t>
      </w:r>
      <w:bookmarkEnd w:id="59"/>
    </w:p>
    <w:tbl>
      <w:tblPr>
        <w:tblStyle w:val="EnergyTable10"/>
        <w:tblW w:w="7870" w:type="dxa"/>
        <w:tblLook w:val="04A0" w:firstRow="1" w:lastRow="0" w:firstColumn="1" w:lastColumn="0" w:noHBand="0" w:noVBand="1"/>
      </w:tblPr>
      <w:tblGrid>
        <w:gridCol w:w="841"/>
        <w:gridCol w:w="1436"/>
        <w:gridCol w:w="1297"/>
        <w:gridCol w:w="1297"/>
        <w:gridCol w:w="1436"/>
        <w:gridCol w:w="1563"/>
      </w:tblGrid>
      <w:tr w:rsidR="00750317" w:rsidRPr="002A1C23" w14:paraId="67C38E13" w14:textId="77777777" w:rsidTr="00AF21B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41" w:type="dxa"/>
            <w:hideMark/>
          </w:tcPr>
          <w:p w14:paraId="4B5574B6" w14:textId="77777777" w:rsidR="00750317" w:rsidRPr="009401F3" w:rsidRDefault="00750317" w:rsidP="00750317">
            <w:pPr>
              <w:spacing w:line="240" w:lineRule="auto"/>
              <w:rPr>
                <w:rFonts w:ascii="Arial Narrow" w:hAnsi="Arial Narrow" w:cs="Calibri"/>
                <w:bCs/>
                <w:sz w:val="18"/>
                <w:szCs w:val="18"/>
              </w:rPr>
            </w:pPr>
            <w:r>
              <w:rPr>
                <w:rFonts w:ascii="Arial Narrow" w:hAnsi="Arial Narrow" w:cs="Calibri"/>
                <w:bCs/>
                <w:sz w:val="18"/>
                <w:szCs w:val="18"/>
              </w:rPr>
              <w:t>Year</w:t>
            </w:r>
          </w:p>
        </w:tc>
        <w:tc>
          <w:tcPr>
            <w:tcW w:w="1436" w:type="dxa"/>
            <w:hideMark/>
          </w:tcPr>
          <w:p w14:paraId="286B3A24" w14:textId="77777777" w:rsidR="00750317" w:rsidRPr="009401F3" w:rsidRDefault="00750317" w:rsidP="00750317">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sz w:val="18"/>
                <w:szCs w:val="18"/>
              </w:rPr>
            </w:pPr>
            <w:r>
              <w:rPr>
                <w:rFonts w:ascii="Arial Narrow" w:hAnsi="Arial Narrow" w:cs="Calibri"/>
                <w:bCs/>
                <w:sz w:val="18"/>
                <w:szCs w:val="18"/>
              </w:rPr>
              <w:t xml:space="preserve">Scenario 1: </w:t>
            </w:r>
            <w:r w:rsidRPr="0033629B">
              <w:rPr>
                <w:rFonts w:ascii="Arial Narrow" w:hAnsi="Arial Narrow" w:cs="Calibri"/>
                <w:bCs/>
                <w:sz w:val="18"/>
                <w:szCs w:val="18"/>
              </w:rPr>
              <w:t>TRC  Reference</w:t>
            </w:r>
          </w:p>
        </w:tc>
        <w:tc>
          <w:tcPr>
            <w:tcW w:w="1297" w:type="dxa"/>
            <w:hideMark/>
          </w:tcPr>
          <w:p w14:paraId="34A2509E" w14:textId="77777777" w:rsidR="00750317" w:rsidRPr="009401F3" w:rsidRDefault="00750317" w:rsidP="00750317">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sz w:val="18"/>
                <w:szCs w:val="18"/>
              </w:rPr>
            </w:pPr>
            <w:r>
              <w:rPr>
                <w:rFonts w:ascii="Arial Narrow" w:hAnsi="Arial Narrow" w:cs="Calibri"/>
                <w:bCs/>
                <w:sz w:val="18"/>
                <w:szCs w:val="18"/>
              </w:rPr>
              <w:t xml:space="preserve">Scenario 2: </w:t>
            </w:r>
            <w:r w:rsidRPr="0033629B">
              <w:rPr>
                <w:rFonts w:ascii="Arial Narrow" w:hAnsi="Arial Narrow" w:cs="Calibri"/>
                <w:bCs/>
                <w:sz w:val="18"/>
                <w:szCs w:val="18"/>
              </w:rPr>
              <w:t xml:space="preserve">mTRC </w:t>
            </w:r>
            <w:r>
              <w:rPr>
                <w:rFonts w:ascii="Arial Narrow" w:hAnsi="Arial Narrow" w:cs="Calibri"/>
                <w:bCs/>
                <w:sz w:val="18"/>
                <w:szCs w:val="18"/>
              </w:rPr>
              <w:t xml:space="preserve">w/ </w:t>
            </w:r>
            <w:r w:rsidRPr="0033629B">
              <w:rPr>
                <w:rFonts w:ascii="Arial Narrow" w:hAnsi="Arial Narrow" w:cs="Calibri"/>
                <w:bCs/>
                <w:sz w:val="18"/>
                <w:szCs w:val="18"/>
              </w:rPr>
              <w:t>GHG adder 1</w:t>
            </w:r>
          </w:p>
        </w:tc>
        <w:tc>
          <w:tcPr>
            <w:tcW w:w="1297" w:type="dxa"/>
            <w:hideMark/>
          </w:tcPr>
          <w:p w14:paraId="51FB998F" w14:textId="77777777" w:rsidR="00750317" w:rsidRPr="009401F3" w:rsidRDefault="00750317" w:rsidP="00750317">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sz w:val="18"/>
                <w:szCs w:val="18"/>
              </w:rPr>
            </w:pPr>
            <w:r>
              <w:rPr>
                <w:rFonts w:ascii="Arial Narrow" w:hAnsi="Arial Narrow" w:cs="Calibri"/>
                <w:bCs/>
                <w:sz w:val="18"/>
                <w:szCs w:val="18"/>
              </w:rPr>
              <w:t xml:space="preserve">Scenario 3: </w:t>
            </w:r>
            <w:r w:rsidRPr="0033629B">
              <w:rPr>
                <w:rFonts w:ascii="Arial Narrow" w:hAnsi="Arial Narrow" w:cs="Calibri"/>
                <w:bCs/>
                <w:sz w:val="18"/>
                <w:szCs w:val="18"/>
              </w:rPr>
              <w:t xml:space="preserve">mTRC </w:t>
            </w:r>
            <w:r>
              <w:rPr>
                <w:rFonts w:ascii="Arial Narrow" w:hAnsi="Arial Narrow" w:cs="Calibri"/>
                <w:bCs/>
                <w:sz w:val="18"/>
                <w:szCs w:val="18"/>
              </w:rPr>
              <w:t xml:space="preserve">w/ </w:t>
            </w:r>
            <w:r w:rsidRPr="0033629B">
              <w:rPr>
                <w:rFonts w:ascii="Arial Narrow" w:hAnsi="Arial Narrow" w:cs="Calibri"/>
                <w:bCs/>
                <w:sz w:val="18"/>
                <w:szCs w:val="18"/>
              </w:rPr>
              <w:t>GHG adder 2</w:t>
            </w:r>
          </w:p>
        </w:tc>
        <w:tc>
          <w:tcPr>
            <w:tcW w:w="1436" w:type="dxa"/>
            <w:hideMark/>
          </w:tcPr>
          <w:p w14:paraId="3C3EECD3" w14:textId="77777777" w:rsidR="00750317" w:rsidRPr="009401F3" w:rsidRDefault="00750317" w:rsidP="00750317">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sz w:val="18"/>
                <w:szCs w:val="18"/>
              </w:rPr>
            </w:pPr>
            <w:r>
              <w:rPr>
                <w:rFonts w:ascii="Arial Narrow" w:hAnsi="Arial Narrow" w:cs="Calibri"/>
                <w:bCs/>
                <w:sz w:val="18"/>
                <w:szCs w:val="18"/>
              </w:rPr>
              <w:t xml:space="preserve">Scenario 4: </w:t>
            </w:r>
            <w:r w:rsidRPr="0033629B">
              <w:rPr>
                <w:rFonts w:ascii="Arial Narrow" w:hAnsi="Arial Narrow" w:cs="Calibri"/>
                <w:bCs/>
                <w:sz w:val="18"/>
                <w:szCs w:val="18"/>
              </w:rPr>
              <w:t>PAC  Reference</w:t>
            </w:r>
          </w:p>
        </w:tc>
        <w:tc>
          <w:tcPr>
            <w:tcW w:w="1563" w:type="dxa"/>
            <w:hideMark/>
          </w:tcPr>
          <w:p w14:paraId="55102761" w14:textId="77777777" w:rsidR="00750317" w:rsidRPr="009401F3" w:rsidRDefault="00750317" w:rsidP="00750317">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sz w:val="18"/>
                <w:szCs w:val="18"/>
              </w:rPr>
            </w:pPr>
            <w:r>
              <w:rPr>
                <w:rFonts w:ascii="Arial Narrow" w:hAnsi="Arial Narrow" w:cs="Calibri"/>
                <w:bCs/>
                <w:sz w:val="18"/>
                <w:szCs w:val="18"/>
              </w:rPr>
              <w:t xml:space="preserve">Scenario 5: </w:t>
            </w:r>
            <w:r w:rsidRPr="0033629B">
              <w:rPr>
                <w:rFonts w:ascii="Arial Narrow" w:hAnsi="Arial Narrow" w:cs="Calibri"/>
                <w:bCs/>
                <w:sz w:val="18"/>
                <w:szCs w:val="18"/>
              </w:rPr>
              <w:t>PAC  Aggressive</w:t>
            </w:r>
          </w:p>
        </w:tc>
      </w:tr>
      <w:tr w:rsidR="00C419E0" w:rsidRPr="002A1C23" w14:paraId="73D3010B"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noWrap/>
            <w:hideMark/>
          </w:tcPr>
          <w:p w14:paraId="542E66F0" w14:textId="77777777" w:rsidR="00C419E0" w:rsidRPr="009401F3" w:rsidRDefault="00C419E0" w:rsidP="00C419E0">
            <w:pPr>
              <w:spacing w:line="240" w:lineRule="auto"/>
              <w:rPr>
                <w:rFonts w:ascii="Arial Narrow" w:hAnsi="Arial Narrow" w:cs="Calibri"/>
                <w:sz w:val="18"/>
                <w:szCs w:val="18"/>
              </w:rPr>
            </w:pPr>
            <w:r w:rsidRPr="009401F3">
              <w:rPr>
                <w:rFonts w:ascii="Arial Narrow" w:hAnsi="Arial Narrow" w:cs="Calibri"/>
                <w:sz w:val="18"/>
                <w:szCs w:val="18"/>
              </w:rPr>
              <w:t xml:space="preserve">2018 </w:t>
            </w:r>
          </w:p>
        </w:tc>
        <w:tc>
          <w:tcPr>
            <w:tcW w:w="1436" w:type="dxa"/>
            <w:noWrap/>
            <w:vAlign w:val="top"/>
            <w:hideMark/>
          </w:tcPr>
          <w:p w14:paraId="132FDE94"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469.8</w:t>
            </w:r>
          </w:p>
        </w:tc>
        <w:tc>
          <w:tcPr>
            <w:tcW w:w="1297" w:type="dxa"/>
            <w:noWrap/>
            <w:vAlign w:val="top"/>
            <w:hideMark/>
          </w:tcPr>
          <w:p w14:paraId="2E7AA1FE"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558.7</w:t>
            </w:r>
          </w:p>
        </w:tc>
        <w:tc>
          <w:tcPr>
            <w:tcW w:w="1297" w:type="dxa"/>
            <w:noWrap/>
            <w:vAlign w:val="top"/>
            <w:hideMark/>
          </w:tcPr>
          <w:p w14:paraId="31A55907"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624.6</w:t>
            </w:r>
          </w:p>
        </w:tc>
        <w:tc>
          <w:tcPr>
            <w:tcW w:w="1436" w:type="dxa"/>
            <w:noWrap/>
            <w:vAlign w:val="top"/>
            <w:hideMark/>
          </w:tcPr>
          <w:p w14:paraId="2F552D86"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807.6</w:t>
            </w:r>
          </w:p>
        </w:tc>
        <w:tc>
          <w:tcPr>
            <w:tcW w:w="1563" w:type="dxa"/>
            <w:noWrap/>
            <w:vAlign w:val="top"/>
            <w:hideMark/>
          </w:tcPr>
          <w:p w14:paraId="71C02832"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1058.7</w:t>
            </w:r>
          </w:p>
        </w:tc>
      </w:tr>
      <w:tr w:rsidR="00C419E0" w:rsidRPr="002A1C23" w14:paraId="6787898A"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noWrap/>
            <w:hideMark/>
          </w:tcPr>
          <w:p w14:paraId="00DBFF02" w14:textId="77777777" w:rsidR="00C419E0" w:rsidRPr="009401F3" w:rsidRDefault="00C419E0" w:rsidP="00C419E0">
            <w:pPr>
              <w:spacing w:line="240" w:lineRule="auto"/>
              <w:rPr>
                <w:rFonts w:ascii="Arial Narrow" w:hAnsi="Arial Narrow" w:cs="Calibri"/>
                <w:sz w:val="18"/>
                <w:szCs w:val="18"/>
              </w:rPr>
            </w:pPr>
            <w:r w:rsidRPr="009401F3">
              <w:rPr>
                <w:rFonts w:ascii="Arial Narrow" w:hAnsi="Arial Narrow" w:cs="Calibri"/>
                <w:sz w:val="18"/>
                <w:szCs w:val="18"/>
              </w:rPr>
              <w:t xml:space="preserve">2019 </w:t>
            </w:r>
          </w:p>
        </w:tc>
        <w:tc>
          <w:tcPr>
            <w:tcW w:w="1436" w:type="dxa"/>
            <w:noWrap/>
            <w:vAlign w:val="top"/>
            <w:hideMark/>
          </w:tcPr>
          <w:p w14:paraId="12D29485"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519.0</w:t>
            </w:r>
          </w:p>
        </w:tc>
        <w:tc>
          <w:tcPr>
            <w:tcW w:w="1297" w:type="dxa"/>
            <w:noWrap/>
            <w:vAlign w:val="top"/>
            <w:hideMark/>
          </w:tcPr>
          <w:p w14:paraId="33986CEA"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609.1</w:t>
            </w:r>
          </w:p>
        </w:tc>
        <w:tc>
          <w:tcPr>
            <w:tcW w:w="1297" w:type="dxa"/>
            <w:noWrap/>
            <w:vAlign w:val="top"/>
            <w:hideMark/>
          </w:tcPr>
          <w:p w14:paraId="79970DA1"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703.9</w:t>
            </w:r>
          </w:p>
        </w:tc>
        <w:tc>
          <w:tcPr>
            <w:tcW w:w="1436" w:type="dxa"/>
            <w:noWrap/>
            <w:vAlign w:val="top"/>
            <w:hideMark/>
          </w:tcPr>
          <w:p w14:paraId="32F2E006"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870.0</w:t>
            </w:r>
          </w:p>
        </w:tc>
        <w:tc>
          <w:tcPr>
            <w:tcW w:w="1563" w:type="dxa"/>
            <w:noWrap/>
            <w:vAlign w:val="top"/>
            <w:hideMark/>
          </w:tcPr>
          <w:p w14:paraId="2A891215"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1146.8</w:t>
            </w:r>
          </w:p>
        </w:tc>
      </w:tr>
      <w:tr w:rsidR="00C419E0" w:rsidRPr="002A1C23" w14:paraId="6A8A2952"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noWrap/>
            <w:hideMark/>
          </w:tcPr>
          <w:p w14:paraId="55B47223" w14:textId="77777777" w:rsidR="00C419E0" w:rsidRPr="009401F3" w:rsidRDefault="00C419E0" w:rsidP="00C419E0">
            <w:pPr>
              <w:spacing w:line="240" w:lineRule="auto"/>
              <w:rPr>
                <w:rFonts w:ascii="Arial Narrow" w:hAnsi="Arial Narrow" w:cs="Calibri"/>
                <w:sz w:val="18"/>
                <w:szCs w:val="18"/>
              </w:rPr>
            </w:pPr>
            <w:r w:rsidRPr="009401F3">
              <w:rPr>
                <w:rFonts w:ascii="Arial Narrow" w:hAnsi="Arial Narrow" w:cs="Calibri"/>
                <w:sz w:val="18"/>
                <w:szCs w:val="18"/>
              </w:rPr>
              <w:t xml:space="preserve">2020 </w:t>
            </w:r>
          </w:p>
        </w:tc>
        <w:tc>
          <w:tcPr>
            <w:tcW w:w="1436" w:type="dxa"/>
            <w:noWrap/>
            <w:vAlign w:val="top"/>
            <w:hideMark/>
          </w:tcPr>
          <w:p w14:paraId="068B7DFD"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506.6</w:t>
            </w:r>
          </w:p>
        </w:tc>
        <w:tc>
          <w:tcPr>
            <w:tcW w:w="1297" w:type="dxa"/>
            <w:noWrap/>
            <w:vAlign w:val="top"/>
            <w:hideMark/>
          </w:tcPr>
          <w:p w14:paraId="306CFB26"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593.0</w:t>
            </w:r>
          </w:p>
        </w:tc>
        <w:tc>
          <w:tcPr>
            <w:tcW w:w="1297" w:type="dxa"/>
            <w:noWrap/>
            <w:vAlign w:val="top"/>
            <w:hideMark/>
          </w:tcPr>
          <w:p w14:paraId="5FEBA909"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713.2</w:t>
            </w:r>
          </w:p>
        </w:tc>
        <w:tc>
          <w:tcPr>
            <w:tcW w:w="1436" w:type="dxa"/>
            <w:noWrap/>
            <w:vAlign w:val="top"/>
            <w:hideMark/>
          </w:tcPr>
          <w:p w14:paraId="6EC09C01"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884.2</w:t>
            </w:r>
          </w:p>
        </w:tc>
        <w:tc>
          <w:tcPr>
            <w:tcW w:w="1563" w:type="dxa"/>
            <w:noWrap/>
            <w:vAlign w:val="top"/>
            <w:hideMark/>
          </w:tcPr>
          <w:p w14:paraId="6E2DB51E"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1177.5</w:t>
            </w:r>
          </w:p>
        </w:tc>
      </w:tr>
      <w:tr w:rsidR="00C419E0" w:rsidRPr="002A1C23" w14:paraId="4219972A"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noWrap/>
            <w:hideMark/>
          </w:tcPr>
          <w:p w14:paraId="51601E82" w14:textId="77777777" w:rsidR="00C419E0" w:rsidRPr="009401F3" w:rsidRDefault="00C419E0" w:rsidP="00C419E0">
            <w:pPr>
              <w:spacing w:line="240" w:lineRule="auto"/>
              <w:rPr>
                <w:rFonts w:ascii="Arial Narrow" w:hAnsi="Arial Narrow" w:cs="Calibri"/>
                <w:sz w:val="18"/>
                <w:szCs w:val="18"/>
              </w:rPr>
            </w:pPr>
            <w:r w:rsidRPr="009401F3">
              <w:rPr>
                <w:rFonts w:ascii="Arial Narrow" w:hAnsi="Arial Narrow" w:cs="Calibri"/>
                <w:sz w:val="18"/>
                <w:szCs w:val="18"/>
              </w:rPr>
              <w:t xml:space="preserve">2021 </w:t>
            </w:r>
          </w:p>
        </w:tc>
        <w:tc>
          <w:tcPr>
            <w:tcW w:w="1436" w:type="dxa"/>
            <w:noWrap/>
            <w:vAlign w:val="top"/>
            <w:hideMark/>
          </w:tcPr>
          <w:p w14:paraId="6F7F3465"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568.9</w:t>
            </w:r>
          </w:p>
        </w:tc>
        <w:tc>
          <w:tcPr>
            <w:tcW w:w="1297" w:type="dxa"/>
            <w:noWrap/>
            <w:vAlign w:val="top"/>
            <w:hideMark/>
          </w:tcPr>
          <w:p w14:paraId="7E09F85B"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682.1</w:t>
            </w:r>
          </w:p>
        </w:tc>
        <w:tc>
          <w:tcPr>
            <w:tcW w:w="1297" w:type="dxa"/>
            <w:noWrap/>
            <w:vAlign w:val="top"/>
            <w:hideMark/>
          </w:tcPr>
          <w:p w14:paraId="5F89AA07"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808.1</w:t>
            </w:r>
          </w:p>
        </w:tc>
        <w:tc>
          <w:tcPr>
            <w:tcW w:w="1436" w:type="dxa"/>
            <w:noWrap/>
            <w:vAlign w:val="top"/>
            <w:hideMark/>
          </w:tcPr>
          <w:p w14:paraId="3F4CA8D5"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965.7</w:t>
            </w:r>
          </w:p>
        </w:tc>
        <w:tc>
          <w:tcPr>
            <w:tcW w:w="1563" w:type="dxa"/>
            <w:noWrap/>
            <w:vAlign w:val="top"/>
            <w:hideMark/>
          </w:tcPr>
          <w:p w14:paraId="7AF5C87F"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1293.4</w:t>
            </w:r>
          </w:p>
        </w:tc>
      </w:tr>
      <w:tr w:rsidR="00C419E0" w:rsidRPr="002A1C23" w14:paraId="51B9F646"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noWrap/>
            <w:hideMark/>
          </w:tcPr>
          <w:p w14:paraId="6AC8F6CE" w14:textId="77777777" w:rsidR="00C419E0" w:rsidRPr="009401F3" w:rsidRDefault="00C419E0" w:rsidP="00C419E0">
            <w:pPr>
              <w:spacing w:line="240" w:lineRule="auto"/>
              <w:rPr>
                <w:rFonts w:ascii="Arial Narrow" w:hAnsi="Arial Narrow" w:cs="Calibri"/>
                <w:sz w:val="18"/>
                <w:szCs w:val="18"/>
              </w:rPr>
            </w:pPr>
            <w:r w:rsidRPr="009401F3">
              <w:rPr>
                <w:rFonts w:ascii="Arial Narrow" w:hAnsi="Arial Narrow" w:cs="Calibri"/>
                <w:sz w:val="18"/>
                <w:szCs w:val="18"/>
              </w:rPr>
              <w:t xml:space="preserve">2022 </w:t>
            </w:r>
          </w:p>
        </w:tc>
        <w:tc>
          <w:tcPr>
            <w:tcW w:w="1436" w:type="dxa"/>
            <w:noWrap/>
            <w:vAlign w:val="top"/>
            <w:hideMark/>
          </w:tcPr>
          <w:p w14:paraId="3AB120CA"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607.9</w:t>
            </w:r>
          </w:p>
        </w:tc>
        <w:tc>
          <w:tcPr>
            <w:tcW w:w="1297" w:type="dxa"/>
            <w:noWrap/>
            <w:vAlign w:val="top"/>
            <w:hideMark/>
          </w:tcPr>
          <w:p w14:paraId="3843CB36"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713.0</w:t>
            </w:r>
          </w:p>
        </w:tc>
        <w:tc>
          <w:tcPr>
            <w:tcW w:w="1297" w:type="dxa"/>
            <w:noWrap/>
            <w:vAlign w:val="top"/>
            <w:hideMark/>
          </w:tcPr>
          <w:p w14:paraId="1BD7AAB0"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833.3</w:t>
            </w:r>
          </w:p>
        </w:tc>
        <w:tc>
          <w:tcPr>
            <w:tcW w:w="1436" w:type="dxa"/>
            <w:noWrap/>
            <w:vAlign w:val="top"/>
            <w:hideMark/>
          </w:tcPr>
          <w:p w14:paraId="3BBBF422"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994.3</w:t>
            </w:r>
          </w:p>
        </w:tc>
        <w:tc>
          <w:tcPr>
            <w:tcW w:w="1563" w:type="dxa"/>
            <w:noWrap/>
            <w:vAlign w:val="top"/>
            <w:hideMark/>
          </w:tcPr>
          <w:p w14:paraId="3491A028"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1334.1</w:t>
            </w:r>
          </w:p>
        </w:tc>
      </w:tr>
      <w:tr w:rsidR="00C419E0" w:rsidRPr="002A1C23" w14:paraId="229FF45B"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noWrap/>
            <w:hideMark/>
          </w:tcPr>
          <w:p w14:paraId="6629A9CD" w14:textId="77777777" w:rsidR="00C419E0" w:rsidRPr="009401F3" w:rsidRDefault="00C419E0" w:rsidP="00C419E0">
            <w:pPr>
              <w:spacing w:line="240" w:lineRule="auto"/>
              <w:rPr>
                <w:rFonts w:ascii="Arial Narrow" w:hAnsi="Arial Narrow" w:cs="Calibri"/>
                <w:sz w:val="18"/>
                <w:szCs w:val="18"/>
              </w:rPr>
            </w:pPr>
            <w:r w:rsidRPr="009401F3">
              <w:rPr>
                <w:rFonts w:ascii="Arial Narrow" w:hAnsi="Arial Narrow" w:cs="Calibri"/>
                <w:sz w:val="18"/>
                <w:szCs w:val="18"/>
              </w:rPr>
              <w:t xml:space="preserve">2023 </w:t>
            </w:r>
          </w:p>
        </w:tc>
        <w:tc>
          <w:tcPr>
            <w:tcW w:w="1436" w:type="dxa"/>
            <w:noWrap/>
            <w:vAlign w:val="top"/>
            <w:hideMark/>
          </w:tcPr>
          <w:p w14:paraId="67641D86"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633.6</w:t>
            </w:r>
          </w:p>
        </w:tc>
        <w:tc>
          <w:tcPr>
            <w:tcW w:w="1297" w:type="dxa"/>
            <w:noWrap/>
            <w:vAlign w:val="top"/>
            <w:hideMark/>
          </w:tcPr>
          <w:p w14:paraId="06CD87C8"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758.8</w:t>
            </w:r>
          </w:p>
        </w:tc>
        <w:tc>
          <w:tcPr>
            <w:tcW w:w="1297" w:type="dxa"/>
            <w:noWrap/>
            <w:vAlign w:val="top"/>
            <w:hideMark/>
          </w:tcPr>
          <w:p w14:paraId="15DEBEED"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902.6</w:t>
            </w:r>
          </w:p>
        </w:tc>
        <w:tc>
          <w:tcPr>
            <w:tcW w:w="1436" w:type="dxa"/>
            <w:noWrap/>
            <w:vAlign w:val="top"/>
            <w:hideMark/>
          </w:tcPr>
          <w:p w14:paraId="1D4F5793"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1014.7</w:t>
            </w:r>
          </w:p>
        </w:tc>
        <w:tc>
          <w:tcPr>
            <w:tcW w:w="1563" w:type="dxa"/>
            <w:noWrap/>
            <w:vAlign w:val="top"/>
            <w:hideMark/>
          </w:tcPr>
          <w:p w14:paraId="07DF7534"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1355.8</w:t>
            </w:r>
          </w:p>
        </w:tc>
      </w:tr>
      <w:tr w:rsidR="00C419E0" w:rsidRPr="002A1C23" w14:paraId="42D7515F"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noWrap/>
            <w:hideMark/>
          </w:tcPr>
          <w:p w14:paraId="6D6DFDD4" w14:textId="77777777" w:rsidR="00C419E0" w:rsidRPr="009401F3" w:rsidRDefault="00C419E0" w:rsidP="00C419E0">
            <w:pPr>
              <w:spacing w:line="240" w:lineRule="auto"/>
              <w:rPr>
                <w:rFonts w:ascii="Arial Narrow" w:hAnsi="Arial Narrow" w:cs="Calibri"/>
                <w:sz w:val="18"/>
                <w:szCs w:val="18"/>
              </w:rPr>
            </w:pPr>
            <w:r w:rsidRPr="009401F3">
              <w:rPr>
                <w:rFonts w:ascii="Arial Narrow" w:hAnsi="Arial Narrow" w:cs="Calibri"/>
                <w:sz w:val="18"/>
                <w:szCs w:val="18"/>
              </w:rPr>
              <w:t xml:space="preserve">2024 </w:t>
            </w:r>
          </w:p>
        </w:tc>
        <w:tc>
          <w:tcPr>
            <w:tcW w:w="1436" w:type="dxa"/>
            <w:noWrap/>
            <w:vAlign w:val="top"/>
            <w:hideMark/>
          </w:tcPr>
          <w:p w14:paraId="2FAFA5C1"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659.1</w:t>
            </w:r>
          </w:p>
        </w:tc>
        <w:tc>
          <w:tcPr>
            <w:tcW w:w="1297" w:type="dxa"/>
            <w:noWrap/>
            <w:vAlign w:val="top"/>
            <w:hideMark/>
          </w:tcPr>
          <w:p w14:paraId="00769AC9"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782.2</w:t>
            </w:r>
          </w:p>
        </w:tc>
        <w:tc>
          <w:tcPr>
            <w:tcW w:w="1297" w:type="dxa"/>
            <w:noWrap/>
            <w:vAlign w:val="top"/>
            <w:hideMark/>
          </w:tcPr>
          <w:p w14:paraId="611CB0F0"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928.0</w:t>
            </w:r>
          </w:p>
        </w:tc>
        <w:tc>
          <w:tcPr>
            <w:tcW w:w="1436" w:type="dxa"/>
            <w:noWrap/>
            <w:vAlign w:val="top"/>
            <w:hideMark/>
          </w:tcPr>
          <w:p w14:paraId="24BCCF91"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1016.6</w:t>
            </w:r>
          </w:p>
        </w:tc>
        <w:tc>
          <w:tcPr>
            <w:tcW w:w="1563" w:type="dxa"/>
            <w:noWrap/>
            <w:vAlign w:val="top"/>
            <w:hideMark/>
          </w:tcPr>
          <w:p w14:paraId="7A73AD96"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1353.9</w:t>
            </w:r>
          </w:p>
        </w:tc>
      </w:tr>
      <w:tr w:rsidR="00C419E0" w:rsidRPr="002A1C23" w14:paraId="0C880865"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noWrap/>
            <w:hideMark/>
          </w:tcPr>
          <w:p w14:paraId="59598958" w14:textId="77777777" w:rsidR="00C419E0" w:rsidRPr="009401F3" w:rsidRDefault="00C419E0" w:rsidP="00C419E0">
            <w:pPr>
              <w:spacing w:line="240" w:lineRule="auto"/>
              <w:rPr>
                <w:rFonts w:ascii="Arial Narrow" w:hAnsi="Arial Narrow" w:cs="Calibri"/>
                <w:sz w:val="18"/>
                <w:szCs w:val="18"/>
              </w:rPr>
            </w:pPr>
            <w:r w:rsidRPr="009401F3">
              <w:rPr>
                <w:rFonts w:ascii="Arial Narrow" w:hAnsi="Arial Narrow" w:cs="Calibri"/>
                <w:sz w:val="18"/>
                <w:szCs w:val="18"/>
              </w:rPr>
              <w:t xml:space="preserve">2025 </w:t>
            </w:r>
          </w:p>
        </w:tc>
        <w:tc>
          <w:tcPr>
            <w:tcW w:w="1436" w:type="dxa"/>
            <w:noWrap/>
            <w:vAlign w:val="top"/>
            <w:hideMark/>
          </w:tcPr>
          <w:p w14:paraId="5AF6DB05"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706.5</w:t>
            </w:r>
          </w:p>
        </w:tc>
        <w:tc>
          <w:tcPr>
            <w:tcW w:w="1297" w:type="dxa"/>
            <w:noWrap/>
            <w:vAlign w:val="top"/>
            <w:hideMark/>
          </w:tcPr>
          <w:p w14:paraId="4B3D37CA"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800.6</w:t>
            </w:r>
          </w:p>
        </w:tc>
        <w:tc>
          <w:tcPr>
            <w:tcW w:w="1297" w:type="dxa"/>
            <w:noWrap/>
            <w:vAlign w:val="top"/>
            <w:hideMark/>
          </w:tcPr>
          <w:p w14:paraId="06922C95"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957.2</w:t>
            </w:r>
          </w:p>
        </w:tc>
        <w:tc>
          <w:tcPr>
            <w:tcW w:w="1436" w:type="dxa"/>
            <w:noWrap/>
            <w:vAlign w:val="top"/>
            <w:hideMark/>
          </w:tcPr>
          <w:p w14:paraId="30C50EB2"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1047.7</w:t>
            </w:r>
          </w:p>
        </w:tc>
        <w:tc>
          <w:tcPr>
            <w:tcW w:w="1563" w:type="dxa"/>
            <w:noWrap/>
            <w:vAlign w:val="top"/>
            <w:hideMark/>
          </w:tcPr>
          <w:p w14:paraId="12D18FD8"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1385.1</w:t>
            </w:r>
          </w:p>
        </w:tc>
      </w:tr>
      <w:tr w:rsidR="00C419E0" w:rsidRPr="002A1C23" w14:paraId="127055B9"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noWrap/>
            <w:hideMark/>
          </w:tcPr>
          <w:p w14:paraId="59B6C3A3" w14:textId="77777777" w:rsidR="00C419E0" w:rsidRPr="009401F3" w:rsidRDefault="00C419E0" w:rsidP="00C419E0">
            <w:pPr>
              <w:spacing w:line="240" w:lineRule="auto"/>
              <w:rPr>
                <w:rFonts w:ascii="Arial Narrow" w:hAnsi="Arial Narrow" w:cs="Calibri"/>
                <w:sz w:val="18"/>
                <w:szCs w:val="18"/>
              </w:rPr>
            </w:pPr>
            <w:r w:rsidRPr="009401F3">
              <w:rPr>
                <w:rFonts w:ascii="Arial Narrow" w:hAnsi="Arial Narrow" w:cs="Calibri"/>
                <w:sz w:val="18"/>
                <w:szCs w:val="18"/>
              </w:rPr>
              <w:t xml:space="preserve">2026 </w:t>
            </w:r>
          </w:p>
        </w:tc>
        <w:tc>
          <w:tcPr>
            <w:tcW w:w="1436" w:type="dxa"/>
            <w:noWrap/>
            <w:vAlign w:val="top"/>
            <w:hideMark/>
          </w:tcPr>
          <w:p w14:paraId="537C1FDA"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738.7</w:t>
            </w:r>
          </w:p>
        </w:tc>
        <w:tc>
          <w:tcPr>
            <w:tcW w:w="1297" w:type="dxa"/>
            <w:noWrap/>
            <w:vAlign w:val="top"/>
            <w:hideMark/>
          </w:tcPr>
          <w:p w14:paraId="5BDECDA7"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807.0</w:t>
            </w:r>
          </w:p>
        </w:tc>
        <w:tc>
          <w:tcPr>
            <w:tcW w:w="1297" w:type="dxa"/>
            <w:noWrap/>
            <w:vAlign w:val="top"/>
            <w:hideMark/>
          </w:tcPr>
          <w:p w14:paraId="0D84693F"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965.7</w:t>
            </w:r>
          </w:p>
        </w:tc>
        <w:tc>
          <w:tcPr>
            <w:tcW w:w="1436" w:type="dxa"/>
            <w:noWrap/>
            <w:vAlign w:val="top"/>
            <w:hideMark/>
          </w:tcPr>
          <w:p w14:paraId="2BC646BE"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1044.8</w:t>
            </w:r>
          </w:p>
        </w:tc>
        <w:tc>
          <w:tcPr>
            <w:tcW w:w="1563" w:type="dxa"/>
            <w:noWrap/>
            <w:vAlign w:val="top"/>
            <w:hideMark/>
          </w:tcPr>
          <w:p w14:paraId="7094AAFB"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1386.2</w:t>
            </w:r>
          </w:p>
        </w:tc>
      </w:tr>
      <w:tr w:rsidR="00C419E0" w:rsidRPr="002A1C23" w14:paraId="242C4D26"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noWrap/>
            <w:hideMark/>
          </w:tcPr>
          <w:p w14:paraId="7A955B77" w14:textId="77777777" w:rsidR="00C419E0" w:rsidRPr="009401F3" w:rsidRDefault="00C419E0" w:rsidP="00C419E0">
            <w:pPr>
              <w:spacing w:line="240" w:lineRule="auto"/>
              <w:rPr>
                <w:rFonts w:ascii="Arial Narrow" w:hAnsi="Arial Narrow" w:cs="Calibri"/>
                <w:sz w:val="18"/>
                <w:szCs w:val="18"/>
              </w:rPr>
            </w:pPr>
            <w:r w:rsidRPr="009401F3">
              <w:rPr>
                <w:rFonts w:ascii="Arial Narrow" w:hAnsi="Arial Narrow" w:cs="Calibri"/>
                <w:sz w:val="18"/>
                <w:szCs w:val="18"/>
              </w:rPr>
              <w:t xml:space="preserve">2027 </w:t>
            </w:r>
          </w:p>
        </w:tc>
        <w:tc>
          <w:tcPr>
            <w:tcW w:w="1436" w:type="dxa"/>
            <w:noWrap/>
            <w:vAlign w:val="top"/>
            <w:hideMark/>
          </w:tcPr>
          <w:p w14:paraId="4EE2EC73"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762.6</w:t>
            </w:r>
          </w:p>
        </w:tc>
        <w:tc>
          <w:tcPr>
            <w:tcW w:w="1297" w:type="dxa"/>
            <w:noWrap/>
            <w:vAlign w:val="top"/>
            <w:hideMark/>
          </w:tcPr>
          <w:p w14:paraId="7295DA4E"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819.2</w:t>
            </w:r>
          </w:p>
        </w:tc>
        <w:tc>
          <w:tcPr>
            <w:tcW w:w="1297" w:type="dxa"/>
            <w:noWrap/>
            <w:vAlign w:val="top"/>
            <w:hideMark/>
          </w:tcPr>
          <w:p w14:paraId="79E4DD11"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979.4</w:t>
            </w:r>
          </w:p>
        </w:tc>
        <w:tc>
          <w:tcPr>
            <w:tcW w:w="1436" w:type="dxa"/>
            <w:noWrap/>
            <w:vAlign w:val="top"/>
            <w:hideMark/>
          </w:tcPr>
          <w:p w14:paraId="5C01C365"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1060.6</w:t>
            </w:r>
          </w:p>
        </w:tc>
        <w:tc>
          <w:tcPr>
            <w:tcW w:w="1563" w:type="dxa"/>
            <w:noWrap/>
            <w:vAlign w:val="top"/>
            <w:hideMark/>
          </w:tcPr>
          <w:p w14:paraId="4AB1DB06"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1418.4</w:t>
            </w:r>
          </w:p>
        </w:tc>
      </w:tr>
      <w:tr w:rsidR="00C419E0" w:rsidRPr="002A1C23" w14:paraId="78ED50BC"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noWrap/>
            <w:hideMark/>
          </w:tcPr>
          <w:p w14:paraId="529867B8" w14:textId="77777777" w:rsidR="00C419E0" w:rsidRPr="009401F3" w:rsidRDefault="00C419E0" w:rsidP="00C419E0">
            <w:pPr>
              <w:spacing w:line="240" w:lineRule="auto"/>
              <w:rPr>
                <w:rFonts w:ascii="Arial Narrow" w:hAnsi="Arial Narrow" w:cs="Calibri"/>
                <w:sz w:val="18"/>
                <w:szCs w:val="18"/>
              </w:rPr>
            </w:pPr>
            <w:r w:rsidRPr="009401F3">
              <w:rPr>
                <w:rFonts w:ascii="Arial Narrow" w:hAnsi="Arial Narrow" w:cs="Calibri"/>
                <w:sz w:val="18"/>
                <w:szCs w:val="18"/>
              </w:rPr>
              <w:t xml:space="preserve">2028 </w:t>
            </w:r>
          </w:p>
        </w:tc>
        <w:tc>
          <w:tcPr>
            <w:tcW w:w="1436" w:type="dxa"/>
            <w:noWrap/>
            <w:vAlign w:val="top"/>
            <w:hideMark/>
          </w:tcPr>
          <w:p w14:paraId="3BCFF189"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786.0</w:t>
            </w:r>
          </w:p>
        </w:tc>
        <w:tc>
          <w:tcPr>
            <w:tcW w:w="1297" w:type="dxa"/>
            <w:noWrap/>
            <w:vAlign w:val="top"/>
            <w:hideMark/>
          </w:tcPr>
          <w:p w14:paraId="3371D9A1"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839.2</w:t>
            </w:r>
          </w:p>
        </w:tc>
        <w:tc>
          <w:tcPr>
            <w:tcW w:w="1297" w:type="dxa"/>
            <w:noWrap/>
            <w:vAlign w:val="top"/>
            <w:hideMark/>
          </w:tcPr>
          <w:p w14:paraId="31B6CC8E"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1011.9</w:t>
            </w:r>
          </w:p>
        </w:tc>
        <w:tc>
          <w:tcPr>
            <w:tcW w:w="1436" w:type="dxa"/>
            <w:noWrap/>
            <w:vAlign w:val="top"/>
            <w:hideMark/>
          </w:tcPr>
          <w:p w14:paraId="4CD23FF9"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1076.0</w:t>
            </w:r>
          </w:p>
        </w:tc>
        <w:tc>
          <w:tcPr>
            <w:tcW w:w="1563" w:type="dxa"/>
            <w:noWrap/>
            <w:vAlign w:val="top"/>
            <w:hideMark/>
          </w:tcPr>
          <w:p w14:paraId="38ED0BE0"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1450.8</w:t>
            </w:r>
          </w:p>
        </w:tc>
      </w:tr>
      <w:tr w:rsidR="00C419E0" w:rsidRPr="002A1C23" w14:paraId="488DA30B"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noWrap/>
            <w:hideMark/>
          </w:tcPr>
          <w:p w14:paraId="433F3DA0" w14:textId="77777777" w:rsidR="00C419E0" w:rsidRPr="009401F3" w:rsidRDefault="00C419E0" w:rsidP="00C419E0">
            <w:pPr>
              <w:spacing w:line="240" w:lineRule="auto"/>
              <w:rPr>
                <w:rFonts w:ascii="Arial Narrow" w:hAnsi="Arial Narrow" w:cs="Calibri"/>
                <w:sz w:val="18"/>
                <w:szCs w:val="18"/>
              </w:rPr>
            </w:pPr>
            <w:r w:rsidRPr="009401F3">
              <w:rPr>
                <w:rFonts w:ascii="Arial Narrow" w:hAnsi="Arial Narrow" w:cs="Calibri"/>
                <w:sz w:val="18"/>
                <w:szCs w:val="18"/>
              </w:rPr>
              <w:t xml:space="preserve">2029 </w:t>
            </w:r>
          </w:p>
        </w:tc>
        <w:tc>
          <w:tcPr>
            <w:tcW w:w="1436" w:type="dxa"/>
            <w:noWrap/>
            <w:vAlign w:val="top"/>
            <w:hideMark/>
          </w:tcPr>
          <w:p w14:paraId="6C2BEA61"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808.9</w:t>
            </w:r>
          </w:p>
        </w:tc>
        <w:tc>
          <w:tcPr>
            <w:tcW w:w="1297" w:type="dxa"/>
            <w:noWrap/>
            <w:vAlign w:val="top"/>
            <w:hideMark/>
          </w:tcPr>
          <w:p w14:paraId="6BCB8179"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860.9</w:t>
            </w:r>
          </w:p>
        </w:tc>
        <w:tc>
          <w:tcPr>
            <w:tcW w:w="1297" w:type="dxa"/>
            <w:noWrap/>
            <w:vAlign w:val="top"/>
            <w:hideMark/>
          </w:tcPr>
          <w:p w14:paraId="7932F112"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1024.8</w:t>
            </w:r>
          </w:p>
        </w:tc>
        <w:tc>
          <w:tcPr>
            <w:tcW w:w="1436" w:type="dxa"/>
            <w:noWrap/>
            <w:vAlign w:val="top"/>
            <w:hideMark/>
          </w:tcPr>
          <w:p w14:paraId="325731F5"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1104.1</w:t>
            </w:r>
          </w:p>
        </w:tc>
        <w:tc>
          <w:tcPr>
            <w:tcW w:w="1563" w:type="dxa"/>
            <w:noWrap/>
            <w:vAlign w:val="top"/>
            <w:hideMark/>
          </w:tcPr>
          <w:p w14:paraId="56244591" w14:textId="77777777" w:rsidR="00C419E0" w:rsidRPr="00C419E0" w:rsidRDefault="00C419E0" w:rsidP="00C419E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1507.5</w:t>
            </w:r>
          </w:p>
        </w:tc>
      </w:tr>
      <w:tr w:rsidR="00C419E0" w:rsidRPr="002A1C23" w14:paraId="3C9D32C6"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noWrap/>
            <w:hideMark/>
          </w:tcPr>
          <w:p w14:paraId="7CB4AEE4" w14:textId="77777777" w:rsidR="00C419E0" w:rsidRPr="009401F3" w:rsidRDefault="00C419E0" w:rsidP="00C419E0">
            <w:pPr>
              <w:spacing w:line="240" w:lineRule="auto"/>
              <w:rPr>
                <w:rFonts w:ascii="Arial Narrow" w:hAnsi="Arial Narrow" w:cs="Calibri"/>
                <w:sz w:val="18"/>
                <w:szCs w:val="18"/>
              </w:rPr>
            </w:pPr>
            <w:r w:rsidRPr="009401F3">
              <w:rPr>
                <w:rFonts w:ascii="Arial Narrow" w:hAnsi="Arial Narrow" w:cs="Calibri"/>
                <w:sz w:val="18"/>
                <w:szCs w:val="18"/>
              </w:rPr>
              <w:t xml:space="preserve">2030 </w:t>
            </w:r>
          </w:p>
        </w:tc>
        <w:tc>
          <w:tcPr>
            <w:tcW w:w="1436" w:type="dxa"/>
            <w:noWrap/>
            <w:vAlign w:val="top"/>
            <w:hideMark/>
          </w:tcPr>
          <w:p w14:paraId="3AA64F20"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835.6</w:t>
            </w:r>
          </w:p>
        </w:tc>
        <w:tc>
          <w:tcPr>
            <w:tcW w:w="1297" w:type="dxa"/>
            <w:noWrap/>
            <w:vAlign w:val="top"/>
            <w:hideMark/>
          </w:tcPr>
          <w:p w14:paraId="1936407D"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896.2</w:t>
            </w:r>
          </w:p>
        </w:tc>
        <w:tc>
          <w:tcPr>
            <w:tcW w:w="1297" w:type="dxa"/>
            <w:noWrap/>
            <w:vAlign w:val="top"/>
            <w:hideMark/>
          </w:tcPr>
          <w:p w14:paraId="5154C849"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1042.7</w:t>
            </w:r>
          </w:p>
        </w:tc>
        <w:tc>
          <w:tcPr>
            <w:tcW w:w="1436" w:type="dxa"/>
            <w:noWrap/>
            <w:vAlign w:val="top"/>
            <w:hideMark/>
          </w:tcPr>
          <w:p w14:paraId="3C94804C"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1140.7</w:t>
            </w:r>
          </w:p>
        </w:tc>
        <w:tc>
          <w:tcPr>
            <w:tcW w:w="1563" w:type="dxa"/>
            <w:noWrap/>
            <w:vAlign w:val="top"/>
            <w:hideMark/>
          </w:tcPr>
          <w:p w14:paraId="280AAD0A" w14:textId="77777777" w:rsidR="00C419E0" w:rsidRPr="00C419E0" w:rsidRDefault="00C419E0" w:rsidP="00C419E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AF21BE">
              <w:rPr>
                <w:rFonts w:ascii="Arial Narrow" w:hAnsi="Arial Narrow"/>
                <w:sz w:val="18"/>
                <w:szCs w:val="18"/>
              </w:rPr>
              <w:t>1574.6</w:t>
            </w:r>
          </w:p>
        </w:tc>
      </w:tr>
    </w:tbl>
    <w:p w14:paraId="75B19D1C" w14:textId="77777777" w:rsidR="009401F3" w:rsidRDefault="009401F3" w:rsidP="009401F3"/>
    <w:p w14:paraId="39E52A71" w14:textId="77777777" w:rsidR="00750317" w:rsidRDefault="00750317" w:rsidP="009401F3">
      <w:pPr>
        <w:rPr>
          <w:highlight w:val="yellow"/>
        </w:rPr>
      </w:pPr>
    </w:p>
    <w:p w14:paraId="279A00DA" w14:textId="77777777" w:rsidR="00FA6EDD" w:rsidRDefault="00FA6EDD" w:rsidP="00903000">
      <w:pPr>
        <w:sectPr w:rsidR="00FA6EDD" w:rsidSect="00DA7405">
          <w:pgSz w:w="12240" w:h="15840" w:code="1"/>
          <w:pgMar w:top="1440" w:right="1440" w:bottom="1440" w:left="1440" w:header="720" w:footer="720" w:gutter="0"/>
          <w:pgNumType w:fmt="lowerRoman"/>
          <w:cols w:space="720"/>
          <w:docGrid w:linePitch="360"/>
        </w:sectPr>
      </w:pPr>
    </w:p>
    <w:p w14:paraId="5A1F6FD4" w14:textId="77777777" w:rsidR="00CA2F4C" w:rsidRPr="002E129B" w:rsidRDefault="00E8575E" w:rsidP="004E4E36">
      <w:pPr>
        <w:pStyle w:val="Heading1"/>
        <w:numPr>
          <w:ilvl w:val="0"/>
          <w:numId w:val="46"/>
        </w:numPr>
      </w:pPr>
      <w:bookmarkStart w:id="60" w:name="_Toc478990486"/>
      <w:bookmarkStart w:id="61" w:name="_Toc479768559"/>
      <w:bookmarkStart w:id="62" w:name="_Toc482353481"/>
      <w:bookmarkStart w:id="63" w:name="_Toc482357284"/>
      <w:bookmarkStart w:id="64" w:name="_Toc482634260"/>
      <w:bookmarkStart w:id="65" w:name="_Toc482626392"/>
      <w:bookmarkStart w:id="66" w:name="_Toc484092463"/>
      <w:bookmarkStart w:id="67" w:name="_Toc484172666"/>
      <w:bookmarkStart w:id="68" w:name="_Toc484183003"/>
      <w:bookmarkStart w:id="69" w:name="_Toc490225760"/>
      <w:r w:rsidRPr="002E129B">
        <w:lastRenderedPageBreak/>
        <w:t>Introduction</w:t>
      </w:r>
      <w:bookmarkEnd w:id="60"/>
      <w:bookmarkEnd w:id="61"/>
      <w:bookmarkEnd w:id="62"/>
      <w:bookmarkEnd w:id="63"/>
      <w:bookmarkEnd w:id="64"/>
      <w:bookmarkEnd w:id="65"/>
      <w:bookmarkEnd w:id="66"/>
      <w:bookmarkEnd w:id="67"/>
      <w:bookmarkEnd w:id="68"/>
      <w:bookmarkEnd w:id="69"/>
    </w:p>
    <w:p w14:paraId="0312008B" w14:textId="77777777" w:rsidR="00544D36" w:rsidRPr="00DA7405" w:rsidRDefault="00E8575E" w:rsidP="00DA7405">
      <w:pPr>
        <w:pStyle w:val="Heading2"/>
      </w:pPr>
      <w:bookmarkStart w:id="70" w:name="_Toc478990487"/>
      <w:bookmarkStart w:id="71" w:name="_Toc479768560"/>
      <w:bookmarkStart w:id="72" w:name="_Toc482353482"/>
      <w:bookmarkStart w:id="73" w:name="_Toc482357285"/>
      <w:bookmarkStart w:id="74" w:name="_Toc482634261"/>
      <w:bookmarkStart w:id="75" w:name="_Toc482626393"/>
      <w:bookmarkStart w:id="76" w:name="_Toc484092464"/>
      <w:bookmarkStart w:id="77" w:name="_Toc484172667"/>
      <w:bookmarkStart w:id="78" w:name="_Toc484183004"/>
      <w:bookmarkStart w:id="79" w:name="_Toc490225761"/>
      <w:r>
        <w:t>Context of the Goals and Potential Study</w:t>
      </w:r>
      <w:bookmarkEnd w:id="70"/>
      <w:bookmarkEnd w:id="71"/>
      <w:bookmarkEnd w:id="72"/>
      <w:bookmarkEnd w:id="73"/>
      <w:bookmarkEnd w:id="74"/>
      <w:bookmarkEnd w:id="75"/>
      <w:bookmarkEnd w:id="76"/>
      <w:bookmarkEnd w:id="77"/>
      <w:bookmarkEnd w:id="78"/>
      <w:bookmarkEnd w:id="79"/>
    </w:p>
    <w:p w14:paraId="64AB96E1" w14:textId="77777777" w:rsidR="000A5A7E" w:rsidRDefault="000A5A7E" w:rsidP="000A5A7E">
      <w:r w:rsidRPr="00FC44DD">
        <w:t>Navigant Consulting, Inc. along with its partners T</w:t>
      </w:r>
      <w:r>
        <w:t>ierra Resource Consultants LLC</w:t>
      </w:r>
      <w:r w:rsidRPr="00FC44DD">
        <w:t xml:space="preserve"> (collectively known as “the Navigant team”) </w:t>
      </w:r>
      <w:r>
        <w:t xml:space="preserve">prepared </w:t>
      </w:r>
      <w:r w:rsidRPr="00FC44DD">
        <w:t>this study (“</w:t>
      </w:r>
      <w:r>
        <w:t>2018</w:t>
      </w:r>
      <w:r w:rsidRPr="00FC44DD">
        <w:t xml:space="preserve"> and Beyond Potential and Goals Study”) </w:t>
      </w:r>
      <w:r>
        <w:t xml:space="preserve">for the California Public Utilities Commission (CPUC).  The purpose of this study is </w:t>
      </w:r>
      <w:r w:rsidRPr="00FC44DD">
        <w:t xml:space="preserve">to </w:t>
      </w:r>
      <w:r>
        <w:t xml:space="preserve">develop estimates of </w:t>
      </w:r>
      <w:r w:rsidRPr="00FC44DD">
        <w:t xml:space="preserve">energy and demand savings potential in the service territories of California’s </w:t>
      </w:r>
      <w:r>
        <w:t xml:space="preserve">major </w:t>
      </w:r>
      <w:r w:rsidRPr="00FC44DD">
        <w:t>investor-owned utilities (IOUs) during the post</w:t>
      </w:r>
      <w:r>
        <w:t>-</w:t>
      </w:r>
      <w:r w:rsidRPr="00FC44DD">
        <w:t>201</w:t>
      </w:r>
      <w:r>
        <w:t>7</w:t>
      </w:r>
      <w:r w:rsidRPr="00FC44DD">
        <w:t xml:space="preserve"> energy efficiency (EE) </w:t>
      </w:r>
      <w:r>
        <w:t xml:space="preserve">rolling </w:t>
      </w:r>
      <w:r w:rsidRPr="00FC44DD">
        <w:t xml:space="preserve">portfolio planning cycle. This report includes results for Pacific Gas and Electric (PG&amp;E), Southern California Edison (SCE), San Diego Gas and Electric (SDG&amp;E), and Southern California Gas (SCG). A key component of the </w:t>
      </w:r>
      <w:r>
        <w:t>2018 Potential and Goals Study (2018</w:t>
      </w:r>
      <w:r w:rsidRPr="00FC44DD">
        <w:t xml:space="preserve"> Study) is the Potential and Goals Model (PG Model), which provides a single platform in which to conduct robust quantitative scenario analysis that reflects the complex interactions among various inputs and Policy Drivers.</w:t>
      </w:r>
    </w:p>
    <w:p w14:paraId="25C83366" w14:textId="77777777" w:rsidR="00557792" w:rsidRDefault="00557792" w:rsidP="00A459FB"/>
    <w:p w14:paraId="0C688BA0" w14:textId="77777777" w:rsidR="00557792" w:rsidRDefault="00557792" w:rsidP="00557792">
      <w:r w:rsidRPr="00D94F63">
        <w:t>The 201</w:t>
      </w:r>
      <w:r w:rsidR="00903000">
        <w:t>8</w:t>
      </w:r>
      <w:r w:rsidRPr="00D94F63">
        <w:t xml:space="preserve"> Study is the fourth consecutive potential study conducted by the Navigant team on behalf of the California Public Utilities Commission (CPUC). Navigant conducted the 2011</w:t>
      </w:r>
      <w:r w:rsidRPr="00D94F63">
        <w:rPr>
          <w:rStyle w:val="FootnoteReference"/>
        </w:rPr>
        <w:footnoteReference w:id="10"/>
      </w:r>
      <w:r w:rsidRPr="00D94F63">
        <w:t xml:space="preserve"> study, which informed the 2013-14 IOU program goals, and the 2013 Study,</w:t>
      </w:r>
      <w:r w:rsidRPr="00D94F63">
        <w:rPr>
          <w:rStyle w:val="FootnoteReference"/>
        </w:rPr>
        <w:footnoteReference w:id="11"/>
      </w:r>
      <w:r w:rsidRPr="00D94F63">
        <w:t xml:space="preserve"> which was used to inform the 2015 goals for California IOUs, and the 2015</w:t>
      </w:r>
      <w:r w:rsidRPr="00D94F63">
        <w:rPr>
          <w:rStyle w:val="FootnoteReference"/>
        </w:rPr>
        <w:footnoteReference w:id="12"/>
      </w:r>
      <w:r w:rsidRPr="00D94F63">
        <w:t xml:space="preserve"> study which informed the 2016 and beyond goals. </w:t>
      </w:r>
      <w:r>
        <w:t xml:space="preserve">A significant number of recent policy changes in California are driving updates to the approach and methodology of the </w:t>
      </w:r>
      <w:r w:rsidR="00BB59F5">
        <w:t>2018</w:t>
      </w:r>
      <w:r>
        <w:t xml:space="preserve"> study. These policy drivers include:</w:t>
      </w:r>
    </w:p>
    <w:p w14:paraId="21C13C1D" w14:textId="77777777" w:rsidR="00557792" w:rsidRPr="00876767" w:rsidRDefault="00557792" w:rsidP="004E4E36">
      <w:pPr>
        <w:pStyle w:val="ListParagraph"/>
        <w:numPr>
          <w:ilvl w:val="0"/>
          <w:numId w:val="19"/>
        </w:numPr>
      </w:pPr>
      <w:r w:rsidRPr="00950406">
        <w:rPr>
          <w:b/>
          <w:snapToGrid w:val="0"/>
        </w:rPr>
        <w:t>California Assembly Bill 802 (AB802)</w:t>
      </w:r>
      <w:r w:rsidRPr="00950406">
        <w:rPr>
          <w:snapToGrid w:val="0"/>
        </w:rPr>
        <w:t xml:space="preserve"> has the potential to significantly shift the way California energy efficiency Program Administrators (PAs) rebate and claim energy savings from energy efficiency programs. Historically Investor Owned Utilities (IOU) programs have been </w:t>
      </w:r>
      <w:r w:rsidR="001564FF">
        <w:rPr>
          <w:snapToGrid w:val="0"/>
        </w:rPr>
        <w:t xml:space="preserve">mostly </w:t>
      </w:r>
      <w:r w:rsidRPr="00950406">
        <w:rPr>
          <w:snapToGrid w:val="0"/>
        </w:rPr>
        <w:t xml:space="preserve">limited to seeking, rebating, and claiming energy efficiency savings for equipment that exceeds current code or standard. Furthermore, </w:t>
      </w:r>
      <w:r w:rsidR="001564FF">
        <w:rPr>
          <w:snapToGrid w:val="0"/>
        </w:rPr>
        <w:t>and with a few exceptions</w:t>
      </w:r>
      <w:r w:rsidRPr="00950406">
        <w:rPr>
          <w:snapToGrid w:val="0"/>
        </w:rPr>
        <w:t>, the only energy savings that could be claimed was the difference between code or standard and the high efficiency installation; this is referred to as “above-code savings”.</w:t>
      </w:r>
      <w:r w:rsidRPr="00950406">
        <w:rPr>
          <w:rStyle w:val="FootnoteReference"/>
          <w:snapToGrid w:val="0"/>
        </w:rPr>
        <w:footnoteReference w:id="13"/>
      </w:r>
      <w:r w:rsidRPr="00950406">
        <w:rPr>
          <w:snapToGrid w:val="0"/>
        </w:rPr>
        <w:t xml:space="preserve"> However, AB802 could shift away from this paradigm to allow and incentivize all energy savings (including those that are “below-code”).</w:t>
      </w:r>
      <w:r w:rsidRPr="00950406">
        <w:rPr>
          <w:rStyle w:val="FootnoteReference"/>
          <w:snapToGrid w:val="0"/>
        </w:rPr>
        <w:footnoteReference w:id="14"/>
      </w:r>
      <w:r w:rsidRPr="00950406">
        <w:rPr>
          <w:snapToGrid w:val="0"/>
        </w:rPr>
        <w:t xml:space="preserve"> Furthermore, AB802 instructs energy </w:t>
      </w:r>
      <w:r w:rsidRPr="00876767">
        <w:rPr>
          <w:snapToGrid w:val="0"/>
        </w:rPr>
        <w:t xml:space="preserve">efficiency be achieved not only though equipment installations but also through behavior and operational efficiency interventions. </w:t>
      </w:r>
      <w:r w:rsidRPr="00557792">
        <w:rPr>
          <w:snapToGrid w:val="0"/>
        </w:rPr>
        <w:t>Navigant produced a Technical Analy</w:t>
      </w:r>
      <w:r>
        <w:rPr>
          <w:snapToGrid w:val="0"/>
        </w:rPr>
        <w:t>sis of AB802 (AB802 TA) in 2016</w:t>
      </w:r>
      <w:r w:rsidRPr="00557792">
        <w:rPr>
          <w:snapToGrid w:val="0"/>
        </w:rPr>
        <w:t xml:space="preserve">. The AB802 TA did not inform goals but its methodological advances over prior studies serves as a basis for </w:t>
      </w:r>
      <w:r>
        <w:rPr>
          <w:snapToGrid w:val="0"/>
        </w:rPr>
        <w:t xml:space="preserve">the </w:t>
      </w:r>
      <w:r w:rsidR="00BB59F5">
        <w:rPr>
          <w:snapToGrid w:val="0"/>
        </w:rPr>
        <w:t>2018</w:t>
      </w:r>
      <w:r>
        <w:rPr>
          <w:snapToGrid w:val="0"/>
        </w:rPr>
        <w:t xml:space="preserve"> PG</w:t>
      </w:r>
      <w:r w:rsidRPr="00557792">
        <w:rPr>
          <w:snapToGrid w:val="0"/>
        </w:rPr>
        <w:t xml:space="preserve"> study.</w:t>
      </w:r>
    </w:p>
    <w:p w14:paraId="0D2BE6DA" w14:textId="77777777" w:rsidR="00557792" w:rsidRPr="00876767" w:rsidRDefault="00557792" w:rsidP="004E4E36">
      <w:pPr>
        <w:pStyle w:val="ListParagraph"/>
        <w:numPr>
          <w:ilvl w:val="0"/>
          <w:numId w:val="19"/>
        </w:numPr>
        <w:rPr>
          <w:b/>
        </w:rPr>
      </w:pPr>
      <w:r w:rsidRPr="00876767">
        <w:rPr>
          <w:b/>
        </w:rPr>
        <w:t xml:space="preserve">California Senate Bill 350 (SB350) </w:t>
      </w:r>
      <w:r w:rsidRPr="00876767">
        <w:t xml:space="preserve">established California’s 2030 greenhouse gas reduction target of 40 percent below 1990 levels. To achieve this goal, SB 350 sets 2030 targets for energy efficiency and renewable electricity, among other actions aimed at reducing greenhouse gas emissions. Of concern to the PG study, SB350 requires the state to double statewide energy </w:t>
      </w:r>
      <w:r w:rsidRPr="00876767">
        <w:lastRenderedPageBreak/>
        <w:t>efficiency savings in electricity and natural gas end uses by 2030</w:t>
      </w:r>
      <w:r w:rsidR="00D13938">
        <w:t xml:space="preserve"> and that the </w:t>
      </w:r>
      <w:r w:rsidR="001564FF">
        <w:t xml:space="preserve">goals not be </w:t>
      </w:r>
      <w:r w:rsidR="00D13938">
        <w:t xml:space="preserve">constrained based on past program performance. </w:t>
      </w:r>
    </w:p>
    <w:p w14:paraId="6843E327" w14:textId="1E742F3B" w:rsidR="00557792" w:rsidRDefault="00557792" w:rsidP="00A9318F">
      <w:pPr>
        <w:pStyle w:val="ListParagraph"/>
        <w:numPr>
          <w:ilvl w:val="0"/>
          <w:numId w:val="19"/>
        </w:numPr>
      </w:pPr>
      <w:r w:rsidRPr="00876767">
        <w:rPr>
          <w:b/>
        </w:rPr>
        <w:t>CPUC Cost Effectiveness Test</w:t>
      </w:r>
      <w:r w:rsidR="00A9318F">
        <w:rPr>
          <w:b/>
        </w:rPr>
        <w:t>s and Inputs</w:t>
      </w:r>
      <w:r w:rsidRPr="00876767">
        <w:rPr>
          <w:b/>
        </w:rPr>
        <w:t xml:space="preserve"> Updates</w:t>
      </w:r>
      <w:r w:rsidRPr="00876767">
        <w:t xml:space="preserve"> are currently underway though the </w:t>
      </w:r>
      <w:r w:rsidR="001564FF">
        <w:t xml:space="preserve">Integrated Distributed Energy Resources (IDER) </w:t>
      </w:r>
      <w:r w:rsidRPr="00876767">
        <w:t>proceeding</w:t>
      </w:r>
      <w:r w:rsidR="001564FF">
        <w:t xml:space="preserve"> (R. 14-10-003)</w:t>
      </w:r>
      <w:r w:rsidRPr="00876767">
        <w:t xml:space="preserve">.  Multiple changes have been or are being considered. First, in mid-2016 the CPUC released updated energy avoided costs for use in </w:t>
      </w:r>
      <w:r w:rsidR="001564FF">
        <w:t xml:space="preserve">all distributed energy resources, including </w:t>
      </w:r>
      <w:r w:rsidRPr="00876767">
        <w:t xml:space="preserve">energy efficiency program planning and </w:t>
      </w:r>
      <w:r w:rsidR="001564FF">
        <w:t>budget approval</w:t>
      </w:r>
      <w:r w:rsidRPr="00876767">
        <w:t xml:space="preserve">. These avoided costs were generally observed to be lower than previous avoided cost thus </w:t>
      </w:r>
      <w:r w:rsidR="00762872">
        <w:t>potentially resulting in lower</w:t>
      </w:r>
      <w:r w:rsidRPr="00876767">
        <w:t xml:space="preserve"> overall portfolio cost effectives through the Total Resource Cost (TRC) Test.</w:t>
      </w:r>
      <w:r w:rsidR="00762872">
        <w:rPr>
          <w:rStyle w:val="FootnoteReference"/>
        </w:rPr>
        <w:footnoteReference w:id="15"/>
      </w:r>
      <w:r w:rsidR="00762872" w:rsidRPr="00876767">
        <w:t xml:space="preserve"> </w:t>
      </w:r>
      <w:r w:rsidR="00A9318F" w:rsidRPr="00A9318F">
        <w:t xml:space="preserve">The CPUC has been considering the application of the </w:t>
      </w:r>
      <w:r w:rsidR="000A5A7E">
        <w:t xml:space="preserve">California </w:t>
      </w:r>
      <w:r w:rsidR="00A9318F" w:rsidRPr="00A9318F">
        <w:t>Standard Practice Manual tests for DER needs including the use of a GHG adder to be incorporated</w:t>
      </w:r>
      <w:r w:rsidR="00A9318F">
        <w:t xml:space="preserve"> into the current avoided costs</w:t>
      </w:r>
      <w:r w:rsidR="00D13938">
        <w:t>.</w:t>
      </w:r>
      <w:r w:rsidR="00762872">
        <w:rPr>
          <w:rStyle w:val="FootnoteReference"/>
        </w:rPr>
        <w:footnoteReference w:id="16"/>
      </w:r>
    </w:p>
    <w:p w14:paraId="6A44A001" w14:textId="702E4731" w:rsidR="006406EC" w:rsidRPr="00876767" w:rsidRDefault="006406EC" w:rsidP="006406EC">
      <w:pPr>
        <w:pStyle w:val="ListParagraph"/>
        <w:numPr>
          <w:ilvl w:val="0"/>
          <w:numId w:val="19"/>
        </w:numPr>
      </w:pPr>
      <w:r w:rsidRPr="006406EC">
        <w:rPr>
          <w:b/>
        </w:rPr>
        <w:t>CPUC Net Goals Direction</w:t>
      </w:r>
      <w:r>
        <w:t xml:space="preserve"> – The CPUC directed 2018 and beyond goals to be set net of free-ridership due to changes in baseline policy.</w:t>
      </w:r>
      <w:r>
        <w:rPr>
          <w:rStyle w:val="FootnoteReference"/>
        </w:rPr>
        <w:footnoteReference w:id="17"/>
      </w:r>
      <w:r>
        <w:t xml:space="preserve"> As such, all results, tables, and graphs shown in this document are reported as net of free-ridership unless otherwise noted. </w:t>
      </w:r>
    </w:p>
    <w:p w14:paraId="0F6E4495" w14:textId="77777777" w:rsidR="00A459FB" w:rsidRPr="00FC44DD" w:rsidRDefault="00A459FB" w:rsidP="00A459FB"/>
    <w:p w14:paraId="1449D3CF" w14:textId="77777777" w:rsidR="00D94F63" w:rsidRPr="00D94F63" w:rsidRDefault="00D94F63" w:rsidP="00D94F63">
      <w:r w:rsidRPr="00D94F63">
        <w:t xml:space="preserve">The </w:t>
      </w:r>
      <w:r w:rsidR="00BB59F5">
        <w:t>2018</w:t>
      </w:r>
      <w:r w:rsidRPr="00D94F63">
        <w:t xml:space="preserve"> Potential and Goals Study supports multiple related efforts:</w:t>
      </w:r>
    </w:p>
    <w:p w14:paraId="6F4F7135" w14:textId="77777777" w:rsidR="00D94F63" w:rsidRPr="00D94F63" w:rsidRDefault="00D94F63" w:rsidP="004E4E36">
      <w:pPr>
        <w:pStyle w:val="ListParagraph"/>
        <w:numPr>
          <w:ilvl w:val="0"/>
          <w:numId w:val="74"/>
        </w:numPr>
        <w:ind w:left="900" w:hanging="360"/>
      </w:pPr>
      <w:r w:rsidRPr="00D94F63">
        <w:t>Inform the CPUC as it proceeds to adopt goals and targets, providing guidance for the next IOU energy efficiency portfolios. The potential model is a framework that facilitates the stakeholder process. The model helps build consensus for goals by soliciting agreement on inputs, methods, and model results.</w:t>
      </w:r>
    </w:p>
    <w:p w14:paraId="55B6E342" w14:textId="77777777" w:rsidR="00D94F63" w:rsidRPr="00FC44DD" w:rsidRDefault="00D94F63" w:rsidP="004E4E36">
      <w:pPr>
        <w:pStyle w:val="ListParagraph"/>
        <w:numPr>
          <w:ilvl w:val="0"/>
          <w:numId w:val="74"/>
        </w:numPr>
        <w:ind w:left="900" w:hanging="360"/>
      </w:pPr>
      <w:r w:rsidRPr="00D94F63">
        <w:t>Guide the IOUs in portfolio planning and the state’ principal energy agencies in forecasting for procurement, including the planning efforts of the CPUC, California Energy Commission (CEC), and California Independent System Operator (CAISO). Although the model cannot be the sole source of data for IOU program planning activities, it can provide critical guidance for the IOUs as they develop their plans for the 2018 and beyond portfolio planning period.</w:t>
      </w:r>
      <w:r w:rsidRPr="00FC44DD">
        <w:t xml:space="preserve"> The study is also providing California’s principal energy agencies with the tools and resources necessary to develop outputs in a manner that is most appropriate for their planning and procurement needs. </w:t>
      </w:r>
    </w:p>
    <w:p w14:paraId="64392F1F" w14:textId="77777777" w:rsidR="00D94F63" w:rsidRPr="00FC44DD" w:rsidRDefault="00D94F63" w:rsidP="004E4E36">
      <w:pPr>
        <w:pStyle w:val="ListParagraph"/>
        <w:numPr>
          <w:ilvl w:val="0"/>
          <w:numId w:val="74"/>
        </w:numPr>
        <w:ind w:left="900" w:hanging="360"/>
      </w:pPr>
      <w:r w:rsidRPr="00FC44DD">
        <w:t xml:space="preserve">Inform strategic contributions to </w:t>
      </w:r>
      <w:r>
        <w:t>SB350</w:t>
      </w:r>
      <w:r w:rsidR="009E7E39">
        <w:t xml:space="preserve"> targets. The CEC has historically used the PG study to develop its forecast of Additional Achievable Energy Efficiency Potential (AAEE). SB350 targets a doubling of the AAEE by 2030. The CEC will continue to rely upon the PG study as an input to AAEE; the PG study will also serve as an input to SB350 target setting. </w:t>
      </w:r>
    </w:p>
    <w:p w14:paraId="00D1916E" w14:textId="77777777" w:rsidR="00A459FB" w:rsidRPr="00FC44DD" w:rsidRDefault="00A459FB" w:rsidP="00A459FB"/>
    <w:p w14:paraId="02C4E249" w14:textId="77777777" w:rsidR="00A459FB" w:rsidRPr="00FC44DD" w:rsidRDefault="00A459FB" w:rsidP="00A459FB">
      <w:r w:rsidRPr="00D94F63">
        <w:t>The study period spans from 201</w:t>
      </w:r>
      <w:r w:rsidR="00D94F63" w:rsidRPr="00D94F63">
        <w:t>8-2030</w:t>
      </w:r>
      <w:r w:rsidRPr="00D94F63">
        <w:t xml:space="preserve"> based on the direction provided by CPUC and focuses on curr</w:t>
      </w:r>
      <w:r w:rsidRPr="00FC44DD">
        <w:t>ent and potential drivers of energy savings in IOU service areas. Analysis of energy efficiency savings in publicly owned utility service territories is not pa</w:t>
      </w:r>
      <w:r w:rsidR="00045431">
        <w:t>rt of the scope of this effort.</w:t>
      </w:r>
    </w:p>
    <w:p w14:paraId="5629BC46" w14:textId="77777777" w:rsidR="00A459FB" w:rsidRPr="00A459FB" w:rsidRDefault="00A459FB" w:rsidP="00A459FB">
      <w:pPr>
        <w:pStyle w:val="Heading2"/>
      </w:pPr>
      <w:bookmarkStart w:id="80" w:name="_Ref474512846"/>
      <w:bookmarkStart w:id="81" w:name="_Toc478990488"/>
      <w:bookmarkStart w:id="82" w:name="_Toc479768561"/>
      <w:bookmarkStart w:id="83" w:name="_Toc482353483"/>
      <w:bookmarkStart w:id="84" w:name="_Toc482357286"/>
      <w:bookmarkStart w:id="85" w:name="_Toc482634262"/>
      <w:bookmarkStart w:id="86" w:name="_Toc482626394"/>
      <w:bookmarkStart w:id="87" w:name="_Toc484092465"/>
      <w:bookmarkStart w:id="88" w:name="_Toc484172668"/>
      <w:bookmarkStart w:id="89" w:name="_Toc484183005"/>
      <w:bookmarkStart w:id="90" w:name="_Toc490225762"/>
      <w:r>
        <w:lastRenderedPageBreak/>
        <w:t>Types of Potential</w:t>
      </w:r>
      <w:bookmarkEnd w:id="80"/>
      <w:bookmarkEnd w:id="81"/>
      <w:bookmarkEnd w:id="82"/>
      <w:bookmarkEnd w:id="83"/>
      <w:bookmarkEnd w:id="84"/>
      <w:bookmarkEnd w:id="85"/>
      <w:bookmarkEnd w:id="86"/>
      <w:bookmarkEnd w:id="87"/>
      <w:bookmarkEnd w:id="88"/>
      <w:bookmarkEnd w:id="89"/>
      <w:bookmarkEnd w:id="90"/>
    </w:p>
    <w:p w14:paraId="1A289FC9" w14:textId="77777777" w:rsidR="00A459FB" w:rsidRDefault="00A459FB" w:rsidP="00A459FB">
      <w:r>
        <w:t>Consistent with the 2015 Study</w:t>
      </w:r>
      <w:r w:rsidR="000A5A7E" w:rsidRPr="000A5A7E">
        <w:t xml:space="preserve"> </w:t>
      </w:r>
      <w:r w:rsidR="000A5A7E">
        <w:t>and consistent with common industry practice</w:t>
      </w:r>
      <w:r>
        <w:t xml:space="preserve">, the </w:t>
      </w:r>
      <w:r w:rsidR="00BB59F5">
        <w:t>2018</w:t>
      </w:r>
      <w:r>
        <w:t xml:space="preserve"> Study forecasts energy efficiency potential at </w:t>
      </w:r>
      <w:r w:rsidR="00233FD1">
        <w:t>four</w:t>
      </w:r>
      <w:r>
        <w:t xml:space="preserve"> levels for rebate programs:</w:t>
      </w:r>
    </w:p>
    <w:p w14:paraId="23869ECA" w14:textId="77777777" w:rsidR="00045431" w:rsidRDefault="00A459FB" w:rsidP="004E4E36">
      <w:pPr>
        <w:pStyle w:val="ListParagraph"/>
        <w:numPr>
          <w:ilvl w:val="0"/>
          <w:numId w:val="73"/>
        </w:numPr>
        <w:ind w:left="900" w:hanging="360"/>
      </w:pPr>
      <w:r w:rsidRPr="00066D79">
        <w:rPr>
          <w:b/>
        </w:rPr>
        <w:t>Technical Potential:</w:t>
      </w:r>
      <w:r w:rsidRPr="00211361">
        <w:rPr>
          <w:b/>
        </w:rPr>
        <w:t xml:space="preserve"> </w:t>
      </w:r>
      <w:r w:rsidRPr="00211361">
        <w:t xml:space="preserve">Technical potential is defined as the amount of energy savings that would be possible if the highest level of efficiency for all technically applicable opportunities to improve energy efficiency were taken, including retrofit measures, replace-on-burnout measures, and new construction measures. Technical potential </w:t>
      </w:r>
      <w:r w:rsidR="00211361">
        <w:t>r</w:t>
      </w:r>
      <w:r w:rsidR="00045431">
        <w:t xml:space="preserve">epresents </w:t>
      </w:r>
      <w:r>
        <w:t xml:space="preserve">the immediate replacement of applicable equipment-based technologies regardless of the remaining useful life of the existing measure. </w:t>
      </w:r>
      <w:r w:rsidR="00211361">
        <w:t xml:space="preserve">Technical potential is undefined for codes and standards, low income programs, whole building programs, and behavior/retrocommissioning/operational efficiency programs. </w:t>
      </w:r>
    </w:p>
    <w:p w14:paraId="7E866AC5" w14:textId="77777777" w:rsidR="0007385F" w:rsidRDefault="00A459FB" w:rsidP="004E4E36">
      <w:pPr>
        <w:pStyle w:val="ListParagraph"/>
        <w:numPr>
          <w:ilvl w:val="0"/>
          <w:numId w:val="73"/>
        </w:numPr>
        <w:ind w:left="900" w:hanging="360"/>
      </w:pPr>
      <w:r w:rsidRPr="00045431">
        <w:rPr>
          <w:b/>
        </w:rPr>
        <w:t>Economic Potential:</w:t>
      </w:r>
      <w:r w:rsidRPr="00045431">
        <w:t xml:space="preserve"> Using the results of the technical</w:t>
      </w:r>
      <w:r>
        <w:t xml:space="preserve"> potential analysis, the economic potential is calculated as the total energy efficiency potential available when limited to only cost effective measures.</w:t>
      </w:r>
      <w:r>
        <w:rPr>
          <w:rStyle w:val="FootnoteReference"/>
        </w:rPr>
        <w:footnoteReference w:id="18"/>
      </w:r>
      <w:r>
        <w:t xml:space="preserve"> All components of economic potential are a subset of technical potential.  </w:t>
      </w:r>
      <w:r w:rsidR="00045431" w:rsidRPr="00E05E8F">
        <w:t>Like</w:t>
      </w:r>
      <w:r w:rsidRPr="00E05E8F">
        <w:t xml:space="preserve"> technical potential, economic</w:t>
      </w:r>
      <w:r w:rsidR="00045431">
        <w:t xml:space="preserve"> potential can be represented as i</w:t>
      </w:r>
      <w:r w:rsidR="00045431" w:rsidRPr="00045431">
        <w:t>nstantaneous</w:t>
      </w:r>
      <w:r w:rsidR="00045431">
        <w:t xml:space="preserve"> or annualized. </w:t>
      </w:r>
      <w:r w:rsidR="0007385F">
        <w:t xml:space="preserve"> Economic potential screens considered in this study include:</w:t>
      </w:r>
    </w:p>
    <w:p w14:paraId="05BAFB09" w14:textId="77777777" w:rsidR="0007385F" w:rsidRDefault="0007385F" w:rsidP="004E4E36">
      <w:pPr>
        <w:pStyle w:val="ListParagraph"/>
        <w:numPr>
          <w:ilvl w:val="1"/>
          <w:numId w:val="73"/>
        </w:numPr>
      </w:pPr>
      <w:r w:rsidRPr="00A01325">
        <w:rPr>
          <w:b/>
          <w:i/>
        </w:rPr>
        <w:t>Total Resource Cost (TRC) Test</w:t>
      </w:r>
      <w:r w:rsidR="00A01325" w:rsidRPr="00A01325">
        <w:rPr>
          <w:b/>
        </w:rPr>
        <w:t xml:space="preserve"> </w:t>
      </w:r>
      <w:r w:rsidR="00A01325" w:rsidRPr="00A01325">
        <w:t xml:space="preserve">- The </w:t>
      </w:r>
      <w:r w:rsidR="00A01325">
        <w:t xml:space="preserve">CA </w:t>
      </w:r>
      <w:r w:rsidR="00A01325" w:rsidRPr="00A01325">
        <w:t>Standard Practice Manual defines the TRC test as the measurement of the net benefits and costs that accrue to society</w:t>
      </w:r>
      <w:r w:rsidR="00A01325">
        <w:t xml:space="preserve"> (p</w:t>
      </w:r>
      <w:r w:rsidR="00A01325" w:rsidRPr="00A01325">
        <w:t>rogram administrator all its customers</w:t>
      </w:r>
      <w:r w:rsidR="00A01325">
        <w:t>)</w:t>
      </w:r>
      <w:r w:rsidR="00A01325" w:rsidRPr="00A01325">
        <w:t xml:space="preserve">. It compares the benefits, which are the avoided cost of generating electricity and supplying natural gas, with the total costs, which include program administration and customer costs. The TRC does not include the costs of incentives. </w:t>
      </w:r>
    </w:p>
    <w:p w14:paraId="713D384C" w14:textId="77777777" w:rsidR="00875ABD" w:rsidRPr="00875ABD" w:rsidRDefault="0007385F" w:rsidP="004E4E36">
      <w:pPr>
        <w:pStyle w:val="ListParagraph"/>
        <w:numPr>
          <w:ilvl w:val="1"/>
          <w:numId w:val="73"/>
        </w:numPr>
      </w:pPr>
      <w:r w:rsidRPr="00A01325">
        <w:rPr>
          <w:b/>
          <w:i/>
        </w:rPr>
        <w:t>Modified TRC</w:t>
      </w:r>
      <w:r w:rsidRPr="00A01325">
        <w:t xml:space="preserve"> </w:t>
      </w:r>
      <w:r w:rsidR="00A01325">
        <w:t>(</w:t>
      </w:r>
      <w:r w:rsidR="00A01325" w:rsidRPr="00A01325">
        <w:rPr>
          <w:b/>
        </w:rPr>
        <w:t>mTRC</w:t>
      </w:r>
      <w:r w:rsidR="00A01325">
        <w:t>)</w:t>
      </w:r>
      <w:r w:rsidR="00A01325" w:rsidRPr="00A01325">
        <w:rPr>
          <w:b/>
        </w:rPr>
        <w:t xml:space="preserve"> </w:t>
      </w:r>
      <w:r w:rsidR="00A01325" w:rsidRPr="00A01325">
        <w:t xml:space="preserve">- The </w:t>
      </w:r>
      <w:r w:rsidR="00A01325">
        <w:t>m</w:t>
      </w:r>
      <w:r w:rsidR="00A01325" w:rsidRPr="00A01325">
        <w:t xml:space="preserve">TRC test </w:t>
      </w:r>
      <w:r w:rsidR="00A01325">
        <w:t xml:space="preserve">builds upon the </w:t>
      </w:r>
      <w:r w:rsidR="00A01325" w:rsidRPr="00A01325">
        <w:t xml:space="preserve">TRC test </w:t>
      </w:r>
      <w:r w:rsidR="00A01325">
        <w:t>by</w:t>
      </w:r>
      <w:r w:rsidR="00A01325" w:rsidRPr="00A01325">
        <w:t xml:space="preserve"> </w:t>
      </w:r>
      <w:r w:rsidR="00A01325">
        <w:t xml:space="preserve">including a </w:t>
      </w:r>
      <w:r w:rsidR="00A01325" w:rsidRPr="00A01325">
        <w:t xml:space="preserve">GHG adder to the avoided cost of electricity and natural gas. </w:t>
      </w:r>
      <w:r w:rsidR="00875ABD">
        <w:t xml:space="preserve">The GHG adder is intended to </w:t>
      </w:r>
      <w:r w:rsidR="00875ABD" w:rsidRPr="00875ABD">
        <w:t xml:space="preserve">estimate the value of the reduced carbon emissions that </w:t>
      </w:r>
      <w:r w:rsidR="00875ABD">
        <w:t>energy efficiency</w:t>
      </w:r>
      <w:r w:rsidR="00875ABD" w:rsidRPr="00875ABD">
        <w:t xml:space="preserve"> provide, and that the value of the GHG adder should be based on the marginal cost of abatement (i.e., the cost of achieving California’s GHG reduction goals)</w:t>
      </w:r>
      <w:r w:rsidR="00875ABD">
        <w:t xml:space="preserve">. The GHG cost included in the 2016 avoided cost reflects the values of the </w:t>
      </w:r>
      <w:r w:rsidR="00875ABD" w:rsidRPr="00875ABD">
        <w:t>permits utilities are required to buy as part of California’s Assembly Bill (AB) 32 cap and trade program for 2020 GHG targets.</w:t>
      </w:r>
      <w:r w:rsidR="00875ABD">
        <w:t xml:space="preserve"> The GHG adder is intended to cover the anticipated additional costs to meet 2030 GHG targets. </w:t>
      </w:r>
    </w:p>
    <w:p w14:paraId="54A5A602" w14:textId="77777777" w:rsidR="00A459FB" w:rsidRPr="00A01325" w:rsidRDefault="00E27FA1" w:rsidP="004E4E36">
      <w:pPr>
        <w:pStyle w:val="ListParagraph"/>
        <w:numPr>
          <w:ilvl w:val="1"/>
          <w:numId w:val="73"/>
        </w:numPr>
      </w:pPr>
      <w:r>
        <w:rPr>
          <w:b/>
          <w:i/>
        </w:rPr>
        <w:t xml:space="preserve">Program Administrator </w:t>
      </w:r>
      <w:r w:rsidRPr="00A01325">
        <w:rPr>
          <w:b/>
          <w:i/>
        </w:rPr>
        <w:t>Cost (</w:t>
      </w:r>
      <w:r>
        <w:rPr>
          <w:b/>
          <w:i/>
        </w:rPr>
        <w:t>PAC</w:t>
      </w:r>
      <w:r w:rsidRPr="00A01325">
        <w:rPr>
          <w:b/>
          <w:i/>
        </w:rPr>
        <w:t>) Test</w:t>
      </w:r>
      <w:r w:rsidRPr="00A01325">
        <w:rPr>
          <w:b/>
        </w:rPr>
        <w:t xml:space="preserve"> </w:t>
      </w:r>
      <w:r w:rsidRPr="00A01325">
        <w:t xml:space="preserve">- The </w:t>
      </w:r>
      <w:r>
        <w:t xml:space="preserve">CA </w:t>
      </w:r>
      <w:r w:rsidRPr="00A01325">
        <w:t xml:space="preserve">Standard Practice Manual defines the </w:t>
      </w:r>
      <w:r>
        <w:t>PAC</w:t>
      </w:r>
      <w:r w:rsidRPr="00A01325">
        <w:t xml:space="preserve"> test as the measurement of the net be</w:t>
      </w:r>
      <w:r>
        <w:t>nefits and costs that accrue to the p</w:t>
      </w:r>
      <w:r w:rsidRPr="00A01325">
        <w:t>rogram administrator</w:t>
      </w:r>
      <w:r>
        <w:t xml:space="preserve"> (i.e. the utilities)</w:t>
      </w:r>
      <w:r w:rsidRPr="00A01325">
        <w:t xml:space="preserve">. It compares the benefits, which are the avoided cost of generating electricity and supplying natural gas, with the total costs, which include program administration and </w:t>
      </w:r>
      <w:r>
        <w:t>incentive costs</w:t>
      </w:r>
      <w:r w:rsidRPr="00A01325">
        <w:t xml:space="preserve">. The </w:t>
      </w:r>
      <w:r>
        <w:t>PAC</w:t>
      </w:r>
      <w:r w:rsidRPr="00A01325">
        <w:t xml:space="preserve"> does not include the</w:t>
      </w:r>
      <w:r>
        <w:t xml:space="preserve"> additional out-of-pocket </w:t>
      </w:r>
      <w:r w:rsidRPr="00A01325">
        <w:t xml:space="preserve">costs </w:t>
      </w:r>
      <w:r>
        <w:t>for equipment paid for by the customer</w:t>
      </w:r>
      <w:r w:rsidRPr="00A01325">
        <w:t xml:space="preserve">. </w:t>
      </w:r>
    </w:p>
    <w:p w14:paraId="71DE71DE" w14:textId="77777777" w:rsidR="00233FD1" w:rsidRDefault="00A459FB" w:rsidP="004E4E36">
      <w:pPr>
        <w:pStyle w:val="ListParagraph"/>
        <w:numPr>
          <w:ilvl w:val="0"/>
          <w:numId w:val="73"/>
        </w:numPr>
        <w:ind w:left="900" w:hanging="360"/>
      </w:pPr>
      <w:r w:rsidRPr="00066D79">
        <w:rPr>
          <w:b/>
        </w:rPr>
        <w:t>Market Potential:</w:t>
      </w:r>
      <w:r>
        <w:t xml:space="preserve"> The final output of the potential study is a market potential analysis, which calculates the energy efficiency savings that could be expected in response to specific levels of incentives and assumptions about </w:t>
      </w:r>
      <w:r w:rsidR="000A5A7E">
        <w:t xml:space="preserve">existing CPUC </w:t>
      </w:r>
      <w:r>
        <w:t xml:space="preserve">policies, market influences, and barriers. All </w:t>
      </w:r>
      <w:r>
        <w:lastRenderedPageBreak/>
        <w:t>components of market potential are a subset of economic potential. Some studies also refer to this as “achievable potential.” Market potential is used to inform the utilities’ energy efficiency goals, as determined by the CPUC.</w:t>
      </w:r>
      <w:r w:rsidR="00233FD1">
        <w:t xml:space="preserve"> Market potential has historically been used by the CPUC to inform the goal-setting process. </w:t>
      </w:r>
    </w:p>
    <w:p w14:paraId="7DC33500" w14:textId="77777777" w:rsidR="00C80504" w:rsidRPr="00233FD1" w:rsidRDefault="00C80504" w:rsidP="004E4E36">
      <w:pPr>
        <w:pStyle w:val="ListParagraph"/>
        <w:numPr>
          <w:ilvl w:val="0"/>
          <w:numId w:val="73"/>
        </w:numPr>
        <w:ind w:left="900" w:hanging="360"/>
      </w:pPr>
      <w:r w:rsidRPr="00E05E8F">
        <w:rPr>
          <w:b/>
        </w:rPr>
        <w:t>Stranded Potential</w:t>
      </w:r>
      <w:r>
        <w:t xml:space="preserve"> </w:t>
      </w:r>
      <w:r w:rsidR="00233FD1">
        <w:t xml:space="preserve">is </w:t>
      </w:r>
      <w:r>
        <w:t xml:space="preserve">a </w:t>
      </w:r>
      <w:r w:rsidR="00233FD1">
        <w:t xml:space="preserve">subset of the Market Potential. </w:t>
      </w:r>
      <w:r w:rsidR="00927DB3" w:rsidRPr="00233FD1">
        <w:t>These savings are defined as th</w:t>
      </w:r>
      <w:r w:rsidR="00233FD1" w:rsidRPr="00233FD1">
        <w:t xml:space="preserve">e opportunities for EE that have not historically been captured </w:t>
      </w:r>
      <w:r w:rsidR="00927DB3" w:rsidRPr="00233FD1">
        <w:t xml:space="preserve">by either EE program administrator (PA) rebate programs or codes and standards. Stranded Potential is below-code savings that is not materializing in the market because there is no incentive for the customer to upgrade their existing equipment given current program rebate policy. Under AB802, PAs could start offering rebates for bringing existing equipment up to code thus </w:t>
      </w:r>
      <w:r w:rsidR="00BC78BB">
        <w:t xml:space="preserve">potentially </w:t>
      </w:r>
      <w:r w:rsidR="00927DB3" w:rsidRPr="00233FD1">
        <w:t>motivating a whole new subset of customers to install EE measures and thus capture the Stranded Potential.</w:t>
      </w:r>
    </w:p>
    <w:p w14:paraId="44D53BCF" w14:textId="77777777" w:rsidR="00A459FB" w:rsidRDefault="00A459FB" w:rsidP="00A459FB"/>
    <w:p w14:paraId="436442F3" w14:textId="77777777" w:rsidR="00A459FB" w:rsidRDefault="00A459FB" w:rsidP="00A459FB">
      <w:r>
        <w:t xml:space="preserve">Market potential </w:t>
      </w:r>
      <w:r w:rsidR="00E27FA1">
        <w:t xml:space="preserve">is </w:t>
      </w:r>
      <w:r>
        <w:t xml:space="preserve">represented </w:t>
      </w:r>
      <w:r w:rsidR="00E27FA1">
        <w:t xml:space="preserve">in the 2018 PG study two </w:t>
      </w:r>
      <w:r>
        <w:t>different ways; each is based on the same data and assumptions though each serve separate needs and provide necessary perspectives.</w:t>
      </w:r>
    </w:p>
    <w:p w14:paraId="78693A71" w14:textId="77777777" w:rsidR="00A459FB" w:rsidRDefault="00A459FB" w:rsidP="004E4E36">
      <w:pPr>
        <w:pStyle w:val="ListParagraph"/>
        <w:numPr>
          <w:ilvl w:val="0"/>
          <w:numId w:val="10"/>
        </w:numPr>
        <w:ind w:left="900" w:hanging="360"/>
      </w:pPr>
      <w:r w:rsidRPr="00CD1669">
        <w:rPr>
          <w:b/>
        </w:rPr>
        <w:t xml:space="preserve">Incremental </w:t>
      </w:r>
      <w:r w:rsidR="00E05E8F">
        <w:rPr>
          <w:b/>
        </w:rPr>
        <w:t>S</w:t>
      </w:r>
      <w:r w:rsidRPr="00CD1669">
        <w:rPr>
          <w:b/>
        </w:rPr>
        <w:t>avings</w:t>
      </w:r>
      <w:r>
        <w:t xml:space="preserve"> represent the annual energy and demand savings achieved by the set of programs and measures in the first year that the measure is implemented. It does not consider the additional savings that the measure will produce over the life of the equipment. A view of incremental savings is necessary </w:t>
      </w:r>
      <w:r w:rsidR="00066D79">
        <w:t>to</w:t>
      </w:r>
      <w:r>
        <w:t xml:space="preserve"> understand what additional savings an individual year of energy efficiency programs will produce. This has historically been the basis for IOU program goals.</w:t>
      </w:r>
    </w:p>
    <w:p w14:paraId="77F3FCE7" w14:textId="77777777" w:rsidR="00A459FB" w:rsidRPr="00E05E8F" w:rsidRDefault="00E05E8F" w:rsidP="004E4E36">
      <w:pPr>
        <w:pStyle w:val="ListParagraph"/>
        <w:numPr>
          <w:ilvl w:val="0"/>
          <w:numId w:val="10"/>
        </w:numPr>
        <w:ind w:left="900" w:hanging="360"/>
      </w:pPr>
      <w:r w:rsidRPr="00E05E8F">
        <w:rPr>
          <w:b/>
        </w:rPr>
        <w:t>Cumulative S</w:t>
      </w:r>
      <w:r w:rsidR="00A459FB" w:rsidRPr="00E05E8F">
        <w:rPr>
          <w:b/>
        </w:rPr>
        <w:t>avings</w:t>
      </w:r>
      <w:r w:rsidR="00A459FB" w:rsidRPr="00E05E8F">
        <w:t xml:space="preserve"> represent the total savings from energy efficiency program efforts from measures installed since </w:t>
      </w:r>
      <w:r w:rsidR="00BC78BB">
        <w:t>2015</w:t>
      </w:r>
      <w:r w:rsidR="00BC78BB" w:rsidRPr="00E05E8F">
        <w:t xml:space="preserve"> </w:t>
      </w:r>
      <w:r w:rsidR="00A459FB" w:rsidRPr="00E05E8F">
        <w:t>including the current program year, and are still active in the current year. It includes the decay of savings as measures reac</w:t>
      </w:r>
      <w:r w:rsidR="00066D79" w:rsidRPr="00E05E8F">
        <w:t>h the end of their useful lives and the continuation of savings as customer re-install high efficiency equipment that has reached the end of its EUL.</w:t>
      </w:r>
      <w:r w:rsidR="00A459FB" w:rsidRPr="00E05E8F">
        <w:t xml:space="preserve"> Cumulative savings also account for the timing effects of codes and standards that become effective after measure installation. </w:t>
      </w:r>
    </w:p>
    <w:p w14:paraId="663A33DC" w14:textId="77777777" w:rsidR="00A459FB" w:rsidRDefault="00A459FB" w:rsidP="00A459FB"/>
    <w:p w14:paraId="61E46832" w14:textId="77777777" w:rsidR="000904DC" w:rsidRPr="000904DC" w:rsidRDefault="00066D79" w:rsidP="00016ACD">
      <w:r w:rsidRPr="00016ACD">
        <w:t>Many</w:t>
      </w:r>
      <w:r w:rsidR="00A459FB" w:rsidRPr="00016ACD">
        <w:t xml:space="preserve"> variables drive the calculation of market potential. These include assumptions about the </w:t>
      </w:r>
      <w:r w:rsidRPr="00016ACD">
        <w:t>way</w:t>
      </w:r>
      <w:r w:rsidR="00A459FB" w:rsidRPr="00016ACD">
        <w:t xml:space="preserve"> efficient products and services are marketed and delivered, the level of customer awareness of energy efficiency, and customer willingness to install efficient equipment or operate equipment in ways that are more efficient. The Navigant team used the best available current market knowledge </w:t>
      </w:r>
      <w:r w:rsidR="00016ACD" w:rsidRPr="00016ACD">
        <w:t>to calibrate market potential for voluntary rebate programs</w:t>
      </w:r>
    </w:p>
    <w:p w14:paraId="127E27E0" w14:textId="77777777" w:rsidR="00AE0A46" w:rsidRDefault="00AE0A46" w:rsidP="00AE0A46">
      <w:pPr>
        <w:pStyle w:val="Heading2"/>
      </w:pPr>
      <w:bookmarkStart w:id="91" w:name="_Toc478990489"/>
      <w:bookmarkStart w:id="92" w:name="_Toc479768562"/>
      <w:bookmarkStart w:id="93" w:name="_Toc482353484"/>
      <w:bookmarkStart w:id="94" w:name="_Toc482357287"/>
      <w:bookmarkStart w:id="95" w:name="_Toc482634263"/>
      <w:bookmarkStart w:id="96" w:name="_Toc482626395"/>
      <w:bookmarkStart w:id="97" w:name="_Toc484092466"/>
      <w:bookmarkStart w:id="98" w:name="_Toc484172669"/>
      <w:bookmarkStart w:id="99" w:name="_Toc484183006"/>
      <w:bookmarkStart w:id="100" w:name="_Toc490225763"/>
      <w:r>
        <w:t>Scope of this Study</w:t>
      </w:r>
      <w:bookmarkEnd w:id="91"/>
      <w:bookmarkEnd w:id="92"/>
      <w:bookmarkEnd w:id="93"/>
      <w:bookmarkEnd w:id="94"/>
      <w:bookmarkEnd w:id="95"/>
      <w:bookmarkEnd w:id="96"/>
      <w:bookmarkEnd w:id="97"/>
      <w:bookmarkEnd w:id="98"/>
      <w:bookmarkEnd w:id="99"/>
      <w:bookmarkEnd w:id="100"/>
    </w:p>
    <w:p w14:paraId="0CCC6A76" w14:textId="77777777" w:rsidR="00AD64D1" w:rsidRDefault="00E05E8F" w:rsidP="00AE0A46">
      <w:r w:rsidRPr="00AD64D1">
        <w:t xml:space="preserve">This study forecasts </w:t>
      </w:r>
      <w:r w:rsidR="00AD64D1">
        <w:t xml:space="preserve">the potential </w:t>
      </w:r>
      <w:r w:rsidRPr="00AD64D1">
        <w:t xml:space="preserve">energy savings from the energy efficiency programs and codes and standards across all customer sectors: Residential, Commercial, Agricultural, Industrial, Mining, and Street Lighting. </w:t>
      </w:r>
      <w:r w:rsidR="00AD64D1">
        <w:t xml:space="preserve">This study does not set IOU goals nor does it make a recommendation as to how to set goals. Rather it informs the CPUC’s goal setting process. </w:t>
      </w:r>
    </w:p>
    <w:p w14:paraId="191CD92E" w14:textId="77777777" w:rsidR="00AD64D1" w:rsidRDefault="00AD64D1" w:rsidP="00AE0A46"/>
    <w:p w14:paraId="02C488EA" w14:textId="77777777" w:rsidR="00E05E8F" w:rsidRPr="00AD64D1" w:rsidRDefault="00E05E8F" w:rsidP="00AE0A46">
      <w:r w:rsidRPr="00AD64D1">
        <w:t>The study builds upon the 2015 PG Study as well as the AB802 TA. Notable updates to the 2018 PG study relative to the 2015 PG study include:</w:t>
      </w:r>
    </w:p>
    <w:p w14:paraId="48C52C42" w14:textId="77777777" w:rsidR="00AD64D1" w:rsidRPr="00AD64D1" w:rsidRDefault="00AD64D1" w:rsidP="004E4E36">
      <w:pPr>
        <w:pStyle w:val="ListParagraph"/>
        <w:numPr>
          <w:ilvl w:val="0"/>
          <w:numId w:val="38"/>
        </w:numPr>
      </w:pPr>
      <w:r w:rsidRPr="00AD64D1">
        <w:rPr>
          <w:b/>
        </w:rPr>
        <w:t>Fully accommodate calculation of Stranded Potential</w:t>
      </w:r>
      <w:r w:rsidRPr="00AD64D1">
        <w:t xml:space="preserve"> – Modeling algorithms pioneered in the AB802 TA were adapted and improved upon in the 2018 PG study to capture the impacts of AB802 and quantify Stranded Potential </w:t>
      </w:r>
    </w:p>
    <w:p w14:paraId="4F3FC31C" w14:textId="77777777" w:rsidR="00AD64D1" w:rsidRPr="00AD64D1" w:rsidRDefault="00AD64D1" w:rsidP="004E4E36">
      <w:pPr>
        <w:pStyle w:val="ListParagraph"/>
        <w:numPr>
          <w:ilvl w:val="0"/>
          <w:numId w:val="38"/>
        </w:numPr>
        <w:rPr>
          <w:b/>
        </w:rPr>
      </w:pPr>
      <w:r w:rsidRPr="00AD64D1">
        <w:rPr>
          <w:b/>
        </w:rPr>
        <w:lastRenderedPageBreak/>
        <w:t xml:space="preserve">Present Scenarios to inform Goal Setting </w:t>
      </w:r>
      <w:r w:rsidRPr="00AD64D1">
        <w:t xml:space="preserve">– The 2018 PG study integrated scenario analysis at a much earlier stage in the project allowing the CPUC to consider scenarios in the goal setting process. </w:t>
      </w:r>
    </w:p>
    <w:p w14:paraId="5C2CDF90" w14:textId="77777777" w:rsidR="00E05E8F" w:rsidRPr="00AD64D1" w:rsidRDefault="00E05E8F" w:rsidP="004E4E36">
      <w:pPr>
        <w:pStyle w:val="ListParagraph"/>
        <w:numPr>
          <w:ilvl w:val="0"/>
          <w:numId w:val="38"/>
        </w:numPr>
      </w:pPr>
      <w:r w:rsidRPr="00AD64D1">
        <w:rPr>
          <w:b/>
        </w:rPr>
        <w:t xml:space="preserve">Refresh </w:t>
      </w:r>
      <w:r w:rsidR="00AD64D1" w:rsidRPr="00AD64D1">
        <w:rPr>
          <w:b/>
        </w:rPr>
        <w:t xml:space="preserve">Residential and Commercial measure </w:t>
      </w:r>
      <w:r w:rsidRPr="00AD64D1">
        <w:rPr>
          <w:b/>
        </w:rPr>
        <w:t>list</w:t>
      </w:r>
      <w:r w:rsidRPr="00AD64D1">
        <w:t xml:space="preserve"> – The study conducted a holistic refresh of the rebated technologies to be included in the model. The previous measure list was not reference</w:t>
      </w:r>
      <w:r w:rsidR="009B381E">
        <w:t>d</w:t>
      </w:r>
      <w:r w:rsidRPr="00AD64D1">
        <w:t xml:space="preserve"> when creating the new measure list to a</w:t>
      </w:r>
      <w:r w:rsidR="00472284">
        <w:t>void any</w:t>
      </w:r>
      <w:r w:rsidRPr="00AD64D1">
        <w:t xml:space="preserve"> bias. Rather existing rebate programs, stakeholder feedback, IOU emerging technology programs, and potential studies elsewhere around the nation were primarily considered in developing a new list. </w:t>
      </w:r>
      <w:r w:rsidR="00AD64D1" w:rsidRPr="00AD64D1">
        <w:t xml:space="preserve"> The new list was designed to better accommodate modeling of Stranded Potential</w:t>
      </w:r>
    </w:p>
    <w:p w14:paraId="408981B6" w14:textId="77777777" w:rsidR="00E05E8F" w:rsidRPr="00AD64D1" w:rsidRDefault="00AD64D1" w:rsidP="004E4E36">
      <w:pPr>
        <w:pStyle w:val="ListParagraph"/>
        <w:numPr>
          <w:ilvl w:val="0"/>
          <w:numId w:val="38"/>
        </w:numPr>
      </w:pPr>
      <w:r w:rsidRPr="00AD64D1">
        <w:rPr>
          <w:b/>
        </w:rPr>
        <w:t>Technology based model for Industrial/Agriculture sectors</w:t>
      </w:r>
      <w:r w:rsidRPr="00AD64D1">
        <w:t xml:space="preserve"> – The 2015 PG model forecasted savings in the Industrial and Agriculture sectors primarily using end-use energy efficiency supply curves derived from regional data available from the U.S. Department of Energy. The 201</w:t>
      </w:r>
      <w:r w:rsidR="00A27987">
        <w:t>8</w:t>
      </w:r>
      <w:r w:rsidRPr="00AD64D1">
        <w:t xml:space="preserve"> PG model dives deeper and forecasts savings at a representative technology level (rather than just at the end use level). </w:t>
      </w:r>
    </w:p>
    <w:p w14:paraId="7641FA41" w14:textId="77777777" w:rsidR="00E05E8F" w:rsidRPr="003745E5" w:rsidRDefault="00E05E8F" w:rsidP="004E4E36">
      <w:pPr>
        <w:pStyle w:val="ListParagraph"/>
        <w:numPr>
          <w:ilvl w:val="0"/>
          <w:numId w:val="38"/>
        </w:numPr>
        <w:rPr>
          <w:b/>
        </w:rPr>
      </w:pPr>
      <w:r w:rsidRPr="00AD64D1">
        <w:rPr>
          <w:b/>
        </w:rPr>
        <w:t xml:space="preserve">Expand </w:t>
      </w:r>
      <w:r w:rsidR="007B0459">
        <w:rPr>
          <w:b/>
        </w:rPr>
        <w:t xml:space="preserve">Consideration of </w:t>
      </w:r>
      <w:r w:rsidRPr="00AD64D1">
        <w:rPr>
          <w:b/>
        </w:rPr>
        <w:t xml:space="preserve">Behavior, Operational, Retrocommissioning </w:t>
      </w:r>
      <w:r w:rsidR="00AD64D1" w:rsidRPr="00AD64D1">
        <w:rPr>
          <w:b/>
        </w:rPr>
        <w:t xml:space="preserve">(BROs) </w:t>
      </w:r>
      <w:r w:rsidRPr="00AD64D1">
        <w:rPr>
          <w:b/>
        </w:rPr>
        <w:t>Savings</w:t>
      </w:r>
      <w:r w:rsidR="00AD64D1" w:rsidRPr="00AD64D1">
        <w:rPr>
          <w:b/>
        </w:rPr>
        <w:t xml:space="preserve"> </w:t>
      </w:r>
      <w:r w:rsidR="00AD64D1" w:rsidRPr="00AD64D1">
        <w:t xml:space="preserve">– The model significantly expanded the consideration of BROs interventions in the residential and commercial sectors. Industrial Strategic Energy Management was also considered.  </w:t>
      </w:r>
    </w:p>
    <w:p w14:paraId="5C2A9955" w14:textId="77777777" w:rsidR="003745E5" w:rsidRPr="00AD64D1" w:rsidRDefault="003745E5" w:rsidP="004E4E36">
      <w:pPr>
        <w:pStyle w:val="ListParagraph"/>
        <w:numPr>
          <w:ilvl w:val="0"/>
          <w:numId w:val="38"/>
        </w:numPr>
        <w:rPr>
          <w:b/>
        </w:rPr>
      </w:pPr>
      <w:r>
        <w:rPr>
          <w:b/>
        </w:rPr>
        <w:t xml:space="preserve">Report Potential on a Net Basis </w:t>
      </w:r>
      <w:r w:rsidRPr="003745E5">
        <w:t>–</w:t>
      </w:r>
      <w:r>
        <w:t xml:space="preserve"> Past PG studies have reported potential on a gross basis for goal setting purposes. The CPUC is moving towards setting goals on a net basis</w:t>
      </w:r>
      <w:r w:rsidR="00BC78BB">
        <w:rPr>
          <w:rStyle w:val="FootnoteReference"/>
        </w:rPr>
        <w:footnoteReference w:id="19"/>
      </w:r>
      <w:r>
        <w:t xml:space="preserve">. Thus, all results are reported on a net basis. Because results are reported as net, and previous studies reported gross, direct comparison of results from this study to past studies may not be appropriate. </w:t>
      </w:r>
    </w:p>
    <w:p w14:paraId="69492652" w14:textId="77777777" w:rsidR="00AE0A46" w:rsidRDefault="00AE0A46" w:rsidP="00A459FB">
      <w:pPr>
        <w:pStyle w:val="Heading2"/>
      </w:pPr>
      <w:bookmarkStart w:id="101" w:name="_Toc478990490"/>
      <w:bookmarkStart w:id="102" w:name="_Toc479768563"/>
      <w:bookmarkStart w:id="103" w:name="_Toc482353485"/>
      <w:bookmarkStart w:id="104" w:name="_Toc482357288"/>
      <w:bookmarkStart w:id="105" w:name="_Toc482634264"/>
      <w:bookmarkStart w:id="106" w:name="_Toc482626396"/>
      <w:bookmarkStart w:id="107" w:name="_Toc484092467"/>
      <w:bookmarkStart w:id="108" w:name="_Toc484172670"/>
      <w:bookmarkStart w:id="109" w:name="_Toc484183007"/>
      <w:bookmarkStart w:id="110" w:name="_Toc490225764"/>
      <w:r>
        <w:t>Stakeholder Engagement</w:t>
      </w:r>
      <w:bookmarkEnd w:id="101"/>
      <w:bookmarkEnd w:id="102"/>
      <w:bookmarkEnd w:id="103"/>
      <w:bookmarkEnd w:id="104"/>
      <w:bookmarkEnd w:id="105"/>
      <w:bookmarkEnd w:id="106"/>
      <w:bookmarkEnd w:id="107"/>
      <w:bookmarkEnd w:id="108"/>
      <w:bookmarkEnd w:id="109"/>
      <w:bookmarkEnd w:id="110"/>
    </w:p>
    <w:p w14:paraId="36500CD4" w14:textId="6426128B" w:rsidR="00572C26" w:rsidRDefault="009469FB" w:rsidP="00AE0A46">
      <w:r w:rsidRPr="00066D79">
        <w:t>The Navigant team engaged with stakeholders through the Demand Analysis Working Group</w:t>
      </w:r>
      <w:r w:rsidRPr="00066D79">
        <w:rPr>
          <w:rStyle w:val="FootnoteReference"/>
        </w:rPr>
        <w:footnoteReference w:id="20"/>
      </w:r>
      <w:r w:rsidRPr="00066D79">
        <w:t xml:space="preserve"> throughout the process of this study to </w:t>
      </w:r>
      <w:r w:rsidR="00470BE3">
        <w:t xml:space="preserve">request data, </w:t>
      </w:r>
      <w:r w:rsidRPr="00066D79">
        <w:t xml:space="preserve">collect feedback on scope, methodology, and key assumptions. </w:t>
      </w:r>
      <w:r w:rsidR="00066D79">
        <w:fldChar w:fldCharType="begin"/>
      </w:r>
      <w:r w:rsidR="00066D79">
        <w:instrText xml:space="preserve"> REF _Ref481397709 \h </w:instrText>
      </w:r>
      <w:r w:rsidR="00066D79">
        <w:fldChar w:fldCharType="separate"/>
      </w:r>
      <w:r w:rsidR="007566B9">
        <w:t xml:space="preserve">Table </w:t>
      </w:r>
      <w:r w:rsidR="007566B9">
        <w:rPr>
          <w:noProof/>
        </w:rPr>
        <w:t>1</w:t>
      </w:r>
      <w:r w:rsidR="007566B9">
        <w:noBreakHyphen/>
      </w:r>
      <w:r w:rsidR="007566B9">
        <w:rPr>
          <w:noProof/>
        </w:rPr>
        <w:t>1</w:t>
      </w:r>
      <w:r w:rsidR="00066D79">
        <w:fldChar w:fldCharType="end"/>
      </w:r>
      <w:r w:rsidR="00066D79">
        <w:t xml:space="preserve"> below provides the schedule of meetings that were held. </w:t>
      </w:r>
      <w:r w:rsidR="00F41B45" w:rsidRPr="00066D79">
        <w:t>After each meeting, stakeholder</w:t>
      </w:r>
      <w:r w:rsidR="000C61DF" w:rsidRPr="00066D79">
        <w:t>s</w:t>
      </w:r>
      <w:r w:rsidR="00F41B45" w:rsidRPr="00066D79">
        <w:t xml:space="preserve"> </w:t>
      </w:r>
      <w:r w:rsidR="000C61DF" w:rsidRPr="00066D79">
        <w:t>were</w:t>
      </w:r>
      <w:r w:rsidR="00F41B45" w:rsidRPr="00066D79">
        <w:t xml:space="preserve"> pr</w:t>
      </w:r>
      <w:r w:rsidR="000C61DF" w:rsidRPr="00066D79">
        <w:t>ovided a</w:t>
      </w:r>
      <w:r w:rsidR="00F41B45" w:rsidRPr="00066D79">
        <w:t xml:space="preserve"> period in which they could submit informal comments to the Navigant team and CPUC. </w:t>
      </w:r>
      <w:r w:rsidR="00066D79">
        <w:t xml:space="preserve">The team reviewed all comments received and incorporated appropriate edits/changes in the study thus. </w:t>
      </w:r>
    </w:p>
    <w:p w14:paraId="23A23916" w14:textId="77777777" w:rsidR="00572C26" w:rsidRDefault="00572C26">
      <w:pPr>
        <w:spacing w:line="240" w:lineRule="auto"/>
      </w:pPr>
      <w:r>
        <w:br w:type="page"/>
      </w:r>
    </w:p>
    <w:p w14:paraId="45C9A75A" w14:textId="77777777" w:rsidR="009469FB" w:rsidRPr="00066D79" w:rsidRDefault="009469FB" w:rsidP="00AE0A46"/>
    <w:p w14:paraId="3808F037" w14:textId="77777777" w:rsidR="000C61DF" w:rsidRDefault="000C61DF" w:rsidP="006D0ED2">
      <w:pPr>
        <w:tabs>
          <w:tab w:val="left" w:pos="3780"/>
        </w:tabs>
        <w:rPr>
          <w:highlight w:val="yellow"/>
        </w:rPr>
      </w:pPr>
    </w:p>
    <w:p w14:paraId="49F44798" w14:textId="77777777" w:rsidR="009469FB" w:rsidRDefault="000C61DF" w:rsidP="006D0ED2">
      <w:pPr>
        <w:pStyle w:val="Caption"/>
        <w:tabs>
          <w:tab w:val="left" w:pos="3780"/>
        </w:tabs>
        <w:rPr>
          <w:highlight w:val="yellow"/>
        </w:rPr>
      </w:pPr>
      <w:bookmarkStart w:id="111" w:name="_Ref481397709"/>
      <w:bookmarkStart w:id="112" w:name="_Toc482634201"/>
      <w:bookmarkStart w:id="113" w:name="_Toc484436940"/>
      <w:bookmarkStart w:id="114" w:name="_Toc490560650"/>
      <w:r>
        <w:t xml:space="preserve">Table </w:t>
      </w:r>
      <w:fldSimple w:instr=" STYLEREF 1 \s ">
        <w:r w:rsidR="007566B9">
          <w:rPr>
            <w:noProof/>
          </w:rPr>
          <w:t>1</w:t>
        </w:r>
      </w:fldSimple>
      <w:r w:rsidR="00C17D59">
        <w:noBreakHyphen/>
      </w:r>
      <w:fldSimple w:instr=" SEQ Table \* ARABIC \s 1 ">
        <w:r w:rsidR="007566B9">
          <w:rPr>
            <w:noProof/>
          </w:rPr>
          <w:t>1</w:t>
        </w:r>
      </w:fldSimple>
      <w:bookmarkEnd w:id="111"/>
      <w:r>
        <w:t>: Stakeholder Meeting Schedule</w:t>
      </w:r>
      <w:bookmarkEnd w:id="112"/>
      <w:bookmarkEnd w:id="113"/>
      <w:bookmarkEnd w:id="114"/>
    </w:p>
    <w:tbl>
      <w:tblPr>
        <w:tblStyle w:val="EnergyTable11"/>
        <w:tblW w:w="0" w:type="auto"/>
        <w:tblLook w:val="04A0" w:firstRow="1" w:lastRow="0" w:firstColumn="1" w:lastColumn="0" w:noHBand="0" w:noVBand="1"/>
      </w:tblPr>
      <w:tblGrid>
        <w:gridCol w:w="2070"/>
        <w:gridCol w:w="5850"/>
      </w:tblGrid>
      <w:tr w:rsidR="00FC279C" w:rsidRPr="00FC279C" w14:paraId="203FC218" w14:textId="77777777" w:rsidTr="00572C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B6B7559" w14:textId="77777777" w:rsidR="00FC279C" w:rsidRPr="00FC279C" w:rsidRDefault="00FC279C" w:rsidP="00FC279C">
            <w:r w:rsidRPr="00FC279C">
              <w:t>Date</w:t>
            </w:r>
          </w:p>
        </w:tc>
        <w:tc>
          <w:tcPr>
            <w:tcW w:w="5850" w:type="dxa"/>
          </w:tcPr>
          <w:p w14:paraId="2481BD16" w14:textId="77777777" w:rsidR="00FC279C" w:rsidRPr="00FC279C" w:rsidRDefault="00FC279C" w:rsidP="00FC279C">
            <w:pPr>
              <w:cnfStyle w:val="100000000000" w:firstRow="1" w:lastRow="0" w:firstColumn="0" w:lastColumn="0" w:oddVBand="0" w:evenVBand="0" w:oddHBand="0" w:evenHBand="0" w:firstRowFirstColumn="0" w:firstRowLastColumn="0" w:lastRowFirstColumn="0" w:lastRowLastColumn="0"/>
            </w:pPr>
            <w:r w:rsidRPr="00FC279C">
              <w:t>Topics of Discussion</w:t>
            </w:r>
          </w:p>
        </w:tc>
      </w:tr>
      <w:tr w:rsidR="00FC279C" w:rsidRPr="00FC279C" w14:paraId="15E46B4B" w14:textId="77777777" w:rsidTr="00572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905E909" w14:textId="77777777" w:rsidR="00FC279C" w:rsidRPr="00FC279C" w:rsidRDefault="00FC279C" w:rsidP="00FC279C">
            <w:r w:rsidRPr="00FC279C">
              <w:t>July 19, 2016</w:t>
            </w:r>
          </w:p>
        </w:tc>
        <w:tc>
          <w:tcPr>
            <w:tcW w:w="5850" w:type="dxa"/>
          </w:tcPr>
          <w:p w14:paraId="02C9E1B4" w14:textId="77777777" w:rsidR="00FC279C" w:rsidRPr="00FC279C" w:rsidRDefault="00FC279C" w:rsidP="00FC279C">
            <w:pPr>
              <w:cnfStyle w:val="000000100000" w:firstRow="0" w:lastRow="0" w:firstColumn="0" w:lastColumn="0" w:oddVBand="0" w:evenVBand="0" w:oddHBand="1" w:evenHBand="0" w:firstRowFirstColumn="0" w:firstRowLastColumn="0" w:lastRowFirstColumn="0" w:lastRowLastColumn="0"/>
            </w:pPr>
            <w:r w:rsidRPr="00FC279C">
              <w:t>Overview of the scope of the 2018 Potential and Goals Study</w:t>
            </w:r>
          </w:p>
        </w:tc>
      </w:tr>
      <w:tr w:rsidR="00FC279C" w:rsidRPr="00FC279C" w14:paraId="226F292A" w14:textId="77777777" w:rsidTr="00572C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6F4D8DD" w14:textId="77777777" w:rsidR="00FC279C" w:rsidRPr="00FC279C" w:rsidRDefault="00FC279C" w:rsidP="00FC279C">
            <w:r w:rsidRPr="00FC279C">
              <w:t>August 29, 2016</w:t>
            </w:r>
          </w:p>
        </w:tc>
        <w:tc>
          <w:tcPr>
            <w:tcW w:w="5850" w:type="dxa"/>
          </w:tcPr>
          <w:p w14:paraId="2A30851B" w14:textId="77777777" w:rsidR="00FC279C" w:rsidRPr="00FC279C" w:rsidRDefault="00FC279C" w:rsidP="00FC279C">
            <w:pPr>
              <w:cnfStyle w:val="000000010000" w:firstRow="0" w:lastRow="0" w:firstColumn="0" w:lastColumn="0" w:oddVBand="0" w:evenVBand="0" w:oddHBand="0" w:evenHBand="1" w:firstRowFirstColumn="0" w:firstRowLastColumn="0" w:lastRowFirstColumn="0" w:lastRowLastColumn="0"/>
            </w:pPr>
            <w:r w:rsidRPr="00FC279C">
              <w:t>Residential, Commercial and AIMS Measure Selection</w:t>
            </w:r>
          </w:p>
        </w:tc>
      </w:tr>
      <w:tr w:rsidR="00FC279C" w:rsidRPr="00FC279C" w14:paraId="66349858" w14:textId="77777777" w:rsidTr="00572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D8AE742" w14:textId="77777777" w:rsidR="00FC279C" w:rsidRPr="00FC279C" w:rsidRDefault="00FC279C" w:rsidP="00FC279C">
            <w:r w:rsidRPr="00FC279C">
              <w:t>November 4, 2016</w:t>
            </w:r>
          </w:p>
        </w:tc>
        <w:tc>
          <w:tcPr>
            <w:tcW w:w="5850" w:type="dxa"/>
          </w:tcPr>
          <w:p w14:paraId="74D68EE3" w14:textId="77777777" w:rsidR="00FC279C" w:rsidRPr="00FC279C" w:rsidRDefault="00FC279C" w:rsidP="00FC279C">
            <w:pPr>
              <w:cnfStyle w:val="000000100000" w:firstRow="0" w:lastRow="0" w:firstColumn="0" w:lastColumn="0" w:oddVBand="0" w:evenVBand="0" w:oddHBand="1" w:evenHBand="0" w:firstRowFirstColumn="0" w:firstRowLastColumn="0" w:lastRowFirstColumn="0" w:lastRowLastColumn="0"/>
            </w:pPr>
            <w:r w:rsidRPr="00FC279C">
              <w:t>BROs intervention selection, Whole Building characterization methodology, and avoiding double counting</w:t>
            </w:r>
          </w:p>
        </w:tc>
      </w:tr>
      <w:tr w:rsidR="00FC279C" w:rsidRPr="00FC279C" w14:paraId="06BD22A8" w14:textId="77777777" w:rsidTr="00572C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AC547CE" w14:textId="77777777" w:rsidR="00FC279C" w:rsidRPr="00FC279C" w:rsidRDefault="00FC279C" w:rsidP="00FC279C">
            <w:r w:rsidRPr="00FC279C">
              <w:t>December 9, 2016</w:t>
            </w:r>
          </w:p>
        </w:tc>
        <w:tc>
          <w:tcPr>
            <w:tcW w:w="5850" w:type="dxa"/>
          </w:tcPr>
          <w:p w14:paraId="4D606986" w14:textId="77777777" w:rsidR="00FC279C" w:rsidRPr="00FC279C" w:rsidRDefault="00FC279C" w:rsidP="00FC279C">
            <w:pPr>
              <w:cnfStyle w:val="000000010000" w:firstRow="0" w:lastRow="0" w:firstColumn="0" w:lastColumn="0" w:oddVBand="0" w:evenVBand="0" w:oddHBand="0" w:evenHBand="1" w:firstRowFirstColumn="0" w:firstRowLastColumn="0" w:lastRowFirstColumn="0" w:lastRowLastColumn="0"/>
            </w:pPr>
            <w:r w:rsidRPr="00FC279C">
              <w:t xml:space="preserve">(Webinar) AIMS Methodology </w:t>
            </w:r>
          </w:p>
        </w:tc>
      </w:tr>
      <w:tr w:rsidR="00FC279C" w:rsidRPr="00FC279C" w14:paraId="1BF4CE29" w14:textId="77777777" w:rsidTr="00572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0E74CDE" w14:textId="77777777" w:rsidR="00FC279C" w:rsidRPr="00FC279C" w:rsidRDefault="00FC279C" w:rsidP="00FC279C">
            <w:r w:rsidRPr="00FC279C">
              <w:t>December 12, 2016</w:t>
            </w:r>
          </w:p>
        </w:tc>
        <w:tc>
          <w:tcPr>
            <w:tcW w:w="5850" w:type="dxa"/>
          </w:tcPr>
          <w:p w14:paraId="647C9F36" w14:textId="77777777" w:rsidR="00FC279C" w:rsidRPr="00FC279C" w:rsidRDefault="00FC279C" w:rsidP="00FC279C">
            <w:pPr>
              <w:cnfStyle w:val="000000100000" w:firstRow="0" w:lastRow="0" w:firstColumn="0" w:lastColumn="0" w:oddVBand="0" w:evenVBand="0" w:oddHBand="1" w:evenHBand="0" w:firstRowFirstColumn="0" w:firstRowLastColumn="0" w:lastRowFirstColumn="0" w:lastRowLastColumn="0"/>
            </w:pPr>
            <w:r w:rsidRPr="00FC279C">
              <w:t>(Webinar) Calibration, Scenarios, and Cumulative Savings</w:t>
            </w:r>
          </w:p>
        </w:tc>
      </w:tr>
      <w:tr w:rsidR="00FC279C" w:rsidRPr="00FC279C" w14:paraId="329E9F6F" w14:textId="77777777" w:rsidTr="00572C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995B1D2" w14:textId="77777777" w:rsidR="00FC279C" w:rsidRPr="00FC279C" w:rsidRDefault="00FC279C" w:rsidP="00FC279C">
            <w:r w:rsidRPr="00FC279C">
              <w:t>April 20, 2017</w:t>
            </w:r>
          </w:p>
        </w:tc>
        <w:tc>
          <w:tcPr>
            <w:tcW w:w="5850" w:type="dxa"/>
          </w:tcPr>
          <w:p w14:paraId="1ED37E3D" w14:textId="77777777" w:rsidR="00FC279C" w:rsidRPr="00FC279C" w:rsidRDefault="00FC279C" w:rsidP="00FC279C">
            <w:pPr>
              <w:cnfStyle w:val="000000010000" w:firstRow="0" w:lastRow="0" w:firstColumn="0" w:lastColumn="0" w:oddVBand="0" w:evenVBand="0" w:oddHBand="0" w:evenHBand="1" w:firstRowFirstColumn="0" w:firstRowLastColumn="0" w:lastRowFirstColumn="0" w:lastRowLastColumn="0"/>
            </w:pPr>
            <w:r w:rsidRPr="00FC279C">
              <w:t>(Webinar) BROs Draft Results</w:t>
            </w:r>
          </w:p>
        </w:tc>
      </w:tr>
      <w:tr w:rsidR="00FC279C" w:rsidRPr="00FC279C" w14:paraId="1EEE2CA7" w14:textId="77777777" w:rsidTr="00572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A5744C9" w14:textId="77777777" w:rsidR="00FC279C" w:rsidRPr="00FC279C" w:rsidRDefault="00FC279C" w:rsidP="00FC279C">
            <w:r w:rsidRPr="00FC279C">
              <w:t>April 28, 2017</w:t>
            </w:r>
          </w:p>
        </w:tc>
        <w:tc>
          <w:tcPr>
            <w:tcW w:w="5850" w:type="dxa"/>
          </w:tcPr>
          <w:p w14:paraId="50F6963B" w14:textId="77777777" w:rsidR="00FC279C" w:rsidRPr="00FC279C" w:rsidRDefault="00FC279C" w:rsidP="00FC279C">
            <w:pPr>
              <w:cnfStyle w:val="000000100000" w:firstRow="0" w:lastRow="0" w:firstColumn="0" w:lastColumn="0" w:oddVBand="0" w:evenVBand="0" w:oddHBand="1" w:evenHBand="0" w:firstRowFirstColumn="0" w:firstRowLastColumn="0" w:lastRowFirstColumn="0" w:lastRowLastColumn="0"/>
            </w:pPr>
            <w:r w:rsidRPr="00FC279C">
              <w:t>(Webinar) Low Income Methodology/Data</w:t>
            </w:r>
          </w:p>
        </w:tc>
      </w:tr>
    </w:tbl>
    <w:p w14:paraId="3233C6A1" w14:textId="77777777" w:rsidR="009469FB" w:rsidRDefault="009469FB" w:rsidP="00AE0A46">
      <w:pPr>
        <w:rPr>
          <w:highlight w:val="yellow"/>
        </w:rPr>
      </w:pPr>
    </w:p>
    <w:p w14:paraId="0757DEAA" w14:textId="77777777" w:rsidR="00C6321F" w:rsidRPr="00DA7405" w:rsidRDefault="00A459FB" w:rsidP="00A459FB">
      <w:pPr>
        <w:pStyle w:val="Heading2"/>
      </w:pPr>
      <w:bookmarkStart w:id="115" w:name="_Toc478990491"/>
      <w:bookmarkStart w:id="116" w:name="_Toc479768564"/>
      <w:bookmarkStart w:id="117" w:name="_Toc482353486"/>
      <w:bookmarkStart w:id="118" w:name="_Toc482357289"/>
      <w:bookmarkStart w:id="119" w:name="_Toc482634265"/>
      <w:bookmarkStart w:id="120" w:name="_Toc482626397"/>
      <w:bookmarkStart w:id="121" w:name="_Toc484092468"/>
      <w:bookmarkStart w:id="122" w:name="_Toc484172671"/>
      <w:bookmarkStart w:id="123" w:name="_Toc484183008"/>
      <w:bookmarkStart w:id="124" w:name="_Toc490225765"/>
      <w:r>
        <w:t>Content of this Report</w:t>
      </w:r>
      <w:bookmarkEnd w:id="115"/>
      <w:bookmarkEnd w:id="116"/>
      <w:bookmarkEnd w:id="117"/>
      <w:bookmarkEnd w:id="118"/>
      <w:bookmarkEnd w:id="119"/>
      <w:bookmarkEnd w:id="120"/>
      <w:bookmarkEnd w:id="121"/>
      <w:bookmarkEnd w:id="122"/>
      <w:bookmarkEnd w:id="123"/>
      <w:bookmarkEnd w:id="124"/>
    </w:p>
    <w:p w14:paraId="5105E0DF" w14:textId="77777777" w:rsidR="00A459FB" w:rsidRDefault="00A459FB" w:rsidP="00A459FB">
      <w:r>
        <w:t>This report documents the data relied upon by and the results of the 201</w:t>
      </w:r>
      <w:r w:rsidR="00F83E36">
        <w:t>8</w:t>
      </w:r>
      <w:r>
        <w:t xml:space="preserve"> Study.</w:t>
      </w:r>
    </w:p>
    <w:p w14:paraId="69909EEE" w14:textId="77777777" w:rsidR="00A459FB" w:rsidRPr="00D9432B" w:rsidRDefault="00A459FB" w:rsidP="004E4E36">
      <w:pPr>
        <w:pStyle w:val="ListParagraph"/>
        <w:numPr>
          <w:ilvl w:val="0"/>
          <w:numId w:val="11"/>
        </w:numPr>
      </w:pPr>
      <w:r w:rsidRPr="00D9432B">
        <w:rPr>
          <w:b/>
        </w:rPr>
        <w:t>Section 2</w:t>
      </w:r>
      <w:r w:rsidRPr="00D9432B">
        <w:t xml:space="preserve"> provides an over</w:t>
      </w:r>
      <w:r w:rsidR="005F3B8A" w:rsidRPr="00D9432B">
        <w:t>view of the study’s methodology</w:t>
      </w:r>
      <w:r w:rsidR="00D9432B" w:rsidRPr="00D9432B">
        <w:t xml:space="preserve"> for each key area of the study.</w:t>
      </w:r>
    </w:p>
    <w:p w14:paraId="6C2DFB15" w14:textId="77777777" w:rsidR="00A459FB" w:rsidRPr="00D9432B" w:rsidRDefault="00A459FB" w:rsidP="004E4E36">
      <w:pPr>
        <w:pStyle w:val="ListParagraph"/>
        <w:numPr>
          <w:ilvl w:val="0"/>
          <w:numId w:val="11"/>
        </w:numPr>
      </w:pPr>
      <w:r w:rsidRPr="00D9432B">
        <w:rPr>
          <w:b/>
        </w:rPr>
        <w:t xml:space="preserve">Section 3 </w:t>
      </w:r>
      <w:r w:rsidR="00D9432B" w:rsidRPr="00D9432B">
        <w:t xml:space="preserve">provides details on the input data used </w:t>
      </w:r>
      <w:r w:rsidRPr="00D9432B">
        <w:t xml:space="preserve">for each key area of the study. </w:t>
      </w:r>
      <w:r w:rsidR="00D9432B" w:rsidRPr="00D9432B">
        <w:t>It</w:t>
      </w:r>
      <w:r w:rsidRPr="00D9432B">
        <w:t xml:space="preserve"> describes the data sources and process taken to incorporate the data into the PG Model.</w:t>
      </w:r>
    </w:p>
    <w:p w14:paraId="3B0640AD" w14:textId="77777777" w:rsidR="00A459FB" w:rsidRDefault="00A459FB" w:rsidP="004E4E36">
      <w:pPr>
        <w:pStyle w:val="ListParagraph"/>
        <w:numPr>
          <w:ilvl w:val="0"/>
          <w:numId w:val="11"/>
        </w:numPr>
      </w:pPr>
      <w:r w:rsidRPr="00D9432B">
        <w:rPr>
          <w:b/>
        </w:rPr>
        <w:t>Section 4</w:t>
      </w:r>
      <w:r w:rsidRPr="00D9432B">
        <w:t xml:space="preserve"> provides the </w:t>
      </w:r>
      <w:r w:rsidR="00BB59F5">
        <w:t>2018</w:t>
      </w:r>
      <w:r w:rsidR="00D9432B" w:rsidRPr="00D9432B">
        <w:t xml:space="preserve"> </w:t>
      </w:r>
      <w:r w:rsidRPr="00D9432B">
        <w:t>PG Model results.</w:t>
      </w:r>
    </w:p>
    <w:p w14:paraId="79EC03FC" w14:textId="77777777" w:rsidR="001F730E" w:rsidRPr="00D9432B" w:rsidRDefault="001F730E" w:rsidP="001F730E">
      <w:pPr>
        <w:pStyle w:val="ListParagraph"/>
        <w:numPr>
          <w:ilvl w:val="0"/>
          <w:numId w:val="11"/>
        </w:numPr>
      </w:pPr>
      <w:r w:rsidRPr="00D9432B">
        <w:rPr>
          <w:b/>
        </w:rPr>
        <w:t xml:space="preserve">Section </w:t>
      </w:r>
      <w:r>
        <w:rPr>
          <w:b/>
        </w:rPr>
        <w:t>5</w:t>
      </w:r>
      <w:r w:rsidRPr="00D9432B">
        <w:t xml:space="preserve"> </w:t>
      </w:r>
      <w:r>
        <w:t>compares the 2018</w:t>
      </w:r>
      <w:r w:rsidRPr="00D9432B">
        <w:t xml:space="preserve"> </w:t>
      </w:r>
      <w:r>
        <w:t>PG Model results to the 2015 PG Study</w:t>
      </w:r>
      <w:r w:rsidR="00F83E36">
        <w:t>.</w:t>
      </w:r>
    </w:p>
    <w:p w14:paraId="6E61E443" w14:textId="77777777" w:rsidR="00A459FB" w:rsidRPr="00D9432B" w:rsidRDefault="00A459FB" w:rsidP="004E4E36">
      <w:pPr>
        <w:pStyle w:val="ListParagraph"/>
        <w:numPr>
          <w:ilvl w:val="0"/>
          <w:numId w:val="11"/>
        </w:numPr>
      </w:pPr>
      <w:r w:rsidRPr="00D9432B">
        <w:rPr>
          <w:b/>
        </w:rPr>
        <w:t>Appendices</w:t>
      </w:r>
      <w:r w:rsidRPr="00D9432B">
        <w:t xml:space="preserve"> provide additional details for key topic areas.</w:t>
      </w:r>
    </w:p>
    <w:p w14:paraId="3C7ED926" w14:textId="77777777" w:rsidR="00A459FB" w:rsidRPr="00142399" w:rsidRDefault="00A459FB" w:rsidP="00A459FB">
      <w:pPr>
        <w:rPr>
          <w:highlight w:val="yellow"/>
        </w:rPr>
      </w:pPr>
    </w:p>
    <w:p w14:paraId="695D558D" w14:textId="77777777" w:rsidR="00A459FB" w:rsidRPr="00974FAC" w:rsidRDefault="00A459FB" w:rsidP="00A459FB">
      <w:r w:rsidRPr="00974FAC">
        <w:t>Aside from this report, the following are available to the public:</w:t>
      </w:r>
    </w:p>
    <w:p w14:paraId="3CA7FEC1" w14:textId="77777777" w:rsidR="00A459FB" w:rsidRDefault="00A459FB" w:rsidP="004E4E36">
      <w:pPr>
        <w:pStyle w:val="ListParagraph"/>
        <w:numPr>
          <w:ilvl w:val="0"/>
          <w:numId w:val="12"/>
        </w:numPr>
      </w:pPr>
      <w:r w:rsidRPr="00974FAC">
        <w:t>201</w:t>
      </w:r>
      <w:r w:rsidR="00472284">
        <w:t>8</w:t>
      </w:r>
      <w:r w:rsidRPr="00974FAC">
        <w:t xml:space="preserve"> PG Model File – an Analytica based file that contains the PG model used to create the results of this study;</w:t>
      </w:r>
    </w:p>
    <w:p w14:paraId="13E5079C" w14:textId="77777777" w:rsidR="00472284" w:rsidRPr="00974FAC" w:rsidRDefault="00472284" w:rsidP="004E4E36">
      <w:pPr>
        <w:pStyle w:val="ListParagraph"/>
        <w:numPr>
          <w:ilvl w:val="0"/>
          <w:numId w:val="12"/>
        </w:numPr>
      </w:pPr>
      <w:r w:rsidRPr="00974FAC">
        <w:t>201</w:t>
      </w:r>
      <w:r>
        <w:t>8</w:t>
      </w:r>
      <w:r w:rsidRPr="00974FAC">
        <w:t xml:space="preserve"> PG </w:t>
      </w:r>
      <w:r>
        <w:t xml:space="preserve">BROs Model File – a spreadsheet </w:t>
      </w:r>
      <w:r w:rsidRPr="00974FAC">
        <w:t xml:space="preserve">based file that contains the </w:t>
      </w:r>
      <w:r>
        <w:t>model used to create the BROs results for this study;</w:t>
      </w:r>
    </w:p>
    <w:p w14:paraId="5461A8D0" w14:textId="77777777" w:rsidR="00A459FB" w:rsidRPr="00974FAC" w:rsidRDefault="00A459FB" w:rsidP="004E4E36">
      <w:pPr>
        <w:pStyle w:val="ListParagraph"/>
        <w:numPr>
          <w:ilvl w:val="0"/>
          <w:numId w:val="12"/>
        </w:numPr>
      </w:pPr>
      <w:r w:rsidRPr="00974FAC">
        <w:t>201</w:t>
      </w:r>
      <w:r w:rsidR="00472284">
        <w:t>8</w:t>
      </w:r>
      <w:r w:rsidR="00D9432B" w:rsidRPr="00974FAC">
        <w:t xml:space="preserve"> </w:t>
      </w:r>
      <w:r w:rsidRPr="00974FAC">
        <w:t xml:space="preserve">PG Results Viewer – a spreadsheet viewer that contains detailed results at </w:t>
      </w:r>
      <w:r w:rsidR="001F730E">
        <w:t>the end use level</w:t>
      </w:r>
      <w:r w:rsidRPr="00974FAC">
        <w:t>; and</w:t>
      </w:r>
    </w:p>
    <w:p w14:paraId="419615CB" w14:textId="77777777" w:rsidR="00A459FB" w:rsidRPr="00974FAC" w:rsidRDefault="00A459FB" w:rsidP="004E4E36">
      <w:pPr>
        <w:pStyle w:val="ListParagraph"/>
        <w:numPr>
          <w:ilvl w:val="0"/>
          <w:numId w:val="12"/>
        </w:numPr>
      </w:pPr>
      <w:r w:rsidRPr="00974FAC">
        <w:t>201</w:t>
      </w:r>
      <w:r w:rsidR="00472284">
        <w:t>8</w:t>
      </w:r>
      <w:r w:rsidRPr="00974FAC">
        <w:t xml:space="preserve"> PG MICS – a spreadsheet version of the Measure Input Characterization System documenting all final values for all </w:t>
      </w:r>
      <w:r w:rsidR="005F3B8A" w:rsidRPr="00974FAC">
        <w:t xml:space="preserve">technologies forecasted in the </w:t>
      </w:r>
      <w:r w:rsidRPr="00974FAC">
        <w:t>model.</w:t>
      </w:r>
    </w:p>
    <w:p w14:paraId="35CEEB9B" w14:textId="77777777" w:rsidR="00A459FB" w:rsidRPr="00974FAC" w:rsidRDefault="00A459FB" w:rsidP="00A459FB"/>
    <w:p w14:paraId="5E31717F" w14:textId="77777777" w:rsidR="00772C76" w:rsidRDefault="00A459FB" w:rsidP="00D30C69">
      <w:pPr>
        <w:sectPr w:rsidR="00772C76" w:rsidSect="00772C76">
          <w:pgSz w:w="12240" w:h="15840" w:code="1"/>
          <w:pgMar w:top="1440" w:right="1440" w:bottom="1440" w:left="1440" w:header="720" w:footer="720" w:gutter="0"/>
          <w:pgNumType w:start="1"/>
          <w:cols w:space="720"/>
          <w:docGrid w:linePitch="360"/>
        </w:sectPr>
      </w:pPr>
      <w:r w:rsidRPr="00974FAC">
        <w:t>These additional documents and files can be found on</w:t>
      </w:r>
      <w:r w:rsidR="00CD1669" w:rsidRPr="00974FAC">
        <w:t xml:space="preserve"> the CPUC’s website.</w:t>
      </w:r>
      <w:r w:rsidR="00CD1669" w:rsidRPr="00974FAC">
        <w:rPr>
          <w:rStyle w:val="FootnoteReference"/>
        </w:rPr>
        <w:footnoteReference w:id="21"/>
      </w:r>
    </w:p>
    <w:p w14:paraId="29DC0D53" w14:textId="77777777" w:rsidR="00EB4B79" w:rsidRDefault="00CD1669" w:rsidP="007E62BF">
      <w:pPr>
        <w:pStyle w:val="Heading1"/>
      </w:pPr>
      <w:bookmarkStart w:id="125" w:name="_Toc478990492"/>
      <w:bookmarkStart w:id="126" w:name="_Toc479768565"/>
      <w:bookmarkStart w:id="127" w:name="_Toc482353487"/>
      <w:bookmarkStart w:id="128" w:name="_Toc482357290"/>
      <w:bookmarkStart w:id="129" w:name="_Toc482634266"/>
      <w:bookmarkStart w:id="130" w:name="_Toc482626398"/>
      <w:bookmarkStart w:id="131" w:name="_Toc484092469"/>
      <w:bookmarkStart w:id="132" w:name="_Toc484172672"/>
      <w:bookmarkStart w:id="133" w:name="_Toc484183009"/>
      <w:bookmarkStart w:id="134" w:name="_Toc490225766"/>
      <w:r>
        <w:lastRenderedPageBreak/>
        <w:t>Study Methodology</w:t>
      </w:r>
      <w:bookmarkEnd w:id="125"/>
      <w:bookmarkEnd w:id="126"/>
      <w:bookmarkEnd w:id="127"/>
      <w:bookmarkEnd w:id="128"/>
      <w:bookmarkEnd w:id="129"/>
      <w:bookmarkEnd w:id="130"/>
      <w:bookmarkEnd w:id="131"/>
      <w:bookmarkEnd w:id="132"/>
      <w:bookmarkEnd w:id="133"/>
      <w:bookmarkEnd w:id="134"/>
    </w:p>
    <w:p w14:paraId="79F7EA1D" w14:textId="77777777" w:rsidR="003C129D" w:rsidRDefault="003C129D" w:rsidP="008820EA">
      <w:r w:rsidRPr="00CD1669">
        <w:t xml:space="preserve">The primary purpose of the </w:t>
      </w:r>
      <w:r w:rsidR="00BB59F5">
        <w:t>2018</w:t>
      </w:r>
      <w:r w:rsidRPr="00CD1669">
        <w:t xml:space="preserve"> Study is to provide the CPUC with information and analytical tools to engage in goal setting for the IOU energy efficiency portfolio</w:t>
      </w:r>
      <w:r>
        <w:t>s</w:t>
      </w:r>
      <w:r w:rsidRPr="00CD1669">
        <w:t xml:space="preserve">. In addition, this study informs forecasts used for procurement planning. The model itself does not establish any regulatory requirements. </w:t>
      </w:r>
    </w:p>
    <w:p w14:paraId="36DD46E2" w14:textId="77777777" w:rsidR="003C129D" w:rsidRDefault="003C129D" w:rsidP="008820EA"/>
    <w:p w14:paraId="61F518C0" w14:textId="77777777" w:rsidR="00CD1669" w:rsidRPr="00CD1669" w:rsidRDefault="00CD1669" w:rsidP="00CD1669">
      <w:r>
        <w:t xml:space="preserve">The </w:t>
      </w:r>
      <w:r w:rsidR="00BB59F5">
        <w:t>2018</w:t>
      </w:r>
      <w:r w:rsidRPr="00CD1669">
        <w:t xml:space="preserve"> model forecasts potential energy savings from a variety of sources within six distinct sectors: Residential, Commercial, Agricultural, Industrial, Mining, and Street Lighting. </w:t>
      </w:r>
      <w:r w:rsidR="000A3493">
        <w:t xml:space="preserve">These </w:t>
      </w:r>
      <w:r w:rsidR="00950406">
        <w:t>sectors</w:t>
      </w:r>
      <w:r w:rsidR="000A3493">
        <w:t xml:space="preserve"> are also used in the CEC’s IEPR forecast. </w:t>
      </w:r>
      <w:r w:rsidRPr="00CD1669">
        <w:t xml:space="preserve">Within some or </w:t>
      </w:r>
      <w:r w:rsidR="00950406" w:rsidRPr="00CD1669">
        <w:t>all</w:t>
      </w:r>
      <w:r w:rsidRPr="00CD1669">
        <w:t xml:space="preserve"> the sectors, sources of savings include:</w:t>
      </w:r>
    </w:p>
    <w:p w14:paraId="12C376FD" w14:textId="77777777" w:rsidR="00CD1669" w:rsidRPr="00CD1669" w:rsidRDefault="0059286E" w:rsidP="004E4E36">
      <w:pPr>
        <w:pStyle w:val="ListParagraph"/>
        <w:numPr>
          <w:ilvl w:val="0"/>
          <w:numId w:val="13"/>
        </w:numPr>
      </w:pPr>
      <w:r w:rsidRPr="00950406">
        <w:rPr>
          <w:b/>
        </w:rPr>
        <w:t xml:space="preserve">Rebated </w:t>
      </w:r>
      <w:r w:rsidR="00BF797A" w:rsidRPr="00950406">
        <w:rPr>
          <w:b/>
        </w:rPr>
        <w:t>Technologies</w:t>
      </w:r>
      <w:r w:rsidRPr="00950406">
        <w:rPr>
          <w:b/>
        </w:rPr>
        <w:t>:</w:t>
      </w:r>
      <w:r>
        <w:t xml:space="preserve"> </w:t>
      </w:r>
      <w:r w:rsidR="00BF797A">
        <w:t xml:space="preserve">Discrete mass market technologies </w:t>
      </w:r>
      <w:r w:rsidR="00796A37">
        <w:t xml:space="preserve">that are incentivized and provided to IOU customers in the </w:t>
      </w:r>
      <w:r w:rsidR="00CD1669" w:rsidRPr="00CD1669">
        <w:t xml:space="preserve">Residential, Commercial, </w:t>
      </w:r>
      <w:r w:rsidR="00796A37">
        <w:t xml:space="preserve">Industrial, Agricultural, Mining, and </w:t>
      </w:r>
      <w:r w:rsidR="00CD1669" w:rsidRPr="00CD1669">
        <w:t>Street-lighting sectors. These sectors are modeled using individual measures for specific applications.</w:t>
      </w:r>
    </w:p>
    <w:p w14:paraId="6FB87756" w14:textId="77777777" w:rsidR="00BF797A" w:rsidRDefault="00BF797A" w:rsidP="004E4E36">
      <w:pPr>
        <w:pStyle w:val="ListParagraph"/>
        <w:numPr>
          <w:ilvl w:val="0"/>
          <w:numId w:val="13"/>
        </w:numPr>
      </w:pPr>
      <w:r w:rsidRPr="00950406">
        <w:rPr>
          <w:b/>
        </w:rPr>
        <w:t>Whole Building Approaches:</w:t>
      </w:r>
      <w:r w:rsidRPr="00CD1669">
        <w:t xml:space="preserve"> In the case of whole-building initiatives, the “measure” is characterized for the building retrofit or house retrofit rather than for specific technology or end uses. Whole building initiatives are modeled for the Residential and Commercial sectors.</w:t>
      </w:r>
    </w:p>
    <w:p w14:paraId="12C71DA0" w14:textId="77777777" w:rsidR="00BF797A" w:rsidRPr="00283A99" w:rsidRDefault="00BF797A" w:rsidP="004E4E36">
      <w:pPr>
        <w:pStyle w:val="ListParagraph"/>
        <w:numPr>
          <w:ilvl w:val="0"/>
          <w:numId w:val="13"/>
        </w:numPr>
      </w:pPr>
      <w:r w:rsidRPr="00283A99">
        <w:rPr>
          <w:b/>
        </w:rPr>
        <w:t>Custom Measures and Emerging Technologies:</w:t>
      </w:r>
      <w:r w:rsidRPr="00283A99">
        <w:t xml:space="preserve"> </w:t>
      </w:r>
      <w:r w:rsidR="008530FD" w:rsidRPr="00283A99">
        <w:t>This study defines Custom Measures as improvements to processes specific to the industrial and agricultural sectors</w:t>
      </w:r>
      <w:r w:rsidR="00283A99" w:rsidRPr="00283A99">
        <w:t xml:space="preserve">, the measures themselves are not individually defined and rather represent a wide array of, niche technologies. Similarly, </w:t>
      </w:r>
      <w:r w:rsidR="008530FD" w:rsidRPr="00283A99">
        <w:t xml:space="preserve">Emerging Technologies </w:t>
      </w:r>
      <w:r w:rsidR="00283A99" w:rsidRPr="00283A99">
        <w:t>are represented as a wide array of technologies and not individually defined.</w:t>
      </w:r>
      <w:r w:rsidR="008530FD" w:rsidRPr="00283A99">
        <w:t xml:space="preserve">  </w:t>
      </w:r>
    </w:p>
    <w:p w14:paraId="7BC82E81" w14:textId="77777777" w:rsidR="00796A37" w:rsidRPr="00CF53E9" w:rsidRDefault="00796A37" w:rsidP="004E4E36">
      <w:pPr>
        <w:pStyle w:val="ListParagraph"/>
        <w:numPr>
          <w:ilvl w:val="0"/>
          <w:numId w:val="13"/>
        </w:numPr>
      </w:pPr>
      <w:r w:rsidRPr="00CF53E9">
        <w:rPr>
          <w:b/>
        </w:rPr>
        <w:t>Behavior, Retrocommissioning, Operational Efficiency</w:t>
      </w:r>
      <w:r w:rsidR="000874B8" w:rsidRPr="00CF53E9">
        <w:rPr>
          <w:b/>
        </w:rPr>
        <w:t xml:space="preserve"> (BROs)</w:t>
      </w:r>
      <w:r w:rsidRPr="00CF53E9">
        <w:rPr>
          <w:b/>
        </w:rPr>
        <w:t>:</w:t>
      </w:r>
      <w:r w:rsidRPr="00CF53E9">
        <w:t xml:space="preserve"> For the purposes of this study, the Navigant team defines behavior-based initiatives as those providing information about energy use and conservation actions, rather than financial incentives, equipment, or services.</w:t>
      </w:r>
      <w:r w:rsidR="00CF53E9" w:rsidRPr="00CF53E9">
        <w:t xml:space="preserve"> Savings from BROs are modeled as incremental impacts of behavior and operational changes beyond equipment changes. </w:t>
      </w:r>
    </w:p>
    <w:p w14:paraId="49AD1196" w14:textId="77777777" w:rsidR="00796A37" w:rsidRPr="00CF53E9" w:rsidRDefault="000874B8" w:rsidP="004E4E36">
      <w:pPr>
        <w:pStyle w:val="ListParagraph"/>
        <w:numPr>
          <w:ilvl w:val="0"/>
          <w:numId w:val="13"/>
        </w:numPr>
      </w:pPr>
      <w:r w:rsidRPr="00950406">
        <w:rPr>
          <w:b/>
        </w:rPr>
        <w:t xml:space="preserve">Residential </w:t>
      </w:r>
      <w:r w:rsidR="00796A37" w:rsidRPr="00950406">
        <w:rPr>
          <w:b/>
        </w:rPr>
        <w:t>Low Income:</w:t>
      </w:r>
      <w:r w:rsidR="00796A37" w:rsidRPr="00CD1669">
        <w:t xml:space="preserve"> The methodology for the low-income sector remains unchanged from the 2013 Study. Data was updated to reflect the most recent information available from the CPUC </w:t>
      </w:r>
      <w:r w:rsidR="00796A37" w:rsidRPr="00CF53E9">
        <w:t xml:space="preserve">regarding savings per participant and forecasted participants. </w:t>
      </w:r>
    </w:p>
    <w:p w14:paraId="0F8871C0" w14:textId="77777777" w:rsidR="00796A37" w:rsidRPr="00CF53E9" w:rsidRDefault="00796A37" w:rsidP="004E4E36">
      <w:pPr>
        <w:pStyle w:val="ListParagraph"/>
        <w:numPr>
          <w:ilvl w:val="0"/>
          <w:numId w:val="13"/>
        </w:numPr>
      </w:pPr>
      <w:r w:rsidRPr="00CF53E9">
        <w:rPr>
          <w:b/>
        </w:rPr>
        <w:t>Codes and Standards (C&amp;S)</w:t>
      </w:r>
      <w:r w:rsidR="000874B8" w:rsidRPr="00CF53E9">
        <w:rPr>
          <w:b/>
        </w:rPr>
        <w:t>:</w:t>
      </w:r>
      <w:r w:rsidRPr="00CF53E9">
        <w:t xml:space="preserve"> Codes regulate building design, requiring builders to incorporate high-efficiency measures. Standards set minimum efficiency levels for newly manufactured appliances. </w:t>
      </w:r>
      <w:r w:rsidR="00BF797A" w:rsidRPr="00CF53E9">
        <w:t xml:space="preserve">Savings are forecasting </w:t>
      </w:r>
      <w:r w:rsidR="000A3493" w:rsidRPr="00CF53E9">
        <w:t xml:space="preserve">from C&amp;S that went into effect starting in 2006. </w:t>
      </w:r>
    </w:p>
    <w:p w14:paraId="00808674" w14:textId="77777777" w:rsidR="00CD1669" w:rsidRPr="00CF53E9" w:rsidRDefault="00CD1669" w:rsidP="004E4E36">
      <w:pPr>
        <w:pStyle w:val="ListParagraph"/>
        <w:numPr>
          <w:ilvl w:val="0"/>
          <w:numId w:val="13"/>
        </w:numPr>
      </w:pPr>
      <w:r w:rsidRPr="00CF53E9">
        <w:rPr>
          <w:b/>
        </w:rPr>
        <w:t>Financing:</w:t>
      </w:r>
      <w:r w:rsidRPr="00CF53E9">
        <w:t xml:space="preserve"> Financing has the potential to break through </w:t>
      </w:r>
      <w:r w:rsidR="00CF53E9" w:rsidRPr="00CF53E9">
        <w:t>several</w:t>
      </w:r>
      <w:r w:rsidRPr="00CF53E9">
        <w:t xml:space="preserve"> market barriers that have limited the widespread market adoption of cost-effective energy efficiency measures. The PG Model estimates the effects of introducing energy efficiency financing on market potential and how shifting assumptions about financing affect the potential energy savings.</w:t>
      </w:r>
    </w:p>
    <w:p w14:paraId="5DB2D05A" w14:textId="77777777" w:rsidR="008820EA" w:rsidRDefault="008820EA" w:rsidP="008820EA"/>
    <w:p w14:paraId="2FF00016" w14:textId="77777777" w:rsidR="003C129D" w:rsidRDefault="00557792" w:rsidP="008820EA">
      <w:r>
        <w:t xml:space="preserve">AB802, SB350 and possible changes to the CPUC Cost Effectiveness </w:t>
      </w:r>
      <w:r w:rsidR="006E1C45">
        <w:t xml:space="preserve">policies </w:t>
      </w:r>
      <w:r>
        <w:t xml:space="preserve">have driven the PG study to update its methodology in several key areas. </w:t>
      </w:r>
      <w:r w:rsidR="003C129D" w:rsidRPr="00E51F0C">
        <w:t>The modeling methodology leverages much of what was used in the 2015 Study but further builds upon the analysis presented in the AB802 Technical Analysis.</w:t>
      </w:r>
      <w:r w:rsidR="00E51F0C" w:rsidRPr="00E51F0C">
        <w:t xml:space="preserve">  The rest of this section discusses the </w:t>
      </w:r>
      <w:r w:rsidR="00BB59F5">
        <w:t>2018</w:t>
      </w:r>
      <w:r w:rsidR="00E51F0C" w:rsidRPr="00E51F0C">
        <w:t xml:space="preserve"> Study methodology. </w:t>
      </w:r>
    </w:p>
    <w:p w14:paraId="254026CF" w14:textId="77777777" w:rsidR="003C129D" w:rsidRDefault="003C129D" w:rsidP="003C129D">
      <w:pPr>
        <w:pStyle w:val="Heading2"/>
      </w:pPr>
      <w:bookmarkStart w:id="135" w:name="_Toc478990493"/>
      <w:bookmarkStart w:id="136" w:name="_Toc479768566"/>
      <w:bookmarkStart w:id="137" w:name="_Toc482353488"/>
      <w:bookmarkStart w:id="138" w:name="_Toc482357291"/>
      <w:bookmarkStart w:id="139" w:name="_Toc482634267"/>
      <w:bookmarkStart w:id="140" w:name="_Toc482626399"/>
      <w:bookmarkStart w:id="141" w:name="_Toc484092470"/>
      <w:bookmarkStart w:id="142" w:name="_Toc484172673"/>
      <w:bookmarkStart w:id="143" w:name="_Toc484183010"/>
      <w:bookmarkStart w:id="144" w:name="_Toc490225767"/>
      <w:r>
        <w:lastRenderedPageBreak/>
        <w:t>Modeling Methods</w:t>
      </w:r>
      <w:bookmarkEnd w:id="135"/>
      <w:bookmarkEnd w:id="136"/>
      <w:bookmarkEnd w:id="137"/>
      <w:bookmarkEnd w:id="138"/>
      <w:bookmarkEnd w:id="139"/>
      <w:bookmarkEnd w:id="140"/>
      <w:bookmarkEnd w:id="141"/>
      <w:bookmarkEnd w:id="142"/>
      <w:bookmarkEnd w:id="143"/>
      <w:bookmarkEnd w:id="144"/>
    </w:p>
    <w:p w14:paraId="291D8C5F" w14:textId="77777777" w:rsidR="008820EA" w:rsidRDefault="00FC279C" w:rsidP="008820EA">
      <w:r>
        <w:fldChar w:fldCharType="begin"/>
      </w:r>
      <w:r>
        <w:instrText xml:space="preserve"> REF _Ref490227120 \h </w:instrText>
      </w:r>
      <w:r>
        <w:fldChar w:fldCharType="separate"/>
      </w:r>
      <w:r>
        <w:t xml:space="preserve">Table </w:t>
      </w:r>
      <w:r>
        <w:rPr>
          <w:noProof/>
        </w:rPr>
        <w:t>2</w:t>
      </w:r>
      <w:r>
        <w:noBreakHyphen/>
      </w:r>
      <w:r>
        <w:rPr>
          <w:noProof/>
        </w:rPr>
        <w:t>1</w:t>
      </w:r>
      <w:r>
        <w:fldChar w:fldCharType="end"/>
      </w:r>
      <w:r>
        <w:t xml:space="preserve"> </w:t>
      </w:r>
      <w:r w:rsidR="008820EA">
        <w:t xml:space="preserve">below summarizes the modeling approach for each </w:t>
      </w:r>
      <w:r w:rsidR="0014776F">
        <w:t>source</w:t>
      </w:r>
      <w:r w:rsidR="008820EA">
        <w:t xml:space="preserve"> of savings. The modeling approaches are discussed in more detail in the subsequent subsections. </w:t>
      </w:r>
    </w:p>
    <w:p w14:paraId="6D9EE2B0" w14:textId="77777777" w:rsidR="00AE0A46" w:rsidRDefault="00AE0A46" w:rsidP="008820EA"/>
    <w:p w14:paraId="036B7366" w14:textId="77777777" w:rsidR="00796A37" w:rsidRDefault="00932B52" w:rsidP="007851FD">
      <w:pPr>
        <w:pStyle w:val="Caption"/>
      </w:pPr>
      <w:bookmarkStart w:id="145" w:name="_Ref476770763"/>
      <w:bookmarkStart w:id="146" w:name="_Ref484634888"/>
      <w:bookmarkStart w:id="147" w:name="_Ref490227120"/>
      <w:bookmarkStart w:id="148" w:name="_Toc482634202"/>
      <w:bookmarkStart w:id="149" w:name="_Toc484436941"/>
      <w:bookmarkStart w:id="150" w:name="_Toc490560651"/>
      <w:r>
        <w:t xml:space="preserve">Table </w:t>
      </w:r>
      <w:bookmarkEnd w:id="145"/>
      <w:r w:rsidR="00C17D59">
        <w:fldChar w:fldCharType="begin"/>
      </w:r>
      <w:r w:rsidR="00C17D59">
        <w:instrText xml:space="preserve"> STYLEREF 1 \s </w:instrText>
      </w:r>
      <w:r w:rsidR="00C17D59">
        <w:fldChar w:fldCharType="separate"/>
      </w:r>
      <w:r w:rsidR="007566B9">
        <w:rPr>
          <w:noProof/>
        </w:rPr>
        <w:t>2</w:t>
      </w:r>
      <w:r w:rsidR="00C17D59">
        <w:fldChar w:fldCharType="end"/>
      </w:r>
      <w:r w:rsidR="00C17D59">
        <w:noBreakHyphen/>
      </w:r>
      <w:bookmarkEnd w:id="146"/>
      <w:r w:rsidR="00B206D8">
        <w:fldChar w:fldCharType="begin"/>
      </w:r>
      <w:r w:rsidR="00B206D8">
        <w:instrText xml:space="preserve"> SEQ Table \* ARABIC \s 1 </w:instrText>
      </w:r>
      <w:r w:rsidR="00B206D8">
        <w:fldChar w:fldCharType="separate"/>
      </w:r>
      <w:r w:rsidR="007566B9">
        <w:rPr>
          <w:noProof/>
        </w:rPr>
        <w:t>1</w:t>
      </w:r>
      <w:r w:rsidR="00B206D8">
        <w:rPr>
          <w:noProof/>
        </w:rPr>
        <w:fldChar w:fldCharType="end"/>
      </w:r>
      <w:bookmarkEnd w:id="147"/>
      <w:r w:rsidR="00BB59F5">
        <w:t>.</w:t>
      </w:r>
      <w:r>
        <w:t xml:space="preserve"> Overview of Modeling and Calibration Approach</w:t>
      </w:r>
      <w:bookmarkEnd w:id="148"/>
      <w:bookmarkEnd w:id="149"/>
      <w:bookmarkEnd w:id="150"/>
    </w:p>
    <w:tbl>
      <w:tblPr>
        <w:tblStyle w:val="EnergyTable1"/>
        <w:tblW w:w="8910" w:type="dxa"/>
        <w:tblLook w:val="04A0" w:firstRow="1" w:lastRow="0" w:firstColumn="1" w:lastColumn="0" w:noHBand="0" w:noVBand="1"/>
      </w:tblPr>
      <w:tblGrid>
        <w:gridCol w:w="4048"/>
        <w:gridCol w:w="2568"/>
        <w:gridCol w:w="2294"/>
      </w:tblGrid>
      <w:tr w:rsidR="004A66C4" w:rsidRPr="00CF53E9" w14:paraId="0E781B29" w14:textId="77777777" w:rsidTr="00AF2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C36D477" w14:textId="77777777" w:rsidR="004A66C4" w:rsidRPr="00CF53E9" w:rsidRDefault="004A66C4" w:rsidP="004A66C4">
            <w:pPr>
              <w:rPr>
                <w:rFonts w:ascii="Arial Narrow" w:hAnsi="Arial Narrow"/>
              </w:rPr>
            </w:pPr>
            <w:r w:rsidRPr="00CF53E9">
              <w:rPr>
                <w:rFonts w:ascii="Arial Narrow" w:hAnsi="Arial Narrow"/>
              </w:rPr>
              <w:t>Savings Source</w:t>
            </w:r>
          </w:p>
        </w:tc>
        <w:tc>
          <w:tcPr>
            <w:tcW w:w="0" w:type="dxa"/>
          </w:tcPr>
          <w:p w14:paraId="6E81ACD9" w14:textId="77777777" w:rsidR="004A66C4" w:rsidRPr="00CF53E9" w:rsidRDefault="004A66C4" w:rsidP="004A66C4">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F53E9">
              <w:rPr>
                <w:rFonts w:ascii="Arial Narrow" w:hAnsi="Arial Narrow"/>
              </w:rPr>
              <w:t>Summary of Modeling Approach</w:t>
            </w:r>
          </w:p>
        </w:tc>
        <w:tc>
          <w:tcPr>
            <w:tcW w:w="0" w:type="dxa"/>
          </w:tcPr>
          <w:p w14:paraId="7FD0F5F1" w14:textId="77777777" w:rsidR="004A66C4" w:rsidRPr="00CF53E9" w:rsidRDefault="004A66C4" w:rsidP="004A66C4">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F53E9">
              <w:rPr>
                <w:rFonts w:ascii="Arial Narrow" w:hAnsi="Arial Narrow"/>
              </w:rPr>
              <w:t>Summary of Calibration Approach</w:t>
            </w:r>
          </w:p>
        </w:tc>
      </w:tr>
      <w:tr w:rsidR="004A66C4" w:rsidRPr="00CF53E9" w14:paraId="5A88FFC1"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0B6AA12" w14:textId="77777777" w:rsidR="004A66C4" w:rsidRPr="00CF53E9" w:rsidRDefault="004A66C4" w:rsidP="004A66C4">
            <w:pPr>
              <w:rPr>
                <w:rFonts w:ascii="Arial Narrow" w:hAnsi="Arial Narrow"/>
                <w:b/>
              </w:rPr>
            </w:pPr>
            <w:r w:rsidRPr="00CF53E9">
              <w:rPr>
                <w:rFonts w:ascii="Arial Narrow" w:hAnsi="Arial Narrow"/>
                <w:b/>
              </w:rPr>
              <w:t>Rebated Technologies</w:t>
            </w:r>
          </w:p>
        </w:tc>
        <w:tc>
          <w:tcPr>
            <w:tcW w:w="0" w:type="dxa"/>
          </w:tcPr>
          <w:p w14:paraId="6AA73487" w14:textId="77777777" w:rsidR="004A66C4" w:rsidRPr="00CF53E9" w:rsidRDefault="004A66C4" w:rsidP="004A66C4">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Bass diffusion forecast competes below code, at code and above code technologies against each other.</w:t>
            </w:r>
          </w:p>
        </w:tc>
        <w:tc>
          <w:tcPr>
            <w:tcW w:w="0" w:type="dxa"/>
          </w:tcPr>
          <w:p w14:paraId="2B96FD87" w14:textId="77777777" w:rsidR="004A66C4" w:rsidRPr="00CF53E9" w:rsidRDefault="004A66C4" w:rsidP="004A66C4">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Calibrated to historic program spending</w:t>
            </w:r>
          </w:p>
        </w:tc>
      </w:tr>
      <w:tr w:rsidR="004A66C4" w:rsidRPr="00CF53E9" w14:paraId="2B468A6F"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4C8758A" w14:textId="77777777" w:rsidR="004A66C4" w:rsidRPr="00CF53E9" w:rsidRDefault="004A66C4" w:rsidP="00763F6F">
            <w:pPr>
              <w:rPr>
                <w:rFonts w:ascii="Arial Narrow" w:hAnsi="Arial Narrow"/>
                <w:b/>
              </w:rPr>
            </w:pPr>
            <w:r w:rsidRPr="00CF53E9">
              <w:rPr>
                <w:rFonts w:ascii="Arial Narrow" w:hAnsi="Arial Narrow"/>
                <w:b/>
              </w:rPr>
              <w:t xml:space="preserve">Whole Building </w:t>
            </w:r>
            <w:r w:rsidR="00763F6F" w:rsidRPr="00CF53E9">
              <w:rPr>
                <w:rFonts w:ascii="Arial Narrow" w:hAnsi="Arial Narrow"/>
                <w:b/>
              </w:rPr>
              <w:t>Packages</w:t>
            </w:r>
          </w:p>
        </w:tc>
        <w:tc>
          <w:tcPr>
            <w:tcW w:w="0" w:type="dxa"/>
          </w:tcPr>
          <w:p w14:paraId="29521496" w14:textId="77777777" w:rsidR="004A66C4" w:rsidRPr="00CF53E9" w:rsidRDefault="004A66C4" w:rsidP="004A66C4">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Bass diffusion forecast competes below code, at code and above code technologies against each other.</w:t>
            </w:r>
          </w:p>
        </w:tc>
        <w:tc>
          <w:tcPr>
            <w:tcW w:w="0" w:type="dxa"/>
          </w:tcPr>
          <w:p w14:paraId="4CEC9615" w14:textId="77777777" w:rsidR="004A66C4" w:rsidRPr="00CF53E9" w:rsidRDefault="004A66C4" w:rsidP="004A66C4">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Calibrated to historic program spending</w:t>
            </w:r>
          </w:p>
        </w:tc>
      </w:tr>
      <w:tr w:rsidR="004A66C4" w:rsidRPr="00CF53E9" w14:paraId="770D9080"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C397FE4" w14:textId="77777777" w:rsidR="004A66C4" w:rsidRPr="00CF53E9" w:rsidRDefault="004A66C4" w:rsidP="004A66C4">
            <w:pPr>
              <w:rPr>
                <w:rFonts w:ascii="Arial Narrow" w:hAnsi="Arial Narrow"/>
                <w:b/>
              </w:rPr>
            </w:pPr>
            <w:r w:rsidRPr="00CF53E9">
              <w:rPr>
                <w:rFonts w:ascii="Arial Narrow" w:hAnsi="Arial Narrow"/>
                <w:b/>
              </w:rPr>
              <w:t>Industrial Custom Measures and Emerging Technologies</w:t>
            </w:r>
          </w:p>
        </w:tc>
        <w:tc>
          <w:tcPr>
            <w:tcW w:w="0" w:type="dxa"/>
          </w:tcPr>
          <w:p w14:paraId="54EC372D" w14:textId="77777777" w:rsidR="004A66C4" w:rsidRPr="00CF53E9" w:rsidRDefault="004A66C4" w:rsidP="004A66C4">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 xml:space="preserve">Trend forecast based on recent IOU custom project savings in the industrial sector. Emerging technologies </w:t>
            </w:r>
            <w:r w:rsidR="00CF53E9" w:rsidRPr="00CF53E9">
              <w:rPr>
                <w:rFonts w:ascii="Arial Narrow" w:hAnsi="Arial Narrow"/>
              </w:rPr>
              <w:t>can</w:t>
            </w:r>
            <w:r w:rsidRPr="00CF53E9">
              <w:rPr>
                <w:rFonts w:ascii="Arial Narrow" w:hAnsi="Arial Narrow"/>
              </w:rPr>
              <w:t xml:space="preserve"> “ramp up” the trend in the future. </w:t>
            </w:r>
          </w:p>
        </w:tc>
        <w:tc>
          <w:tcPr>
            <w:tcW w:w="0" w:type="dxa"/>
          </w:tcPr>
          <w:p w14:paraId="050DA207" w14:textId="77777777" w:rsidR="004A66C4" w:rsidRPr="00CF53E9" w:rsidRDefault="004A66C4" w:rsidP="004A66C4">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 xml:space="preserve">Forecast is anchored in IOU program history and thus inherently calibrated to current market conditions. </w:t>
            </w:r>
          </w:p>
        </w:tc>
      </w:tr>
      <w:tr w:rsidR="004A66C4" w:rsidRPr="00CF53E9" w14:paraId="2B02A1CF"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E6D73E9" w14:textId="77777777" w:rsidR="004A66C4" w:rsidRPr="00CF53E9" w:rsidRDefault="004A66C4" w:rsidP="004A66C4">
            <w:pPr>
              <w:rPr>
                <w:rFonts w:ascii="Arial Narrow" w:hAnsi="Arial Narrow"/>
                <w:b/>
              </w:rPr>
            </w:pPr>
            <w:r w:rsidRPr="00CF53E9">
              <w:rPr>
                <w:rFonts w:ascii="Arial Narrow" w:hAnsi="Arial Narrow"/>
                <w:b/>
              </w:rPr>
              <w:t>Behavior, Retrocommissioning, Operational Efficiency (BROs)</w:t>
            </w:r>
          </w:p>
        </w:tc>
        <w:tc>
          <w:tcPr>
            <w:tcW w:w="0" w:type="dxa"/>
          </w:tcPr>
          <w:p w14:paraId="2804A3C3" w14:textId="77777777" w:rsidR="004A66C4" w:rsidRPr="00CF53E9" w:rsidRDefault="004A66C4" w:rsidP="004A66C4">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Interventions are limited to the applicable customers and markets. For the applicable markets, Navigant assumptions are made regarding reasonable penetration rates.</w:t>
            </w:r>
          </w:p>
        </w:tc>
        <w:tc>
          <w:tcPr>
            <w:tcW w:w="0" w:type="dxa"/>
          </w:tcPr>
          <w:p w14:paraId="550B3BD1" w14:textId="77777777" w:rsidR="004A66C4" w:rsidRPr="00CF53E9" w:rsidRDefault="004A66C4" w:rsidP="004A66C4">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Starting penetration rates are based on current penetration rates.</w:t>
            </w:r>
          </w:p>
        </w:tc>
      </w:tr>
      <w:tr w:rsidR="004A66C4" w:rsidRPr="00CF53E9" w14:paraId="53489966"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F0656B8" w14:textId="77777777" w:rsidR="004A66C4" w:rsidRPr="00CF53E9" w:rsidRDefault="004A66C4" w:rsidP="004A66C4">
            <w:pPr>
              <w:rPr>
                <w:rFonts w:ascii="Arial Narrow" w:hAnsi="Arial Narrow"/>
                <w:b/>
              </w:rPr>
            </w:pPr>
            <w:r w:rsidRPr="00CF53E9">
              <w:rPr>
                <w:rFonts w:ascii="Arial Narrow" w:hAnsi="Arial Narrow"/>
                <w:b/>
              </w:rPr>
              <w:t>Residential Low Income</w:t>
            </w:r>
          </w:p>
        </w:tc>
        <w:tc>
          <w:tcPr>
            <w:tcW w:w="0" w:type="dxa"/>
          </w:tcPr>
          <w:p w14:paraId="5139A67C" w14:textId="77777777" w:rsidR="004A66C4" w:rsidRPr="00CF53E9" w:rsidRDefault="004A66C4" w:rsidP="004A66C4">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Forecast of participation based on IOU program filings, data gaps filled by Navigant through extrapolation.</w:t>
            </w:r>
          </w:p>
        </w:tc>
        <w:tc>
          <w:tcPr>
            <w:tcW w:w="0" w:type="dxa"/>
          </w:tcPr>
          <w:p w14:paraId="2BB4D47D" w14:textId="77777777" w:rsidR="004A66C4" w:rsidRPr="00CF53E9" w:rsidRDefault="004A66C4" w:rsidP="004A66C4">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 xml:space="preserve">Forecast is anchored in IOU program history and plans </w:t>
            </w:r>
            <w:r w:rsidR="00AE0A46" w:rsidRPr="00CF53E9">
              <w:rPr>
                <w:rFonts w:ascii="Arial Narrow" w:hAnsi="Arial Narrow"/>
              </w:rPr>
              <w:t xml:space="preserve">and </w:t>
            </w:r>
            <w:r w:rsidRPr="00CF53E9">
              <w:rPr>
                <w:rFonts w:ascii="Arial Narrow" w:hAnsi="Arial Narrow"/>
              </w:rPr>
              <w:t xml:space="preserve">thus inherently calibrated to current market conditions. </w:t>
            </w:r>
          </w:p>
        </w:tc>
      </w:tr>
      <w:tr w:rsidR="004A66C4" w:rsidRPr="00CF53E9" w14:paraId="2983DAB0"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331BDAA" w14:textId="77777777" w:rsidR="004A66C4" w:rsidRPr="00CF53E9" w:rsidRDefault="004A66C4" w:rsidP="004A66C4">
            <w:pPr>
              <w:rPr>
                <w:rFonts w:ascii="Arial Narrow" w:hAnsi="Arial Narrow"/>
                <w:b/>
              </w:rPr>
            </w:pPr>
            <w:r w:rsidRPr="00CF53E9">
              <w:rPr>
                <w:rFonts w:ascii="Arial Narrow" w:hAnsi="Arial Narrow"/>
                <w:b/>
              </w:rPr>
              <w:t>Codes and Standards (C&amp;S):</w:t>
            </w:r>
          </w:p>
        </w:tc>
        <w:tc>
          <w:tcPr>
            <w:tcW w:w="0" w:type="dxa"/>
          </w:tcPr>
          <w:p w14:paraId="4645F3E8" w14:textId="77777777" w:rsidR="004A66C4" w:rsidRPr="00CF53E9" w:rsidRDefault="004A66C4" w:rsidP="004A66C4">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Model replicates the algorithms of the CPUC’s Integrated Standards Savings Model (ISSM)</w:t>
            </w:r>
          </w:p>
        </w:tc>
        <w:tc>
          <w:tcPr>
            <w:tcW w:w="0" w:type="dxa"/>
          </w:tcPr>
          <w:p w14:paraId="04AADA42" w14:textId="77777777" w:rsidR="004A66C4" w:rsidRPr="00CF53E9" w:rsidRDefault="004A66C4" w:rsidP="004A66C4">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 xml:space="preserve">Calibration not needed as evaluated results are used. </w:t>
            </w:r>
          </w:p>
        </w:tc>
      </w:tr>
      <w:tr w:rsidR="004A66C4" w:rsidRPr="00CF53E9" w14:paraId="47FAF145"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2695B11" w14:textId="77777777" w:rsidR="004A66C4" w:rsidRPr="00CF53E9" w:rsidRDefault="004A66C4" w:rsidP="004A66C4">
            <w:pPr>
              <w:rPr>
                <w:rFonts w:ascii="Arial Narrow" w:hAnsi="Arial Narrow"/>
                <w:b/>
              </w:rPr>
            </w:pPr>
            <w:r w:rsidRPr="00CF53E9">
              <w:rPr>
                <w:rFonts w:ascii="Arial Narrow" w:hAnsi="Arial Narrow"/>
                <w:b/>
              </w:rPr>
              <w:t>Financing</w:t>
            </w:r>
          </w:p>
        </w:tc>
        <w:tc>
          <w:tcPr>
            <w:tcW w:w="0" w:type="dxa"/>
          </w:tcPr>
          <w:p w14:paraId="5ED77FCE" w14:textId="77777777" w:rsidR="004A66C4" w:rsidRPr="00CF53E9" w:rsidRDefault="004A66C4" w:rsidP="00AE0A4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Financing</w:t>
            </w:r>
            <w:r w:rsidR="00AE0A46" w:rsidRPr="00CF53E9">
              <w:rPr>
                <w:rFonts w:ascii="Arial Narrow" w:hAnsi="Arial Narrow"/>
              </w:rPr>
              <w:t xml:space="preserve"> is applied to rebated technologies and whole building approaches. It reduces upfront barriers increasing consumer adoption and supplements bass diffusion modeling framework</w:t>
            </w:r>
          </w:p>
        </w:tc>
        <w:tc>
          <w:tcPr>
            <w:tcW w:w="0" w:type="dxa"/>
          </w:tcPr>
          <w:p w14:paraId="0C4ED981" w14:textId="77777777" w:rsidR="004A66C4" w:rsidRPr="00CF53E9" w:rsidRDefault="004A66C4" w:rsidP="004A66C4">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 xml:space="preserve">No </w:t>
            </w:r>
            <w:r w:rsidR="00AE0A46" w:rsidRPr="00CF53E9">
              <w:rPr>
                <w:rFonts w:ascii="Arial Narrow" w:hAnsi="Arial Narrow"/>
              </w:rPr>
              <w:t>program data to calibrate to</w:t>
            </w:r>
          </w:p>
        </w:tc>
      </w:tr>
    </w:tbl>
    <w:p w14:paraId="0106C1E1" w14:textId="77777777" w:rsidR="00BF797A" w:rsidRDefault="00BF797A" w:rsidP="00CD1669"/>
    <w:p w14:paraId="7B489818" w14:textId="77777777" w:rsidR="00BF797A" w:rsidRDefault="00BF797A" w:rsidP="00D30C26">
      <w:pPr>
        <w:pStyle w:val="Heading3"/>
      </w:pPr>
      <w:bookmarkStart w:id="151" w:name="_Toc482353489"/>
      <w:bookmarkStart w:id="152" w:name="_Toc482357292"/>
      <w:bookmarkStart w:id="153" w:name="_Toc482634268"/>
      <w:bookmarkStart w:id="154" w:name="_Toc482626400"/>
      <w:bookmarkStart w:id="155" w:name="_Toc484092471"/>
      <w:bookmarkStart w:id="156" w:name="_Toc484172674"/>
      <w:bookmarkStart w:id="157" w:name="_Toc484183011"/>
      <w:bookmarkStart w:id="158" w:name="_Toc490225768"/>
      <w:bookmarkStart w:id="159" w:name="_Toc478990494"/>
      <w:bookmarkStart w:id="160" w:name="_Toc479768567"/>
      <w:r>
        <w:lastRenderedPageBreak/>
        <w:t xml:space="preserve">Rebated </w:t>
      </w:r>
      <w:r w:rsidR="00CA40AA">
        <w:t>Technologies</w:t>
      </w:r>
      <w:bookmarkEnd w:id="151"/>
      <w:bookmarkEnd w:id="152"/>
      <w:bookmarkEnd w:id="153"/>
      <w:bookmarkEnd w:id="154"/>
      <w:bookmarkEnd w:id="155"/>
      <w:bookmarkEnd w:id="156"/>
      <w:bookmarkEnd w:id="157"/>
      <w:bookmarkEnd w:id="158"/>
      <w:r w:rsidR="008820EA">
        <w:t xml:space="preserve"> </w:t>
      </w:r>
      <w:bookmarkEnd w:id="159"/>
      <w:bookmarkEnd w:id="160"/>
    </w:p>
    <w:p w14:paraId="2AFFDC3D" w14:textId="77777777" w:rsidR="00F20138" w:rsidRPr="00F20138" w:rsidRDefault="00F20138" w:rsidP="00F20138">
      <w:r>
        <w:t xml:space="preserve">Rebated technologies make up the majority of historic program spending and savings claims. Thus, they are a core part of the </w:t>
      </w:r>
      <w:r w:rsidR="00BB59F5">
        <w:t>2018</w:t>
      </w:r>
      <w:r>
        <w:t xml:space="preserve"> PG model’s forecast. </w:t>
      </w:r>
      <w:r w:rsidR="00C80504">
        <w:t xml:space="preserve">Historically, rebate programs could </w:t>
      </w:r>
      <w:r w:rsidR="004F0C7A">
        <w:t>mostly</w:t>
      </w:r>
      <w:r w:rsidR="00C80504">
        <w:t xml:space="preserve"> claim above-code savings for rebated technologies. However, with the introduction of AB802, rebate programs can now claim to-code savings for select technologies</w:t>
      </w:r>
      <w:r w:rsidR="004F0C7A">
        <w:t xml:space="preserve"> more broadly</w:t>
      </w:r>
      <w:r w:rsidR="00C80504">
        <w:t xml:space="preserve">. Our approach to modeling rebated technologies has thus updated since the 2015 PG study to accommodate the modeling of to-code savings. </w:t>
      </w:r>
    </w:p>
    <w:p w14:paraId="34B0D76B" w14:textId="77777777" w:rsidR="006F560A" w:rsidRPr="00045431" w:rsidRDefault="006F560A" w:rsidP="00932B52">
      <w:pPr>
        <w:pStyle w:val="Heading4"/>
      </w:pPr>
      <w:bookmarkStart w:id="161" w:name="_Ref481421825"/>
      <w:r w:rsidRPr="00045431">
        <w:t xml:space="preserve">Types of </w:t>
      </w:r>
      <w:r w:rsidR="00B168EC" w:rsidRPr="00045431">
        <w:t>Technologies</w:t>
      </w:r>
      <w:bookmarkEnd w:id="161"/>
      <w:r w:rsidR="00B168EC" w:rsidRPr="00045431">
        <w:t xml:space="preserve"> </w:t>
      </w:r>
    </w:p>
    <w:p w14:paraId="7F44F3BE" w14:textId="77777777" w:rsidR="00932B52" w:rsidRDefault="00932B52" w:rsidP="00932B52">
      <w:r>
        <w:t xml:space="preserve">The PG study forecasts the adoption of more than </w:t>
      </w:r>
      <w:r w:rsidR="00181744">
        <w:t>150</w:t>
      </w:r>
      <w:r>
        <w:t xml:space="preserve"> energy efficiency </w:t>
      </w:r>
      <w:r w:rsidR="00D75C67">
        <w:t>technologies</w:t>
      </w:r>
      <w:r>
        <w:t>.  Each measure can be classified into one</w:t>
      </w:r>
      <w:r w:rsidR="001400AE">
        <w:t xml:space="preserve"> of several broad measure types.</w:t>
      </w:r>
      <w:r>
        <w:t xml:space="preserve"> Each measure type is treated differently in terms of calculating cost effectiveness, calculating energy savings</w:t>
      </w:r>
      <w:r w:rsidR="001400AE">
        <w:t xml:space="preserve"> relative to baseline</w:t>
      </w:r>
      <w:r>
        <w:t>, and modeling consumer decisions and market adoption. These differences are further discussed throughout this section report. The types of measure installations are:</w:t>
      </w:r>
    </w:p>
    <w:p w14:paraId="1347B1FE" w14:textId="77777777" w:rsidR="00932B52" w:rsidRDefault="00932B52" w:rsidP="004E4E36">
      <w:pPr>
        <w:pStyle w:val="ListParagraph"/>
        <w:numPr>
          <w:ilvl w:val="0"/>
          <w:numId w:val="21"/>
        </w:numPr>
        <w:spacing w:line="240" w:lineRule="auto"/>
        <w:rPr>
          <w:b/>
        </w:rPr>
      </w:pPr>
      <w:r>
        <w:rPr>
          <w:b/>
        </w:rPr>
        <w:t xml:space="preserve">New Construction – </w:t>
      </w:r>
      <w:r>
        <w:t xml:space="preserve">Equipment that is installed in a newly constructed building. In this situation, energy savings calculations are always relative to code.  </w:t>
      </w:r>
    </w:p>
    <w:p w14:paraId="40841B64" w14:textId="77777777" w:rsidR="00932B52" w:rsidRDefault="00932B52" w:rsidP="004E4E36">
      <w:pPr>
        <w:pStyle w:val="ListParagraph"/>
        <w:numPr>
          <w:ilvl w:val="0"/>
          <w:numId w:val="21"/>
        </w:numPr>
        <w:spacing w:line="240" w:lineRule="auto"/>
        <w:rPr>
          <w:b/>
        </w:rPr>
      </w:pPr>
      <w:r>
        <w:rPr>
          <w:b/>
        </w:rPr>
        <w:t>Installation in Existing Buildings</w:t>
      </w:r>
    </w:p>
    <w:p w14:paraId="271B950F" w14:textId="77777777" w:rsidR="00932B52" w:rsidRPr="005F1FAE" w:rsidRDefault="00932B52" w:rsidP="004E4E36">
      <w:pPr>
        <w:pStyle w:val="ListParagraph"/>
        <w:numPr>
          <w:ilvl w:val="1"/>
          <w:numId w:val="21"/>
        </w:numPr>
        <w:spacing w:line="240" w:lineRule="auto"/>
        <w:rPr>
          <w:b/>
        </w:rPr>
      </w:pPr>
      <w:r w:rsidRPr="005F1FAE">
        <w:rPr>
          <w:b/>
        </w:rPr>
        <w:t>Equipment</w:t>
      </w:r>
    </w:p>
    <w:p w14:paraId="68323019" w14:textId="77777777" w:rsidR="00932B52" w:rsidRDefault="00932B52" w:rsidP="004E4E36">
      <w:pPr>
        <w:pStyle w:val="ListParagraph"/>
        <w:numPr>
          <w:ilvl w:val="2"/>
          <w:numId w:val="21"/>
        </w:numPr>
        <w:spacing w:line="240" w:lineRule="auto"/>
      </w:pPr>
      <w:r w:rsidRPr="00BA28FA">
        <w:rPr>
          <w:b/>
        </w:rPr>
        <w:t xml:space="preserve">Replace on Burnout (ROB) – </w:t>
      </w:r>
      <w:r>
        <w:t>N</w:t>
      </w:r>
      <w:r w:rsidRPr="005F1FAE">
        <w:t xml:space="preserve">ew equipment </w:t>
      </w:r>
      <w:r>
        <w:t xml:space="preserve">needs to be installed to replace </w:t>
      </w:r>
      <w:r w:rsidRPr="005F1FAE">
        <w:t>equipment that</w:t>
      </w:r>
      <w:r>
        <w:t xml:space="preserve"> has reached the end of its useful life, has failed, and</w:t>
      </w:r>
      <w:r w:rsidRPr="005F1FAE">
        <w:t xml:space="preserve"> is no longer functional</w:t>
      </w:r>
      <w:r>
        <w:t xml:space="preserve">. Upon failure ROB equipment is generally not repaired by the customer and instead replaced with a new piece of equipment. Appliance standards are applicable to some types of ROB equipment and apply to all new purchases. An example of an ROB measure is the light bulb. </w:t>
      </w:r>
    </w:p>
    <w:p w14:paraId="686C0C24" w14:textId="77777777" w:rsidR="00932B52" w:rsidRPr="00BA28FA" w:rsidRDefault="00E51F0C" w:rsidP="004E4E36">
      <w:pPr>
        <w:pStyle w:val="ListParagraph"/>
        <w:numPr>
          <w:ilvl w:val="2"/>
          <w:numId w:val="21"/>
        </w:numPr>
        <w:spacing w:line="240" w:lineRule="auto"/>
        <w:rPr>
          <w:b/>
        </w:rPr>
      </w:pPr>
      <w:r>
        <w:rPr>
          <w:b/>
        </w:rPr>
        <w:t>Accelerated Replacement</w:t>
      </w:r>
      <w:r w:rsidR="00932B52" w:rsidRPr="00BA28FA">
        <w:rPr>
          <w:b/>
        </w:rPr>
        <w:t xml:space="preserve"> – </w:t>
      </w:r>
      <w:r w:rsidR="00932B52">
        <w:t xml:space="preserve">Equipment </w:t>
      </w:r>
      <w:r w:rsidR="001400AE">
        <w:t>that is beyond its EUL and is continuing to function in the market (likely because of repairs that a customer has conducted on the equipment to extend its life)</w:t>
      </w:r>
      <w:r w:rsidR="00932B52">
        <w:t xml:space="preserve">. The customer is </w:t>
      </w:r>
      <w:r w:rsidR="001400AE">
        <w:t xml:space="preserve">not planning to replace the equipment on a “regular cycle” and thus programs </w:t>
      </w:r>
      <w:r w:rsidR="00F20138">
        <w:t xml:space="preserve">are targeted at the customer to accelerate the equipment’s replacement. </w:t>
      </w:r>
      <w:r w:rsidR="00932B52">
        <w:t xml:space="preserve">Appliance standards are applicable to some types of </w:t>
      </w:r>
      <w:r w:rsidR="00F20138">
        <w:t>Accelerated Repair</w:t>
      </w:r>
      <w:r w:rsidR="00932B52">
        <w:t xml:space="preserve"> equipment but only apply to new purchases (not the repair). Examples include measures such as boilers and chillers. </w:t>
      </w:r>
    </w:p>
    <w:p w14:paraId="141AB1D9" w14:textId="77777777" w:rsidR="00932B52" w:rsidRPr="00BC6D96" w:rsidRDefault="00932B52" w:rsidP="004E4E36">
      <w:pPr>
        <w:pStyle w:val="ListParagraph"/>
        <w:numPr>
          <w:ilvl w:val="1"/>
          <w:numId w:val="21"/>
        </w:numPr>
        <w:spacing w:line="240" w:lineRule="auto"/>
        <w:rPr>
          <w:b/>
        </w:rPr>
      </w:pPr>
      <w:r w:rsidRPr="00BC6D96">
        <w:rPr>
          <w:b/>
        </w:rPr>
        <w:t>Retrofit</w:t>
      </w:r>
    </w:p>
    <w:p w14:paraId="5F259378" w14:textId="77777777" w:rsidR="00932B52" w:rsidRPr="001829DC" w:rsidRDefault="00932B52" w:rsidP="004E4E36">
      <w:pPr>
        <w:pStyle w:val="ListParagraph"/>
        <w:numPr>
          <w:ilvl w:val="2"/>
          <w:numId w:val="21"/>
        </w:numPr>
        <w:spacing w:line="240" w:lineRule="auto"/>
      </w:pPr>
      <w:r w:rsidRPr="001829DC">
        <w:rPr>
          <w:b/>
        </w:rPr>
        <w:t>Retrofit Add-on</w:t>
      </w:r>
      <w:r>
        <w:rPr>
          <w:b/>
        </w:rPr>
        <w:t xml:space="preserve"> – </w:t>
      </w:r>
      <w:r w:rsidRPr="001829DC">
        <w:t>New equipment be</w:t>
      </w:r>
      <w:r>
        <w:t>ing</w:t>
      </w:r>
      <w:r w:rsidRPr="001829DC">
        <w:t xml:space="preserve"> installed onto an existing system, either as an additional, integrated component or to replace a component of the existing system.  In either case, the primary purpose of the add-on measure is to improve overall efficiency of the system</w:t>
      </w:r>
      <w:r>
        <w:t>. These measures are not able to operate on their own as stand-alone equipment and are not required for the operation of the existing equipment or building. Codes or standards may be applicable to some types of Retrofit Add-on measures by setting minimum efficiency levels of newly installed equipment; but the codes or standards do not require the measure to be installed. Examples include measures such as boiler controls, VFDs, and window film.</w:t>
      </w:r>
    </w:p>
    <w:p w14:paraId="3F9740EE" w14:textId="77777777" w:rsidR="00932B52" w:rsidRPr="00207783" w:rsidRDefault="00932B52" w:rsidP="004E4E36">
      <w:pPr>
        <w:pStyle w:val="ListParagraph"/>
        <w:numPr>
          <w:ilvl w:val="2"/>
          <w:numId w:val="21"/>
        </w:numPr>
        <w:spacing w:line="240" w:lineRule="auto"/>
        <w:rPr>
          <w:b/>
        </w:rPr>
      </w:pPr>
      <w:r w:rsidRPr="001829DC">
        <w:rPr>
          <w:b/>
        </w:rPr>
        <w:t>Retrofit</w:t>
      </w:r>
      <w:r>
        <w:rPr>
          <w:b/>
        </w:rPr>
        <w:t xml:space="preserve"> Replacement</w:t>
      </w:r>
      <w:r w:rsidRPr="001829DC">
        <w:rPr>
          <w:b/>
        </w:rPr>
        <w:t xml:space="preserve"> – </w:t>
      </w:r>
      <w:r w:rsidRPr="001829DC">
        <w:t xml:space="preserve">Measures that will be replaced not due to equipment failure but rather triggered by building renovation. </w:t>
      </w:r>
      <w:r>
        <w:t xml:space="preserve"> These measures are those that are installed to replace previously existing equipment that has either not </w:t>
      </w:r>
      <w:r>
        <w:lastRenderedPageBreak/>
        <w:t xml:space="preserve">failed or is past the end of its EUL but is not compromising use of the building (such as insulation and water fixtures). Many of these installations are subject to building code but upgrades are not always required by code until a major building renovation (and even then some may not be required). </w:t>
      </w:r>
    </w:p>
    <w:p w14:paraId="28A2B83D" w14:textId="77777777" w:rsidR="00932B52" w:rsidRPr="006F3503" w:rsidRDefault="00932B52" w:rsidP="00932B52">
      <w:pPr>
        <w:pStyle w:val="Heading4"/>
      </w:pPr>
      <w:bookmarkStart w:id="162" w:name="_Ref477347831"/>
      <w:r w:rsidRPr="006F3503">
        <w:t xml:space="preserve">Technology </w:t>
      </w:r>
      <w:r w:rsidR="009330EA" w:rsidRPr="006F3503">
        <w:t xml:space="preserve">Groups, </w:t>
      </w:r>
      <w:r w:rsidRPr="006F3503">
        <w:t>Efficiency Levels and Competition</w:t>
      </w:r>
      <w:bookmarkEnd w:id="162"/>
    </w:p>
    <w:p w14:paraId="0582C478" w14:textId="77777777" w:rsidR="007851FD" w:rsidRPr="006F3503" w:rsidRDefault="00CF53E9" w:rsidP="006F3503">
      <w:r w:rsidRPr="006F3503">
        <w:t>Within each technology type, multiple groups of technologies are formed and characterized. A technology group consists of multiple levels of efficiency of the same technology. An example or which is illustrated below in</w:t>
      </w:r>
      <w:r w:rsidR="00FC279C">
        <w:t xml:space="preserve"> </w:t>
      </w:r>
      <w:r w:rsidR="00FC279C">
        <w:fldChar w:fldCharType="begin"/>
      </w:r>
      <w:r w:rsidR="00FC279C">
        <w:instrText xml:space="preserve"> REF _Ref490227217 \h </w:instrText>
      </w:r>
      <w:r w:rsidR="00FC279C">
        <w:fldChar w:fldCharType="separate"/>
      </w:r>
      <w:r w:rsidR="00FC279C">
        <w:t xml:space="preserve">Table </w:t>
      </w:r>
      <w:r w:rsidR="00FC279C">
        <w:rPr>
          <w:noProof/>
        </w:rPr>
        <w:t>2</w:t>
      </w:r>
      <w:r w:rsidR="00FC279C">
        <w:noBreakHyphen/>
      </w:r>
      <w:r w:rsidR="00FC279C">
        <w:rPr>
          <w:noProof/>
        </w:rPr>
        <w:t>2</w:t>
      </w:r>
      <w:r w:rsidR="00FC279C">
        <w:fldChar w:fldCharType="end"/>
      </w:r>
      <w:r w:rsidR="00FC279C">
        <w:t xml:space="preserve">. </w:t>
      </w:r>
      <w:r w:rsidR="006F3503" w:rsidRPr="006F3503">
        <w:t xml:space="preserve">Technologies within a technology group compete for installations. </w:t>
      </w:r>
      <w:r w:rsidR="0066718A">
        <w:t>The advantage of characterizing technology-based inputs is that a technology group can have multiple baseline and efficient technologies, in contrast to specifically defined ones in measure-based inputs (as used in the 2015 PG study).</w:t>
      </w:r>
      <w:r w:rsidR="0066718A">
        <w:rPr>
          <w:b/>
          <w:i/>
        </w:rPr>
        <w:t xml:space="preserve"> </w:t>
      </w:r>
      <w:r w:rsidR="006F3503" w:rsidRPr="006F3503">
        <w:t>The individual technologies characterized within each group are designed to capture var</w:t>
      </w:r>
      <w:r w:rsidR="001C0106">
        <w:t>ied</w:t>
      </w:r>
      <w:r w:rsidR="006F3503" w:rsidRPr="006F3503">
        <w:t xml:space="preserve"> efficiency levels including below code units, at code units, and multiple levels of high efficiency units (up to an</w:t>
      </w:r>
      <w:r w:rsidR="00C84C33">
        <w:t>d</w:t>
      </w:r>
      <w:r w:rsidR="006F3503" w:rsidRPr="006F3503">
        <w:t xml:space="preserve"> including “emerging technologies” where appropriate.)  In determining which technologies to include in a group, the team considers possible future code levels as well as popular efficiency levels historically rebated by IOU programs.</w:t>
      </w:r>
    </w:p>
    <w:p w14:paraId="04B7EDF0" w14:textId="77777777" w:rsidR="007851FD" w:rsidRDefault="007851FD" w:rsidP="00932B52">
      <w:pPr>
        <w:rPr>
          <w:highlight w:val="yellow"/>
        </w:rPr>
      </w:pPr>
    </w:p>
    <w:p w14:paraId="1F2FC876" w14:textId="77777777" w:rsidR="007851FD" w:rsidRDefault="007851FD" w:rsidP="00CF53E9">
      <w:pPr>
        <w:pStyle w:val="Caption"/>
        <w:rPr>
          <w:highlight w:val="yellow"/>
        </w:rPr>
      </w:pPr>
      <w:bookmarkStart w:id="163" w:name="_Ref481591453"/>
      <w:bookmarkStart w:id="164" w:name="_Ref490227217"/>
      <w:bookmarkStart w:id="165" w:name="_Toc482634203"/>
      <w:bookmarkStart w:id="166" w:name="_Toc484436942"/>
      <w:bookmarkStart w:id="167" w:name="_Toc490560652"/>
      <w:r>
        <w:t xml:space="preserve">Table </w:t>
      </w:r>
      <w:fldSimple w:instr=" STYLEREF 1 \s ">
        <w:r w:rsidR="007566B9">
          <w:rPr>
            <w:noProof/>
          </w:rPr>
          <w:t>2</w:t>
        </w:r>
      </w:fldSimple>
      <w:r w:rsidR="00C17D59">
        <w:noBreakHyphen/>
      </w:r>
      <w:bookmarkEnd w:id="163"/>
      <w:r w:rsidR="00B206D8">
        <w:fldChar w:fldCharType="begin"/>
      </w:r>
      <w:r w:rsidR="00B206D8">
        <w:instrText xml:space="preserve"> SEQ Table \* ARABIC \s 1 </w:instrText>
      </w:r>
      <w:r w:rsidR="00B206D8">
        <w:fldChar w:fldCharType="separate"/>
      </w:r>
      <w:r w:rsidR="007566B9">
        <w:rPr>
          <w:noProof/>
        </w:rPr>
        <w:t>2</w:t>
      </w:r>
      <w:r w:rsidR="00B206D8">
        <w:rPr>
          <w:noProof/>
        </w:rPr>
        <w:fldChar w:fldCharType="end"/>
      </w:r>
      <w:bookmarkEnd w:id="164"/>
      <w:r w:rsidR="00BB59F5">
        <w:t>.</w:t>
      </w:r>
      <w:r>
        <w:t xml:space="preserve"> Example of Technologies within a </w:t>
      </w:r>
      <w:r w:rsidR="00861EB3">
        <w:t>Technology</w:t>
      </w:r>
      <w:r>
        <w:t xml:space="preserve"> Group</w:t>
      </w:r>
      <w:bookmarkEnd w:id="165"/>
      <w:bookmarkEnd w:id="166"/>
      <w:bookmarkEnd w:id="167"/>
    </w:p>
    <w:tbl>
      <w:tblPr>
        <w:tblStyle w:val="EnergyTable1"/>
        <w:tblW w:w="7830" w:type="dxa"/>
        <w:tblLook w:val="04A0" w:firstRow="1" w:lastRow="0" w:firstColumn="1" w:lastColumn="0" w:noHBand="0" w:noVBand="1"/>
      </w:tblPr>
      <w:tblGrid>
        <w:gridCol w:w="2624"/>
        <w:gridCol w:w="2624"/>
        <w:gridCol w:w="2582"/>
      </w:tblGrid>
      <w:tr w:rsidR="00CF53E9" w:rsidRPr="00CF53E9" w14:paraId="30824A1B" w14:textId="77777777" w:rsidTr="00AF21BE">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dxa"/>
          </w:tcPr>
          <w:p w14:paraId="072A1A28" w14:textId="77777777" w:rsidR="00CF53E9" w:rsidRPr="00CF53E9" w:rsidRDefault="00CF53E9" w:rsidP="00CF53E9">
            <w:pPr>
              <w:keepNext/>
              <w:rPr>
                <w:rFonts w:ascii="Arial Narrow" w:hAnsi="Arial Narrow"/>
              </w:rPr>
            </w:pPr>
            <w:r w:rsidRPr="00CF53E9">
              <w:rPr>
                <w:rFonts w:ascii="Arial Narrow" w:hAnsi="Arial Narrow"/>
              </w:rPr>
              <w:t>Technology Group</w:t>
            </w:r>
          </w:p>
        </w:tc>
        <w:tc>
          <w:tcPr>
            <w:tcW w:w="0" w:type="dxa"/>
          </w:tcPr>
          <w:p w14:paraId="753A285A" w14:textId="77777777" w:rsidR="00CF53E9" w:rsidRPr="00CF53E9" w:rsidRDefault="00CF53E9" w:rsidP="00CF53E9">
            <w:pPr>
              <w:keepNex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F53E9">
              <w:rPr>
                <w:rFonts w:ascii="Arial Narrow" w:hAnsi="Arial Narrow"/>
              </w:rPr>
              <w:t>Technology</w:t>
            </w:r>
          </w:p>
        </w:tc>
        <w:tc>
          <w:tcPr>
            <w:tcW w:w="0" w:type="dxa"/>
          </w:tcPr>
          <w:p w14:paraId="532AEAE6" w14:textId="77777777" w:rsidR="00CF53E9" w:rsidRPr="00CF53E9" w:rsidRDefault="00CF53E9" w:rsidP="00CF53E9">
            <w:pPr>
              <w:keepNex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F53E9">
              <w:rPr>
                <w:rFonts w:ascii="Arial Narrow" w:hAnsi="Arial Narrow"/>
              </w:rPr>
              <w:t>Description</w:t>
            </w:r>
          </w:p>
        </w:tc>
      </w:tr>
      <w:tr w:rsidR="00CF53E9" w:rsidRPr="00CF53E9" w14:paraId="0B7FB567" w14:textId="77777777" w:rsidTr="00AF21B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dxa"/>
            <w:vMerge w:val="restart"/>
          </w:tcPr>
          <w:p w14:paraId="1161AB67" w14:textId="77777777" w:rsidR="00CF53E9" w:rsidRPr="00CF53E9" w:rsidRDefault="00CF53E9" w:rsidP="00CF53E9">
            <w:pPr>
              <w:keepNext/>
              <w:rPr>
                <w:rFonts w:ascii="Arial Narrow" w:hAnsi="Arial Narrow"/>
              </w:rPr>
            </w:pPr>
            <w:r w:rsidRPr="00CF53E9">
              <w:rPr>
                <w:rFonts w:ascii="Arial Narrow" w:hAnsi="Arial Narrow"/>
              </w:rPr>
              <w:t>Residential Central AC</w:t>
            </w:r>
          </w:p>
        </w:tc>
        <w:tc>
          <w:tcPr>
            <w:tcW w:w="0" w:type="dxa"/>
          </w:tcPr>
          <w:p w14:paraId="6AF94DBB" w14:textId="77777777" w:rsidR="00CF53E9" w:rsidRPr="00CF53E9" w:rsidRDefault="00CF53E9" w:rsidP="00CF53E9">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Residential SEER 10 AC</w:t>
            </w:r>
          </w:p>
        </w:tc>
        <w:tc>
          <w:tcPr>
            <w:tcW w:w="0" w:type="dxa"/>
          </w:tcPr>
          <w:p w14:paraId="7927EB6D" w14:textId="77777777" w:rsidR="00CF53E9" w:rsidRPr="00CF53E9" w:rsidRDefault="00CF53E9" w:rsidP="00CF53E9">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Average Below-Code Efficiency Level</w:t>
            </w:r>
          </w:p>
        </w:tc>
      </w:tr>
      <w:tr w:rsidR="00CF53E9" w:rsidRPr="00CF53E9" w14:paraId="55C8704A" w14:textId="77777777" w:rsidTr="00AF21BE">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0" w:type="dxa"/>
            <w:vMerge/>
          </w:tcPr>
          <w:p w14:paraId="3D5EED2F" w14:textId="77777777" w:rsidR="00CF53E9" w:rsidRPr="00CF53E9" w:rsidRDefault="00CF53E9" w:rsidP="00CF53E9">
            <w:pPr>
              <w:keepNext/>
              <w:rPr>
                <w:rFonts w:ascii="Arial Narrow" w:hAnsi="Arial Narrow"/>
              </w:rPr>
            </w:pPr>
          </w:p>
        </w:tc>
        <w:tc>
          <w:tcPr>
            <w:tcW w:w="0" w:type="dxa"/>
          </w:tcPr>
          <w:p w14:paraId="7DBE09D3" w14:textId="77777777" w:rsidR="00CF53E9" w:rsidRPr="00CF53E9" w:rsidRDefault="00CF53E9" w:rsidP="00CF53E9">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Residential SEER 13 AC</w:t>
            </w:r>
          </w:p>
        </w:tc>
        <w:tc>
          <w:tcPr>
            <w:tcW w:w="0" w:type="dxa"/>
          </w:tcPr>
          <w:p w14:paraId="7E8BD71D" w14:textId="77777777" w:rsidR="00CF53E9" w:rsidRPr="00CF53E9" w:rsidRDefault="00CF53E9" w:rsidP="00CF53E9">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Code Efficiency Level pre 2015</w:t>
            </w:r>
          </w:p>
        </w:tc>
      </w:tr>
      <w:tr w:rsidR="00CF53E9" w:rsidRPr="00CF53E9" w14:paraId="3011743B" w14:textId="77777777" w:rsidTr="00AF21B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dxa"/>
            <w:vMerge/>
          </w:tcPr>
          <w:p w14:paraId="0588B15C" w14:textId="77777777" w:rsidR="00CF53E9" w:rsidRPr="00CF53E9" w:rsidRDefault="00CF53E9" w:rsidP="00CF53E9">
            <w:pPr>
              <w:keepNext/>
              <w:rPr>
                <w:rFonts w:ascii="Arial Narrow" w:hAnsi="Arial Narrow"/>
              </w:rPr>
            </w:pPr>
          </w:p>
        </w:tc>
        <w:tc>
          <w:tcPr>
            <w:tcW w:w="0" w:type="dxa"/>
          </w:tcPr>
          <w:p w14:paraId="6808CE2B" w14:textId="77777777" w:rsidR="00CF53E9" w:rsidRPr="00CF53E9" w:rsidRDefault="00CF53E9" w:rsidP="00CF53E9">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Residential SEER 14 AC</w:t>
            </w:r>
          </w:p>
        </w:tc>
        <w:tc>
          <w:tcPr>
            <w:tcW w:w="0" w:type="dxa"/>
          </w:tcPr>
          <w:p w14:paraId="34DA26DB" w14:textId="77777777" w:rsidR="00CF53E9" w:rsidRPr="00CF53E9" w:rsidRDefault="00CF53E9" w:rsidP="00CF53E9">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Code Efficiency Level 2015 and Beyond</w:t>
            </w:r>
          </w:p>
        </w:tc>
      </w:tr>
      <w:tr w:rsidR="00CF53E9" w:rsidRPr="00CF53E9" w14:paraId="0CD66884" w14:textId="77777777" w:rsidTr="00AF21BE">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dxa"/>
            <w:vMerge/>
          </w:tcPr>
          <w:p w14:paraId="28A4B8A7" w14:textId="77777777" w:rsidR="00CF53E9" w:rsidRPr="00CF53E9" w:rsidRDefault="00CF53E9" w:rsidP="00CF53E9">
            <w:pPr>
              <w:keepNext/>
              <w:rPr>
                <w:rFonts w:ascii="Arial Narrow" w:hAnsi="Arial Narrow"/>
              </w:rPr>
            </w:pPr>
          </w:p>
        </w:tc>
        <w:tc>
          <w:tcPr>
            <w:tcW w:w="0" w:type="dxa"/>
          </w:tcPr>
          <w:p w14:paraId="524CA181" w14:textId="77777777" w:rsidR="00CF53E9" w:rsidRPr="00CF53E9" w:rsidRDefault="00CF53E9" w:rsidP="00CF53E9">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Residential SEER 15 AC</w:t>
            </w:r>
          </w:p>
        </w:tc>
        <w:tc>
          <w:tcPr>
            <w:tcW w:w="0" w:type="dxa"/>
          </w:tcPr>
          <w:p w14:paraId="60DCAC9A" w14:textId="77777777" w:rsidR="00CF53E9" w:rsidRPr="00CF53E9" w:rsidRDefault="00CF53E9" w:rsidP="00CF53E9">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High Efficiency Level 1</w:t>
            </w:r>
          </w:p>
        </w:tc>
      </w:tr>
      <w:tr w:rsidR="00CF53E9" w:rsidRPr="00CF53E9" w14:paraId="64E23D85" w14:textId="77777777" w:rsidTr="00AF21B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dxa"/>
            <w:vMerge/>
          </w:tcPr>
          <w:p w14:paraId="187437E5" w14:textId="77777777" w:rsidR="00CF53E9" w:rsidRPr="00CF53E9" w:rsidRDefault="00CF53E9" w:rsidP="00CF53E9">
            <w:pPr>
              <w:keepNext/>
              <w:rPr>
                <w:rFonts w:ascii="Arial Narrow" w:hAnsi="Arial Narrow"/>
              </w:rPr>
            </w:pPr>
          </w:p>
        </w:tc>
        <w:tc>
          <w:tcPr>
            <w:tcW w:w="0" w:type="dxa"/>
          </w:tcPr>
          <w:p w14:paraId="3D90F88D" w14:textId="77777777" w:rsidR="00CF53E9" w:rsidRPr="00CF53E9" w:rsidRDefault="00CF53E9" w:rsidP="00CF53E9">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Residential SEER 18 AC</w:t>
            </w:r>
          </w:p>
        </w:tc>
        <w:tc>
          <w:tcPr>
            <w:tcW w:w="0" w:type="dxa"/>
          </w:tcPr>
          <w:p w14:paraId="7D9C0113" w14:textId="77777777" w:rsidR="00CF53E9" w:rsidRPr="00CF53E9" w:rsidRDefault="00CF53E9" w:rsidP="00CF53E9">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53E9">
              <w:rPr>
                <w:rFonts w:ascii="Arial Narrow" w:hAnsi="Arial Narrow"/>
              </w:rPr>
              <w:t>High Efficiency Level 2</w:t>
            </w:r>
          </w:p>
        </w:tc>
      </w:tr>
      <w:tr w:rsidR="00CF53E9" w:rsidRPr="00CF53E9" w14:paraId="10AB6E7B" w14:textId="77777777" w:rsidTr="00AF21BE">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dxa"/>
            <w:vMerge/>
          </w:tcPr>
          <w:p w14:paraId="565F0ED3" w14:textId="77777777" w:rsidR="00CF53E9" w:rsidRPr="00CF53E9" w:rsidRDefault="00CF53E9" w:rsidP="00932B52">
            <w:pPr>
              <w:rPr>
                <w:rFonts w:ascii="Arial Narrow" w:hAnsi="Arial Narrow"/>
              </w:rPr>
            </w:pPr>
          </w:p>
        </w:tc>
        <w:tc>
          <w:tcPr>
            <w:tcW w:w="0" w:type="dxa"/>
          </w:tcPr>
          <w:p w14:paraId="17C8A9FE" w14:textId="77777777" w:rsidR="00CF53E9" w:rsidRPr="00CF53E9" w:rsidRDefault="00CF53E9" w:rsidP="00932B52">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Residential SEER 20 AC</w:t>
            </w:r>
          </w:p>
        </w:tc>
        <w:tc>
          <w:tcPr>
            <w:tcW w:w="0" w:type="dxa"/>
          </w:tcPr>
          <w:p w14:paraId="707341AD" w14:textId="157705FD" w:rsidR="00CF53E9" w:rsidRPr="00CF53E9" w:rsidRDefault="00CF53E9" w:rsidP="00572C26">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F53E9">
              <w:rPr>
                <w:rFonts w:ascii="Arial Narrow" w:hAnsi="Arial Narrow"/>
              </w:rPr>
              <w:t>High Efficiency Level 3</w:t>
            </w:r>
            <w:r w:rsidR="00572C26">
              <w:rPr>
                <w:rFonts w:ascii="Arial Narrow" w:hAnsi="Arial Narrow"/>
              </w:rPr>
              <w:t xml:space="preserve"> </w:t>
            </w:r>
          </w:p>
        </w:tc>
      </w:tr>
    </w:tbl>
    <w:p w14:paraId="1BBA1610" w14:textId="77777777" w:rsidR="00932B52" w:rsidRPr="006F560A" w:rsidRDefault="00932B52" w:rsidP="006F560A">
      <w:pPr>
        <w:rPr>
          <w:highlight w:val="yellow"/>
        </w:rPr>
      </w:pPr>
    </w:p>
    <w:p w14:paraId="4CED3230" w14:textId="77777777" w:rsidR="00B168EC" w:rsidRDefault="00B168EC" w:rsidP="00B168EC">
      <w:r>
        <w:t xml:space="preserve">The model simulates the flow of equipment stock </w:t>
      </w:r>
      <w:r w:rsidR="006F3503">
        <w:t>across the different technologies within a</w:t>
      </w:r>
      <w:r>
        <w:t xml:space="preserve"> technology group. Flow of stock occurs when the customer owning the equipment reaches a decision point to either maintain the existing equipment or replace it </w:t>
      </w:r>
      <w:r w:rsidR="001C0106">
        <w:t>with</w:t>
      </w:r>
      <w:r>
        <w:t xml:space="preserve"> </w:t>
      </w:r>
      <w:r w:rsidR="006F3503">
        <w:t>a new unit</w:t>
      </w:r>
      <w:r>
        <w:t xml:space="preserve">.  The decisions available to the customer in the model depend on the type of technology (discussed previously in section </w:t>
      </w:r>
      <w:r>
        <w:fldChar w:fldCharType="begin"/>
      </w:r>
      <w:r>
        <w:instrText xml:space="preserve"> REF _Ref481421825 \n \h </w:instrText>
      </w:r>
      <w:r>
        <w:fldChar w:fldCharType="separate"/>
      </w:r>
      <w:r w:rsidR="007566B9">
        <w:t>2.1.1.1</w:t>
      </w:r>
      <w:r>
        <w:fldChar w:fldCharType="end"/>
      </w:r>
      <w:r>
        <w:t xml:space="preserve">) the equipment in question falls in. </w:t>
      </w:r>
      <w:r w:rsidR="00534065">
        <w:fldChar w:fldCharType="begin"/>
      </w:r>
      <w:r w:rsidR="00534065">
        <w:instrText xml:space="preserve"> REF _Ref481421844 \h </w:instrText>
      </w:r>
      <w:r w:rsidR="00534065">
        <w:fldChar w:fldCharType="separate"/>
      </w:r>
      <w:r w:rsidR="007566B9">
        <w:t xml:space="preserve">Figure </w:t>
      </w:r>
      <w:r w:rsidR="007566B9">
        <w:rPr>
          <w:noProof/>
        </w:rPr>
        <w:t>2</w:t>
      </w:r>
      <w:r w:rsidR="007566B9">
        <w:noBreakHyphen/>
      </w:r>
      <w:r w:rsidR="007566B9">
        <w:rPr>
          <w:noProof/>
        </w:rPr>
        <w:t>1</w:t>
      </w:r>
      <w:r w:rsidR="00534065">
        <w:fldChar w:fldCharType="end"/>
      </w:r>
      <w:r w:rsidR="00534065">
        <w:t xml:space="preserve"> below illustrates the replacement options a customer is faced with. The model allows customers to maintain their existing equipment, upgrade to higher efficiency equipment or downgrade from high efficiency equipment to code level equipment. With each replacement is associated a unique unit energy savings, cost, and cost effectiveness of the decision. </w:t>
      </w:r>
    </w:p>
    <w:p w14:paraId="42AB3520" w14:textId="77777777" w:rsidR="007851FD" w:rsidRDefault="007851FD" w:rsidP="007851FD"/>
    <w:p w14:paraId="3D21F6B9" w14:textId="77777777" w:rsidR="00921BF1" w:rsidRDefault="00921BF1" w:rsidP="00921BF1">
      <w:pPr>
        <w:pStyle w:val="Caption"/>
      </w:pPr>
      <w:bookmarkStart w:id="168" w:name="_Ref481421844"/>
      <w:bookmarkStart w:id="169" w:name="_Toc482634243"/>
      <w:bookmarkStart w:id="170" w:name="_Toc482626452"/>
      <w:bookmarkStart w:id="171" w:name="_Toc484436992"/>
      <w:bookmarkStart w:id="172" w:name="_Toc490491717"/>
      <w:r>
        <w:lastRenderedPageBreak/>
        <w:t xml:space="preserve">Figure </w:t>
      </w:r>
      <w:fldSimple w:instr=" STYLEREF 1 \s ">
        <w:r w:rsidR="007566B9">
          <w:rPr>
            <w:noProof/>
          </w:rPr>
          <w:t>2</w:t>
        </w:r>
      </w:fldSimple>
      <w:r w:rsidR="00CE124F">
        <w:noBreakHyphen/>
      </w:r>
      <w:fldSimple w:instr=" SEQ Figure \* ARABIC \s 1 ">
        <w:r w:rsidR="007566B9">
          <w:rPr>
            <w:noProof/>
          </w:rPr>
          <w:t>1</w:t>
        </w:r>
      </w:fldSimple>
      <w:bookmarkEnd w:id="168"/>
      <w:r w:rsidR="00BB59F5">
        <w:t>.</w:t>
      </w:r>
      <w:r>
        <w:t xml:space="preserve"> Stock Flow within a Technology Group</w:t>
      </w:r>
      <w:bookmarkEnd w:id="169"/>
      <w:bookmarkEnd w:id="170"/>
      <w:bookmarkEnd w:id="171"/>
      <w:bookmarkEnd w:id="172"/>
    </w:p>
    <w:p w14:paraId="5B02F8D6" w14:textId="77777777" w:rsidR="006F560A" w:rsidRDefault="00534065" w:rsidP="001744D2">
      <w:pPr>
        <w:jc w:val="center"/>
      </w:pPr>
      <w:r>
        <w:rPr>
          <w:noProof/>
        </w:rPr>
        <w:drawing>
          <wp:inline distT="0" distB="0" distL="0" distR="0" wp14:anchorId="6198005B" wp14:editId="1F529E78">
            <wp:extent cx="3818855" cy="26756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6388" cy="2680912"/>
                    </a:xfrm>
                    <a:prstGeom prst="rect">
                      <a:avLst/>
                    </a:prstGeom>
                    <a:noFill/>
                  </pic:spPr>
                </pic:pic>
              </a:graphicData>
            </a:graphic>
          </wp:inline>
        </w:drawing>
      </w:r>
    </w:p>
    <w:p w14:paraId="1C111D95" w14:textId="77777777" w:rsidR="00A87F62" w:rsidRDefault="00A87F62" w:rsidP="00A87F62">
      <w:pPr>
        <w:pStyle w:val="Heading4"/>
      </w:pPr>
      <w:r>
        <w:t xml:space="preserve">Technical and Economic Potential </w:t>
      </w:r>
    </w:p>
    <w:p w14:paraId="57A8AFEC" w14:textId="77777777" w:rsidR="001744D2" w:rsidRPr="00EA23EC" w:rsidRDefault="001744D2" w:rsidP="001744D2">
      <w:r w:rsidRPr="00EA23EC">
        <w:t>Technical potential is defined as the amount of energy savings that would be possible if the highest level of efficiency for all technically applicable opportunities to improve energy efficiency were taken, including retrofit measures, replace-on-burnout measures, and new constructio</w:t>
      </w:r>
      <w:r w:rsidR="00B61CA5" w:rsidRPr="00EA23EC">
        <w:t>n measures. As previously discussed, technical potential can be reported in two forms: Instantaneous and Annualized. The following consideration</w:t>
      </w:r>
      <w:r w:rsidR="00EA23EC">
        <w:t>s</w:t>
      </w:r>
      <w:r w:rsidR="00B61CA5" w:rsidRPr="00EA23EC">
        <w:t xml:space="preserve"> are factored into our calculation of technical potential</w:t>
      </w:r>
      <w:r w:rsidRPr="00EA23EC">
        <w:t>:</w:t>
      </w:r>
    </w:p>
    <w:p w14:paraId="7D71E5EB" w14:textId="77777777" w:rsidR="00B61CA5" w:rsidRPr="00EA23EC" w:rsidRDefault="00EA23EC" w:rsidP="004E4E36">
      <w:pPr>
        <w:pStyle w:val="ListParagraph"/>
        <w:numPr>
          <w:ilvl w:val="0"/>
          <w:numId w:val="31"/>
        </w:numPr>
      </w:pPr>
      <w:r>
        <w:t xml:space="preserve">Technical potential assumes </w:t>
      </w:r>
      <w:r w:rsidR="00B61CA5" w:rsidRPr="00EA23EC">
        <w:t>all eligible customers within a technology group adopt the highest level of efficiency available within the technology group</w:t>
      </w:r>
    </w:p>
    <w:p w14:paraId="158E6BE0" w14:textId="77777777" w:rsidR="001744D2" w:rsidRPr="00EA23EC" w:rsidRDefault="001744D2" w:rsidP="004E4E36">
      <w:pPr>
        <w:pStyle w:val="ListParagraph"/>
        <w:numPr>
          <w:ilvl w:val="0"/>
          <w:numId w:val="31"/>
        </w:numPr>
      </w:pPr>
      <w:r w:rsidRPr="00EA23EC">
        <w:t xml:space="preserve">Technical potential </w:t>
      </w:r>
      <w:r w:rsidR="00B61CA5" w:rsidRPr="00EA23EC">
        <w:t xml:space="preserve">represents the </w:t>
      </w:r>
      <w:r w:rsidRPr="00EA23EC">
        <w:t xml:space="preserve">savings from </w:t>
      </w:r>
      <w:r w:rsidR="00B61CA5" w:rsidRPr="00EA23EC">
        <w:t xml:space="preserve">converting </w:t>
      </w:r>
      <w:r w:rsidRPr="00EA23EC">
        <w:t xml:space="preserve">all equipment </w:t>
      </w:r>
      <w:r w:rsidR="00B61CA5" w:rsidRPr="00EA23EC">
        <w:t xml:space="preserve">that is </w:t>
      </w:r>
      <w:r w:rsidRPr="00EA23EC">
        <w:t>at or below code to the highest level of efficiency</w:t>
      </w:r>
      <w:r w:rsidR="00B61CA5" w:rsidRPr="00EA23EC">
        <w:t xml:space="preserve"> within a technology group</w:t>
      </w:r>
      <w:r w:rsidRPr="00EA23EC">
        <w:t xml:space="preserve">. </w:t>
      </w:r>
    </w:p>
    <w:p w14:paraId="13CD1B76" w14:textId="77777777" w:rsidR="001744D2" w:rsidRPr="00EA23EC" w:rsidRDefault="00B61CA5" w:rsidP="004E4E36">
      <w:pPr>
        <w:pStyle w:val="ListParagraph"/>
        <w:numPr>
          <w:ilvl w:val="0"/>
          <w:numId w:val="31"/>
        </w:numPr>
      </w:pPr>
      <w:r w:rsidRPr="00EA23EC">
        <w:t>Total technical potential is a sum of all individual technical potential within each technology group excluding w</w:t>
      </w:r>
      <w:r w:rsidR="001744D2" w:rsidRPr="00EA23EC">
        <w:t>hole building packages</w:t>
      </w:r>
      <w:r w:rsidRPr="00EA23EC">
        <w:t xml:space="preserve">, low income programs, </w:t>
      </w:r>
      <w:r w:rsidR="00EA23EC" w:rsidRPr="00EA23EC">
        <w:t xml:space="preserve">and BROs. Whole building packages are excluded from the technical potential as doing so would be duplicative. Technical potential for low income programs and BROs are undefined in our study. </w:t>
      </w:r>
    </w:p>
    <w:p w14:paraId="3EA3425A" w14:textId="77777777" w:rsidR="001744D2" w:rsidRDefault="001744D2" w:rsidP="001744D2"/>
    <w:p w14:paraId="18355149" w14:textId="77777777" w:rsidR="001744D2" w:rsidRPr="001744D2" w:rsidRDefault="001744D2" w:rsidP="001744D2">
      <w:pPr>
        <w:rPr>
          <w:highlight w:val="yellow"/>
        </w:rPr>
      </w:pPr>
      <w:r>
        <w:t>Using the results of the technical potential analysis, the economic potential is calculated as the total energy efficiency potential available when limited to only cost effective measures.</w:t>
      </w:r>
      <w:r>
        <w:rPr>
          <w:rStyle w:val="CommentReference"/>
        </w:rPr>
        <w:t xml:space="preserve"> </w:t>
      </w:r>
      <w:r>
        <w:t xml:space="preserve"> All components of economic potential are a subset of technical potential.  </w:t>
      </w:r>
      <w:r w:rsidR="00EA23EC">
        <w:t xml:space="preserve">In addition to the above considerations in modeling technical potential, the </w:t>
      </w:r>
      <w:r w:rsidR="00EA23EC" w:rsidRPr="00EA23EC">
        <w:t xml:space="preserve">following </w:t>
      </w:r>
      <w:r w:rsidR="00EA23EC">
        <w:t xml:space="preserve">additional </w:t>
      </w:r>
      <w:r w:rsidR="00EA23EC" w:rsidRPr="00EA23EC">
        <w:t>consideration</w:t>
      </w:r>
      <w:r w:rsidR="00EA23EC">
        <w:t>s</w:t>
      </w:r>
      <w:r w:rsidR="00EA23EC" w:rsidRPr="00EA23EC">
        <w:t xml:space="preserve"> are factored into our calculation of </w:t>
      </w:r>
      <w:r w:rsidR="00EA23EC">
        <w:t>economic</w:t>
      </w:r>
      <w:r w:rsidR="00EA23EC" w:rsidRPr="00EA23EC">
        <w:t xml:space="preserve"> potential:</w:t>
      </w:r>
    </w:p>
    <w:p w14:paraId="507C2826" w14:textId="77777777" w:rsidR="00EA23EC" w:rsidRPr="00EA23EC" w:rsidRDefault="00EA23EC" w:rsidP="004E4E36">
      <w:pPr>
        <w:pStyle w:val="ListParagraph"/>
        <w:numPr>
          <w:ilvl w:val="0"/>
          <w:numId w:val="32"/>
        </w:numPr>
      </w:pPr>
      <w:r>
        <w:t xml:space="preserve">Economic potential assumes </w:t>
      </w:r>
      <w:r w:rsidRPr="00EA23EC">
        <w:t xml:space="preserve">all eligible customers within a technology group adopt the highest </w:t>
      </w:r>
      <w:r w:rsidRPr="00EA23EC">
        <w:rPr>
          <w:b/>
        </w:rPr>
        <w:t>cost-effective</w:t>
      </w:r>
      <w:r>
        <w:t xml:space="preserve"> </w:t>
      </w:r>
      <w:r w:rsidRPr="00EA23EC">
        <w:t>level of efficiency available within the technology group</w:t>
      </w:r>
      <w:r>
        <w:t>. The most efficient technology within the group may not be cost effective.</w:t>
      </w:r>
    </w:p>
    <w:p w14:paraId="461D1059" w14:textId="77777777" w:rsidR="001744D2" w:rsidRPr="00EA23EC" w:rsidRDefault="00EA23EC" w:rsidP="004E4E36">
      <w:pPr>
        <w:pStyle w:val="ListParagraph"/>
        <w:numPr>
          <w:ilvl w:val="0"/>
          <w:numId w:val="32"/>
        </w:numPr>
      </w:pPr>
      <w:r w:rsidRPr="00EA23EC">
        <w:lastRenderedPageBreak/>
        <w:t xml:space="preserve">Various cost effectiveness screens can be applied (previously discussed in Section </w:t>
      </w:r>
      <w:r w:rsidRPr="00EA23EC">
        <w:fldChar w:fldCharType="begin"/>
      </w:r>
      <w:r w:rsidRPr="00EA23EC">
        <w:instrText xml:space="preserve"> REF _Ref474512846 \n \h </w:instrText>
      </w:r>
      <w:r>
        <w:instrText xml:space="preserve"> \* MERGEFORMAT </w:instrText>
      </w:r>
      <w:r w:rsidRPr="00EA23EC">
        <w:fldChar w:fldCharType="separate"/>
      </w:r>
      <w:r w:rsidR="007566B9">
        <w:t>1.2</w:t>
      </w:r>
      <w:r w:rsidRPr="00EA23EC">
        <w:fldChar w:fldCharType="end"/>
      </w:r>
      <w:r w:rsidRPr="00EA23EC">
        <w:t>); thus, economic potential can vary by scenario. Meanwhile, technical potential does not vary by scenario.</w:t>
      </w:r>
    </w:p>
    <w:p w14:paraId="6408F84D" w14:textId="77777777" w:rsidR="00A87F62" w:rsidRDefault="00A87F62" w:rsidP="00A87F62">
      <w:pPr>
        <w:pStyle w:val="Heading4"/>
      </w:pPr>
      <w:bookmarkStart w:id="173" w:name="_Ref481682182"/>
      <w:r>
        <w:t>Market Potential</w:t>
      </w:r>
      <w:bookmarkEnd w:id="173"/>
    </w:p>
    <w:p w14:paraId="472A973C" w14:textId="77777777" w:rsidR="00FF101E" w:rsidRDefault="00CD1669" w:rsidP="00CD1669">
      <w:r w:rsidRPr="00CD1669">
        <w:t xml:space="preserve">To estimate the market potential for </w:t>
      </w:r>
      <w:r w:rsidR="00426439">
        <w:t>rebated technologies,</w:t>
      </w:r>
      <w:r w:rsidR="00FF101E">
        <w:t xml:space="preserve"> the model employs a three-step process as shown</w:t>
      </w:r>
      <w:r w:rsidR="00426EC7">
        <w:t xml:space="preserve"> in</w:t>
      </w:r>
      <w:r w:rsidR="00FF101E">
        <w:t xml:space="preserve"> </w:t>
      </w:r>
      <w:r w:rsidR="001F730E">
        <w:fldChar w:fldCharType="begin"/>
      </w:r>
      <w:r w:rsidR="001F730E">
        <w:instrText xml:space="preserve"> REF _Ref485127794 \h </w:instrText>
      </w:r>
      <w:r w:rsidR="001F730E">
        <w:fldChar w:fldCharType="separate"/>
      </w:r>
      <w:r w:rsidR="007566B9">
        <w:t xml:space="preserve">Figure </w:t>
      </w:r>
      <w:r w:rsidR="007566B9">
        <w:rPr>
          <w:noProof/>
        </w:rPr>
        <w:t>2</w:t>
      </w:r>
      <w:r w:rsidR="007566B9">
        <w:noBreakHyphen/>
      </w:r>
      <w:r w:rsidR="007566B9">
        <w:rPr>
          <w:noProof/>
        </w:rPr>
        <w:t>2</w:t>
      </w:r>
      <w:r w:rsidR="001F730E">
        <w:fldChar w:fldCharType="end"/>
      </w:r>
      <w:r w:rsidR="00426EC7">
        <w:t>. In the first step, the model calculates the number of installation decisions expected to occur for each measure in each yea</w:t>
      </w:r>
      <w:r w:rsidR="0096700D">
        <w:t>r. The types of installations decisions vary by type of technology. For ROB technologies (e.g. residential lighting)</w:t>
      </w:r>
      <w:r w:rsidR="006C5756">
        <w:t>, the</w:t>
      </w:r>
      <w:r w:rsidR="0096700D">
        <w:t xml:space="preserve"> customer </w:t>
      </w:r>
      <w:r w:rsidR="006C5756">
        <w:t>decision to adopt occurs</w:t>
      </w:r>
      <w:r w:rsidR="0096700D">
        <w:t xml:space="preserve"> at the end of the base measure’s life. For accelerated </w:t>
      </w:r>
      <w:r w:rsidR="006C5756">
        <w:t>replacement where equipment is past the EUL (e.g. commercial chillers), we model the customer decision to adopt past the EUL (based on the extended life due to repair). Finally, for RET technologies the customer adoption decision is not governed by equipment failure and thus can occur before or after the EUL. The model simulates technology stocks for base and efficient technologies separately to account for EUL differences</w:t>
      </w:r>
      <w:r w:rsidR="00DB5239">
        <w:t xml:space="preserve">. The number of adoption decisions that occur </w:t>
      </w:r>
      <w:r w:rsidR="00431BBE">
        <w:t>in each</w:t>
      </w:r>
      <w:r w:rsidR="00DB5239">
        <w:t xml:space="preserve"> year is considered the “eligible population”, which is a function of the building stocks, technology saturation, type of technology, and technology burnout rates (i.e., based on EUL).</w:t>
      </w:r>
    </w:p>
    <w:p w14:paraId="47F8BCE7" w14:textId="77777777" w:rsidR="00DB5239" w:rsidRDefault="00DB5239" w:rsidP="00110120"/>
    <w:p w14:paraId="2C73B72C" w14:textId="77777777" w:rsidR="00DB5239" w:rsidRDefault="00DB5239" w:rsidP="00CD1669">
      <w:r>
        <w:t xml:space="preserve">In the second step, the model simulates the adoption of each measure that passes a cost-effectiveness screen </w:t>
      </w:r>
      <w:r w:rsidR="00431BBE">
        <w:t>in each</w:t>
      </w:r>
      <w:r>
        <w:t xml:space="preserve"> year.</w:t>
      </w:r>
      <w:r w:rsidR="00431BBE">
        <w:t xml:space="preserve"> The model considers the number of installation decisions that may occur in each year, the estimated level of awareness of each measure in the eligible population, and the willingness to adopt each measure that passes the cost-effectiveness screen. It is in this step that the PG model employs the Bass Diffusion approach to simulate adoption that is described in more detail below. In the final step, the model calculates energy savings and corresponding costs and benefits resulting from measure adoption decisions in the second step. Savings are calculated relative to the appropriate baseline efficiency</w:t>
      </w:r>
      <w:r w:rsidR="00111AA5">
        <w:t xml:space="preserve"> level depending on the type of replacement.</w:t>
      </w:r>
    </w:p>
    <w:p w14:paraId="6E46D0DF" w14:textId="77777777" w:rsidR="00FF101E" w:rsidRDefault="00FF101E" w:rsidP="00CD1669"/>
    <w:p w14:paraId="2DC7FC90" w14:textId="77777777" w:rsidR="004A080C" w:rsidRDefault="006B655B" w:rsidP="006B655B">
      <w:pPr>
        <w:pStyle w:val="Caption"/>
      </w:pPr>
      <w:bookmarkStart w:id="174" w:name="_Ref483403309"/>
      <w:bookmarkStart w:id="175" w:name="_Ref485127794"/>
      <w:bookmarkStart w:id="176" w:name="_Toc484436993"/>
      <w:bookmarkStart w:id="177" w:name="_Toc490491718"/>
      <w:bookmarkEnd w:id="174"/>
      <w:r>
        <w:t xml:space="preserve">Figure </w:t>
      </w:r>
      <w:fldSimple w:instr=" STYLEREF 1 \s ">
        <w:r w:rsidR="007566B9">
          <w:rPr>
            <w:noProof/>
          </w:rPr>
          <w:t>2</w:t>
        </w:r>
      </w:fldSimple>
      <w:r w:rsidR="00CE124F">
        <w:noBreakHyphen/>
      </w:r>
      <w:fldSimple w:instr=" SEQ Figure \* ARABIC \s 1 ">
        <w:r w:rsidR="007566B9">
          <w:rPr>
            <w:noProof/>
          </w:rPr>
          <w:t>2</w:t>
        </w:r>
      </w:fldSimple>
      <w:bookmarkEnd w:id="175"/>
      <w:r w:rsidR="004A080C">
        <w:t>. Three-Step Approach to Calculating Market Potential for Rebated Measures</w:t>
      </w:r>
      <w:bookmarkEnd w:id="176"/>
      <w:bookmarkEnd w:id="177"/>
    </w:p>
    <w:p w14:paraId="6C30FC66" w14:textId="77777777" w:rsidR="00102771" w:rsidRDefault="002076B5" w:rsidP="00CD1669">
      <w:r>
        <w:rPr>
          <w:noProof/>
        </w:rPr>
        <w:drawing>
          <wp:inline distT="0" distB="0" distL="0" distR="0" wp14:anchorId="3F961B4A" wp14:editId="7CA1BA79">
            <wp:extent cx="5943600" cy="3050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050540"/>
                    </a:xfrm>
                    <a:prstGeom prst="rect">
                      <a:avLst/>
                    </a:prstGeom>
                  </pic:spPr>
                </pic:pic>
              </a:graphicData>
            </a:graphic>
          </wp:inline>
        </w:drawing>
      </w:r>
    </w:p>
    <w:p w14:paraId="2E4FB7F6" w14:textId="77777777" w:rsidR="00FF101E" w:rsidRDefault="00FF101E" w:rsidP="00CD1669"/>
    <w:p w14:paraId="43512937" w14:textId="77777777" w:rsidR="00CD1669" w:rsidRPr="00CD1669" w:rsidRDefault="00EE70E7" w:rsidP="00CD1669">
      <w:r>
        <w:lastRenderedPageBreak/>
        <w:t>As noted above, the</w:t>
      </w:r>
      <w:r w:rsidRPr="00CD1669">
        <w:t xml:space="preserve"> model employs a bottom-up dynamic Bass Diffusion approach to simulate market adoption of efficient measures</w:t>
      </w:r>
      <w:r w:rsidR="00CD1669" w:rsidRPr="00CD1669">
        <w:t xml:space="preserve">. The </w:t>
      </w:r>
      <w:r>
        <w:t>B</w:t>
      </w:r>
      <w:r w:rsidR="00CD1669" w:rsidRPr="00CD1669">
        <w:t xml:space="preserve">ass </w:t>
      </w:r>
      <w:r>
        <w:t>D</w:t>
      </w:r>
      <w:r w:rsidR="00CD1669" w:rsidRPr="00CD1669">
        <w:t xml:space="preserve">iffusion model is illustrated in </w:t>
      </w:r>
      <w:r w:rsidR="00EA23EC">
        <w:fldChar w:fldCharType="begin"/>
      </w:r>
      <w:r w:rsidR="00EA23EC">
        <w:instrText xml:space="preserve"> REF _Ref481592520 \h </w:instrText>
      </w:r>
      <w:r w:rsidR="00EA23EC">
        <w:fldChar w:fldCharType="separate"/>
      </w:r>
      <w:r w:rsidR="007566B9">
        <w:t xml:space="preserve">Figure </w:t>
      </w:r>
      <w:r w:rsidR="007566B9">
        <w:rPr>
          <w:noProof/>
        </w:rPr>
        <w:t>2</w:t>
      </w:r>
      <w:r w:rsidR="007566B9">
        <w:noBreakHyphen/>
      </w:r>
      <w:r w:rsidR="007566B9">
        <w:rPr>
          <w:noProof/>
        </w:rPr>
        <w:t>3</w:t>
      </w:r>
      <w:r w:rsidR="00EA23EC">
        <w:fldChar w:fldCharType="end"/>
      </w:r>
      <w:r w:rsidR="00EA23EC">
        <w:t xml:space="preserve"> </w:t>
      </w:r>
      <w:r w:rsidR="00CD1669" w:rsidRPr="00CD1669">
        <w:t>and contains three parameters:</w:t>
      </w:r>
    </w:p>
    <w:p w14:paraId="1BA6FC73" w14:textId="77777777" w:rsidR="00CD1669" w:rsidRPr="00CD1669" w:rsidRDefault="00CD1669" w:rsidP="004E4E36">
      <w:pPr>
        <w:pStyle w:val="ListParagraph"/>
        <w:numPr>
          <w:ilvl w:val="0"/>
          <w:numId w:val="14"/>
        </w:numPr>
        <w:ind w:left="720" w:hanging="360"/>
      </w:pPr>
      <w:r w:rsidRPr="00CD1669">
        <w:rPr>
          <w:b/>
        </w:rPr>
        <w:t>Marketing, education, and outreach</w:t>
      </w:r>
      <w:r w:rsidRPr="00CD1669">
        <w:t xml:space="preserve"> (ME&amp;O) moves customers from the unaware group to the aware group at a consistent rate annually. Unaware customers, as the name implies, have no knowledge of the energy efficient technology option. Aware customers are those that have knowledge of the product and understand its attributes. ME&amp;O is often referred to as the “Advertising Effect” in Bass Diffusion modeling.</w:t>
      </w:r>
    </w:p>
    <w:p w14:paraId="702F769B" w14:textId="77777777" w:rsidR="00CD1669" w:rsidRPr="00CD1669" w:rsidRDefault="00CD1669" w:rsidP="004E4E36">
      <w:pPr>
        <w:pStyle w:val="ListParagraph"/>
        <w:numPr>
          <w:ilvl w:val="0"/>
          <w:numId w:val="14"/>
        </w:numPr>
        <w:ind w:left="720" w:hanging="360"/>
      </w:pPr>
      <w:r w:rsidRPr="00CD1669">
        <w:rPr>
          <w:b/>
        </w:rPr>
        <w:t>Word of mouth</w:t>
      </w:r>
      <w:r w:rsidRPr="00CD1669">
        <w:t xml:space="preserve"> represents the influence of adopters (or other aware consumers) on the unaware population by informing them of efficient technologies and their attributes. This influence increases the rate at which customers move from the unaware to the aware group; the word-of-mouth influence occurs in addition to the ongoing ME&amp;O. When a product is new to the market with few installations, often ME&amp;O is the main source driving unaware customers to the aware group. As more customers become aware and adopt, however, word of mouth can have a greater influence on awareness than ME&amp;O, and leads to exponential growth. The exponential growth is ultimately damped by the saturation of the market, leading to an S-shaped adoption curve, which has frequently been observed for efficient technologies.</w:t>
      </w:r>
    </w:p>
    <w:p w14:paraId="67E6064D" w14:textId="77777777" w:rsidR="00CD1669" w:rsidRPr="00CD1669" w:rsidRDefault="00CD1669" w:rsidP="004E4E36">
      <w:pPr>
        <w:pStyle w:val="ListParagraph"/>
        <w:numPr>
          <w:ilvl w:val="0"/>
          <w:numId w:val="14"/>
        </w:numPr>
        <w:ind w:left="720" w:hanging="360"/>
      </w:pPr>
      <w:r w:rsidRPr="00CD1669">
        <w:rPr>
          <w:b/>
        </w:rPr>
        <w:t>Willingness</w:t>
      </w:r>
      <w:r w:rsidRPr="00CD1669">
        <w:t xml:space="preserve"> is the key factor affecting the move from an aware customer to an adopter. Once customers are aware of the measure, they consider adopting the technology based on the financial attractiveness of the measure. </w:t>
      </w:r>
      <w:r w:rsidR="00EE70E7" w:rsidRPr="00CD1669">
        <w:t xml:space="preserve">The PG Model applies </w:t>
      </w:r>
      <w:r w:rsidR="00EE70E7">
        <w:t xml:space="preserve">two distinct approaches to calculate willingness depending on the sector and need. Additional discussion of willingness follows the figure below. </w:t>
      </w:r>
      <w:r w:rsidR="00974FAC">
        <w:t xml:space="preserve"> </w:t>
      </w:r>
    </w:p>
    <w:p w14:paraId="7E8CAAAF" w14:textId="77777777" w:rsidR="00CD1669" w:rsidRDefault="00CD1669" w:rsidP="00CD1669">
      <w:pPr>
        <w:pStyle w:val="Caption"/>
        <w:jc w:val="left"/>
      </w:pPr>
    </w:p>
    <w:p w14:paraId="757CFF4C" w14:textId="77777777" w:rsidR="0099602B" w:rsidRDefault="0099602B" w:rsidP="0099602B">
      <w:pPr>
        <w:pStyle w:val="Caption"/>
        <w:jc w:val="left"/>
      </w:pPr>
      <w:bookmarkStart w:id="178" w:name="_Ref481592520"/>
      <w:bookmarkStart w:id="179" w:name="_Toc482634244"/>
      <w:bookmarkStart w:id="180" w:name="_Toc482626453"/>
      <w:bookmarkStart w:id="181" w:name="_Toc484436994"/>
      <w:bookmarkStart w:id="182" w:name="_Toc490491719"/>
      <w:r>
        <w:t xml:space="preserve">Figure </w:t>
      </w:r>
      <w:fldSimple w:instr=" STYLEREF 1 \s ">
        <w:r w:rsidR="007566B9">
          <w:rPr>
            <w:noProof/>
          </w:rPr>
          <w:t>2</w:t>
        </w:r>
      </w:fldSimple>
      <w:r w:rsidR="00CE124F">
        <w:noBreakHyphen/>
      </w:r>
      <w:fldSimple w:instr=" SEQ Figure \* ARABIC \s 1 ">
        <w:r w:rsidR="007566B9">
          <w:rPr>
            <w:noProof/>
          </w:rPr>
          <w:t>3</w:t>
        </w:r>
      </w:fldSimple>
      <w:bookmarkEnd w:id="178"/>
      <w:r>
        <w:t xml:space="preserve">. </w:t>
      </w:r>
      <w:r w:rsidRPr="00440D6A">
        <w:t>The Bass Diffusion Framework</w:t>
      </w:r>
      <w:r w:rsidR="00B63C13">
        <w:t>:</w:t>
      </w:r>
      <w:r w:rsidRPr="00440D6A">
        <w:t xml:space="preserve"> </w:t>
      </w:r>
      <w:r w:rsidR="00B63C13">
        <w:t>A</w:t>
      </w:r>
      <w:r w:rsidRPr="00440D6A">
        <w:t xml:space="preserve"> Dynamic Approach to Calculating Measure Adoption</w:t>
      </w:r>
      <w:bookmarkEnd w:id="179"/>
      <w:bookmarkEnd w:id="180"/>
      <w:r w:rsidR="00102771">
        <w:rPr>
          <w:rStyle w:val="FootnoteReference"/>
        </w:rPr>
        <w:footnoteReference w:id="22"/>
      </w:r>
      <w:bookmarkEnd w:id="181"/>
      <w:bookmarkEnd w:id="182"/>
    </w:p>
    <w:p w14:paraId="575AED09" w14:textId="77777777" w:rsidR="00CD1669" w:rsidRDefault="00CD1669" w:rsidP="00CD1669"/>
    <w:p w14:paraId="564457CC" w14:textId="77777777" w:rsidR="00FE3290" w:rsidRDefault="00FE3290" w:rsidP="006B655B">
      <w:pPr>
        <w:jc w:val="center"/>
      </w:pPr>
      <w:r>
        <w:rPr>
          <w:noProof/>
        </w:rPr>
        <w:drawing>
          <wp:inline distT="0" distB="0" distL="0" distR="0" wp14:anchorId="637BB6EE" wp14:editId="1C25B5C9">
            <wp:extent cx="5895340" cy="1609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5340" cy="1609725"/>
                    </a:xfrm>
                    <a:prstGeom prst="rect">
                      <a:avLst/>
                    </a:prstGeom>
                    <a:noFill/>
                  </pic:spPr>
                </pic:pic>
              </a:graphicData>
            </a:graphic>
          </wp:inline>
        </w:drawing>
      </w:r>
    </w:p>
    <w:p w14:paraId="16E90BAC" w14:textId="77777777" w:rsidR="00763F6F" w:rsidRDefault="00763F6F" w:rsidP="00110120">
      <w:pPr>
        <w:rPr>
          <w:highlight w:val="yellow"/>
        </w:rPr>
      </w:pPr>
    </w:p>
    <w:p w14:paraId="057181CE" w14:textId="77777777" w:rsidR="00BE50CA" w:rsidRDefault="00BE50CA" w:rsidP="00BE50CA">
      <w:pPr>
        <w:rPr>
          <w:highlight w:val="yellow"/>
        </w:rPr>
      </w:pPr>
    </w:p>
    <w:p w14:paraId="6E8D77C7" w14:textId="77777777" w:rsidR="00BE50CA" w:rsidRDefault="00D827FB" w:rsidP="00BE50CA">
      <w:pPr>
        <w:rPr>
          <w:b/>
        </w:rPr>
      </w:pPr>
      <w:r>
        <w:rPr>
          <w:b/>
        </w:rPr>
        <w:t>Approach to Calculating Willingness</w:t>
      </w:r>
    </w:p>
    <w:p w14:paraId="4438F31F" w14:textId="77777777" w:rsidR="00BE50CA" w:rsidRDefault="00BE50CA" w:rsidP="00BE50CA">
      <w:r>
        <w:t>Customer willingness to adopt is a key determinant of long-run market share i.e. what percentage of individuals choose to purchase a technology provided those individuals are aware of the technology and its relative merits (e.g. the energy- and cost-saving features of the technology). The PG Model applies two approaches to calculating willingness depending on the sector:</w:t>
      </w:r>
    </w:p>
    <w:p w14:paraId="57D3C068" w14:textId="77777777" w:rsidR="00BE50CA" w:rsidRPr="00BE50CA" w:rsidRDefault="00BE50CA" w:rsidP="004E4E36">
      <w:pPr>
        <w:pStyle w:val="ListParagraph"/>
        <w:numPr>
          <w:ilvl w:val="0"/>
          <w:numId w:val="47"/>
        </w:numPr>
        <w:rPr>
          <w:b/>
        </w:rPr>
      </w:pPr>
      <w:r>
        <w:rPr>
          <w:b/>
        </w:rPr>
        <w:lastRenderedPageBreak/>
        <w:t xml:space="preserve">Levelized Measure Cost/Logit Approach: </w:t>
      </w:r>
      <w:r>
        <w:t xml:space="preserve"> For the residential and commercial sectors where information on baseline and efficient costs are available, and to more appropriately capture the impacts of EE financing on market adoption, a levelized measure cost</w:t>
      </w:r>
      <w:r w:rsidR="00372465">
        <w:t xml:space="preserve"> (LMC)/logit</w:t>
      </w:r>
      <w:r>
        <w:t xml:space="preserve"> approach</w:t>
      </w:r>
      <w:r w:rsidR="00372465">
        <w:t xml:space="preserve"> </w:t>
      </w:r>
      <w:r>
        <w:t>is applied. The levelized measure cost is based on the present value of the cost of purchasing and operating the equipment throughout its EUL</w:t>
      </w:r>
      <w:r w:rsidR="00EF098C">
        <w:t>, discounted using a consumer implied discount rate (iDR)</w:t>
      </w:r>
      <w:r w:rsidR="00EF098C">
        <w:rPr>
          <w:rStyle w:val="FootnoteReference"/>
        </w:rPr>
        <w:footnoteReference w:id="23"/>
      </w:r>
      <w:r>
        <w:t>.</w:t>
      </w:r>
      <w:r w:rsidR="00EF098C">
        <w:t xml:space="preserve"> </w:t>
      </w:r>
      <w:r w:rsidR="00372465">
        <w:t>The equation used to calculate the LMC is shown below.</w:t>
      </w:r>
    </w:p>
    <w:p w14:paraId="71892EF1" w14:textId="77777777" w:rsidR="00BE50CA" w:rsidRDefault="00BE50CA" w:rsidP="00BE50CA">
      <w:pPr>
        <w:rPr>
          <w:b/>
        </w:rPr>
      </w:pPr>
    </w:p>
    <w:p w14:paraId="36DAD999" w14:textId="77777777" w:rsidR="00BE50CA" w:rsidRPr="00372465" w:rsidRDefault="00372465" w:rsidP="00372465">
      <w:pPr>
        <w:pStyle w:val="Caption"/>
        <w:rPr>
          <w:lang w:val="en-CA"/>
        </w:rPr>
      </w:pPr>
      <w:bookmarkStart w:id="183" w:name="_Toc453705775"/>
      <w:bookmarkStart w:id="184" w:name="_Toc453772178"/>
      <w:bookmarkStart w:id="185" w:name="_Toc453801871"/>
      <w:bookmarkStart w:id="186" w:name="_Toc453796560"/>
      <w:bookmarkStart w:id="187" w:name="_Toc456978335"/>
      <w:bookmarkStart w:id="188" w:name="_Toc457941381"/>
      <w:r w:rsidRPr="00321BF9">
        <w:t xml:space="preserve">Equation </w:t>
      </w:r>
      <w:fldSimple w:instr=" SEQ Equation \* ARABIC ">
        <w:r w:rsidR="007566B9">
          <w:rPr>
            <w:noProof/>
          </w:rPr>
          <w:t>1</w:t>
        </w:r>
      </w:fldSimple>
      <w:r w:rsidRPr="00321BF9">
        <w:t xml:space="preserve">. </w:t>
      </w:r>
      <w:bookmarkEnd w:id="183"/>
      <w:bookmarkEnd w:id="184"/>
      <w:bookmarkEnd w:id="185"/>
      <w:bookmarkEnd w:id="186"/>
      <w:bookmarkEnd w:id="187"/>
      <w:bookmarkEnd w:id="188"/>
      <w:r>
        <w:t>Levelized Measure Cost Calculation</w:t>
      </w:r>
    </w:p>
    <w:p w14:paraId="04DA9AC7" w14:textId="77777777" w:rsidR="00BE50CA" w:rsidRPr="00211361" w:rsidRDefault="00211361" w:rsidP="00BE50CA">
      <w:pPr>
        <w:ind w:left="720"/>
      </w:pPr>
      <m:oMathPara>
        <m:oMathParaPr>
          <m:jc m:val="centerGroup"/>
        </m:oMathParaPr>
        <m:oMath>
          <m:r>
            <w:rPr>
              <w:rFonts w:ascii="Cambria Math" w:hAnsi="Cambria Math" w:cs="Cambria Math"/>
            </w:rPr>
            <m:t>L</m:t>
          </m:r>
          <m:r>
            <w:rPr>
              <w:rFonts w:ascii="Cambria Math" w:hAnsi="Cambria Math"/>
            </w:rPr>
            <m:t>MC=Upfront Cost+PV</m:t>
          </m:r>
          <m:d>
            <m:dPr>
              <m:ctrlPr>
                <w:rPr>
                  <w:rFonts w:ascii="Cambria Math" w:hAnsi="Cambria Math"/>
                  <w:bCs/>
                  <w:i/>
                  <w:iCs/>
                </w:rPr>
              </m:ctrlPr>
            </m:dPr>
            <m:e>
              <m:r>
                <w:rPr>
                  <w:rFonts w:ascii="Cambria Math" w:hAnsi="Cambria Math"/>
                </w:rPr>
                <m:t>Annual Operating Cost, iDR, EUL</m:t>
              </m:r>
            </m:e>
          </m:d>
        </m:oMath>
      </m:oMathPara>
    </w:p>
    <w:p w14:paraId="51706FC0" w14:textId="77777777" w:rsidR="00BE50CA" w:rsidRPr="00110120" w:rsidRDefault="00BE50CA" w:rsidP="00472284">
      <w:pPr>
        <w:ind w:left="720"/>
        <w:rPr>
          <w:b/>
        </w:rPr>
      </w:pPr>
    </w:p>
    <w:p w14:paraId="617C0013" w14:textId="77777777" w:rsidR="003A2686" w:rsidRDefault="00372465" w:rsidP="00557C7A">
      <w:pPr>
        <w:ind w:left="720"/>
      </w:pPr>
      <w:r>
        <w:t>To calculate long-run market share or willingness as a function of the levelized measure cost</w:t>
      </w:r>
      <w:r w:rsidR="00557C7A">
        <w:t xml:space="preserve"> for both base and efficient technologies</w:t>
      </w:r>
      <w:r>
        <w:t xml:space="preserve">, Navigant </w:t>
      </w:r>
      <w:r w:rsidR="002F3182">
        <w:t>employed</w:t>
      </w:r>
      <w:r>
        <w:t xml:space="preserve"> a logit decision-maker approach.</w:t>
      </w:r>
      <w:r>
        <w:rPr>
          <w:rStyle w:val="FootnoteReference"/>
        </w:rPr>
        <w:footnoteReference w:id="24"/>
      </w:r>
      <w:r>
        <w:t xml:space="preserve"> </w:t>
      </w:r>
      <w:r>
        <w:rPr>
          <w:rStyle w:val="FootnoteReference"/>
        </w:rPr>
        <w:footnoteReference w:id="25"/>
      </w:r>
      <w:r>
        <w:t xml:space="preserve"> This approach applies best practices in predicting consumer behavior and </w:t>
      </w:r>
      <w:r w:rsidR="00557C7A">
        <w:t>allows competition of multiple measures with different EULs for each end use.</w:t>
      </w:r>
    </w:p>
    <w:p w14:paraId="6D1BC53F" w14:textId="77777777" w:rsidR="003A2686" w:rsidRDefault="003A2686" w:rsidP="00557C7A">
      <w:pPr>
        <w:ind w:left="720"/>
      </w:pPr>
    </w:p>
    <w:p w14:paraId="5D6AF4C0" w14:textId="77777777" w:rsidR="003A2686" w:rsidRPr="003A2686" w:rsidRDefault="003A2686" w:rsidP="003A2686">
      <w:pPr>
        <w:pStyle w:val="Caption"/>
        <w:rPr>
          <w:lang w:val="en-CA"/>
        </w:rPr>
      </w:pPr>
      <w:r w:rsidRPr="00321BF9">
        <w:t xml:space="preserve">Equation </w:t>
      </w:r>
      <w:fldSimple w:instr=" SEQ Equation \* ARABIC ">
        <w:r w:rsidR="007566B9">
          <w:rPr>
            <w:noProof/>
          </w:rPr>
          <w:t>2</w:t>
        </w:r>
      </w:fldSimple>
      <w:r w:rsidRPr="00321BF9">
        <w:t xml:space="preserve">. </w:t>
      </w:r>
      <w:r>
        <w:t>Logit Decision Model</w:t>
      </w:r>
      <w:r w:rsidR="002F3182">
        <w:rPr>
          <w:rStyle w:val="FootnoteReference"/>
        </w:rPr>
        <w:footnoteReference w:id="26"/>
      </w:r>
    </w:p>
    <w:p w14:paraId="6B3C551F" w14:textId="77777777" w:rsidR="003A2686" w:rsidRPr="00211361" w:rsidRDefault="00211361" w:rsidP="00557C7A">
      <w:pPr>
        <w:ind w:left="720"/>
        <w:rPr>
          <w:sz w:val="22"/>
          <w:szCs w:val="22"/>
        </w:rPr>
      </w:pPr>
      <m:oMathPara>
        <m:oMath>
          <m:r>
            <w:rPr>
              <w:rFonts w:ascii="Cambria Math" w:hAnsi="Cambria Math" w:cs="Cambria Math"/>
              <w:sz w:val="22"/>
              <w:szCs w:val="22"/>
            </w:rPr>
            <m:t>W</m:t>
          </m:r>
          <m:r>
            <w:rPr>
              <w:rFonts w:ascii="Cambria Math" w:hAnsi="Cambria Math"/>
              <w:sz w:val="22"/>
              <w:szCs w:val="22"/>
            </w:rPr>
            <m:t>=</m:t>
          </m:r>
          <m:f>
            <m:fPr>
              <m:ctrlPr>
                <w:rPr>
                  <w:rFonts w:ascii="Cambria Math" w:hAnsi="Cambria Math"/>
                  <w:bCs/>
                  <w:i/>
                  <w:iCs/>
                  <w:sz w:val="22"/>
                  <w:szCs w:val="22"/>
                </w:rPr>
              </m:ctrlPr>
            </m:fPr>
            <m:num>
              <m:sSup>
                <m:sSupPr>
                  <m:ctrlPr>
                    <w:rPr>
                      <w:rFonts w:ascii="Cambria Math" w:hAnsi="Cambria Math"/>
                      <w:bCs/>
                      <w:i/>
                      <w:iCs/>
                      <w:sz w:val="22"/>
                      <w:szCs w:val="22"/>
                    </w:rPr>
                  </m:ctrlPr>
                </m:sSupPr>
                <m:e>
                  <m:r>
                    <w:rPr>
                      <w:rFonts w:ascii="Cambria Math" w:hAnsi="Cambria Math"/>
                      <w:sz w:val="22"/>
                      <w:szCs w:val="22"/>
                    </w:rPr>
                    <m:t>e </m:t>
                  </m:r>
                </m:e>
                <m:sup>
                  <m:r>
                    <w:rPr>
                      <w:rFonts w:ascii="Cambria Math" w:hAnsi="Cambria Math"/>
                      <w:sz w:val="22"/>
                      <w:szCs w:val="22"/>
                    </w:rPr>
                    <m:t>β LMC</m:t>
                  </m:r>
                  <m:r>
                    <w:rPr>
                      <w:rFonts w:ascii="Cambria Math" w:hAnsi="Cambria Math"/>
                      <w:sz w:val="22"/>
                      <w:szCs w:val="22"/>
                      <w:vertAlign w:val="subscript"/>
                    </w:rPr>
                    <m:t>1</m:t>
                  </m:r>
                </m:sup>
              </m:sSup>
            </m:num>
            <m:den>
              <m:nary>
                <m:naryPr>
                  <m:chr m:val="∑"/>
                  <m:ctrlPr>
                    <w:rPr>
                      <w:rFonts w:ascii="Cambria Math" w:hAnsi="Cambria Math"/>
                      <w:bCs/>
                      <w:i/>
                      <w:iCs/>
                      <w:sz w:val="22"/>
                      <w:szCs w:val="22"/>
                    </w:rPr>
                  </m:ctrlPr>
                </m:naryPr>
                <m:sub>
                  <m:r>
                    <w:rPr>
                      <w:rFonts w:ascii="Cambria Math" w:hAnsi="Cambria Math"/>
                      <w:sz w:val="22"/>
                      <w:szCs w:val="22"/>
                    </w:rPr>
                    <m:t>i</m:t>
                  </m:r>
                </m:sub>
                <m:sup>
                  <m:r>
                    <w:rPr>
                      <w:rFonts w:ascii="Cambria Math" w:hAnsi="Cambria Math"/>
                      <w:sz w:val="22"/>
                      <w:szCs w:val="22"/>
                    </w:rPr>
                    <m:t>n</m:t>
                  </m:r>
                </m:sup>
                <m:e>
                  <m:sSup>
                    <m:sSupPr>
                      <m:ctrlPr>
                        <w:rPr>
                          <w:rFonts w:ascii="Cambria Math" w:hAnsi="Cambria Math"/>
                          <w:bCs/>
                          <w:i/>
                          <w:iCs/>
                          <w:sz w:val="22"/>
                          <w:szCs w:val="22"/>
                        </w:rPr>
                      </m:ctrlPr>
                    </m:sSupPr>
                    <m:e>
                      <m:r>
                        <w:rPr>
                          <w:rFonts w:ascii="Cambria Math" w:hAnsi="Cambria Math"/>
                          <w:sz w:val="22"/>
                          <w:szCs w:val="22"/>
                        </w:rPr>
                        <m:t>e</m:t>
                      </m:r>
                    </m:e>
                    <m:sup>
                      <m:r>
                        <w:rPr>
                          <w:rFonts w:ascii="Cambria Math" w:hAnsi="Cambria Math"/>
                          <w:sz w:val="22"/>
                          <w:szCs w:val="22"/>
                        </w:rPr>
                        <m:t> β LMCi</m:t>
                      </m:r>
                    </m:sup>
                  </m:sSup>
                </m:e>
              </m:nary>
            </m:den>
          </m:f>
        </m:oMath>
      </m:oMathPara>
    </w:p>
    <w:p w14:paraId="049A6B45" w14:textId="77777777" w:rsidR="003A2686" w:rsidRDefault="003A2686" w:rsidP="00557C7A">
      <w:pPr>
        <w:ind w:left="720"/>
      </w:pPr>
    </w:p>
    <w:p w14:paraId="3311E3D9" w14:textId="77777777" w:rsidR="00372465" w:rsidRDefault="003A2686" w:rsidP="00557C7A">
      <w:pPr>
        <w:ind w:left="720"/>
      </w:pPr>
      <w:r>
        <w:t xml:space="preserve">The figure below illustrates </w:t>
      </w:r>
      <w:r w:rsidR="008A47B1">
        <w:t xml:space="preserve">how consumer willingness changes as a function of the ratio of the efficient to base LMC. In this </w:t>
      </w:r>
      <w:r w:rsidR="008565CA">
        <w:t>illustration</w:t>
      </w:r>
      <w:r w:rsidR="008A47B1">
        <w:t xml:space="preserve">, a LMC ratio of 1 implies both the efficient and base technologies are at parity and thus the market is split with 50% choosing to adopt the </w:t>
      </w:r>
      <w:r w:rsidR="008565CA">
        <w:t xml:space="preserve">efficient technology. For </w:t>
      </w:r>
      <w:r w:rsidR="008F73AA">
        <w:t>a</w:t>
      </w:r>
      <w:r w:rsidR="008565CA">
        <w:t xml:space="preserve"> LMC ratio of 0.5, which implies the efficient technology is cheaper than the base technology, the curve indicates that 73% would adopt the efficient technology.  </w:t>
      </w:r>
    </w:p>
    <w:p w14:paraId="505ED4FF" w14:textId="77777777" w:rsidR="00557C7A" w:rsidRDefault="00557C7A" w:rsidP="003A2686">
      <w:pPr>
        <w:ind w:left="720"/>
        <w:jc w:val="center"/>
      </w:pPr>
    </w:p>
    <w:p w14:paraId="611E1A52" w14:textId="77777777" w:rsidR="003A2686" w:rsidRDefault="003A2686" w:rsidP="003A2686">
      <w:pPr>
        <w:pStyle w:val="Caption"/>
      </w:pPr>
      <w:bookmarkStart w:id="189" w:name="_Toc484436995"/>
      <w:bookmarkStart w:id="190" w:name="_Toc490491720"/>
      <w:r>
        <w:lastRenderedPageBreak/>
        <w:t xml:space="preserve">Figure </w:t>
      </w:r>
      <w:fldSimple w:instr=" STYLEREF 1 \s ">
        <w:r w:rsidR="007566B9">
          <w:rPr>
            <w:noProof/>
          </w:rPr>
          <w:t>2</w:t>
        </w:r>
      </w:fldSimple>
      <w:r w:rsidR="00CE124F">
        <w:noBreakHyphen/>
      </w:r>
      <w:fldSimple w:instr=" SEQ Figure \* ARABIC \s 1 ">
        <w:r w:rsidR="007566B9">
          <w:rPr>
            <w:noProof/>
          </w:rPr>
          <w:t>4</w:t>
        </w:r>
      </w:fldSimple>
      <w:r>
        <w:t>. Illustration of Logit Willingness Curve</w:t>
      </w:r>
      <w:bookmarkEnd w:id="189"/>
      <w:bookmarkEnd w:id="190"/>
    </w:p>
    <w:p w14:paraId="5AE493E7" w14:textId="77777777" w:rsidR="00557C7A" w:rsidRPr="00557C7A" w:rsidRDefault="00A16A1A" w:rsidP="00557C7A">
      <w:pPr>
        <w:ind w:left="720"/>
      </w:pPr>
      <w:r>
        <w:rPr>
          <w:noProof/>
        </w:rPr>
        <w:drawing>
          <wp:inline distT="0" distB="0" distL="0" distR="0" wp14:anchorId="6DBB9404" wp14:editId="502A5FE7">
            <wp:extent cx="5352381" cy="3257143"/>
            <wp:effectExtent l="0" t="0" r="127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52381" cy="3257143"/>
                    </a:xfrm>
                    <a:prstGeom prst="rect">
                      <a:avLst/>
                    </a:prstGeom>
                  </pic:spPr>
                </pic:pic>
              </a:graphicData>
            </a:graphic>
          </wp:inline>
        </w:drawing>
      </w:r>
    </w:p>
    <w:p w14:paraId="0E0AF623" w14:textId="77777777" w:rsidR="00BE50CA" w:rsidRPr="00BA27E8" w:rsidRDefault="008565CA" w:rsidP="004E4E36">
      <w:pPr>
        <w:pStyle w:val="ListParagraph"/>
        <w:numPr>
          <w:ilvl w:val="0"/>
          <w:numId w:val="47"/>
        </w:numPr>
        <w:rPr>
          <w:b/>
        </w:rPr>
      </w:pPr>
      <w:r>
        <w:rPr>
          <w:b/>
        </w:rPr>
        <w:t>Payback-</w:t>
      </w:r>
      <w:r w:rsidR="00BE50CA">
        <w:rPr>
          <w:b/>
        </w:rPr>
        <w:t>based Approach:</w:t>
      </w:r>
      <w:r w:rsidR="00557C7A">
        <w:rPr>
          <w:b/>
        </w:rPr>
        <w:t xml:space="preserve"> </w:t>
      </w:r>
      <w:r w:rsidR="00557C7A">
        <w:t>For the AIMS sectors</w:t>
      </w:r>
      <w:r w:rsidR="00EF098C">
        <w:t>,</w:t>
      </w:r>
      <w:r w:rsidR="00557C7A">
        <w:t xml:space="preserve"> where information on baseline</w:t>
      </w:r>
      <w:r w:rsidR="002F3182">
        <w:t xml:space="preserve"> </w:t>
      </w:r>
      <w:r>
        <w:t>technology costs are not available, and where there isn’t a need to explore the impacts of EE financing, Navigant used a payback-based approach to calculate willingness.</w:t>
      </w:r>
      <w:r w:rsidR="00AA6CE9">
        <w:t xml:space="preserve"> Payback time reflects the length of time (years) required for an energy e</w:t>
      </w:r>
      <w:r w:rsidR="00D3754E">
        <w:t>fficiency investment to recover</w:t>
      </w:r>
      <w:r w:rsidR="00AA6CE9">
        <w:t xml:space="preserve"> the initial upfront cost in terms of energy savings. After calculating payback time,</w:t>
      </w:r>
      <w:r w:rsidR="00D827FB">
        <w:t xml:space="preserve"> to estimate market share for the AIMS measures</w:t>
      </w:r>
      <w:r w:rsidR="00C04E94">
        <w:t>,</w:t>
      </w:r>
      <w:r>
        <w:t xml:space="preserve"> </w:t>
      </w:r>
      <w:r w:rsidR="00EF098C">
        <w:t>Navigant</w:t>
      </w:r>
      <w:r>
        <w:t xml:space="preserve"> relied on “payback acceptance” curves based on N</w:t>
      </w:r>
      <w:r w:rsidR="00EF098C">
        <w:t xml:space="preserve">avigant-led </w:t>
      </w:r>
      <w:r w:rsidR="00BA27E8">
        <w:t>primary research</w:t>
      </w:r>
      <w:r w:rsidR="00EF098C">
        <w:t xml:space="preserve"> </w:t>
      </w:r>
      <w:r w:rsidR="008F73AA">
        <w:t>in the US Midwest in 2012.</w:t>
      </w:r>
      <w:r w:rsidR="008F73AA">
        <w:rPr>
          <w:rStyle w:val="FootnoteReference"/>
        </w:rPr>
        <w:footnoteReference w:id="27"/>
      </w:r>
      <w:r w:rsidR="008F73AA">
        <w:t xml:space="preserve"> </w:t>
      </w:r>
      <w:r w:rsidR="00AA6CE9">
        <w:t xml:space="preserve">Though California-specific data were not available to estimate these curves, Navigant considers that the nature of customer decision-making process is such that the data developed using North American customers represents the best industry-wide data available at the time of this study. </w:t>
      </w:r>
    </w:p>
    <w:p w14:paraId="559161CC" w14:textId="77777777" w:rsidR="00BA27E8" w:rsidRDefault="00BA27E8" w:rsidP="00BA27E8">
      <w:pPr>
        <w:jc w:val="center"/>
      </w:pPr>
    </w:p>
    <w:p w14:paraId="4561BB15" w14:textId="77777777" w:rsidR="00BA27E8" w:rsidRDefault="00BA27E8" w:rsidP="00BA27E8">
      <w:pPr>
        <w:pStyle w:val="Caption"/>
      </w:pPr>
      <w:bookmarkStart w:id="191" w:name="_Toc484436996"/>
      <w:bookmarkStart w:id="192" w:name="_Toc490491721"/>
      <w:r>
        <w:lastRenderedPageBreak/>
        <w:t xml:space="preserve">Figure </w:t>
      </w:r>
      <w:fldSimple w:instr=" STYLEREF 1 \s ">
        <w:r w:rsidR="007566B9">
          <w:rPr>
            <w:noProof/>
          </w:rPr>
          <w:t>2</w:t>
        </w:r>
      </w:fldSimple>
      <w:r w:rsidR="00CE124F">
        <w:noBreakHyphen/>
      </w:r>
      <w:fldSimple w:instr=" SEQ Figure \* ARABIC \s 1 ">
        <w:r w:rsidR="007566B9">
          <w:rPr>
            <w:noProof/>
          </w:rPr>
          <w:t>5</w:t>
        </w:r>
      </w:fldSimple>
      <w:r>
        <w:t xml:space="preserve">. Payback Acceptance </w:t>
      </w:r>
      <w:r w:rsidR="00AA6CE9">
        <w:t>Curve for AIMS sectors</w:t>
      </w:r>
      <w:bookmarkEnd w:id="191"/>
      <w:bookmarkEnd w:id="192"/>
    </w:p>
    <w:p w14:paraId="5152E4A7" w14:textId="77777777" w:rsidR="00AA6CE9" w:rsidRDefault="00A16A1A" w:rsidP="00D827FB">
      <w:pPr>
        <w:jc w:val="center"/>
      </w:pPr>
      <w:r>
        <w:rPr>
          <w:noProof/>
        </w:rPr>
        <w:drawing>
          <wp:inline distT="0" distB="0" distL="0" distR="0" wp14:anchorId="04AE03E7" wp14:editId="22D8665F">
            <wp:extent cx="4584700" cy="27559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41AB434" w14:textId="77777777" w:rsidR="00AC166A" w:rsidRDefault="00AC166A" w:rsidP="00AC166A">
      <w:pPr>
        <w:pStyle w:val="Heading4"/>
      </w:pPr>
      <w:bookmarkStart w:id="193" w:name="_Toc478990495"/>
      <w:bookmarkStart w:id="194" w:name="_Toc479768568"/>
      <w:bookmarkStart w:id="195" w:name="_Toc482353490"/>
      <w:bookmarkStart w:id="196" w:name="_Toc482357293"/>
      <w:bookmarkStart w:id="197" w:name="_Toc482634269"/>
      <w:r>
        <w:t>Calculating Cumulative Market Potential</w:t>
      </w:r>
    </w:p>
    <w:p w14:paraId="3F80316B" w14:textId="77777777" w:rsidR="00AC166A" w:rsidRDefault="00AC166A" w:rsidP="00AC166A">
      <w:pPr>
        <w:rPr>
          <w:rFonts w:cs="Arial"/>
        </w:rPr>
      </w:pPr>
      <w:r>
        <w:rPr>
          <w:rFonts w:cs="Arial"/>
        </w:rPr>
        <w:t xml:space="preserve">The PG study reports both incremental and cumulative savings. In the recent past, IOU goals have been based on incremental savings only while the CEC used cumulative savings to inform the demand forecast. </w:t>
      </w:r>
      <w:r w:rsidRPr="00AC166A">
        <w:rPr>
          <w:rFonts w:cs="Arial"/>
        </w:rPr>
        <w:t>Cumulative savings represent the total energy efficiency program savings from measures installed since a “start year” and are sti</w:t>
      </w:r>
      <w:r>
        <w:rPr>
          <w:rFonts w:cs="Arial"/>
        </w:rPr>
        <w:t xml:space="preserve">ll “active” in the current year. </w:t>
      </w:r>
      <w:r w:rsidRPr="00AC166A">
        <w:rPr>
          <w:rFonts w:cs="Arial"/>
        </w:rPr>
        <w:t>“Active” savings ar</w:t>
      </w:r>
      <w:r>
        <w:rPr>
          <w:rFonts w:cs="Arial"/>
        </w:rPr>
        <w:t>e calculated by accounting for:</w:t>
      </w:r>
    </w:p>
    <w:p w14:paraId="33F49988" w14:textId="77777777" w:rsidR="00AC166A" w:rsidRPr="00AC166A" w:rsidRDefault="00AC166A" w:rsidP="00AC166A">
      <w:pPr>
        <w:pStyle w:val="ListParagraph"/>
        <w:numPr>
          <w:ilvl w:val="0"/>
          <w:numId w:val="47"/>
        </w:numPr>
        <w:rPr>
          <w:rFonts w:cs="Arial"/>
        </w:rPr>
      </w:pPr>
      <w:r w:rsidRPr="00AC166A">
        <w:rPr>
          <w:rFonts w:cs="Arial"/>
        </w:rPr>
        <w:t>Decay of savings as measures reach the end of their useful lives</w:t>
      </w:r>
    </w:p>
    <w:p w14:paraId="49B2D112" w14:textId="77777777" w:rsidR="00AC166A" w:rsidRPr="00AC166A" w:rsidRDefault="00AC166A" w:rsidP="00AC166A">
      <w:pPr>
        <w:pStyle w:val="ListParagraph"/>
        <w:numPr>
          <w:ilvl w:val="0"/>
          <w:numId w:val="47"/>
        </w:numPr>
        <w:rPr>
          <w:rFonts w:cs="Arial"/>
        </w:rPr>
      </w:pPr>
      <w:r w:rsidRPr="00AC166A">
        <w:rPr>
          <w:rFonts w:cs="Arial"/>
        </w:rPr>
        <w:t>Codes &amp; standards that come into effect over time</w:t>
      </w:r>
    </w:p>
    <w:p w14:paraId="6C0B7122" w14:textId="77777777" w:rsidR="00AC166A" w:rsidRPr="00AC166A" w:rsidRDefault="00AC166A" w:rsidP="00AC166A">
      <w:pPr>
        <w:rPr>
          <w:rFonts w:cs="Arial"/>
        </w:rPr>
      </w:pPr>
    </w:p>
    <w:p w14:paraId="0E001E24" w14:textId="77777777" w:rsidR="00AC166A" w:rsidRDefault="00AC166A" w:rsidP="00AC166A">
      <w:pPr>
        <w:rPr>
          <w:rFonts w:cs="Arial"/>
        </w:rPr>
      </w:pPr>
      <w:r w:rsidRPr="00AC166A">
        <w:rPr>
          <w:rFonts w:cs="Arial"/>
        </w:rPr>
        <w:t>Unlike annual savings, cumulative savings include savings from reparticipants</w:t>
      </w:r>
      <w:r>
        <w:rPr>
          <w:rFonts w:cs="Arial"/>
        </w:rPr>
        <w:t xml:space="preserve">. </w:t>
      </w:r>
      <w:r w:rsidR="009F4DBE">
        <w:rPr>
          <w:rFonts w:cs="Arial"/>
        </w:rPr>
        <w:t>Incremental</w:t>
      </w:r>
      <w:r w:rsidR="00347233">
        <w:rPr>
          <w:rFonts w:cs="Arial"/>
        </w:rPr>
        <w:t xml:space="preserve"> savings only considers that from </w:t>
      </w:r>
      <w:r w:rsidRPr="00AC166A">
        <w:rPr>
          <w:rFonts w:cs="Arial"/>
        </w:rPr>
        <w:t>first-time adopters</w:t>
      </w:r>
      <w:r>
        <w:rPr>
          <w:rFonts w:cs="Arial"/>
        </w:rPr>
        <w:t xml:space="preserve">. </w:t>
      </w:r>
      <w:r w:rsidRPr="00AC166A">
        <w:rPr>
          <w:rFonts w:cs="Arial"/>
        </w:rPr>
        <w:t xml:space="preserve">Sustained savings from re-adoptions </w:t>
      </w:r>
      <w:r w:rsidR="00347233">
        <w:rPr>
          <w:rFonts w:cs="Arial"/>
        </w:rPr>
        <w:t xml:space="preserve">needs to be counted in cumulative savings for the purposes of demand forecast. The PG model </w:t>
      </w:r>
      <w:r w:rsidRPr="00AC166A">
        <w:rPr>
          <w:rFonts w:cs="Arial"/>
        </w:rPr>
        <w:t>assumes reparticipants re-adopt measures at the same rate as new participants</w:t>
      </w:r>
      <w:r w:rsidR="00347233">
        <w:rPr>
          <w:rFonts w:cs="Arial"/>
        </w:rPr>
        <w:t xml:space="preserve">. The calculation of cumulative savings is illustrated in </w:t>
      </w:r>
      <w:r w:rsidR="00347233">
        <w:rPr>
          <w:rFonts w:cs="Arial"/>
        </w:rPr>
        <w:fldChar w:fldCharType="begin"/>
      </w:r>
      <w:r w:rsidR="00347233">
        <w:rPr>
          <w:rFonts w:cs="Arial"/>
        </w:rPr>
        <w:instrText xml:space="preserve"> REF _Ref485117855 \h </w:instrText>
      </w:r>
      <w:r w:rsidR="00347233">
        <w:rPr>
          <w:rFonts w:cs="Arial"/>
        </w:rPr>
      </w:r>
      <w:r w:rsidR="00347233">
        <w:rPr>
          <w:rFonts w:cs="Arial"/>
        </w:rPr>
        <w:fldChar w:fldCharType="separate"/>
      </w:r>
      <w:r w:rsidR="007566B9">
        <w:t xml:space="preserve">Figure </w:t>
      </w:r>
      <w:r w:rsidR="007566B9">
        <w:rPr>
          <w:noProof/>
        </w:rPr>
        <w:t>2</w:t>
      </w:r>
      <w:r w:rsidR="007566B9">
        <w:noBreakHyphen/>
      </w:r>
      <w:r w:rsidR="007566B9">
        <w:rPr>
          <w:noProof/>
        </w:rPr>
        <w:t>6</w:t>
      </w:r>
      <w:r w:rsidR="00347233">
        <w:rPr>
          <w:rFonts w:cs="Arial"/>
        </w:rPr>
        <w:fldChar w:fldCharType="end"/>
      </w:r>
      <w:r w:rsidR="00347233">
        <w:rPr>
          <w:rFonts w:cs="Arial"/>
        </w:rPr>
        <w:t>.</w:t>
      </w:r>
    </w:p>
    <w:p w14:paraId="3590F710" w14:textId="77777777" w:rsidR="00347233" w:rsidRDefault="00347233" w:rsidP="00AC166A">
      <w:pPr>
        <w:rPr>
          <w:rFonts w:cs="Arial"/>
        </w:rPr>
      </w:pPr>
    </w:p>
    <w:p w14:paraId="1562EC31" w14:textId="77777777" w:rsidR="00347233" w:rsidRDefault="00347233" w:rsidP="00347233">
      <w:pPr>
        <w:pStyle w:val="Caption"/>
      </w:pPr>
      <w:bookmarkStart w:id="198" w:name="_Ref485117855"/>
      <w:bookmarkStart w:id="199" w:name="_Toc490491722"/>
      <w:r>
        <w:lastRenderedPageBreak/>
        <w:t xml:space="preserve">Figure </w:t>
      </w:r>
      <w:fldSimple w:instr=" STYLEREF 1 \s ">
        <w:r w:rsidR="007566B9">
          <w:rPr>
            <w:noProof/>
          </w:rPr>
          <w:t>2</w:t>
        </w:r>
      </w:fldSimple>
      <w:r w:rsidR="00CE124F">
        <w:noBreakHyphen/>
      </w:r>
      <w:fldSimple w:instr=" SEQ Figure \* ARABIC \s 1 ">
        <w:r w:rsidR="007566B9">
          <w:rPr>
            <w:noProof/>
          </w:rPr>
          <w:t>6</w:t>
        </w:r>
      </w:fldSimple>
      <w:bookmarkEnd w:id="198"/>
      <w:r>
        <w:t>. Cumulative Savings Illustration</w:t>
      </w:r>
      <w:bookmarkEnd w:id="199"/>
    </w:p>
    <w:p w14:paraId="0F0BE34E" w14:textId="77777777" w:rsidR="00347233" w:rsidRDefault="00F820AE" w:rsidP="00347233">
      <w:pPr>
        <w:jc w:val="center"/>
        <w:rPr>
          <w:rFonts w:cs="Arial"/>
        </w:rPr>
      </w:pPr>
      <w:r>
        <w:rPr>
          <w:rFonts w:cs="Arial"/>
          <w:noProof/>
        </w:rPr>
        <w:drawing>
          <wp:inline distT="0" distB="0" distL="0" distR="0" wp14:anchorId="62DC1FDA" wp14:editId="31BEEA21">
            <wp:extent cx="5098415" cy="2830885"/>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12103" cy="2838485"/>
                    </a:xfrm>
                    <a:prstGeom prst="rect">
                      <a:avLst/>
                    </a:prstGeom>
                    <a:noFill/>
                  </pic:spPr>
                </pic:pic>
              </a:graphicData>
            </a:graphic>
          </wp:inline>
        </w:drawing>
      </w:r>
    </w:p>
    <w:p w14:paraId="561BD019" w14:textId="77777777" w:rsidR="00347233" w:rsidRDefault="00347233" w:rsidP="00347233">
      <w:pPr>
        <w:rPr>
          <w:rFonts w:cs="Arial"/>
        </w:rPr>
      </w:pPr>
    </w:p>
    <w:p w14:paraId="040B21BB" w14:textId="77777777" w:rsidR="00347233" w:rsidRDefault="00347233" w:rsidP="00347233">
      <w:pPr>
        <w:rPr>
          <w:rFonts w:cs="Arial"/>
        </w:rPr>
      </w:pPr>
      <w:r>
        <w:rPr>
          <w:rFonts w:cs="Arial"/>
        </w:rPr>
        <w:t>Navigant presented this information to stakeholders at a DAWG workshop in December 2016 and posed the following questions:</w:t>
      </w:r>
    </w:p>
    <w:p w14:paraId="3A19C3D2" w14:textId="77777777" w:rsidR="00347233" w:rsidRDefault="00347233" w:rsidP="00347233">
      <w:pPr>
        <w:rPr>
          <w:rFonts w:cs="Arial"/>
        </w:rPr>
      </w:pPr>
    </w:p>
    <w:p w14:paraId="097A34AC" w14:textId="77777777" w:rsidR="00710A9A" w:rsidRPr="00347233" w:rsidRDefault="009F4DBE" w:rsidP="00347233">
      <w:pPr>
        <w:numPr>
          <w:ilvl w:val="0"/>
          <w:numId w:val="84"/>
        </w:numPr>
        <w:rPr>
          <w:rFonts w:cs="Arial"/>
        </w:rPr>
      </w:pPr>
      <w:r w:rsidRPr="00347233">
        <w:rPr>
          <w:rFonts w:cs="Arial"/>
        </w:rPr>
        <w:t xml:space="preserve">When </w:t>
      </w:r>
      <w:r w:rsidR="00347233">
        <w:rPr>
          <w:rFonts w:cs="Arial"/>
        </w:rPr>
        <w:t xml:space="preserve">should the PG model </w:t>
      </w:r>
      <w:r w:rsidRPr="00347233">
        <w:rPr>
          <w:rFonts w:cs="Arial"/>
        </w:rPr>
        <w:t xml:space="preserve">start cumulating savings? </w:t>
      </w:r>
    </w:p>
    <w:p w14:paraId="304354BF" w14:textId="77777777" w:rsidR="00710A9A" w:rsidRPr="00347233" w:rsidRDefault="009F4DBE" w:rsidP="00347233">
      <w:pPr>
        <w:numPr>
          <w:ilvl w:val="0"/>
          <w:numId w:val="84"/>
        </w:numPr>
        <w:rPr>
          <w:rFonts w:cs="Arial"/>
        </w:rPr>
      </w:pPr>
      <w:r w:rsidRPr="00347233">
        <w:rPr>
          <w:rFonts w:cs="Arial"/>
        </w:rPr>
        <w:t>There is no new research to inform treatment of decay/reparticipation in the PG model. What should we assume about decay?</w:t>
      </w:r>
    </w:p>
    <w:p w14:paraId="2216E7F3" w14:textId="77777777" w:rsidR="00710A9A" w:rsidRPr="00347233" w:rsidRDefault="009F4DBE" w:rsidP="00347233">
      <w:pPr>
        <w:numPr>
          <w:ilvl w:val="1"/>
          <w:numId w:val="84"/>
        </w:numPr>
        <w:rPr>
          <w:rFonts w:cs="Arial"/>
        </w:rPr>
      </w:pPr>
      <w:r w:rsidRPr="00347233">
        <w:rPr>
          <w:rFonts w:cs="Arial"/>
        </w:rPr>
        <w:t>Starting with the 2013 PG model, reparticipation estimated based on market penetration rates (varies by measure)</w:t>
      </w:r>
    </w:p>
    <w:p w14:paraId="63CD1078" w14:textId="77777777" w:rsidR="00710A9A" w:rsidRPr="00347233" w:rsidRDefault="009F4DBE" w:rsidP="00347233">
      <w:pPr>
        <w:numPr>
          <w:ilvl w:val="1"/>
          <w:numId w:val="84"/>
        </w:numPr>
        <w:rPr>
          <w:rFonts w:cs="Arial"/>
        </w:rPr>
      </w:pPr>
      <w:r w:rsidRPr="00347233">
        <w:rPr>
          <w:rFonts w:cs="Arial"/>
        </w:rPr>
        <w:t>2011 PG model assumed a blanket reparticipation rate of 50% based on CPUC D. 09-09-047</w:t>
      </w:r>
    </w:p>
    <w:p w14:paraId="4CFDB877" w14:textId="77777777" w:rsidR="00710A9A" w:rsidRPr="00347233" w:rsidRDefault="009F4DBE" w:rsidP="00347233">
      <w:pPr>
        <w:numPr>
          <w:ilvl w:val="0"/>
          <w:numId w:val="84"/>
        </w:numPr>
        <w:rPr>
          <w:rFonts w:cs="Arial"/>
        </w:rPr>
      </w:pPr>
      <w:r w:rsidRPr="00347233">
        <w:rPr>
          <w:rFonts w:cs="Arial"/>
        </w:rPr>
        <w:t xml:space="preserve">D. 09-09-047 required that the utilities make up 50% of the savings decay as measures expire. </w:t>
      </w:r>
    </w:p>
    <w:p w14:paraId="3C9A8426" w14:textId="77777777" w:rsidR="00710A9A" w:rsidRPr="00347233" w:rsidRDefault="009F4DBE" w:rsidP="00347233">
      <w:pPr>
        <w:numPr>
          <w:ilvl w:val="1"/>
          <w:numId w:val="84"/>
        </w:numPr>
        <w:rPr>
          <w:rFonts w:cs="Arial"/>
        </w:rPr>
      </w:pPr>
      <w:r w:rsidRPr="00347233">
        <w:rPr>
          <w:rFonts w:cs="Arial"/>
        </w:rPr>
        <w:t>2015 PG study annual market potential included only new participants</w:t>
      </w:r>
    </w:p>
    <w:p w14:paraId="0ECC7442" w14:textId="77777777" w:rsidR="00710A9A" w:rsidRPr="00347233" w:rsidRDefault="009F4DBE" w:rsidP="00347233">
      <w:pPr>
        <w:numPr>
          <w:ilvl w:val="1"/>
          <w:numId w:val="84"/>
        </w:numPr>
        <w:rPr>
          <w:rFonts w:cs="Arial"/>
        </w:rPr>
      </w:pPr>
      <w:r w:rsidRPr="00347233">
        <w:rPr>
          <w:rFonts w:cs="Arial"/>
        </w:rPr>
        <w:t xml:space="preserve">Thoughts on how to </w:t>
      </w:r>
      <w:r w:rsidR="00347233">
        <w:rPr>
          <w:rFonts w:cs="Arial"/>
        </w:rPr>
        <w:t>how to reconcile this</w:t>
      </w:r>
      <w:r w:rsidRPr="00347233">
        <w:rPr>
          <w:rFonts w:cs="Arial"/>
        </w:rPr>
        <w:t>?</w:t>
      </w:r>
    </w:p>
    <w:p w14:paraId="5494C245" w14:textId="77777777" w:rsidR="00347233" w:rsidRDefault="00347233" w:rsidP="00347233">
      <w:pPr>
        <w:rPr>
          <w:rFonts w:cs="Arial"/>
        </w:rPr>
      </w:pPr>
    </w:p>
    <w:p w14:paraId="69EDB70B" w14:textId="77777777" w:rsidR="00347233" w:rsidRPr="00F820AE" w:rsidRDefault="00F820AE" w:rsidP="00F820AE">
      <w:pPr>
        <w:rPr>
          <w:rFonts w:cs="Arial"/>
        </w:rPr>
      </w:pPr>
      <w:r>
        <w:rPr>
          <w:rFonts w:cs="Arial"/>
        </w:rPr>
        <w:t xml:space="preserve">Comments were provided by NRDC and PG&amp;E. </w:t>
      </w:r>
      <w:r w:rsidR="009F4DBE">
        <w:t>NRDC supported</w:t>
      </w:r>
      <w:r w:rsidR="00347233">
        <w:t xml:space="preserve"> </w:t>
      </w:r>
      <w:r>
        <w:t>re</w:t>
      </w:r>
      <w:r w:rsidR="009F4DBE">
        <w:t>-</w:t>
      </w:r>
      <w:r>
        <w:t xml:space="preserve">examining the 50% </w:t>
      </w:r>
      <w:r w:rsidR="00347233">
        <w:t>policy for re-participation and request</w:t>
      </w:r>
      <w:r>
        <w:t>ed</w:t>
      </w:r>
      <w:r w:rsidR="00347233">
        <w:t xml:space="preserve"> further discussion </w:t>
      </w:r>
      <w:r w:rsidR="009F4DBE">
        <w:t xml:space="preserve">be had </w:t>
      </w:r>
      <w:r w:rsidR="00347233">
        <w:t xml:space="preserve">regarding </w:t>
      </w:r>
      <w:r>
        <w:t>Navigant’s alternate method and</w:t>
      </w:r>
      <w:r w:rsidR="00347233">
        <w:t xml:space="preserve"> to better understand </w:t>
      </w:r>
      <w:r>
        <w:t xml:space="preserve">implications of the </w:t>
      </w:r>
      <w:r w:rsidR="00347233">
        <w:t xml:space="preserve">re-participation </w:t>
      </w:r>
      <w:r>
        <w:t xml:space="preserve">rate </w:t>
      </w:r>
      <w:r w:rsidR="00347233">
        <w:t xml:space="preserve">implications </w:t>
      </w:r>
      <w:r>
        <w:t>on goals.</w:t>
      </w:r>
      <w:r>
        <w:rPr>
          <w:rFonts w:cs="Arial"/>
        </w:rPr>
        <w:t xml:space="preserve"> </w:t>
      </w:r>
      <w:r w:rsidR="00347233">
        <w:t xml:space="preserve">PG&amp;E </w:t>
      </w:r>
      <w:r>
        <w:t xml:space="preserve">commented that </w:t>
      </w:r>
      <w:r w:rsidR="00347233">
        <w:t xml:space="preserve">decay </w:t>
      </w:r>
      <w:r w:rsidR="00516776">
        <w:t>“</w:t>
      </w:r>
      <w:r w:rsidR="00347233">
        <w:t>occurs much less frequently</w:t>
      </w:r>
      <w:r w:rsidR="00516776">
        <w:t>”</w:t>
      </w:r>
      <w:r w:rsidR="00347233">
        <w:t xml:space="preserve"> than </w:t>
      </w:r>
      <w:r>
        <w:t xml:space="preserve">the </w:t>
      </w:r>
      <w:r w:rsidR="00347233">
        <w:t xml:space="preserve">50% </w:t>
      </w:r>
      <w:r>
        <w:t xml:space="preserve">assumption indicates. </w:t>
      </w:r>
    </w:p>
    <w:p w14:paraId="5F940300" w14:textId="77777777" w:rsidR="00347233" w:rsidRDefault="00347233" w:rsidP="00347233">
      <w:pPr>
        <w:rPr>
          <w:rFonts w:cs="Arial"/>
        </w:rPr>
      </w:pPr>
    </w:p>
    <w:p w14:paraId="4C440751" w14:textId="77777777" w:rsidR="00AC166A" w:rsidRDefault="00F820AE" w:rsidP="00AC166A">
      <w:pPr>
        <w:rPr>
          <w:rFonts w:cs="Arial"/>
        </w:rPr>
      </w:pPr>
      <w:r>
        <w:rPr>
          <w:rFonts w:cs="Arial"/>
        </w:rPr>
        <w:t xml:space="preserve">Given the comments, Navigant maintained its approach to calculating cumulative potential and set the “cumulation start year” to 2015 to be consistent with AAEE and SB350 needs. </w:t>
      </w:r>
    </w:p>
    <w:p w14:paraId="68D992FA" w14:textId="77777777" w:rsidR="00203F32" w:rsidRDefault="00203F32" w:rsidP="00203F32">
      <w:pPr>
        <w:pStyle w:val="Heading4"/>
      </w:pPr>
      <w:r>
        <w:t xml:space="preserve">Avoiding Double Counted Savings </w:t>
      </w:r>
    </w:p>
    <w:p w14:paraId="7DE877E1" w14:textId="77777777" w:rsidR="003425CB" w:rsidRDefault="003425CB" w:rsidP="003425CB">
      <w:pPr>
        <w:rPr>
          <w:rFonts w:cs="Arial"/>
        </w:rPr>
      </w:pPr>
      <w:r>
        <w:rPr>
          <w:rFonts w:cs="Arial"/>
        </w:rPr>
        <w:t xml:space="preserve">The PG study is required to avoid double counted savings between codes and standards and below-code rebate programs. </w:t>
      </w:r>
      <w:r>
        <w:t>These are t</w:t>
      </w:r>
      <w:r w:rsidRPr="004362FE">
        <w:t xml:space="preserve">he below-code savings generated from rebated </w:t>
      </w:r>
      <w:r>
        <w:t>equipment that</w:t>
      </w:r>
      <w:r w:rsidRPr="004362FE">
        <w:t xml:space="preserve"> would be realized even in the absence of PA rebate programs</w:t>
      </w:r>
      <w:r>
        <w:t xml:space="preserve">. This savings would occur </w:t>
      </w:r>
      <w:r w:rsidRPr="004362FE">
        <w:t xml:space="preserve">as equipment would naturally turn over and be replaced with code compliant equipment. </w:t>
      </w:r>
      <w:r>
        <w:t xml:space="preserve">These savings are already embedded </w:t>
      </w:r>
      <w:r>
        <w:lastRenderedPageBreak/>
        <w:t xml:space="preserve">and accounted for in the California Energy Commission Demand Forecast, thus further decrementing the forecast with </w:t>
      </w:r>
      <w:r w:rsidRPr="004362FE">
        <w:t>this savings</w:t>
      </w:r>
      <w:r>
        <w:t xml:space="preserve"> would be</w:t>
      </w:r>
      <w:r w:rsidRPr="004362FE">
        <w:t xml:space="preserve"> double counting.</w:t>
      </w:r>
      <w:r>
        <w:t xml:space="preserve"> </w:t>
      </w:r>
      <w:r>
        <w:rPr>
          <w:rFonts w:cs="Arial"/>
        </w:rPr>
        <w:t xml:space="preserve">The AB802 TA took a top-down approach to highlight the end uses and sectors at risk for double counted savings. However, the 2018 PG study takes the approach of attempting to remove double counted savings from the market potential (which informs IOU goals). </w:t>
      </w:r>
    </w:p>
    <w:p w14:paraId="5A4BE4A1" w14:textId="77777777" w:rsidR="00472284" w:rsidRDefault="00472284" w:rsidP="003425CB">
      <w:pPr>
        <w:rPr>
          <w:rFonts w:cs="Arial"/>
        </w:rPr>
      </w:pPr>
    </w:p>
    <w:p w14:paraId="2C8ED1ED" w14:textId="77777777" w:rsidR="00472284" w:rsidRDefault="00472284" w:rsidP="003425CB">
      <w:pPr>
        <w:rPr>
          <w:rFonts w:cs="Arial"/>
        </w:rPr>
      </w:pPr>
      <w:r>
        <w:rPr>
          <w:rFonts w:cs="Arial"/>
        </w:rPr>
        <w:t xml:space="preserve">The first step the PG study takes in avoiding double counting is to target </w:t>
      </w:r>
      <w:r w:rsidR="008113A1">
        <w:rPr>
          <w:rFonts w:cs="Arial"/>
        </w:rPr>
        <w:t xml:space="preserve">old equipment </w:t>
      </w:r>
      <w:r>
        <w:rPr>
          <w:rFonts w:cs="Arial"/>
        </w:rPr>
        <w:t>when considering Stranded Potential</w:t>
      </w:r>
      <w:r w:rsidR="008113A1">
        <w:rPr>
          <w:rFonts w:cs="Arial"/>
        </w:rPr>
        <w:t xml:space="preserve"> (for non-lighting equipment this is done by isolating the population that is older than its EUL)</w:t>
      </w:r>
      <w:r>
        <w:rPr>
          <w:rFonts w:cs="Arial"/>
        </w:rPr>
        <w:t xml:space="preserve">. This equipment is that which is not turning over on a regular basis. The remainder of equipment that is turning over on a regular basis has its below code savings already captured through C&amp;S. </w:t>
      </w:r>
    </w:p>
    <w:p w14:paraId="7E1837FA" w14:textId="77777777" w:rsidR="003425CB" w:rsidRDefault="003425CB" w:rsidP="003425CB">
      <w:pPr>
        <w:rPr>
          <w:rFonts w:cs="Arial"/>
        </w:rPr>
      </w:pPr>
    </w:p>
    <w:p w14:paraId="02286B95" w14:textId="77777777" w:rsidR="003425CB" w:rsidRDefault="00472284" w:rsidP="008113A1">
      <w:pPr>
        <w:rPr>
          <w:rFonts w:cs="Arial"/>
        </w:rPr>
      </w:pPr>
      <w:r>
        <w:rPr>
          <w:rFonts w:cs="Arial"/>
        </w:rPr>
        <w:t xml:space="preserve">The next step in avoiding double counted savings </w:t>
      </w:r>
      <w:r w:rsidR="008113A1">
        <w:rPr>
          <w:rFonts w:cs="Arial"/>
        </w:rPr>
        <w:t xml:space="preserve">is to </w:t>
      </w:r>
      <w:r w:rsidR="005535DD">
        <w:rPr>
          <w:rFonts w:cs="Arial"/>
        </w:rPr>
        <w:t xml:space="preserve">identify </w:t>
      </w:r>
      <w:r w:rsidR="003425CB">
        <w:rPr>
          <w:rFonts w:cs="Arial"/>
        </w:rPr>
        <w:t>free ridership of below code savings</w:t>
      </w:r>
      <w:r w:rsidR="008113A1">
        <w:rPr>
          <w:rFonts w:cs="Arial"/>
        </w:rPr>
        <w:t>. T</w:t>
      </w:r>
      <w:r w:rsidR="003425CB">
        <w:rPr>
          <w:rFonts w:cs="Arial"/>
        </w:rPr>
        <w:t>his is illustrated below in</w:t>
      </w:r>
      <w:r>
        <w:rPr>
          <w:rFonts w:cs="Arial"/>
        </w:rPr>
        <w:t xml:space="preserve"> </w:t>
      </w:r>
      <w:r>
        <w:rPr>
          <w:rFonts w:cs="Arial"/>
        </w:rPr>
        <w:fldChar w:fldCharType="begin"/>
      </w:r>
      <w:r>
        <w:rPr>
          <w:rFonts w:cs="Arial"/>
        </w:rPr>
        <w:instrText xml:space="preserve"> REF _Ref484013262 \h </w:instrText>
      </w:r>
      <w:r>
        <w:rPr>
          <w:rFonts w:cs="Arial"/>
        </w:rPr>
      </w:r>
      <w:r>
        <w:rPr>
          <w:rFonts w:cs="Arial"/>
        </w:rPr>
        <w:fldChar w:fldCharType="separate"/>
      </w:r>
      <w:r w:rsidR="007566B9">
        <w:t xml:space="preserve">Figure </w:t>
      </w:r>
      <w:r w:rsidR="007566B9">
        <w:rPr>
          <w:noProof/>
        </w:rPr>
        <w:t>2</w:t>
      </w:r>
      <w:r w:rsidR="007566B9">
        <w:noBreakHyphen/>
      </w:r>
      <w:r w:rsidR="007566B9">
        <w:rPr>
          <w:noProof/>
        </w:rPr>
        <w:t>7</w:t>
      </w:r>
      <w:r>
        <w:rPr>
          <w:rFonts w:cs="Arial"/>
        </w:rPr>
        <w:fldChar w:fldCharType="end"/>
      </w:r>
      <w:r>
        <w:rPr>
          <w:rFonts w:cs="Arial"/>
        </w:rPr>
        <w:t>.</w:t>
      </w:r>
      <w:r w:rsidR="003425CB">
        <w:rPr>
          <w:rFonts w:cs="Arial"/>
        </w:rPr>
        <w:t xml:space="preserve"> Below-code free ridership implies that customers were not necessarily influenced by the IOU rebate to come up to code but were influenced by other outside factors</w:t>
      </w:r>
      <w:r w:rsidR="008113A1">
        <w:rPr>
          <w:rFonts w:cs="Arial"/>
        </w:rPr>
        <w:t>. This requires the PG</w:t>
      </w:r>
      <w:r w:rsidR="003425CB">
        <w:rPr>
          <w:rFonts w:cs="Arial"/>
        </w:rPr>
        <w:t xml:space="preserve"> study </w:t>
      </w:r>
      <w:r w:rsidR="008113A1">
        <w:rPr>
          <w:rFonts w:cs="Arial"/>
        </w:rPr>
        <w:t xml:space="preserve">to </w:t>
      </w:r>
      <w:r w:rsidR="003425CB">
        <w:rPr>
          <w:rFonts w:cs="Arial"/>
        </w:rPr>
        <w:t>apply a net-to-gros</w:t>
      </w:r>
      <w:r w:rsidR="008113A1">
        <w:rPr>
          <w:rFonts w:cs="Arial"/>
        </w:rPr>
        <w:t>s ratio to below code savings</w:t>
      </w:r>
      <w:r w:rsidR="003425CB">
        <w:rPr>
          <w:rFonts w:cs="Arial"/>
        </w:rPr>
        <w:t xml:space="preserve">. </w:t>
      </w:r>
    </w:p>
    <w:p w14:paraId="63B3ED0C" w14:textId="77777777" w:rsidR="00F820AE" w:rsidRDefault="00F820AE" w:rsidP="008113A1">
      <w:pPr>
        <w:rPr>
          <w:rFonts w:cs="Arial"/>
        </w:rPr>
      </w:pPr>
      <w:bookmarkStart w:id="200" w:name="_Ref484013262"/>
      <w:bookmarkStart w:id="201" w:name="_Toc484436997"/>
    </w:p>
    <w:p w14:paraId="0899CEDD" w14:textId="77777777" w:rsidR="00472284" w:rsidRDefault="00472284" w:rsidP="00472284">
      <w:pPr>
        <w:pStyle w:val="Caption"/>
      </w:pPr>
      <w:bookmarkStart w:id="202" w:name="_Toc490491723"/>
      <w:r>
        <w:t xml:space="preserve">Figure </w:t>
      </w:r>
      <w:fldSimple w:instr=" STYLEREF 1 \s ">
        <w:r w:rsidR="007566B9">
          <w:rPr>
            <w:noProof/>
          </w:rPr>
          <w:t>2</w:t>
        </w:r>
      </w:fldSimple>
      <w:r w:rsidR="00CE124F">
        <w:noBreakHyphen/>
      </w:r>
      <w:fldSimple w:instr=" SEQ Figure \* ARABIC \s 1 ">
        <w:r w:rsidR="007566B9">
          <w:rPr>
            <w:noProof/>
          </w:rPr>
          <w:t>7</w:t>
        </w:r>
      </w:fldSimple>
      <w:bookmarkEnd w:id="200"/>
      <w:r>
        <w:t>. Below Code NTG Illustration</w:t>
      </w:r>
      <w:bookmarkEnd w:id="201"/>
      <w:bookmarkEnd w:id="202"/>
    </w:p>
    <w:p w14:paraId="0FA1B52D" w14:textId="77777777" w:rsidR="003425CB" w:rsidRDefault="003425CB" w:rsidP="003425CB">
      <w:pPr>
        <w:jc w:val="center"/>
        <w:rPr>
          <w:rFonts w:cs="Arial"/>
        </w:rPr>
      </w:pPr>
      <w:r>
        <w:rPr>
          <w:rFonts w:cs="Arial"/>
          <w:noProof/>
        </w:rPr>
        <w:drawing>
          <wp:inline distT="0" distB="0" distL="0" distR="0" wp14:anchorId="0428B81A" wp14:editId="292B7532">
            <wp:extent cx="2579195"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1521" cy="2756310"/>
                    </a:xfrm>
                    <a:prstGeom prst="rect">
                      <a:avLst/>
                    </a:prstGeom>
                    <a:noFill/>
                  </pic:spPr>
                </pic:pic>
              </a:graphicData>
            </a:graphic>
          </wp:inline>
        </w:drawing>
      </w:r>
    </w:p>
    <w:p w14:paraId="49B03E5D" w14:textId="77777777" w:rsidR="003425CB" w:rsidRDefault="003425CB" w:rsidP="003425CB">
      <w:pPr>
        <w:rPr>
          <w:rFonts w:cs="Arial"/>
        </w:rPr>
      </w:pPr>
    </w:p>
    <w:p w14:paraId="09554669" w14:textId="77777777" w:rsidR="003425CB" w:rsidRDefault="003425CB" w:rsidP="003425CB">
      <w:pPr>
        <w:rPr>
          <w:rFonts w:cs="Arial"/>
        </w:rPr>
      </w:pPr>
      <w:r>
        <w:rPr>
          <w:rFonts w:cs="Arial"/>
        </w:rPr>
        <w:t>Determination of the below code NTG (</w:t>
      </w:r>
      <w:r w:rsidRPr="00AD72F0">
        <w:rPr>
          <w:rFonts w:cs="Arial"/>
          <w:i/>
        </w:rPr>
        <w:t>NTG</w:t>
      </w:r>
      <w:r w:rsidRPr="00AD72F0">
        <w:rPr>
          <w:rFonts w:cs="Arial"/>
          <w:i/>
          <w:vertAlign w:val="subscript"/>
        </w:rPr>
        <w:t>BC</w:t>
      </w:r>
      <w:r>
        <w:rPr>
          <w:rFonts w:cs="Arial"/>
        </w:rPr>
        <w:t xml:space="preserve">) </w:t>
      </w:r>
      <w:r w:rsidRPr="00AD72F0">
        <w:rPr>
          <w:rFonts w:cs="Arial"/>
        </w:rPr>
        <w:t>is</w:t>
      </w:r>
      <w:r>
        <w:rPr>
          <w:rFonts w:cs="Arial"/>
        </w:rPr>
        <w:t xml:space="preserve"> not a simple task as no data exists to inform this process. The Navigant team presented the concept of below code NTG to the Demand Analysis Working Group on November 4</w:t>
      </w:r>
      <w:r w:rsidRPr="00AD72F0">
        <w:rPr>
          <w:rFonts w:cs="Arial"/>
          <w:vertAlign w:val="superscript"/>
        </w:rPr>
        <w:t>th</w:t>
      </w:r>
      <w:r>
        <w:rPr>
          <w:rFonts w:cs="Arial"/>
        </w:rPr>
        <w:t>, 2016. A framework of basing the below code NTG on the above code NTG (</w:t>
      </w:r>
      <w:r w:rsidRPr="00AD72F0">
        <w:rPr>
          <w:rFonts w:cs="Arial"/>
          <w:i/>
        </w:rPr>
        <w:t>NTG</w:t>
      </w:r>
      <w:r>
        <w:rPr>
          <w:rFonts w:cs="Arial"/>
          <w:i/>
          <w:vertAlign w:val="subscript"/>
        </w:rPr>
        <w:t>A</w:t>
      </w:r>
      <w:r w:rsidRPr="00AD72F0">
        <w:rPr>
          <w:rFonts w:cs="Arial"/>
          <w:i/>
          <w:vertAlign w:val="subscript"/>
        </w:rPr>
        <w:t>C</w:t>
      </w:r>
      <w:r>
        <w:rPr>
          <w:rFonts w:cs="Arial"/>
        </w:rPr>
        <w:t xml:space="preserve">) was presented. The following question was posed: </w:t>
      </w:r>
    </w:p>
    <w:p w14:paraId="277AEEB5" w14:textId="77777777" w:rsidR="003425CB" w:rsidRDefault="003425CB" w:rsidP="003425CB">
      <w:pPr>
        <w:rPr>
          <w:rFonts w:cs="Arial"/>
        </w:rPr>
      </w:pPr>
    </w:p>
    <w:p w14:paraId="322450F3" w14:textId="77777777" w:rsidR="003425CB" w:rsidRPr="00AD72F0" w:rsidRDefault="003425CB" w:rsidP="003425CB">
      <w:pPr>
        <w:spacing w:after="160" w:line="259" w:lineRule="auto"/>
        <w:ind w:left="720"/>
        <w:rPr>
          <w:rFonts w:cs="Arial"/>
          <w:i/>
        </w:rPr>
      </w:pPr>
      <w:r w:rsidRPr="00AD72F0">
        <w:rPr>
          <w:rFonts w:eastAsiaTheme="minorEastAsia" w:cs="Arial"/>
          <w:i/>
        </w:rPr>
        <w:t>What is the appropriate below code NTG to assume (assumption may vary by measure type)?</w:t>
      </w:r>
    </w:p>
    <w:p w14:paraId="364240C9" w14:textId="77777777" w:rsidR="003425CB" w:rsidRPr="00AD72F0" w:rsidRDefault="003425CB" w:rsidP="004E4E36">
      <w:pPr>
        <w:numPr>
          <w:ilvl w:val="2"/>
          <w:numId w:val="48"/>
        </w:numPr>
        <w:spacing w:after="160" w:line="259" w:lineRule="auto"/>
        <w:rPr>
          <w:rFonts w:cs="Arial"/>
          <w:i/>
        </w:rPr>
      </w:pPr>
      <w:r w:rsidRPr="00AD72F0">
        <w:rPr>
          <w:rFonts w:eastAsiaTheme="minorEastAsia" w:cs="Arial"/>
          <w:i/>
        </w:rPr>
        <w:t>NTG</w:t>
      </w:r>
      <w:r w:rsidRPr="00AD72F0">
        <w:rPr>
          <w:rFonts w:eastAsiaTheme="minorEastAsia" w:cs="Arial"/>
          <w:i/>
          <w:vertAlign w:val="subscript"/>
        </w:rPr>
        <w:t>BC</w:t>
      </w:r>
      <w:r w:rsidRPr="00AD72F0">
        <w:rPr>
          <w:rFonts w:eastAsiaTheme="minorEastAsia" w:cs="Arial"/>
          <w:i/>
        </w:rPr>
        <w:t xml:space="preserve"> = 1 </w:t>
      </w:r>
    </w:p>
    <w:p w14:paraId="26BC35F0" w14:textId="77777777" w:rsidR="003425CB" w:rsidRPr="00AD72F0" w:rsidRDefault="003425CB" w:rsidP="004E4E36">
      <w:pPr>
        <w:numPr>
          <w:ilvl w:val="2"/>
          <w:numId w:val="48"/>
        </w:numPr>
        <w:spacing w:after="160" w:line="259" w:lineRule="auto"/>
        <w:rPr>
          <w:rFonts w:cs="Arial"/>
          <w:i/>
        </w:rPr>
      </w:pPr>
      <w:r w:rsidRPr="00AD72F0">
        <w:rPr>
          <w:rFonts w:eastAsiaTheme="minorEastAsia" w:cs="Arial"/>
          <w:i/>
        </w:rPr>
        <w:t>NTG</w:t>
      </w:r>
      <w:r w:rsidRPr="00AD72F0">
        <w:rPr>
          <w:rFonts w:eastAsiaTheme="minorEastAsia" w:cs="Arial"/>
          <w:i/>
          <w:vertAlign w:val="subscript"/>
        </w:rPr>
        <w:t xml:space="preserve">AC </w:t>
      </w:r>
      <w:r w:rsidRPr="00AD72F0">
        <w:rPr>
          <w:rFonts w:eastAsiaTheme="minorEastAsia" w:cs="Arial"/>
          <w:i/>
        </w:rPr>
        <w:t>&lt; NTG</w:t>
      </w:r>
      <w:r w:rsidRPr="00AD72F0">
        <w:rPr>
          <w:rFonts w:eastAsiaTheme="minorEastAsia" w:cs="Arial"/>
          <w:i/>
          <w:vertAlign w:val="subscript"/>
        </w:rPr>
        <w:t>BC</w:t>
      </w:r>
      <w:r w:rsidRPr="00AD72F0">
        <w:rPr>
          <w:rFonts w:eastAsiaTheme="minorEastAsia" w:cs="Arial"/>
          <w:i/>
        </w:rPr>
        <w:t xml:space="preserve"> &lt; 1</w:t>
      </w:r>
    </w:p>
    <w:p w14:paraId="1D6E06A4" w14:textId="77777777" w:rsidR="003425CB" w:rsidRPr="00AD72F0" w:rsidRDefault="003425CB" w:rsidP="004E4E36">
      <w:pPr>
        <w:numPr>
          <w:ilvl w:val="2"/>
          <w:numId w:val="48"/>
        </w:numPr>
        <w:spacing w:after="160" w:line="259" w:lineRule="auto"/>
        <w:rPr>
          <w:rFonts w:cs="Arial"/>
          <w:i/>
        </w:rPr>
      </w:pPr>
      <w:r w:rsidRPr="00AD72F0">
        <w:rPr>
          <w:rFonts w:eastAsiaTheme="minorEastAsia" w:cs="Arial"/>
          <w:i/>
        </w:rPr>
        <w:t>NTG</w:t>
      </w:r>
      <w:r w:rsidRPr="00AD72F0">
        <w:rPr>
          <w:rFonts w:eastAsiaTheme="minorEastAsia" w:cs="Arial"/>
          <w:i/>
          <w:vertAlign w:val="subscript"/>
        </w:rPr>
        <w:t>BC</w:t>
      </w:r>
      <w:r w:rsidRPr="00AD72F0">
        <w:rPr>
          <w:rFonts w:eastAsiaTheme="minorEastAsia" w:cs="Arial"/>
          <w:i/>
        </w:rPr>
        <w:t xml:space="preserve"> = NTG</w:t>
      </w:r>
      <w:r w:rsidRPr="00AD72F0">
        <w:rPr>
          <w:rFonts w:eastAsiaTheme="minorEastAsia" w:cs="Arial"/>
          <w:i/>
          <w:vertAlign w:val="subscript"/>
        </w:rPr>
        <w:t>AC</w:t>
      </w:r>
    </w:p>
    <w:p w14:paraId="21017BE0" w14:textId="77777777" w:rsidR="003425CB" w:rsidRPr="00AD72F0" w:rsidRDefault="003425CB" w:rsidP="004E4E36">
      <w:pPr>
        <w:numPr>
          <w:ilvl w:val="2"/>
          <w:numId w:val="48"/>
        </w:numPr>
        <w:spacing w:after="160" w:line="259" w:lineRule="auto"/>
        <w:rPr>
          <w:rFonts w:cs="Arial"/>
          <w:i/>
        </w:rPr>
      </w:pPr>
      <w:r w:rsidRPr="00AD72F0">
        <w:rPr>
          <w:rFonts w:eastAsiaTheme="minorEastAsia" w:cs="Arial"/>
          <w:i/>
        </w:rPr>
        <w:t>NTG</w:t>
      </w:r>
      <w:r w:rsidRPr="00AD72F0">
        <w:rPr>
          <w:rFonts w:eastAsiaTheme="minorEastAsia" w:cs="Arial"/>
          <w:i/>
          <w:vertAlign w:val="subscript"/>
        </w:rPr>
        <w:t xml:space="preserve">BC </w:t>
      </w:r>
      <w:r w:rsidRPr="00AD72F0">
        <w:rPr>
          <w:rFonts w:eastAsiaTheme="minorEastAsia" w:cs="Arial"/>
          <w:i/>
        </w:rPr>
        <w:t>&lt; NTG</w:t>
      </w:r>
      <w:r w:rsidRPr="00AD72F0">
        <w:rPr>
          <w:rFonts w:eastAsiaTheme="minorEastAsia" w:cs="Arial"/>
          <w:i/>
          <w:vertAlign w:val="subscript"/>
        </w:rPr>
        <w:t xml:space="preserve">AC </w:t>
      </w:r>
    </w:p>
    <w:p w14:paraId="50F9FFFD" w14:textId="77777777" w:rsidR="003425CB" w:rsidRDefault="003425CB" w:rsidP="003425CB">
      <w:pPr>
        <w:rPr>
          <w:rFonts w:cs="Arial"/>
        </w:rPr>
      </w:pPr>
      <w:r>
        <w:rPr>
          <w:rFonts w:cs="Arial"/>
        </w:rPr>
        <w:lastRenderedPageBreak/>
        <w:t xml:space="preserve">No specific feedback was provided by stakeholders. </w:t>
      </w:r>
    </w:p>
    <w:p w14:paraId="21DE6EEB" w14:textId="77777777" w:rsidR="003425CB" w:rsidRDefault="003425CB" w:rsidP="003425CB">
      <w:pPr>
        <w:rPr>
          <w:rFonts w:cs="Arial"/>
        </w:rPr>
      </w:pPr>
    </w:p>
    <w:p w14:paraId="6D51F753" w14:textId="77777777" w:rsidR="003425CB" w:rsidRDefault="003425CB" w:rsidP="003425CB">
      <w:pPr>
        <w:rPr>
          <w:rFonts w:cs="Arial"/>
        </w:rPr>
      </w:pPr>
      <w:r>
        <w:rPr>
          <w:rFonts w:cs="Arial"/>
        </w:rPr>
        <w:t>Navigant can see arguments for a wide range of NTG</w:t>
      </w:r>
      <w:r w:rsidRPr="003B0262">
        <w:rPr>
          <w:rFonts w:cs="Arial"/>
          <w:vertAlign w:val="subscript"/>
        </w:rPr>
        <w:t>BC</w:t>
      </w:r>
      <w:r>
        <w:rPr>
          <w:rFonts w:cs="Arial"/>
        </w:rPr>
        <w:t>.</w:t>
      </w:r>
    </w:p>
    <w:p w14:paraId="7C8A0FB4" w14:textId="77777777" w:rsidR="003425CB" w:rsidRDefault="003425CB" w:rsidP="003425CB">
      <w:pPr>
        <w:rPr>
          <w:rFonts w:cs="Arial"/>
        </w:rPr>
      </w:pPr>
    </w:p>
    <w:p w14:paraId="5789639A" w14:textId="77777777" w:rsidR="003425CB" w:rsidRPr="002D7AC6" w:rsidRDefault="003425CB" w:rsidP="003425CB">
      <w:pPr>
        <w:spacing w:after="160" w:line="259" w:lineRule="auto"/>
        <w:ind w:left="720"/>
        <w:rPr>
          <w:rFonts w:cs="Arial"/>
          <w:b/>
          <w:i/>
        </w:rPr>
      </w:pPr>
      <w:r w:rsidRPr="002D7AC6">
        <w:rPr>
          <w:rFonts w:eastAsiaTheme="minorEastAsia" w:cs="Arial"/>
          <w:b/>
          <w:i/>
        </w:rPr>
        <w:t>NTG</w:t>
      </w:r>
      <w:r w:rsidRPr="002D7AC6">
        <w:rPr>
          <w:rFonts w:eastAsiaTheme="minorEastAsia" w:cs="Arial"/>
          <w:b/>
          <w:i/>
          <w:vertAlign w:val="subscript"/>
        </w:rPr>
        <w:t xml:space="preserve">BC </w:t>
      </w:r>
      <w:r w:rsidRPr="002D7AC6">
        <w:rPr>
          <w:rFonts w:eastAsiaTheme="minorEastAsia" w:cs="Arial"/>
          <w:b/>
          <w:i/>
        </w:rPr>
        <w:t>&lt; NTG</w:t>
      </w:r>
      <w:r w:rsidRPr="002D7AC6">
        <w:rPr>
          <w:rFonts w:eastAsiaTheme="minorEastAsia" w:cs="Arial"/>
          <w:b/>
          <w:i/>
          <w:vertAlign w:val="subscript"/>
        </w:rPr>
        <w:t xml:space="preserve">AC </w:t>
      </w:r>
    </w:p>
    <w:p w14:paraId="4CBEE47C" w14:textId="77777777" w:rsidR="003425CB" w:rsidRDefault="003425CB" w:rsidP="003425CB">
      <w:pPr>
        <w:ind w:left="720"/>
        <w:rPr>
          <w:rFonts w:cs="Arial"/>
        </w:rPr>
      </w:pPr>
      <w:r>
        <w:rPr>
          <w:rFonts w:cs="Arial"/>
        </w:rPr>
        <w:t xml:space="preserve">Navigant and </w:t>
      </w:r>
      <w:r w:rsidR="000A3F3A">
        <w:rPr>
          <w:rFonts w:cs="Arial"/>
        </w:rPr>
        <w:t xml:space="preserve">Commission staff </w:t>
      </w:r>
      <w:r>
        <w:rPr>
          <w:rFonts w:cs="Arial"/>
        </w:rPr>
        <w:t xml:space="preserve">discussed this concept with the CPUC’s Ex-Ante consultants who provided feedback that below code NTG is likely less than above code NTG. The Ex-Ante consultants further advised that </w:t>
      </w:r>
      <w:r w:rsidRPr="00115C6C">
        <w:rPr>
          <w:rFonts w:cs="Arial"/>
        </w:rPr>
        <w:t>NTG</w:t>
      </w:r>
      <w:r w:rsidRPr="00115C6C">
        <w:rPr>
          <w:rFonts w:cs="Arial"/>
          <w:vertAlign w:val="subscript"/>
        </w:rPr>
        <w:t>BC</w:t>
      </w:r>
      <w:r>
        <w:rPr>
          <w:rFonts w:cs="Arial"/>
        </w:rPr>
        <w:t xml:space="preserve"> is likely low for equipment with high capital cost where utility rebates are likely a small percentage of the full cost of the new equipment (such as HVAC equipment). In such situations, the argument is made, the utility rebate is a very small influence on the decision to come up to code such that the amount of savings attributed to the utility program (i.e. the NTG ratio) will be small. However, NTG</w:t>
      </w:r>
      <w:r w:rsidRPr="003B0262">
        <w:rPr>
          <w:rFonts w:cs="Arial"/>
          <w:vertAlign w:val="subscript"/>
        </w:rPr>
        <w:t>BC</w:t>
      </w:r>
      <w:r>
        <w:rPr>
          <w:rFonts w:cs="Arial"/>
        </w:rPr>
        <w:t xml:space="preserve"> may be closer to </w:t>
      </w:r>
      <w:r w:rsidRPr="003B0262">
        <w:rPr>
          <w:rFonts w:eastAsiaTheme="minorEastAsia" w:cs="Arial"/>
        </w:rPr>
        <w:t>NTG</w:t>
      </w:r>
      <w:r w:rsidRPr="003B0262">
        <w:rPr>
          <w:rFonts w:eastAsiaTheme="minorEastAsia" w:cs="Arial"/>
          <w:vertAlign w:val="subscript"/>
        </w:rPr>
        <w:t>AC</w:t>
      </w:r>
      <w:r>
        <w:rPr>
          <w:rFonts w:cs="Arial"/>
        </w:rPr>
        <w:t xml:space="preserve"> for equipment that has low capital cost (such as lighting). In these situations, the argument is made, the utility rebate has a larger influence on customer decisions. </w:t>
      </w:r>
    </w:p>
    <w:p w14:paraId="52504535" w14:textId="77777777" w:rsidR="003425CB" w:rsidRPr="003B0262" w:rsidRDefault="003425CB" w:rsidP="003425CB">
      <w:pPr>
        <w:ind w:left="720"/>
        <w:rPr>
          <w:rFonts w:cs="Arial"/>
        </w:rPr>
      </w:pPr>
    </w:p>
    <w:p w14:paraId="6C7BEC20" w14:textId="77777777" w:rsidR="003425CB" w:rsidRPr="002D7AC6" w:rsidRDefault="003425CB" w:rsidP="003425CB">
      <w:pPr>
        <w:spacing w:after="160" w:line="259" w:lineRule="auto"/>
        <w:ind w:left="720"/>
        <w:rPr>
          <w:rFonts w:cs="Arial"/>
          <w:b/>
          <w:i/>
        </w:rPr>
      </w:pPr>
      <w:r w:rsidRPr="002D7AC6">
        <w:rPr>
          <w:rFonts w:eastAsiaTheme="minorEastAsia" w:cs="Arial"/>
          <w:b/>
          <w:i/>
        </w:rPr>
        <w:t>NTG</w:t>
      </w:r>
      <w:r w:rsidRPr="002D7AC6">
        <w:rPr>
          <w:rFonts w:eastAsiaTheme="minorEastAsia" w:cs="Arial"/>
          <w:b/>
          <w:i/>
          <w:vertAlign w:val="subscript"/>
        </w:rPr>
        <w:t xml:space="preserve">BC </w:t>
      </w:r>
      <w:r>
        <w:rPr>
          <w:rFonts w:cs="Arial"/>
          <w:b/>
          <w:i/>
        </w:rPr>
        <w:t>≥</w:t>
      </w:r>
      <w:r w:rsidRPr="002D7AC6">
        <w:rPr>
          <w:rFonts w:eastAsiaTheme="minorEastAsia" w:cs="Arial"/>
          <w:b/>
          <w:i/>
        </w:rPr>
        <w:t xml:space="preserve"> NTG</w:t>
      </w:r>
      <w:r w:rsidRPr="002D7AC6">
        <w:rPr>
          <w:rFonts w:eastAsiaTheme="minorEastAsia" w:cs="Arial"/>
          <w:b/>
          <w:i/>
          <w:vertAlign w:val="subscript"/>
        </w:rPr>
        <w:t xml:space="preserve">AC </w:t>
      </w:r>
    </w:p>
    <w:p w14:paraId="691E7AB6" w14:textId="77777777" w:rsidR="003425CB" w:rsidRDefault="003425CB" w:rsidP="003425CB">
      <w:pPr>
        <w:ind w:left="720"/>
      </w:pPr>
      <w:r w:rsidRPr="002D7AC6">
        <w:t xml:space="preserve">We define Stranded Potential as “the opportunities for energy efficiency that are </w:t>
      </w:r>
      <w:r w:rsidRPr="002D7AC6">
        <w:rPr>
          <w:b/>
          <w:i/>
        </w:rPr>
        <w:t xml:space="preserve">not currently captured </w:t>
      </w:r>
      <w:r w:rsidRPr="002D7AC6">
        <w:t xml:space="preserve">by either PA rebate programs or codes and standards. Stranded Potential is below-code savings that </w:t>
      </w:r>
      <w:r w:rsidRPr="002D7AC6">
        <w:rPr>
          <w:b/>
          <w:i/>
        </w:rPr>
        <w:t>is not materializing in the market because there is no incentive for the customer</w:t>
      </w:r>
      <w:r w:rsidRPr="002D7AC6">
        <w:rPr>
          <w:i/>
        </w:rPr>
        <w:t xml:space="preserve"> </w:t>
      </w:r>
      <w:r w:rsidRPr="002D7AC6">
        <w:t xml:space="preserve">to upgrade their existing equipment given current program rebate policy. Under AB802, PAs could start offering rebates for bringing existing equipment up to code thus </w:t>
      </w:r>
      <w:r w:rsidRPr="002D7AC6">
        <w:rPr>
          <w:b/>
          <w:i/>
        </w:rPr>
        <w:t>motivating a whole new subset of customers to install energy efficiency</w:t>
      </w:r>
      <w:r w:rsidRPr="002D7AC6">
        <w:t xml:space="preserve"> and capturing the Stranded Potential.”</w:t>
      </w:r>
      <w:r>
        <w:t xml:space="preserve"> Our definition of stranded potential implies below code savings programs target customers who wouldn’t have upgraded equipment in the first place. Thus, any influence the IOU has on the upgrade has limited free ridership.  Under this argument it’s also important to note that NTG is an average of the entire market and has been calculated as such in past evaluations. However, Stranded Potential is targeting a different population of customers who were not motivated to act on their own, thus imply a lower level of free ridership relative to the general population. </w:t>
      </w:r>
    </w:p>
    <w:p w14:paraId="51569852" w14:textId="77777777" w:rsidR="003425CB" w:rsidRDefault="003425CB" w:rsidP="003425CB">
      <w:pPr>
        <w:ind w:left="720"/>
      </w:pPr>
    </w:p>
    <w:p w14:paraId="021E5377" w14:textId="77777777" w:rsidR="003425CB" w:rsidRDefault="003425CB" w:rsidP="003425CB">
      <w:pPr>
        <w:rPr>
          <w:rFonts w:cs="Arial"/>
        </w:rPr>
      </w:pPr>
      <w:r>
        <w:rPr>
          <w:rFonts w:cs="Arial"/>
        </w:rPr>
        <w:t xml:space="preserve">Based on the lack of data and high uncertainty in this area, </w:t>
      </w:r>
      <w:r w:rsidR="000A3F3A">
        <w:rPr>
          <w:rFonts w:cs="Arial"/>
        </w:rPr>
        <w:t xml:space="preserve">Commission staff </w:t>
      </w:r>
      <w:r>
        <w:rPr>
          <w:rFonts w:cs="Arial"/>
        </w:rPr>
        <w:t>advised Navigant to follow a conservative approach and assume NTG</w:t>
      </w:r>
      <w:r w:rsidRPr="003B0262">
        <w:rPr>
          <w:rFonts w:cs="Arial"/>
          <w:vertAlign w:val="subscript"/>
        </w:rPr>
        <w:t>BC</w:t>
      </w:r>
      <w:r>
        <w:rPr>
          <w:rFonts w:cs="Arial"/>
        </w:rPr>
        <w:t xml:space="preserve"> is less than NTG</w:t>
      </w:r>
      <w:r>
        <w:rPr>
          <w:rFonts w:cs="Arial"/>
          <w:vertAlign w:val="subscript"/>
        </w:rPr>
        <w:t>A</w:t>
      </w:r>
      <w:r w:rsidRPr="003B0262">
        <w:rPr>
          <w:rFonts w:cs="Arial"/>
          <w:vertAlign w:val="subscript"/>
        </w:rPr>
        <w:t>C</w:t>
      </w:r>
      <w:r>
        <w:rPr>
          <w:rFonts w:cs="Arial"/>
        </w:rPr>
        <w:t xml:space="preserve">. This would imply a lower market potential and a more conservative basis for setting IOU goals.  We expect better data to become available after further research and evaluation of such programs. </w:t>
      </w:r>
    </w:p>
    <w:p w14:paraId="6074AF41" w14:textId="77777777" w:rsidR="003425CB" w:rsidRDefault="003425CB" w:rsidP="003425CB">
      <w:pPr>
        <w:rPr>
          <w:rFonts w:cs="Arial"/>
        </w:rPr>
      </w:pPr>
    </w:p>
    <w:p w14:paraId="77744533" w14:textId="77777777" w:rsidR="003425CB" w:rsidRDefault="003425CB" w:rsidP="003425CB">
      <w:pPr>
        <w:rPr>
          <w:rFonts w:cs="Arial"/>
        </w:rPr>
      </w:pPr>
      <w:r w:rsidRPr="003B0262">
        <w:rPr>
          <w:rFonts w:cs="Arial"/>
        </w:rPr>
        <w:t xml:space="preserve">We estimate </w:t>
      </w:r>
      <w:r w:rsidRPr="003B0262">
        <w:rPr>
          <w:rFonts w:eastAsiaTheme="minorEastAsia" w:cs="Arial"/>
        </w:rPr>
        <w:t>NTG</w:t>
      </w:r>
      <w:r w:rsidRPr="003B0262">
        <w:rPr>
          <w:rFonts w:eastAsiaTheme="minorEastAsia" w:cs="Arial"/>
          <w:vertAlign w:val="subscript"/>
        </w:rPr>
        <w:t xml:space="preserve">BC </w:t>
      </w:r>
      <w:r w:rsidRPr="003B0262">
        <w:rPr>
          <w:rFonts w:cs="Arial"/>
        </w:rPr>
        <w:t xml:space="preserve">to be some fraction of </w:t>
      </w:r>
      <w:r w:rsidRPr="003B0262">
        <w:rPr>
          <w:rFonts w:eastAsiaTheme="minorEastAsia" w:cs="Arial"/>
        </w:rPr>
        <w:t>NTG</w:t>
      </w:r>
      <w:r>
        <w:rPr>
          <w:rFonts w:cs="Arial"/>
          <w:vertAlign w:val="subscript"/>
        </w:rPr>
        <w:t>AC</w:t>
      </w:r>
      <w:r>
        <w:rPr>
          <w:rFonts w:cs="Arial"/>
        </w:rPr>
        <w:t xml:space="preserve"> where:</w:t>
      </w:r>
    </w:p>
    <w:p w14:paraId="428FBEA5" w14:textId="77777777" w:rsidR="003425CB" w:rsidRDefault="003425CB" w:rsidP="003425CB">
      <w:pPr>
        <w:rPr>
          <w:rFonts w:cs="Arial"/>
        </w:rPr>
      </w:pPr>
    </w:p>
    <w:p w14:paraId="1F91A95E" w14:textId="77777777" w:rsidR="003425CB" w:rsidRDefault="003425CB" w:rsidP="003425CB">
      <w:pPr>
        <w:jc w:val="center"/>
        <w:rPr>
          <w:rFonts w:cs="Arial"/>
          <w:i/>
        </w:rPr>
      </w:pPr>
      <w:r w:rsidRPr="002D7AC6">
        <w:rPr>
          <w:rFonts w:eastAsiaTheme="minorEastAsia" w:cs="Arial"/>
          <w:i/>
        </w:rPr>
        <w:t>NTG</w:t>
      </w:r>
      <w:r w:rsidRPr="002D7AC6">
        <w:rPr>
          <w:rFonts w:eastAsiaTheme="minorEastAsia" w:cs="Arial"/>
          <w:i/>
          <w:vertAlign w:val="subscript"/>
        </w:rPr>
        <w:t xml:space="preserve">BC </w:t>
      </w:r>
      <w:r w:rsidRPr="002D7AC6">
        <w:rPr>
          <w:rFonts w:cs="Arial"/>
          <w:i/>
        </w:rPr>
        <w:t xml:space="preserve">=  </w:t>
      </w:r>
      <w:r w:rsidRPr="002D7AC6">
        <w:rPr>
          <w:rFonts w:eastAsiaTheme="minorEastAsia" w:cs="Arial"/>
          <w:i/>
        </w:rPr>
        <w:t>NTG</w:t>
      </w:r>
      <w:r w:rsidRPr="002D7AC6">
        <w:rPr>
          <w:rFonts w:cs="Arial"/>
          <w:i/>
          <w:vertAlign w:val="subscript"/>
        </w:rPr>
        <w:t>AC</w:t>
      </w:r>
      <w:r w:rsidRPr="002D7AC6">
        <w:rPr>
          <w:rFonts w:cs="Arial"/>
          <w:i/>
        </w:rPr>
        <w:t xml:space="preserve"> x NTG Adjustment Factor</w:t>
      </w:r>
    </w:p>
    <w:p w14:paraId="321B446E" w14:textId="77777777" w:rsidR="003425CB" w:rsidRDefault="003425CB" w:rsidP="003425CB">
      <w:pPr>
        <w:rPr>
          <w:rFonts w:cs="Arial"/>
          <w:i/>
        </w:rPr>
      </w:pPr>
    </w:p>
    <w:p w14:paraId="5B1CFC29" w14:textId="77777777" w:rsidR="003425CB" w:rsidRPr="003425CB" w:rsidRDefault="00303412" w:rsidP="003425CB">
      <w:pPr>
        <w:rPr>
          <w:rFonts w:cs="Arial"/>
          <w:i/>
        </w:rPr>
      </w:pPr>
      <w:r>
        <w:rPr>
          <w:rFonts w:cs="Arial"/>
        </w:rPr>
        <w:fldChar w:fldCharType="begin"/>
      </w:r>
      <w:r>
        <w:rPr>
          <w:rFonts w:cs="Arial"/>
        </w:rPr>
        <w:instrText xml:space="preserve"> REF _Ref490227372 \h </w:instrText>
      </w:r>
      <w:r>
        <w:rPr>
          <w:rFonts w:cs="Arial"/>
        </w:rPr>
      </w:r>
      <w:r>
        <w:rPr>
          <w:rFonts w:cs="Arial"/>
        </w:rPr>
        <w:fldChar w:fldCharType="separate"/>
      </w:r>
      <w:r>
        <w:t xml:space="preserve">Table </w:t>
      </w:r>
      <w:r>
        <w:rPr>
          <w:noProof/>
        </w:rPr>
        <w:t>2</w:t>
      </w:r>
      <w:r>
        <w:noBreakHyphen/>
      </w:r>
      <w:r>
        <w:rPr>
          <w:noProof/>
        </w:rPr>
        <w:t>3</w:t>
      </w:r>
      <w:r>
        <w:rPr>
          <w:rFonts w:cs="Arial"/>
        </w:rPr>
        <w:fldChar w:fldCharType="end"/>
      </w:r>
      <w:r>
        <w:rPr>
          <w:rFonts w:cs="Arial"/>
        </w:rPr>
        <w:t xml:space="preserve"> </w:t>
      </w:r>
      <w:r w:rsidR="003425CB">
        <w:rPr>
          <w:rFonts w:cs="Arial"/>
        </w:rPr>
        <w:t xml:space="preserve">below indicates our assumptions for the NTG Adjustment factor. These are purely assumptions based on direction from the CPUC and commentary from the CPUC’s Ex Ante Consultants. Lighting has a larger factor than all other end uses due to its low capital cost. Data centers have a smaller factor than all other end uses because of the multiple influences driving data center upgrade decisions.  All others are assumed to be 0.5 for lack of better data. </w:t>
      </w:r>
    </w:p>
    <w:p w14:paraId="0202A6B0" w14:textId="77777777" w:rsidR="003425CB" w:rsidRDefault="003425CB" w:rsidP="003425CB">
      <w:pPr>
        <w:rPr>
          <w:rFonts w:cs="Arial"/>
        </w:rPr>
      </w:pPr>
    </w:p>
    <w:p w14:paraId="3AC14FBB" w14:textId="77777777" w:rsidR="00F820AE" w:rsidRDefault="00F820AE" w:rsidP="00F820AE">
      <w:pPr>
        <w:pStyle w:val="Caption"/>
        <w:rPr>
          <w:highlight w:val="yellow"/>
        </w:rPr>
      </w:pPr>
      <w:bookmarkStart w:id="203" w:name="_Ref485118778"/>
      <w:bookmarkStart w:id="204" w:name="_Ref490227372"/>
      <w:bookmarkStart w:id="205" w:name="_Ref485118762"/>
      <w:bookmarkStart w:id="206" w:name="_Toc490560653"/>
      <w:r>
        <w:lastRenderedPageBreak/>
        <w:t xml:space="preserve">Table </w:t>
      </w:r>
      <w:fldSimple w:instr=" STYLEREF 1 \s ">
        <w:r w:rsidR="007566B9">
          <w:rPr>
            <w:noProof/>
          </w:rPr>
          <w:t>2</w:t>
        </w:r>
      </w:fldSimple>
      <w:r>
        <w:noBreakHyphen/>
      </w:r>
      <w:bookmarkEnd w:id="203"/>
      <w:r w:rsidR="00B206D8">
        <w:fldChar w:fldCharType="begin"/>
      </w:r>
      <w:r w:rsidR="00B206D8">
        <w:instrText xml:space="preserve"> SEQ Table \* ARABIC \s 1 </w:instrText>
      </w:r>
      <w:r w:rsidR="00B206D8">
        <w:fldChar w:fldCharType="separate"/>
      </w:r>
      <w:r w:rsidR="007566B9">
        <w:rPr>
          <w:noProof/>
        </w:rPr>
        <w:t>3</w:t>
      </w:r>
      <w:r w:rsidR="00B206D8">
        <w:rPr>
          <w:noProof/>
        </w:rPr>
        <w:fldChar w:fldCharType="end"/>
      </w:r>
      <w:bookmarkEnd w:id="204"/>
      <w:r>
        <w:t xml:space="preserve">. </w:t>
      </w:r>
      <w:bookmarkEnd w:id="205"/>
      <w:r>
        <w:t>NTG Adjustment Factors</w:t>
      </w:r>
      <w:bookmarkEnd w:id="206"/>
    </w:p>
    <w:tbl>
      <w:tblPr>
        <w:tblStyle w:val="EnergyTable1"/>
        <w:tblW w:w="6360" w:type="dxa"/>
        <w:tblLook w:val="04A0" w:firstRow="1" w:lastRow="0" w:firstColumn="1" w:lastColumn="0" w:noHBand="0" w:noVBand="1"/>
      </w:tblPr>
      <w:tblGrid>
        <w:gridCol w:w="3032"/>
        <w:gridCol w:w="1567"/>
        <w:gridCol w:w="1761"/>
      </w:tblGrid>
      <w:tr w:rsidR="003425CB" w:rsidRPr="003425CB" w14:paraId="5AD0ED96" w14:textId="77777777" w:rsidTr="00AF21BE">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dxa"/>
            <w:hideMark/>
          </w:tcPr>
          <w:p w14:paraId="251C8FB4" w14:textId="77777777" w:rsidR="003425CB" w:rsidRPr="00B82A67" w:rsidRDefault="003425CB" w:rsidP="00431BBE">
            <w:pPr>
              <w:spacing w:after="0" w:line="240" w:lineRule="auto"/>
              <w:rPr>
                <w:rFonts w:ascii="Arial Narrow" w:hAnsi="Arial Narrow"/>
                <w:bCs/>
                <w:color w:val="FFFFFF" w:themeColor="background1"/>
                <w:szCs w:val="20"/>
              </w:rPr>
            </w:pPr>
            <w:r w:rsidRPr="00B82A67">
              <w:rPr>
                <w:rFonts w:ascii="Arial Narrow" w:hAnsi="Arial Narrow"/>
                <w:bCs/>
                <w:color w:val="FFFFFF" w:themeColor="background1"/>
                <w:szCs w:val="20"/>
              </w:rPr>
              <w:t>End Use Category</w:t>
            </w:r>
          </w:p>
        </w:tc>
        <w:tc>
          <w:tcPr>
            <w:tcW w:w="0" w:type="dxa"/>
          </w:tcPr>
          <w:p w14:paraId="53C1C3E8" w14:textId="77777777" w:rsidR="003425CB" w:rsidRPr="003425CB" w:rsidRDefault="003425CB" w:rsidP="00431BBE">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color w:val="FFFFFF" w:themeColor="background1"/>
                <w:szCs w:val="20"/>
              </w:rPr>
            </w:pPr>
            <w:r w:rsidRPr="003425CB">
              <w:rPr>
                <w:rFonts w:ascii="Arial Narrow" w:hAnsi="Arial Narrow"/>
                <w:bCs/>
                <w:color w:val="FFFFFF" w:themeColor="background1"/>
                <w:szCs w:val="20"/>
              </w:rPr>
              <w:t xml:space="preserve">Res </w:t>
            </w:r>
          </w:p>
        </w:tc>
        <w:tc>
          <w:tcPr>
            <w:tcW w:w="0" w:type="dxa"/>
          </w:tcPr>
          <w:p w14:paraId="4B857B1D" w14:textId="77777777" w:rsidR="003425CB" w:rsidRPr="003425CB" w:rsidRDefault="003425CB" w:rsidP="00431BBE">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color w:val="FFFFFF" w:themeColor="background1"/>
                <w:szCs w:val="20"/>
              </w:rPr>
            </w:pPr>
            <w:r w:rsidRPr="003425CB">
              <w:rPr>
                <w:rFonts w:ascii="Arial Narrow" w:hAnsi="Arial Narrow"/>
                <w:bCs/>
                <w:color w:val="FFFFFF" w:themeColor="background1"/>
                <w:szCs w:val="20"/>
              </w:rPr>
              <w:t>Com</w:t>
            </w:r>
          </w:p>
        </w:tc>
      </w:tr>
      <w:tr w:rsidR="003425CB" w:rsidRPr="003425CB" w14:paraId="63F30F38"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C377C78" w14:textId="77777777" w:rsidR="003425CB" w:rsidRPr="00B82A67" w:rsidRDefault="003425CB" w:rsidP="00431BBE">
            <w:pPr>
              <w:spacing w:after="0" w:line="240" w:lineRule="auto"/>
              <w:rPr>
                <w:rFonts w:ascii="Arial Narrow" w:hAnsi="Arial Narrow"/>
                <w:szCs w:val="20"/>
              </w:rPr>
            </w:pPr>
            <w:r w:rsidRPr="00B82A67">
              <w:rPr>
                <w:rFonts w:ascii="Arial Narrow" w:hAnsi="Arial Narrow"/>
                <w:szCs w:val="20"/>
              </w:rPr>
              <w:t>Data Center</w:t>
            </w:r>
          </w:p>
        </w:tc>
        <w:tc>
          <w:tcPr>
            <w:tcW w:w="0" w:type="dxa"/>
          </w:tcPr>
          <w:p w14:paraId="17AECD6E" w14:textId="77777777" w:rsidR="003425CB" w:rsidRPr="003425CB" w:rsidRDefault="003425CB" w:rsidP="00431BB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c>
          <w:tcPr>
            <w:tcW w:w="0" w:type="dxa"/>
          </w:tcPr>
          <w:p w14:paraId="280BB387" w14:textId="77777777" w:rsidR="003425CB" w:rsidRPr="003425CB" w:rsidRDefault="003425CB" w:rsidP="00431BB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425CB">
              <w:rPr>
                <w:rFonts w:ascii="Arial Narrow" w:hAnsi="Arial Narrow"/>
                <w:szCs w:val="20"/>
              </w:rPr>
              <w:t>0.25</w:t>
            </w:r>
          </w:p>
        </w:tc>
      </w:tr>
      <w:tr w:rsidR="003425CB" w:rsidRPr="003425CB" w14:paraId="4717D2D8"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E9BB4A0" w14:textId="77777777" w:rsidR="003425CB" w:rsidRPr="00B82A67" w:rsidRDefault="003425CB" w:rsidP="00431BBE">
            <w:pPr>
              <w:spacing w:after="0" w:line="240" w:lineRule="auto"/>
              <w:rPr>
                <w:rFonts w:ascii="Arial Narrow" w:hAnsi="Arial Narrow"/>
                <w:szCs w:val="20"/>
              </w:rPr>
            </w:pPr>
            <w:r w:rsidRPr="00B82A67">
              <w:rPr>
                <w:rFonts w:ascii="Arial Narrow" w:hAnsi="Arial Narrow"/>
                <w:szCs w:val="20"/>
              </w:rPr>
              <w:t>HVAC</w:t>
            </w:r>
          </w:p>
        </w:tc>
        <w:tc>
          <w:tcPr>
            <w:tcW w:w="0" w:type="dxa"/>
          </w:tcPr>
          <w:p w14:paraId="366D63CC" w14:textId="77777777" w:rsidR="003425CB" w:rsidRPr="003425CB" w:rsidRDefault="003425CB" w:rsidP="00431BBE">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3425CB">
              <w:rPr>
                <w:rFonts w:ascii="Arial Narrow" w:hAnsi="Arial Narrow"/>
                <w:szCs w:val="20"/>
              </w:rPr>
              <w:t>0.5</w:t>
            </w:r>
          </w:p>
        </w:tc>
        <w:tc>
          <w:tcPr>
            <w:tcW w:w="0" w:type="dxa"/>
          </w:tcPr>
          <w:p w14:paraId="1D9A64C0" w14:textId="77777777" w:rsidR="003425CB" w:rsidRPr="003425CB" w:rsidRDefault="003425CB" w:rsidP="00431BBE">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3425CB">
              <w:rPr>
                <w:rFonts w:ascii="Arial Narrow" w:hAnsi="Arial Narrow"/>
                <w:szCs w:val="20"/>
              </w:rPr>
              <w:t>0.5</w:t>
            </w:r>
          </w:p>
        </w:tc>
      </w:tr>
      <w:tr w:rsidR="003425CB" w:rsidRPr="003425CB" w14:paraId="63B449B9"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800920A" w14:textId="77777777" w:rsidR="003425CB" w:rsidRPr="00B82A67" w:rsidRDefault="003425CB" w:rsidP="00431BBE">
            <w:pPr>
              <w:spacing w:after="0" w:line="240" w:lineRule="auto"/>
              <w:rPr>
                <w:rFonts w:ascii="Arial Narrow" w:hAnsi="Arial Narrow"/>
                <w:szCs w:val="20"/>
              </w:rPr>
            </w:pPr>
            <w:r w:rsidRPr="00B82A67">
              <w:rPr>
                <w:rFonts w:ascii="Arial Narrow" w:hAnsi="Arial Narrow"/>
                <w:szCs w:val="20"/>
              </w:rPr>
              <w:t>Lighting</w:t>
            </w:r>
          </w:p>
        </w:tc>
        <w:tc>
          <w:tcPr>
            <w:tcW w:w="0" w:type="dxa"/>
          </w:tcPr>
          <w:p w14:paraId="48EF8736" w14:textId="77777777" w:rsidR="003425CB" w:rsidRPr="003425CB" w:rsidRDefault="003425CB" w:rsidP="00431BB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c>
          <w:tcPr>
            <w:tcW w:w="0" w:type="dxa"/>
          </w:tcPr>
          <w:p w14:paraId="28230CF1" w14:textId="77777777" w:rsidR="003425CB" w:rsidRPr="003425CB" w:rsidRDefault="003425CB" w:rsidP="00431BB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425CB">
              <w:rPr>
                <w:rFonts w:ascii="Arial Narrow" w:hAnsi="Arial Narrow"/>
                <w:szCs w:val="20"/>
              </w:rPr>
              <w:t>0.75</w:t>
            </w:r>
          </w:p>
        </w:tc>
      </w:tr>
      <w:tr w:rsidR="003425CB" w:rsidRPr="003425CB" w14:paraId="3B8D18BD"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67D25B0" w14:textId="77777777" w:rsidR="003425CB" w:rsidRPr="00B82A67" w:rsidRDefault="003425CB" w:rsidP="00431BBE">
            <w:pPr>
              <w:spacing w:after="0" w:line="240" w:lineRule="auto"/>
              <w:rPr>
                <w:rFonts w:ascii="Arial Narrow" w:hAnsi="Arial Narrow"/>
                <w:szCs w:val="20"/>
              </w:rPr>
            </w:pPr>
            <w:r w:rsidRPr="00B82A67">
              <w:rPr>
                <w:rFonts w:ascii="Arial Narrow" w:hAnsi="Arial Narrow"/>
                <w:szCs w:val="20"/>
              </w:rPr>
              <w:t>WaterHeat</w:t>
            </w:r>
          </w:p>
        </w:tc>
        <w:tc>
          <w:tcPr>
            <w:tcW w:w="0" w:type="dxa"/>
          </w:tcPr>
          <w:p w14:paraId="5A1B7E7E" w14:textId="77777777" w:rsidR="003425CB" w:rsidRPr="003425CB" w:rsidRDefault="003425CB" w:rsidP="00431BBE">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3425CB">
              <w:rPr>
                <w:rFonts w:ascii="Arial Narrow" w:hAnsi="Arial Narrow"/>
                <w:szCs w:val="20"/>
              </w:rPr>
              <w:t>0.5</w:t>
            </w:r>
          </w:p>
        </w:tc>
        <w:tc>
          <w:tcPr>
            <w:tcW w:w="0" w:type="dxa"/>
          </w:tcPr>
          <w:p w14:paraId="6BD09265" w14:textId="77777777" w:rsidR="003425CB" w:rsidRPr="003425CB" w:rsidRDefault="003425CB" w:rsidP="00431BBE">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3425CB">
              <w:rPr>
                <w:rFonts w:ascii="Arial Narrow" w:hAnsi="Arial Narrow"/>
                <w:szCs w:val="20"/>
              </w:rPr>
              <w:t>0.5</w:t>
            </w:r>
          </w:p>
        </w:tc>
      </w:tr>
    </w:tbl>
    <w:p w14:paraId="2EFAE1CE" w14:textId="77777777" w:rsidR="008820EA" w:rsidRDefault="008820EA" w:rsidP="008820EA">
      <w:pPr>
        <w:pStyle w:val="Heading3"/>
      </w:pPr>
      <w:bookmarkStart w:id="207" w:name="_Toc482626401"/>
      <w:bookmarkStart w:id="208" w:name="_Toc484092472"/>
      <w:bookmarkStart w:id="209" w:name="_Toc484172675"/>
      <w:bookmarkStart w:id="210" w:name="_Toc484183012"/>
      <w:bookmarkStart w:id="211" w:name="_Toc490225769"/>
      <w:r w:rsidRPr="00CD1669">
        <w:t>Whole Building</w:t>
      </w:r>
      <w:r w:rsidR="00763F6F">
        <w:t xml:space="preserve"> Packages</w:t>
      </w:r>
      <w:bookmarkEnd w:id="193"/>
      <w:bookmarkEnd w:id="194"/>
      <w:bookmarkEnd w:id="195"/>
      <w:bookmarkEnd w:id="196"/>
      <w:bookmarkEnd w:id="197"/>
      <w:bookmarkEnd w:id="207"/>
      <w:bookmarkEnd w:id="208"/>
      <w:bookmarkEnd w:id="209"/>
      <w:bookmarkEnd w:id="210"/>
      <w:bookmarkEnd w:id="211"/>
      <w:r>
        <w:t xml:space="preserve"> </w:t>
      </w:r>
    </w:p>
    <w:p w14:paraId="69B558D3" w14:textId="77777777" w:rsidR="00426439" w:rsidRDefault="003C5C1B" w:rsidP="008820EA">
      <w:r w:rsidRPr="00584D27">
        <w:t xml:space="preserve">Whole building </w:t>
      </w:r>
      <w:r w:rsidR="00584D27">
        <w:t>packages</w:t>
      </w:r>
      <w:r w:rsidRPr="00584D27">
        <w:t xml:space="preserve"> are modeled the same way as rebated technologies with one exception. T</w:t>
      </w:r>
      <w:r w:rsidR="00426439" w:rsidRPr="00584D27">
        <w:t xml:space="preserve">echnical and economic potential results are not presented as they are duplicative with the </w:t>
      </w:r>
      <w:r w:rsidRPr="00584D27">
        <w:t>technical and economic potential of rebated technologies.</w:t>
      </w:r>
    </w:p>
    <w:p w14:paraId="6D1D914F" w14:textId="77777777" w:rsidR="008820EA" w:rsidRDefault="008820EA" w:rsidP="008820EA">
      <w:pPr>
        <w:pStyle w:val="Heading3"/>
      </w:pPr>
      <w:bookmarkStart w:id="212" w:name="_Toc482634270"/>
      <w:bookmarkStart w:id="213" w:name="_Toc482626402"/>
      <w:bookmarkStart w:id="214" w:name="_Toc484092473"/>
      <w:bookmarkStart w:id="215" w:name="_Toc484172676"/>
      <w:bookmarkStart w:id="216" w:name="_Toc484183013"/>
      <w:bookmarkStart w:id="217" w:name="_Toc490225770"/>
      <w:bookmarkStart w:id="218" w:name="_Toc478990496"/>
      <w:bookmarkStart w:id="219" w:name="_Toc479768569"/>
      <w:bookmarkStart w:id="220" w:name="_Toc482357294"/>
      <w:r>
        <w:t xml:space="preserve">Industrial </w:t>
      </w:r>
      <w:r w:rsidR="00583CC9">
        <w:t xml:space="preserve">and Agriculture </w:t>
      </w:r>
      <w:r>
        <w:t>Custom Mea</w:t>
      </w:r>
      <w:r w:rsidR="00C5490B">
        <w:t>sures and Emerging Technologies</w:t>
      </w:r>
      <w:bookmarkEnd w:id="212"/>
      <w:bookmarkEnd w:id="213"/>
      <w:bookmarkEnd w:id="214"/>
      <w:bookmarkEnd w:id="215"/>
      <w:bookmarkEnd w:id="216"/>
      <w:bookmarkEnd w:id="217"/>
      <w:r>
        <w:t xml:space="preserve"> </w:t>
      </w:r>
      <w:bookmarkEnd w:id="218"/>
      <w:bookmarkEnd w:id="219"/>
      <w:bookmarkEnd w:id="220"/>
    </w:p>
    <w:p w14:paraId="225C6ACD" w14:textId="77777777" w:rsidR="00B607AE" w:rsidRDefault="005861F3" w:rsidP="00B607AE">
      <w:bookmarkStart w:id="221" w:name="_Toc482357295"/>
      <w:bookmarkStart w:id="222" w:name="_Toc478990497"/>
      <w:bookmarkStart w:id="223" w:name="_Toc479768570"/>
      <w:r w:rsidRPr="005861F3">
        <w:t xml:space="preserve">Custom measures and emerging technologies for the Industrial and Agricultural sectors used </w:t>
      </w:r>
      <w:r w:rsidRPr="005861F3">
        <w:fldChar w:fldCharType="begin"/>
      </w:r>
      <w:r w:rsidRPr="005861F3">
        <w:instrText xml:space="preserve"> REF _Ref482543451 \h </w:instrText>
      </w:r>
      <w:r>
        <w:instrText xml:space="preserve"> \* MERGEFORMAT </w:instrText>
      </w:r>
      <w:r w:rsidRPr="005861F3">
        <w:fldChar w:fldCharType="separate"/>
      </w:r>
      <w:r w:rsidR="007566B9" w:rsidRPr="00B20B55">
        <w:t xml:space="preserve">Equation </w:t>
      </w:r>
      <w:r w:rsidR="007566B9">
        <w:rPr>
          <w:noProof/>
        </w:rPr>
        <w:t>2</w:t>
      </w:r>
      <w:r w:rsidR="007566B9">
        <w:rPr>
          <w:noProof/>
        </w:rPr>
        <w:noBreakHyphen/>
        <w:t>3</w:t>
      </w:r>
      <w:r w:rsidRPr="005861F3">
        <w:fldChar w:fldCharType="end"/>
      </w:r>
      <w:r w:rsidRPr="005861F3">
        <w:t xml:space="preserve">  to calculate incremental market potential. </w:t>
      </w:r>
    </w:p>
    <w:p w14:paraId="4E7A11EA" w14:textId="77777777" w:rsidR="00835ACB" w:rsidRDefault="00835ACB" w:rsidP="00B607AE"/>
    <w:p w14:paraId="3C0E16E0" w14:textId="77777777" w:rsidR="00835ACB" w:rsidRPr="00B20B55" w:rsidRDefault="00835ACB" w:rsidP="00835ACB">
      <w:pPr>
        <w:pStyle w:val="Caption"/>
      </w:pPr>
      <w:bookmarkStart w:id="224" w:name="_Ref482543451"/>
      <w:r w:rsidRPr="00B20B55">
        <w:t xml:space="preserve">Equation </w:t>
      </w:r>
      <w:fldSimple w:instr=" STYLEREF 1 \s ">
        <w:r w:rsidR="007566B9">
          <w:rPr>
            <w:noProof/>
          </w:rPr>
          <w:t>2</w:t>
        </w:r>
      </w:fldSimple>
      <w:r>
        <w:noBreakHyphen/>
      </w:r>
      <w:fldSimple w:instr=" SEQ Equation \* ARABIC \s 1 ">
        <w:r w:rsidR="007566B9">
          <w:rPr>
            <w:noProof/>
          </w:rPr>
          <w:t>3</w:t>
        </w:r>
      </w:fldSimple>
      <w:bookmarkEnd w:id="224"/>
      <w:r w:rsidRPr="00B20B55">
        <w:t xml:space="preserve">. General Equation for Calculating Incremental Market Potential for </w:t>
      </w:r>
      <w:r>
        <w:t xml:space="preserve">Generic Custom and Emerging Technologies </w:t>
      </w:r>
    </w:p>
    <w:p w14:paraId="03905330" w14:textId="77777777" w:rsidR="00835ACB" w:rsidRDefault="00835ACB" w:rsidP="00835ACB">
      <w:pPr>
        <w:rPr>
          <w:i/>
        </w:rPr>
      </w:pPr>
      <m:oMathPara>
        <m:oMath>
          <m:r>
            <w:rPr>
              <w:rFonts w:ascii="Cambria Math" w:hAnsi="Cambria Math"/>
            </w:rPr>
            <m:t>Incremental Market Potential=Population × Applicability Factor × Unit Energy Savings × Penetration Rate</m:t>
          </m:r>
        </m:oMath>
      </m:oMathPara>
    </w:p>
    <w:p w14:paraId="52D41AAC" w14:textId="77777777" w:rsidR="00835ACB" w:rsidRDefault="00835ACB" w:rsidP="00B607AE"/>
    <w:p w14:paraId="2E102834" w14:textId="77777777" w:rsidR="00835ACB" w:rsidRDefault="00835ACB" w:rsidP="00835ACB">
      <w:r>
        <w:t xml:space="preserve">Where, </w:t>
      </w:r>
    </w:p>
    <w:p w14:paraId="3CE32610" w14:textId="77777777" w:rsidR="00835ACB" w:rsidRDefault="00835ACB" w:rsidP="004E4E36">
      <w:pPr>
        <w:pStyle w:val="ListParagraph"/>
        <w:numPr>
          <w:ilvl w:val="0"/>
          <w:numId w:val="36"/>
        </w:numPr>
      </w:pPr>
      <w:r w:rsidRPr="00C50ED5">
        <w:rPr>
          <w:b/>
        </w:rPr>
        <w:t>Population</w:t>
      </w:r>
      <w:r>
        <w:t xml:space="preserve"> is a global input that is represented as the total energy consumption by subsector within the Industrial and Agriculture sectors.  </w:t>
      </w:r>
    </w:p>
    <w:p w14:paraId="7137FF1D" w14:textId="77777777" w:rsidR="00835ACB" w:rsidRPr="00B20B55" w:rsidRDefault="00835ACB" w:rsidP="004E4E36">
      <w:pPr>
        <w:pStyle w:val="ListParagraph"/>
        <w:numPr>
          <w:ilvl w:val="0"/>
          <w:numId w:val="36"/>
        </w:numPr>
      </w:pPr>
      <w:r w:rsidRPr="00C50ED5">
        <w:rPr>
          <w:b/>
        </w:rPr>
        <w:t>Applicability Factor</w:t>
      </w:r>
      <w:r>
        <w:t xml:space="preserve"> represents eligibility and other program-specific variables.</w:t>
      </w:r>
      <w:r w:rsidR="005861F3">
        <w:t xml:space="preserve"> </w:t>
      </w:r>
    </w:p>
    <w:p w14:paraId="0C42EA6F" w14:textId="77777777" w:rsidR="00835ACB" w:rsidRDefault="00835ACB" w:rsidP="004E4E36">
      <w:pPr>
        <w:pStyle w:val="ListParagraph"/>
        <w:numPr>
          <w:ilvl w:val="0"/>
          <w:numId w:val="36"/>
        </w:numPr>
      </w:pPr>
      <w:r w:rsidRPr="00852E44">
        <w:rPr>
          <w:b/>
        </w:rPr>
        <w:t>Unit Energy Savings</w:t>
      </w:r>
      <w:r>
        <w:t xml:space="preserve"> represent</w:t>
      </w:r>
      <w:r w:rsidR="006D0ED2">
        <w:t>ed</w:t>
      </w:r>
      <w:r>
        <w:t xml:space="preserve"> the percent savings</w:t>
      </w:r>
      <w:r w:rsidR="006D0ED2">
        <w:t xml:space="preserve"> </w:t>
      </w:r>
      <w:r>
        <w:t xml:space="preserve">expected </w:t>
      </w:r>
      <w:r w:rsidR="006D0ED2">
        <w:t>from customers</w:t>
      </w:r>
      <w:r>
        <w:t xml:space="preserve"> adopting technologies</w:t>
      </w:r>
      <w:r w:rsidR="005861F3">
        <w:t>.</w:t>
      </w:r>
    </w:p>
    <w:p w14:paraId="7E285134" w14:textId="77777777" w:rsidR="00835ACB" w:rsidRDefault="00835ACB" w:rsidP="004E4E36">
      <w:pPr>
        <w:pStyle w:val="ListParagraph"/>
        <w:numPr>
          <w:ilvl w:val="0"/>
          <w:numId w:val="36"/>
        </w:numPr>
      </w:pPr>
      <w:r>
        <w:rPr>
          <w:b/>
        </w:rPr>
        <w:t xml:space="preserve">Penetration Rate </w:t>
      </w:r>
      <w:r>
        <w:t xml:space="preserve">represents annual new participation and varies over time and can vary by scenario for Emerging Technologies.  </w:t>
      </w:r>
    </w:p>
    <w:p w14:paraId="6BC03086" w14:textId="77777777" w:rsidR="006D0ED2" w:rsidRDefault="006D0ED2" w:rsidP="00D72B7E">
      <w:pPr>
        <w:autoSpaceDE w:val="0"/>
        <w:autoSpaceDN w:val="0"/>
        <w:adjustRightInd w:val="0"/>
        <w:spacing w:line="240" w:lineRule="auto"/>
      </w:pPr>
    </w:p>
    <w:p w14:paraId="47126F9A" w14:textId="77777777" w:rsidR="00BA08BB" w:rsidRPr="00356E4C" w:rsidRDefault="00B11F8A" w:rsidP="00BA08BB">
      <w:pPr>
        <w:autoSpaceDE w:val="0"/>
        <w:autoSpaceDN w:val="0"/>
        <w:adjustRightInd w:val="0"/>
        <w:spacing w:line="240" w:lineRule="auto"/>
        <w:rPr>
          <w:szCs w:val="20"/>
        </w:rPr>
      </w:pPr>
      <w:r>
        <w:t xml:space="preserve">Emerging technologies were screened </w:t>
      </w:r>
      <w:r w:rsidR="00BA08BB">
        <w:t xml:space="preserve">for consideration </w:t>
      </w:r>
      <w:r>
        <w:t xml:space="preserve">based on </w:t>
      </w:r>
      <w:r w:rsidR="00BA08BB" w:rsidRPr="00356E4C">
        <w:rPr>
          <w:szCs w:val="20"/>
        </w:rPr>
        <w:t xml:space="preserve">an 8-level screening process </w:t>
      </w:r>
      <w:r w:rsidR="00BA08BB">
        <w:rPr>
          <w:szCs w:val="20"/>
        </w:rPr>
        <w:t xml:space="preserve">considering </w:t>
      </w:r>
      <w:r w:rsidR="00BA08BB" w:rsidRPr="00356E4C">
        <w:rPr>
          <w:szCs w:val="20"/>
        </w:rPr>
        <w:t>the following factors:</w:t>
      </w:r>
    </w:p>
    <w:p w14:paraId="29504894" w14:textId="77777777" w:rsidR="00BA08BB" w:rsidRPr="002B1E84" w:rsidRDefault="00BA08BB" w:rsidP="004E4E36">
      <w:pPr>
        <w:pStyle w:val="ListParagraph"/>
        <w:numPr>
          <w:ilvl w:val="0"/>
          <w:numId w:val="45"/>
        </w:numPr>
      </w:pPr>
      <w:r w:rsidRPr="002B1E84">
        <w:t xml:space="preserve">Relevance to the </w:t>
      </w:r>
      <w:r>
        <w:t xml:space="preserve">industrial and agricultural </w:t>
      </w:r>
      <w:r w:rsidRPr="002B1E84">
        <w:t xml:space="preserve">sectors </w:t>
      </w:r>
    </w:p>
    <w:p w14:paraId="07FD233F" w14:textId="77777777" w:rsidR="00BA08BB" w:rsidRPr="002B1E84" w:rsidRDefault="00BA08BB" w:rsidP="004E4E36">
      <w:pPr>
        <w:pStyle w:val="ListParagraph"/>
        <w:numPr>
          <w:ilvl w:val="0"/>
          <w:numId w:val="45"/>
        </w:numPr>
      </w:pPr>
      <w:r w:rsidRPr="002B1E84">
        <w:t>Relevance by NAICS segment</w:t>
      </w:r>
    </w:p>
    <w:p w14:paraId="153DD452" w14:textId="77777777" w:rsidR="00BA08BB" w:rsidRPr="002B1E84" w:rsidRDefault="00BA08BB" w:rsidP="004E4E36">
      <w:pPr>
        <w:pStyle w:val="ListParagraph"/>
        <w:numPr>
          <w:ilvl w:val="0"/>
          <w:numId w:val="45"/>
        </w:numPr>
      </w:pPr>
      <w:r w:rsidRPr="002B1E84">
        <w:t>End use application</w:t>
      </w:r>
    </w:p>
    <w:p w14:paraId="00071C9E" w14:textId="77777777" w:rsidR="00BA08BB" w:rsidRPr="002B1E84" w:rsidRDefault="00BA08BB" w:rsidP="004E4E36">
      <w:pPr>
        <w:pStyle w:val="ListParagraph"/>
        <w:numPr>
          <w:ilvl w:val="0"/>
          <w:numId w:val="45"/>
        </w:numPr>
      </w:pPr>
      <w:r w:rsidRPr="002B1E84">
        <w:t>Type of fuel savings</w:t>
      </w:r>
    </w:p>
    <w:p w14:paraId="2BE1902C" w14:textId="77777777" w:rsidR="00BA08BB" w:rsidRPr="002B1E84" w:rsidRDefault="00BA08BB" w:rsidP="004E4E36">
      <w:pPr>
        <w:pStyle w:val="ListParagraph"/>
        <w:numPr>
          <w:ilvl w:val="0"/>
          <w:numId w:val="45"/>
        </w:numPr>
      </w:pPr>
      <w:r w:rsidRPr="002B1E84">
        <w:t xml:space="preserve">Potential energy savings </w:t>
      </w:r>
      <w:r>
        <w:t>percentage</w:t>
      </w:r>
    </w:p>
    <w:p w14:paraId="0764B95D" w14:textId="77777777" w:rsidR="00BA08BB" w:rsidRPr="002B1E84" w:rsidRDefault="00BA08BB" w:rsidP="004E4E36">
      <w:pPr>
        <w:pStyle w:val="ListParagraph"/>
        <w:numPr>
          <w:ilvl w:val="0"/>
          <w:numId w:val="45"/>
        </w:numPr>
      </w:pPr>
      <w:r w:rsidRPr="002B1E84">
        <w:t>Impact potential (including technical and market potential, risks, and non-energy benefits)</w:t>
      </w:r>
    </w:p>
    <w:p w14:paraId="3E27C993" w14:textId="77777777" w:rsidR="00BA08BB" w:rsidRPr="002B1E84" w:rsidRDefault="00BA08BB" w:rsidP="004E4E36">
      <w:pPr>
        <w:pStyle w:val="ListParagraph"/>
        <w:numPr>
          <w:ilvl w:val="0"/>
          <w:numId w:val="45"/>
        </w:numPr>
      </w:pPr>
      <w:r w:rsidRPr="002B1E84">
        <w:lastRenderedPageBreak/>
        <w:t>Segment energy consumption trends</w:t>
      </w:r>
    </w:p>
    <w:p w14:paraId="176CED5D" w14:textId="77777777" w:rsidR="00BA08BB" w:rsidRPr="002B1E84" w:rsidRDefault="00BA08BB" w:rsidP="004E4E36">
      <w:pPr>
        <w:pStyle w:val="ListParagraph"/>
        <w:numPr>
          <w:ilvl w:val="0"/>
          <w:numId w:val="45"/>
        </w:numPr>
      </w:pPr>
      <w:r>
        <w:t>Segment market trajectory</w:t>
      </w:r>
    </w:p>
    <w:p w14:paraId="48DABDE9" w14:textId="77777777" w:rsidR="00B11F8A" w:rsidRDefault="00B11F8A" w:rsidP="00D72B7E">
      <w:pPr>
        <w:autoSpaceDE w:val="0"/>
        <w:autoSpaceDN w:val="0"/>
        <w:adjustRightInd w:val="0"/>
        <w:spacing w:line="240" w:lineRule="auto"/>
      </w:pPr>
    </w:p>
    <w:p w14:paraId="0AB4652C" w14:textId="77777777" w:rsidR="00D1698E" w:rsidRDefault="00BA08BB" w:rsidP="00D72B7E">
      <w:pPr>
        <w:autoSpaceDE w:val="0"/>
        <w:autoSpaceDN w:val="0"/>
        <w:adjustRightInd w:val="0"/>
        <w:spacing w:line="240" w:lineRule="auto"/>
      </w:pPr>
      <w:r>
        <w:t xml:space="preserve">The </w:t>
      </w:r>
      <w:r w:rsidR="006D0ED2">
        <w:t>Emerging Technologies</w:t>
      </w:r>
      <w:r>
        <w:t xml:space="preserve"> that passed the screening criteria were used to derive ET UES values</w:t>
      </w:r>
      <w:r w:rsidR="005A5DC8">
        <w:t xml:space="preserve"> </w:t>
      </w:r>
      <w:r w:rsidR="00C56434">
        <w:t xml:space="preserve">grouped </w:t>
      </w:r>
      <w:r w:rsidR="005A5DC8">
        <w:t>by market segment</w:t>
      </w:r>
      <w:r w:rsidR="005A5DC8" w:rsidRPr="0048195D">
        <w:t xml:space="preserve"> </w:t>
      </w:r>
      <w:r w:rsidR="005A5DC8">
        <w:t>(e.g.</w:t>
      </w:r>
      <w:r w:rsidR="005A5DC8" w:rsidRPr="003D3E7E">
        <w:t xml:space="preserve"> Petroleum</w:t>
      </w:r>
      <w:r w:rsidR="005A5DC8">
        <w:t xml:space="preserve">, Food Processing, etc.) using the methodology defined in </w:t>
      </w:r>
      <w:r w:rsidR="00C56434">
        <w:fldChar w:fldCharType="begin"/>
      </w:r>
      <w:r w:rsidR="00C56434">
        <w:instrText xml:space="preserve"> REF _Ref482611464 \n \h </w:instrText>
      </w:r>
      <w:r w:rsidR="00C56434">
        <w:fldChar w:fldCharType="separate"/>
      </w:r>
      <w:r w:rsidR="007566B9">
        <w:t>Appendix F</w:t>
      </w:r>
      <w:r w:rsidR="00C56434">
        <w:fldChar w:fldCharType="end"/>
      </w:r>
      <w:r>
        <w:t xml:space="preserve">. ET UES </w:t>
      </w:r>
      <w:r w:rsidR="006D0ED2">
        <w:t xml:space="preserve">is represented as a percent savings relative to the total building energy consumption. It is meant to reflect the combination of available emerging technologies </w:t>
      </w:r>
      <w:r>
        <w:t xml:space="preserve">that pass the screening process </w:t>
      </w:r>
      <w:r w:rsidR="006D0ED2">
        <w:t xml:space="preserve">for each sector and segment (rather than represent individual technologies). UES is estimated based on multiple factors listed below </w:t>
      </w:r>
      <w:r w:rsidR="006D0ED2">
        <w:fldChar w:fldCharType="begin"/>
      </w:r>
      <w:r w:rsidR="006D0ED2">
        <w:instrText xml:space="preserve"> REF _Ref482622750 \h </w:instrText>
      </w:r>
      <w:r w:rsidR="006D0ED2">
        <w:fldChar w:fldCharType="separate"/>
      </w:r>
      <w:r w:rsidR="007566B9" w:rsidRPr="00B20B55">
        <w:t xml:space="preserve">Equation </w:t>
      </w:r>
      <w:r w:rsidR="007566B9">
        <w:rPr>
          <w:noProof/>
        </w:rPr>
        <w:t>2</w:t>
      </w:r>
      <w:r w:rsidR="007566B9">
        <w:noBreakHyphen/>
      </w:r>
      <w:r w:rsidR="007566B9">
        <w:rPr>
          <w:noProof/>
        </w:rPr>
        <w:t>4</w:t>
      </w:r>
      <w:r w:rsidR="006D0ED2">
        <w:fldChar w:fldCharType="end"/>
      </w:r>
      <w:r w:rsidR="006D0ED2">
        <w:t>.</w:t>
      </w:r>
    </w:p>
    <w:p w14:paraId="4599EE13" w14:textId="77777777" w:rsidR="006D0ED2" w:rsidRDefault="006D0ED2" w:rsidP="00D72B7E">
      <w:pPr>
        <w:autoSpaceDE w:val="0"/>
        <w:autoSpaceDN w:val="0"/>
        <w:adjustRightInd w:val="0"/>
        <w:spacing w:line="240" w:lineRule="auto"/>
      </w:pPr>
    </w:p>
    <w:p w14:paraId="3D4F255F" w14:textId="77777777" w:rsidR="006D0ED2" w:rsidRPr="00B20B55" w:rsidRDefault="006D0ED2" w:rsidP="006D0ED2">
      <w:pPr>
        <w:pStyle w:val="Caption"/>
      </w:pPr>
      <w:bookmarkStart w:id="225" w:name="_Ref482622750"/>
      <w:r w:rsidRPr="00B20B55">
        <w:t xml:space="preserve">Equation </w:t>
      </w:r>
      <w:fldSimple w:instr=" STYLEREF 1 \s ">
        <w:r w:rsidR="007566B9">
          <w:rPr>
            <w:noProof/>
          </w:rPr>
          <w:t>2</w:t>
        </w:r>
      </w:fldSimple>
      <w:r>
        <w:noBreakHyphen/>
      </w:r>
      <w:fldSimple w:instr=" SEQ Equation \* ARABIC \s 1 ">
        <w:r w:rsidR="007566B9">
          <w:rPr>
            <w:noProof/>
          </w:rPr>
          <w:t>4</w:t>
        </w:r>
      </w:fldSimple>
      <w:bookmarkEnd w:id="225"/>
      <w:r w:rsidRPr="00B20B55">
        <w:t xml:space="preserve">. </w:t>
      </w:r>
      <w:r>
        <w:t xml:space="preserve">UES Equation for Emerging Technologies  </w:t>
      </w:r>
    </w:p>
    <w:p w14:paraId="20597884" w14:textId="77777777" w:rsidR="00D72B7E" w:rsidRDefault="00D72B7E" w:rsidP="00D72B7E">
      <w:pPr>
        <w:autoSpaceDE w:val="0"/>
        <w:autoSpaceDN w:val="0"/>
        <w:adjustRightInd w:val="0"/>
        <w:spacing w:line="240" w:lineRule="auto"/>
      </w:pPr>
    </w:p>
    <w:p w14:paraId="237132FA" w14:textId="77777777" w:rsidR="00D72B7E" w:rsidRDefault="003452E4" w:rsidP="00D72B7E">
      <m:oMathPara>
        <m:oMath>
          <m:r>
            <w:rPr>
              <w:rFonts w:ascii="Cambria Math" w:eastAsiaTheme="minorHAnsi" w:hAnsi="Cambria Math" w:cstheme="minorBidi"/>
              <w:sz w:val="24"/>
            </w:rPr>
            <m:t>UES</m:t>
          </m:r>
          <m:r>
            <w:rPr>
              <w:rFonts w:ascii="Cambria Math" w:hAnsi="Cambria Math"/>
            </w:rPr>
            <m:t>=</m:t>
          </m:r>
          <m:sSub>
            <m:sSubPr>
              <m:ctrlPr>
                <w:rPr>
                  <w:rFonts w:ascii="Cambria Math" w:eastAsiaTheme="minorHAnsi" w:hAnsi="Cambria Math" w:cstheme="minorBidi"/>
                  <w:i/>
                  <w:sz w:val="24"/>
                </w:rPr>
              </m:ctrlPr>
            </m:sSubPr>
            <m:e>
              <m:r>
                <w:rPr>
                  <w:rFonts w:ascii="Cambria Math" w:hAnsi="Cambria Math"/>
                </w:rPr>
                <m:t>T</m:t>
              </m:r>
            </m:e>
            <m:sub>
              <m:r>
                <w:rPr>
                  <w:rFonts w:ascii="Cambria Math" w:hAnsi="Cambria Math"/>
                </w:rPr>
                <m:t>e</m:t>
              </m:r>
            </m:sub>
          </m:sSub>
          <m:r>
            <w:rPr>
              <w:rFonts w:ascii="Cambria Math" w:hAnsi="Cambria Math"/>
            </w:rPr>
            <m:t xml:space="preserve"> × </m:t>
          </m:r>
          <m:sSub>
            <m:sSubPr>
              <m:ctrlPr>
                <w:rPr>
                  <w:rFonts w:ascii="Cambria Math" w:eastAsiaTheme="minorHAnsi" w:hAnsi="Cambria Math" w:cstheme="minorBidi"/>
                  <w:i/>
                  <w:sz w:val="24"/>
                </w:rPr>
              </m:ctrlPr>
            </m:sSubPr>
            <m:e>
              <m:r>
                <w:rPr>
                  <w:rFonts w:ascii="Cambria Math" w:hAnsi="Cambria Math"/>
                </w:rPr>
                <m:t>E</m:t>
              </m:r>
            </m:e>
            <m:sub>
              <m:r>
                <w:rPr>
                  <w:rFonts w:ascii="Cambria Math" w:hAnsi="Cambria Math"/>
                </w:rPr>
                <m:t>i,j</m:t>
              </m:r>
            </m:sub>
          </m:sSub>
          <m:r>
            <w:rPr>
              <w:rFonts w:ascii="Cambria Math" w:hAnsi="Cambria Math"/>
            </w:rPr>
            <m:t xml:space="preserve"> × </m:t>
          </m:r>
          <m:sSub>
            <m:sSubPr>
              <m:ctrlPr>
                <w:rPr>
                  <w:rFonts w:ascii="Cambria Math" w:eastAsiaTheme="minorHAnsi" w:hAnsi="Cambria Math" w:cstheme="minorBidi"/>
                  <w:i/>
                  <w:sz w:val="24"/>
                </w:rPr>
              </m:ctrlPr>
            </m:sSubPr>
            <m:e>
              <m:r>
                <w:rPr>
                  <w:rFonts w:ascii="Cambria Math" w:hAnsi="Cambria Math"/>
                </w:rPr>
                <m:t>MT</m:t>
              </m:r>
            </m:e>
            <m:sub>
              <m:r>
                <w:rPr>
                  <w:rFonts w:ascii="Cambria Math" w:hAnsi="Cambria Math"/>
                </w:rPr>
                <m:t xml:space="preserve">j </m:t>
              </m:r>
            </m:sub>
          </m:sSub>
          <m:r>
            <w:rPr>
              <w:rFonts w:ascii="Cambria Math" w:hAnsi="Cambria Math"/>
            </w:rPr>
            <m:t xml:space="preserve">× </m:t>
          </m:r>
          <m:sSub>
            <m:sSubPr>
              <m:ctrlPr>
                <w:rPr>
                  <w:rFonts w:ascii="Cambria Math" w:eastAsiaTheme="minorHAnsi" w:hAnsi="Cambria Math" w:cstheme="minorBidi"/>
                  <w:i/>
                  <w:sz w:val="24"/>
                </w:rPr>
              </m:ctrlPr>
            </m:sSubPr>
            <m:e>
              <m:r>
                <w:rPr>
                  <w:rFonts w:ascii="Cambria Math" w:hAnsi="Cambria Math"/>
                </w:rPr>
                <m:t>TW</m:t>
              </m:r>
            </m:e>
            <m:sub>
              <m:r>
                <w:rPr>
                  <w:rFonts w:ascii="Cambria Math" w:hAnsi="Cambria Math"/>
                </w:rPr>
                <m:t>j</m:t>
              </m:r>
            </m:sub>
          </m:sSub>
        </m:oMath>
      </m:oMathPara>
    </w:p>
    <w:p w14:paraId="48BD5E30" w14:textId="77777777" w:rsidR="00D72B7E" w:rsidRDefault="00D72B7E" w:rsidP="00D72B7E">
      <w:pPr>
        <w:ind w:left="360"/>
      </w:pPr>
      <w:r>
        <w:t>Where:</w:t>
      </w:r>
    </w:p>
    <w:p w14:paraId="23D32836" w14:textId="77777777" w:rsidR="00D72B7E" w:rsidRDefault="00D72B7E" w:rsidP="00D72B7E">
      <w:pPr>
        <w:tabs>
          <w:tab w:val="left" w:pos="900"/>
        </w:tabs>
        <w:ind w:left="360"/>
      </w:pPr>
      <w:r>
        <w:rPr>
          <w:i/>
        </w:rPr>
        <w:t>e</w:t>
      </w:r>
      <w:r>
        <w:tab/>
        <w:t>= subscript indicating the specific emerging technology</w:t>
      </w:r>
    </w:p>
    <w:p w14:paraId="76BA721C" w14:textId="77777777" w:rsidR="00D72B7E" w:rsidRDefault="00D72B7E" w:rsidP="00D72B7E">
      <w:pPr>
        <w:tabs>
          <w:tab w:val="left" w:pos="900"/>
        </w:tabs>
        <w:ind w:left="360"/>
      </w:pPr>
      <w:r>
        <w:rPr>
          <w:i/>
        </w:rPr>
        <w:t>i</w:t>
      </w:r>
      <w:r>
        <w:tab/>
        <w:t>= subscript indicating the specific end-use and fuel type</w:t>
      </w:r>
    </w:p>
    <w:p w14:paraId="69B89BD9" w14:textId="77777777" w:rsidR="00D72B7E" w:rsidRPr="00681F49" w:rsidRDefault="00D72B7E" w:rsidP="00D72B7E">
      <w:pPr>
        <w:tabs>
          <w:tab w:val="left" w:pos="900"/>
        </w:tabs>
        <w:ind w:left="360"/>
      </w:pPr>
      <w:r>
        <w:rPr>
          <w:i/>
        </w:rPr>
        <w:t>j</w:t>
      </w:r>
      <w:r>
        <w:tab/>
        <w:t>= subscript indicating the market sub-sector and NAICS segment</w:t>
      </w:r>
    </w:p>
    <w:p w14:paraId="6A3FC173" w14:textId="77777777" w:rsidR="00D72B7E" w:rsidRPr="00754C9E" w:rsidRDefault="00260768" w:rsidP="00D72B7E">
      <w:pPr>
        <w:tabs>
          <w:tab w:val="left" w:pos="900"/>
        </w:tabs>
        <w:ind w:left="360"/>
        <w:rPr>
          <w:i/>
        </w:rPr>
      </w:pPr>
      <m:oMath>
        <m:sSub>
          <m:sSubPr>
            <m:ctrlPr>
              <w:rPr>
                <w:rFonts w:ascii="Cambria Math" w:eastAsiaTheme="minorHAnsi" w:hAnsi="Cambria Math" w:cstheme="minorBidi"/>
                <w:i/>
                <w:sz w:val="16"/>
                <w:szCs w:val="18"/>
              </w:rPr>
            </m:ctrlPr>
          </m:sSubPr>
          <m:e>
            <m:r>
              <w:rPr>
                <w:rFonts w:ascii="Cambria Math" w:hAnsi="Cambria Math"/>
                <w:sz w:val="16"/>
                <w:szCs w:val="18"/>
              </w:rPr>
              <m:t>T</m:t>
            </m:r>
          </m:e>
          <m:sub>
            <m:r>
              <w:rPr>
                <w:rFonts w:ascii="Cambria Math" w:hAnsi="Cambria Math"/>
                <w:sz w:val="16"/>
                <w:szCs w:val="18"/>
              </w:rPr>
              <m:t>e</m:t>
            </m:r>
          </m:sub>
        </m:sSub>
      </m:oMath>
      <w:r w:rsidR="00D72B7E">
        <w:tab/>
        <w:t xml:space="preserve">= technology energy savings percentage for emerging technology, </w:t>
      </w:r>
      <w:r w:rsidR="00D72B7E">
        <w:rPr>
          <w:i/>
        </w:rPr>
        <w:t>e,</w:t>
      </w:r>
      <w:r w:rsidR="00D72B7E" w:rsidRPr="002D607B">
        <w:t xml:space="preserve"> by end-use </w:t>
      </w:r>
      <w:r w:rsidR="00D72B7E" w:rsidRPr="00422AC8">
        <w:t>application</w:t>
      </w:r>
      <w:r w:rsidR="00D72B7E">
        <w:rPr>
          <w:rFonts w:eastAsiaTheme="minorEastAsia"/>
        </w:rPr>
        <w:tab/>
      </w:r>
    </w:p>
    <w:p w14:paraId="2AED4F04" w14:textId="77777777" w:rsidR="00D72B7E" w:rsidRDefault="00260768" w:rsidP="00D72B7E">
      <w:pPr>
        <w:tabs>
          <w:tab w:val="left" w:pos="900"/>
        </w:tabs>
        <w:ind w:left="360"/>
      </w:pPr>
      <m:oMath>
        <m:sSub>
          <m:sSubPr>
            <m:ctrlPr>
              <w:rPr>
                <w:rFonts w:ascii="Cambria Math" w:eastAsiaTheme="minorHAnsi" w:hAnsi="Cambria Math" w:cstheme="minorBidi"/>
                <w:i/>
                <w:sz w:val="16"/>
                <w:szCs w:val="18"/>
              </w:rPr>
            </m:ctrlPr>
          </m:sSubPr>
          <m:e>
            <m:r>
              <w:rPr>
                <w:rFonts w:ascii="Cambria Math" w:hAnsi="Cambria Math"/>
                <w:sz w:val="16"/>
                <w:szCs w:val="18"/>
              </w:rPr>
              <m:t>E</m:t>
            </m:r>
          </m:e>
          <m:sub>
            <m:r>
              <w:rPr>
                <w:rFonts w:ascii="Cambria Math" w:hAnsi="Cambria Math"/>
                <w:sz w:val="16"/>
                <w:szCs w:val="18"/>
              </w:rPr>
              <m:t>i,j</m:t>
            </m:r>
          </m:sub>
        </m:sSub>
      </m:oMath>
      <w:r w:rsidR="00D72B7E" w:rsidRPr="00B86184">
        <w:rPr>
          <w:sz w:val="18"/>
          <w:szCs w:val="18"/>
        </w:rPr>
        <w:t xml:space="preserve"> </w:t>
      </w:r>
      <w:r w:rsidR="00D72B7E">
        <w:tab/>
        <w:t xml:space="preserve">= percentage of total energy consumption by sub-sector </w:t>
      </w:r>
      <w:r w:rsidR="00D72B7E">
        <w:rPr>
          <w:i/>
        </w:rPr>
        <w:t>j</w:t>
      </w:r>
      <w:r w:rsidR="00D72B7E">
        <w:t xml:space="preserve"> energy attributable to end-use, </w:t>
      </w:r>
      <w:r w:rsidR="00D72B7E">
        <w:rPr>
          <w:i/>
        </w:rPr>
        <w:t xml:space="preserve">i </w:t>
      </w:r>
      <w:r w:rsidR="00D72B7E">
        <w:t xml:space="preserve"> </w:t>
      </w:r>
    </w:p>
    <w:p w14:paraId="6CFD180E" w14:textId="77777777" w:rsidR="00D72B7E" w:rsidRPr="00681F49" w:rsidRDefault="00260768" w:rsidP="00D72B7E">
      <w:pPr>
        <w:tabs>
          <w:tab w:val="left" w:pos="900"/>
        </w:tabs>
        <w:ind w:left="360"/>
        <w:rPr>
          <w:i/>
        </w:rPr>
      </w:pPr>
      <m:oMath>
        <m:sSub>
          <m:sSubPr>
            <m:ctrlPr>
              <w:rPr>
                <w:rFonts w:ascii="Cambria Math" w:eastAsiaTheme="minorHAnsi" w:hAnsi="Cambria Math" w:cstheme="minorBidi"/>
                <w:i/>
                <w:sz w:val="16"/>
                <w:szCs w:val="18"/>
              </w:rPr>
            </m:ctrlPr>
          </m:sSubPr>
          <m:e>
            <m:r>
              <w:rPr>
                <w:rFonts w:ascii="Cambria Math" w:hAnsi="Cambria Math"/>
                <w:sz w:val="16"/>
                <w:szCs w:val="18"/>
              </w:rPr>
              <m:t>MT</m:t>
            </m:r>
          </m:e>
          <m:sub>
            <m:r>
              <w:rPr>
                <w:rFonts w:ascii="Cambria Math" w:hAnsi="Cambria Math"/>
                <w:sz w:val="16"/>
                <w:szCs w:val="18"/>
              </w:rPr>
              <m:t xml:space="preserve">j </m:t>
            </m:r>
          </m:sub>
        </m:sSub>
      </m:oMath>
      <w:r w:rsidR="00D72B7E" w:rsidRPr="00B86184">
        <w:rPr>
          <w:sz w:val="18"/>
        </w:rPr>
        <w:t xml:space="preserve"> </w:t>
      </w:r>
      <w:r w:rsidR="00D72B7E">
        <w:tab/>
        <w:t xml:space="preserve">= market trajectory for sector </w:t>
      </w:r>
      <w:r w:rsidR="00D72B7E">
        <w:rPr>
          <w:i/>
        </w:rPr>
        <w:t>j</w:t>
      </w:r>
    </w:p>
    <w:p w14:paraId="4490B57D" w14:textId="77777777" w:rsidR="00D72B7E" w:rsidRPr="00681F49" w:rsidRDefault="00260768" w:rsidP="00D72B7E">
      <w:pPr>
        <w:tabs>
          <w:tab w:val="left" w:pos="900"/>
        </w:tabs>
        <w:ind w:left="360"/>
        <w:rPr>
          <w:i/>
        </w:rPr>
      </w:pPr>
      <m:oMath>
        <m:sSub>
          <m:sSubPr>
            <m:ctrlPr>
              <w:rPr>
                <w:rFonts w:ascii="Cambria Math" w:eastAsiaTheme="minorHAnsi" w:hAnsi="Cambria Math" w:cstheme="minorBidi"/>
                <w:i/>
                <w:sz w:val="16"/>
                <w:szCs w:val="16"/>
              </w:rPr>
            </m:ctrlPr>
          </m:sSubPr>
          <m:e>
            <m:r>
              <w:rPr>
                <w:rFonts w:ascii="Cambria Math" w:hAnsi="Cambria Math"/>
                <w:sz w:val="16"/>
                <w:szCs w:val="16"/>
              </w:rPr>
              <m:t>TW</m:t>
            </m:r>
          </m:e>
          <m:sub>
            <m:r>
              <w:rPr>
                <w:rFonts w:ascii="Cambria Math" w:hAnsi="Cambria Math"/>
                <w:sz w:val="16"/>
                <w:szCs w:val="16"/>
              </w:rPr>
              <m:t>j</m:t>
            </m:r>
          </m:sub>
        </m:sSub>
      </m:oMath>
      <w:r w:rsidR="00D72B7E" w:rsidRPr="00B86184">
        <w:rPr>
          <w:sz w:val="16"/>
          <w:szCs w:val="16"/>
        </w:rPr>
        <w:t xml:space="preserve"> </w:t>
      </w:r>
      <w:r w:rsidR="00D72B7E">
        <w:tab/>
        <w:t xml:space="preserve">= segment energy consumption trend weight for sector </w:t>
      </w:r>
      <w:r w:rsidR="00D72B7E">
        <w:rPr>
          <w:i/>
        </w:rPr>
        <w:t>j</w:t>
      </w:r>
    </w:p>
    <w:p w14:paraId="7E8F6588" w14:textId="77777777" w:rsidR="00D72B7E" w:rsidRDefault="00D72B7E" w:rsidP="00D72B7E"/>
    <w:p w14:paraId="5E370C8A" w14:textId="77777777" w:rsidR="00D72B7E" w:rsidRDefault="00D72B7E" w:rsidP="00D72B7E">
      <w:pPr>
        <w:rPr>
          <w:szCs w:val="20"/>
        </w:rPr>
      </w:pPr>
      <w:r w:rsidRPr="005E3093">
        <w:rPr>
          <w:rFonts w:cs="Arial"/>
        </w:rPr>
        <w:t>The technology energy savings percentage</w:t>
      </w:r>
      <w:r>
        <w:rPr>
          <w:rFonts w:cs="Arial"/>
        </w:rPr>
        <w:t xml:space="preserve">, </w:t>
      </w:r>
      <w:r w:rsidRPr="005E3093">
        <w:rPr>
          <w:rFonts w:cs="Arial"/>
          <w:i/>
        </w:rPr>
        <w:t>T</w:t>
      </w:r>
      <w:r w:rsidRPr="005E3093">
        <w:rPr>
          <w:rFonts w:cs="Arial"/>
          <w:i/>
          <w:vertAlign w:val="subscript"/>
        </w:rPr>
        <w:t>e</w:t>
      </w:r>
      <w:r w:rsidRPr="005E3093">
        <w:rPr>
          <w:rFonts w:eastAsiaTheme="minorEastAsia" w:cs="Arial"/>
          <w:i/>
        </w:rPr>
        <w:t>,</w:t>
      </w:r>
      <w:r>
        <w:rPr>
          <w:rFonts w:eastAsiaTheme="minorEastAsia" w:cs="Arial"/>
        </w:rPr>
        <w:t xml:space="preserve"> wa</w:t>
      </w:r>
      <w:r w:rsidRPr="005E3093">
        <w:rPr>
          <w:rFonts w:eastAsiaTheme="minorEastAsia" w:cs="Arial"/>
        </w:rPr>
        <w:t>s determined for each emerging technology.  The sector end-use percentage</w:t>
      </w:r>
      <w:r>
        <w:rPr>
          <w:rFonts w:eastAsiaTheme="minorEastAsia" w:cs="Arial"/>
        </w:rPr>
        <w:t xml:space="preserve">, </w:t>
      </w:r>
      <w:r w:rsidRPr="005E3093">
        <w:rPr>
          <w:rFonts w:eastAsiaTheme="minorEastAsia" w:cs="Arial"/>
          <w:i/>
        </w:rPr>
        <w:t>E</w:t>
      </w:r>
      <w:r w:rsidRPr="005E3093">
        <w:rPr>
          <w:rFonts w:eastAsiaTheme="minorEastAsia" w:cs="Arial"/>
          <w:i/>
          <w:vertAlign w:val="subscript"/>
        </w:rPr>
        <w:t>i,j</w:t>
      </w:r>
      <w:r w:rsidRPr="005E3093">
        <w:rPr>
          <w:rFonts w:eastAsiaTheme="minorEastAsia" w:cs="Arial"/>
          <w:i/>
        </w:rPr>
        <w:t>,</w:t>
      </w:r>
      <w:r>
        <w:rPr>
          <w:rFonts w:eastAsiaTheme="minorEastAsia" w:cs="Arial"/>
        </w:rPr>
        <w:t xml:space="preserve"> </w:t>
      </w:r>
      <w:r w:rsidRPr="005E3093">
        <w:rPr>
          <w:rFonts w:eastAsiaTheme="minorEastAsia" w:cs="Arial"/>
        </w:rPr>
        <w:t>is derived from California market data.  The market trajectory for each sector</w:t>
      </w:r>
      <w:r>
        <w:rPr>
          <w:rFonts w:eastAsiaTheme="minorEastAsia" w:cs="Arial"/>
        </w:rPr>
        <w:t xml:space="preserve">, </w:t>
      </w:r>
      <w:r w:rsidRPr="005E3093">
        <w:rPr>
          <w:rFonts w:eastAsiaTheme="minorEastAsia" w:cs="Arial"/>
          <w:i/>
        </w:rPr>
        <w:t>MT</w:t>
      </w:r>
      <w:r w:rsidRPr="005E3093">
        <w:rPr>
          <w:rFonts w:eastAsiaTheme="minorEastAsia" w:cs="Arial"/>
          <w:i/>
          <w:vertAlign w:val="subscript"/>
        </w:rPr>
        <w:t>j</w:t>
      </w:r>
      <w:r>
        <w:rPr>
          <w:rFonts w:eastAsiaTheme="minorEastAsia" w:cs="Arial"/>
        </w:rPr>
        <w:t xml:space="preserve">, </w:t>
      </w:r>
      <w:r w:rsidRPr="005E3093">
        <w:rPr>
          <w:rFonts w:eastAsiaTheme="minorEastAsia" w:cs="Arial"/>
        </w:rPr>
        <w:t xml:space="preserve">is a value between 0 and 1, indicating if the sector is likely to </w:t>
      </w:r>
      <w:r>
        <w:rPr>
          <w:rFonts w:eastAsiaTheme="minorEastAsia" w:cs="Arial"/>
        </w:rPr>
        <w:t>move</w:t>
      </w:r>
      <w:r w:rsidRPr="005E3093">
        <w:rPr>
          <w:rFonts w:eastAsiaTheme="minorEastAsia" w:cs="Arial"/>
        </w:rPr>
        <w:t xml:space="preserve"> offshore (0.33), close to tipping point of moving offshore (0.67), or likely to remain in the US (1).</w:t>
      </w:r>
      <w:r w:rsidRPr="005E3093">
        <w:rPr>
          <w:rStyle w:val="FootnoteReference"/>
          <w:rFonts w:eastAsiaTheme="minorEastAsia" w:cs="Arial"/>
        </w:rPr>
        <w:footnoteReference w:id="28"/>
      </w:r>
      <w:r w:rsidRPr="005E3093">
        <w:rPr>
          <w:rFonts w:eastAsiaTheme="minorEastAsia" w:cs="Arial"/>
        </w:rPr>
        <w:t xml:space="preserve">  The segment energy consumption trend weight</w:t>
      </w:r>
      <w:r>
        <w:rPr>
          <w:rFonts w:eastAsiaTheme="minorEastAsia" w:cs="Arial"/>
        </w:rPr>
        <w:t xml:space="preserve">, </w:t>
      </w:r>
      <w:r w:rsidRPr="005E3093">
        <w:rPr>
          <w:rFonts w:eastAsiaTheme="minorEastAsia" w:cs="Arial"/>
          <w:i/>
        </w:rPr>
        <w:t>TW</w:t>
      </w:r>
      <w:r w:rsidRPr="005E3093">
        <w:rPr>
          <w:rFonts w:eastAsiaTheme="minorEastAsia" w:cs="Arial"/>
          <w:i/>
          <w:vertAlign w:val="subscript"/>
        </w:rPr>
        <w:t>j</w:t>
      </w:r>
      <w:r>
        <w:rPr>
          <w:rFonts w:eastAsiaTheme="minorEastAsia" w:cs="Arial"/>
        </w:rPr>
        <w:t xml:space="preserve">, </w:t>
      </w:r>
      <w:r w:rsidRPr="005E3093">
        <w:rPr>
          <w:rFonts w:eastAsiaTheme="minorEastAsia" w:cs="Arial"/>
        </w:rPr>
        <w:t>is a value between 0 and 1, indicating the trend of energy consumption of each sector over time based on an analysis provided by the California Energy Commission (CEC) shows electricity consumption trend for various ind</w:t>
      </w:r>
      <w:r w:rsidR="00B11F8A">
        <w:rPr>
          <w:rFonts w:eastAsiaTheme="minorEastAsia" w:cs="Arial"/>
        </w:rPr>
        <w:t>ustries from 1990 through 2015.</w:t>
      </w:r>
    </w:p>
    <w:p w14:paraId="00E8E6F9" w14:textId="77777777" w:rsidR="00D72B7E" w:rsidRDefault="00D72B7E" w:rsidP="00B607AE">
      <w:pPr>
        <w:rPr>
          <w:highlight w:val="yellow"/>
        </w:rPr>
      </w:pPr>
    </w:p>
    <w:p w14:paraId="01F193F6" w14:textId="77777777" w:rsidR="00835ACB" w:rsidRDefault="00835ACB" w:rsidP="00B607AE">
      <w:r>
        <w:t xml:space="preserve">Section </w:t>
      </w:r>
      <w:r>
        <w:fldChar w:fldCharType="begin"/>
      </w:r>
      <w:r>
        <w:instrText xml:space="preserve"> REF _Ref482543555 \n \h </w:instrText>
      </w:r>
      <w:r>
        <w:fldChar w:fldCharType="separate"/>
      </w:r>
      <w:r w:rsidR="007566B9">
        <w:t>3.5</w:t>
      </w:r>
      <w:r>
        <w:fldChar w:fldCharType="end"/>
      </w:r>
      <w:r>
        <w:t xml:space="preserve"> discussed the data inputs for this equation. </w:t>
      </w:r>
    </w:p>
    <w:p w14:paraId="2BC5EC02" w14:textId="77777777" w:rsidR="008820EA" w:rsidRDefault="008820EA" w:rsidP="008820EA">
      <w:pPr>
        <w:pStyle w:val="Heading3"/>
      </w:pPr>
      <w:bookmarkStart w:id="226" w:name="_Toc482634271"/>
      <w:bookmarkStart w:id="227" w:name="_Toc482626403"/>
      <w:bookmarkStart w:id="228" w:name="_Toc484092474"/>
      <w:bookmarkStart w:id="229" w:name="_Toc484172677"/>
      <w:bookmarkStart w:id="230" w:name="_Toc484183014"/>
      <w:bookmarkStart w:id="231" w:name="_Toc490225771"/>
      <w:r>
        <w:t>Behavior, Retrocommissioning</w:t>
      </w:r>
      <w:r w:rsidR="00C5490B">
        <w:t>, Operational Efficiency (BROs)</w:t>
      </w:r>
      <w:bookmarkEnd w:id="221"/>
      <w:bookmarkEnd w:id="226"/>
      <w:bookmarkEnd w:id="227"/>
      <w:bookmarkEnd w:id="228"/>
      <w:bookmarkEnd w:id="229"/>
      <w:bookmarkEnd w:id="230"/>
      <w:bookmarkEnd w:id="231"/>
      <w:r w:rsidRPr="00CD1669">
        <w:t xml:space="preserve"> </w:t>
      </w:r>
      <w:bookmarkEnd w:id="222"/>
      <w:bookmarkEnd w:id="223"/>
    </w:p>
    <w:p w14:paraId="62FBCB12" w14:textId="77777777" w:rsidR="00F65784" w:rsidRDefault="008820EA" w:rsidP="00C50ED5">
      <w:r w:rsidRPr="00515448">
        <w:t>For the purposes of this study, the Navigant team defines behavior-based initiatives as those providing information about energy use and conservation actions, rather than financial incentives, equipment, or services.</w:t>
      </w:r>
      <w:r w:rsidR="00515448" w:rsidRPr="00515448">
        <w:t xml:space="preserve"> </w:t>
      </w:r>
      <w:r w:rsidR="000E4C23">
        <w:t xml:space="preserve">The market </w:t>
      </w:r>
      <w:r w:rsidR="000E4C23" w:rsidRPr="000E4C23">
        <w:t xml:space="preserve">potential </w:t>
      </w:r>
      <w:r w:rsidR="000E4C23">
        <w:t xml:space="preserve">modeled for these initiatives is </w:t>
      </w:r>
      <w:r w:rsidR="000E4C23" w:rsidRPr="000E4C23">
        <w:t>incremental to savings from equipment change-outs</w:t>
      </w:r>
      <w:r w:rsidR="003E3377">
        <w:t xml:space="preserve">. </w:t>
      </w:r>
    </w:p>
    <w:p w14:paraId="70AA67E3" w14:textId="77777777" w:rsidR="00F65784" w:rsidRDefault="00F65784" w:rsidP="00F65784">
      <w:pPr>
        <w:pStyle w:val="Heading4"/>
      </w:pPr>
      <w:r>
        <w:t xml:space="preserve">Energy </w:t>
      </w:r>
      <w:r w:rsidR="00974FAC">
        <w:t xml:space="preserve">and Demand </w:t>
      </w:r>
      <w:r>
        <w:t>Savings</w:t>
      </w:r>
    </w:p>
    <w:p w14:paraId="546058AA" w14:textId="77777777" w:rsidR="00C50ED5" w:rsidRDefault="00B20B55" w:rsidP="00C50ED5">
      <w:r w:rsidRPr="00B20B55">
        <w:fldChar w:fldCharType="begin"/>
      </w:r>
      <w:r w:rsidRPr="00B20B55">
        <w:instrText xml:space="preserve"> REF _Ref481075763 \h </w:instrText>
      </w:r>
      <w:r>
        <w:instrText xml:space="preserve"> \* MERGEFORMAT </w:instrText>
      </w:r>
      <w:r w:rsidRPr="00B20B55">
        <w:fldChar w:fldCharType="separate"/>
      </w:r>
      <w:r w:rsidR="007566B9" w:rsidRPr="00B20B55">
        <w:t xml:space="preserve">Equation </w:t>
      </w:r>
      <w:r w:rsidR="007566B9">
        <w:rPr>
          <w:noProof/>
        </w:rPr>
        <w:t>2</w:t>
      </w:r>
      <w:r w:rsidR="007566B9">
        <w:rPr>
          <w:noProof/>
        </w:rPr>
        <w:noBreakHyphen/>
        <w:t>5</w:t>
      </w:r>
      <w:r w:rsidRPr="00B20B55">
        <w:fldChar w:fldCharType="end"/>
      </w:r>
      <w:r w:rsidRPr="00B20B55">
        <w:t xml:space="preserve"> is the general equation for the BROs potential model. </w:t>
      </w:r>
      <w:r w:rsidR="00C50ED5">
        <w:t xml:space="preserve">Each of the components are described below. </w:t>
      </w:r>
    </w:p>
    <w:p w14:paraId="0F364C80" w14:textId="77777777" w:rsidR="00B20B55" w:rsidRPr="00B20B55" w:rsidRDefault="00B20B55" w:rsidP="008820EA"/>
    <w:p w14:paraId="31217CB4" w14:textId="77777777" w:rsidR="00B20B55" w:rsidRPr="00B20B55" w:rsidRDefault="00B20B55" w:rsidP="00921BF1">
      <w:pPr>
        <w:pStyle w:val="Caption"/>
      </w:pPr>
      <w:bookmarkStart w:id="232" w:name="_Ref481751326"/>
      <w:bookmarkStart w:id="233" w:name="_Ref481075763"/>
      <w:r w:rsidRPr="00B20B55">
        <w:lastRenderedPageBreak/>
        <w:t xml:space="preserve">Equation </w:t>
      </w:r>
      <w:fldSimple w:instr=" STYLEREF 1 \s ">
        <w:r w:rsidR="007566B9">
          <w:rPr>
            <w:noProof/>
          </w:rPr>
          <w:t>2</w:t>
        </w:r>
      </w:fldSimple>
      <w:r w:rsidR="00D4736F">
        <w:noBreakHyphen/>
      </w:r>
      <w:fldSimple w:instr=" SEQ Equation \* ARABIC \s 1 ">
        <w:r w:rsidR="007566B9">
          <w:rPr>
            <w:noProof/>
          </w:rPr>
          <w:t>5</w:t>
        </w:r>
      </w:fldSimple>
      <w:bookmarkEnd w:id="232"/>
      <w:bookmarkEnd w:id="233"/>
      <w:r w:rsidRPr="00B20B55">
        <w:t>. General Equation for Calculating Incremental Market Potential for BROs</w:t>
      </w:r>
    </w:p>
    <w:p w14:paraId="6CB9D3B0" w14:textId="77777777" w:rsidR="00510C1B" w:rsidRDefault="00510C1B" w:rsidP="008820EA">
      <w:pPr>
        <w:rPr>
          <w:i/>
        </w:rPr>
      </w:pPr>
      <m:oMathPara>
        <m:oMath>
          <m:r>
            <w:rPr>
              <w:rFonts w:ascii="Cambria Math" w:hAnsi="Cambria Math"/>
            </w:rPr>
            <m:t>Incremental Market Potential=Population × Applicability Factor × Unit Energy Savings × Penetration Rate</m:t>
          </m:r>
        </m:oMath>
      </m:oMathPara>
    </w:p>
    <w:p w14:paraId="2FFB0006" w14:textId="77777777" w:rsidR="00852E44" w:rsidRDefault="00852E44" w:rsidP="008820EA"/>
    <w:p w14:paraId="4B3CAE09" w14:textId="77777777" w:rsidR="00C50ED5" w:rsidRDefault="00C50ED5" w:rsidP="008820EA">
      <w:r>
        <w:t xml:space="preserve">Where, </w:t>
      </w:r>
    </w:p>
    <w:p w14:paraId="71ED7086" w14:textId="77777777" w:rsidR="00C50ED5" w:rsidRDefault="00C50ED5" w:rsidP="004E4E36">
      <w:pPr>
        <w:pStyle w:val="ListParagraph"/>
        <w:numPr>
          <w:ilvl w:val="0"/>
          <w:numId w:val="36"/>
        </w:numPr>
      </w:pPr>
      <w:r w:rsidRPr="00C50ED5">
        <w:rPr>
          <w:b/>
        </w:rPr>
        <w:t>Population</w:t>
      </w:r>
      <w:r>
        <w:t xml:space="preserve"> is a global input that can be represented in two ways - number of homes and square feet of floor space or in sector energy consumption. </w:t>
      </w:r>
    </w:p>
    <w:p w14:paraId="3D02BC0A" w14:textId="77777777" w:rsidR="00C50ED5" w:rsidRPr="00B20B55" w:rsidRDefault="00C50ED5" w:rsidP="004E4E36">
      <w:pPr>
        <w:pStyle w:val="ListParagraph"/>
        <w:numPr>
          <w:ilvl w:val="0"/>
          <w:numId w:val="36"/>
        </w:numPr>
      </w:pPr>
      <w:r w:rsidRPr="00C50ED5">
        <w:rPr>
          <w:b/>
        </w:rPr>
        <w:t>Applicability Factor</w:t>
      </w:r>
      <w:r>
        <w:t xml:space="preserve"> represents eligibility and other program-specific variables</w:t>
      </w:r>
      <w:r w:rsidR="00CB3715">
        <w:t>, including existing saturation that precludes customers from participating in future IOU interventions</w:t>
      </w:r>
      <w:r>
        <w:t>.</w:t>
      </w:r>
    </w:p>
    <w:p w14:paraId="2CF4B31C" w14:textId="77777777" w:rsidR="00C50ED5" w:rsidRDefault="00C50ED5" w:rsidP="004E4E36">
      <w:pPr>
        <w:pStyle w:val="ListParagraph"/>
        <w:numPr>
          <w:ilvl w:val="0"/>
          <w:numId w:val="36"/>
        </w:numPr>
      </w:pPr>
      <w:r w:rsidRPr="00852E44">
        <w:rPr>
          <w:b/>
        </w:rPr>
        <w:t>Unit Energy Savings</w:t>
      </w:r>
      <w:r>
        <w:t xml:space="preserve"> represent the savings expected from participants and can also be represented in two ways </w:t>
      </w:r>
      <w:r w:rsidR="00852E44">
        <w:t>–</w:t>
      </w:r>
      <w:r>
        <w:t xml:space="preserve"> </w:t>
      </w:r>
      <w:r w:rsidR="00852E44">
        <w:t xml:space="preserve">kWh and therms or in percent of consumption. </w:t>
      </w:r>
    </w:p>
    <w:p w14:paraId="42880D17" w14:textId="77777777" w:rsidR="00852E44" w:rsidRDefault="00852E44" w:rsidP="004E4E36">
      <w:pPr>
        <w:pStyle w:val="ListParagraph"/>
        <w:numPr>
          <w:ilvl w:val="0"/>
          <w:numId w:val="36"/>
        </w:numPr>
      </w:pPr>
      <w:r>
        <w:rPr>
          <w:b/>
        </w:rPr>
        <w:t xml:space="preserve">Penetration Rate </w:t>
      </w:r>
      <w:r>
        <w:t xml:space="preserve">represents participation and varies over time and by scenario (reference or aggressive). This reflects both the utility-driven rollout and the customer uptake of the program, depending on the nature of the program. </w:t>
      </w:r>
    </w:p>
    <w:p w14:paraId="786B15FA" w14:textId="77777777" w:rsidR="00F65784" w:rsidRDefault="00F65784" w:rsidP="00F65784"/>
    <w:p w14:paraId="3F3703DE" w14:textId="77777777" w:rsidR="00F65784" w:rsidRDefault="00F65784" w:rsidP="00974FAC">
      <w:r>
        <w:t>The initial penetration rates are based on existing levels of participation (either for the California IOUs for existing programs or the program from which data was drawn applied to the California IOUs’ territories). The forecasts are the result of professional judgement</w:t>
      </w:r>
      <w:r w:rsidR="00C56AB3">
        <w:t xml:space="preserve"> based upon program operations and whether participation is utility driven (opt-out) or customer</w:t>
      </w:r>
      <w:r w:rsidR="00C56AB3" w:rsidRPr="00C56AB3">
        <w:t xml:space="preserve"> </w:t>
      </w:r>
      <w:r w:rsidR="00C56AB3">
        <w:t xml:space="preserve">driven (opt-in). </w:t>
      </w:r>
    </w:p>
    <w:p w14:paraId="3C9C32CA" w14:textId="77777777" w:rsidR="00EC0C31" w:rsidRDefault="00EC0C31" w:rsidP="00974FAC"/>
    <w:p w14:paraId="4F5552BD" w14:textId="77777777" w:rsidR="00EC0C31" w:rsidRPr="00B20B55" w:rsidRDefault="00EC0C31" w:rsidP="00EC0C31">
      <w:r>
        <w:t xml:space="preserve">The potential for double counting among BROs programs was addressed in the characterization of programs in the same sector. Adjustments to penetration and applicability were made to avoid the double counting of savings. </w:t>
      </w:r>
    </w:p>
    <w:p w14:paraId="1753F0F5" w14:textId="77777777" w:rsidR="00974FAC" w:rsidRDefault="00974FAC" w:rsidP="00974FAC"/>
    <w:p w14:paraId="0A4FA7BF" w14:textId="77777777" w:rsidR="00510C1B" w:rsidRDefault="00510C1B" w:rsidP="00974FAC">
      <w:r>
        <w:t>This effort does not examine demand-focused programs</w:t>
      </w:r>
      <w:r w:rsidR="005C2BDF">
        <w:t>, but does include demand savings that are associated with programs focused on energy efficiency using</w:t>
      </w:r>
      <w:r w:rsidR="00D4736F">
        <w:t xml:space="preserve"> the energy savings from </w:t>
      </w:r>
      <w:r w:rsidR="00D4736F">
        <w:fldChar w:fldCharType="begin"/>
      </w:r>
      <w:r w:rsidR="00D4736F">
        <w:instrText xml:space="preserve"> REF _Ref481751326 \h </w:instrText>
      </w:r>
      <w:r w:rsidR="00D4736F">
        <w:fldChar w:fldCharType="separate"/>
      </w:r>
      <w:r w:rsidR="007566B9" w:rsidRPr="00B20B55">
        <w:t xml:space="preserve">Equation </w:t>
      </w:r>
      <w:r w:rsidR="007566B9">
        <w:rPr>
          <w:noProof/>
        </w:rPr>
        <w:t>2</w:t>
      </w:r>
      <w:r w:rsidR="007566B9">
        <w:noBreakHyphen/>
      </w:r>
      <w:r w:rsidR="007566B9">
        <w:rPr>
          <w:noProof/>
        </w:rPr>
        <w:t>5</w:t>
      </w:r>
      <w:r w:rsidR="00D4736F">
        <w:fldChar w:fldCharType="end"/>
      </w:r>
      <w:r w:rsidR="00D4736F">
        <w:t xml:space="preserve"> in</w:t>
      </w:r>
      <w:r w:rsidR="005C2BDF">
        <w:t xml:space="preserve"> </w:t>
      </w:r>
      <w:r w:rsidR="005C2BDF">
        <w:fldChar w:fldCharType="begin"/>
      </w:r>
      <w:r w:rsidR="005C2BDF">
        <w:instrText xml:space="preserve"> REF _Ref481750819 \h </w:instrText>
      </w:r>
      <w:r w:rsidR="005C2BDF">
        <w:fldChar w:fldCharType="separate"/>
      </w:r>
      <w:r w:rsidR="007566B9">
        <w:t xml:space="preserve">Equation </w:t>
      </w:r>
      <w:r w:rsidR="007566B9">
        <w:rPr>
          <w:noProof/>
        </w:rPr>
        <w:t>2</w:t>
      </w:r>
      <w:r w:rsidR="007566B9">
        <w:noBreakHyphen/>
      </w:r>
      <w:r w:rsidR="007566B9">
        <w:rPr>
          <w:noProof/>
        </w:rPr>
        <w:t>6</w:t>
      </w:r>
      <w:r w:rsidR="005C2BDF">
        <w:fldChar w:fldCharType="end"/>
      </w:r>
      <w:r w:rsidR="005C2BDF">
        <w:t xml:space="preserve">. </w:t>
      </w:r>
    </w:p>
    <w:p w14:paraId="2CE2FB77" w14:textId="77777777" w:rsidR="005C2BDF" w:rsidRDefault="005C2BDF" w:rsidP="00974FAC"/>
    <w:p w14:paraId="1AD5DD19" w14:textId="77777777" w:rsidR="005C2BDF" w:rsidRDefault="005C2BDF" w:rsidP="00974FAC">
      <w:pPr>
        <w:pStyle w:val="Caption"/>
      </w:pPr>
      <w:bookmarkStart w:id="234" w:name="_Ref481750819"/>
      <w:r>
        <w:t xml:space="preserve">Equation </w:t>
      </w:r>
      <w:fldSimple w:instr=" STYLEREF 1 \s ">
        <w:r w:rsidR="007566B9">
          <w:rPr>
            <w:noProof/>
          </w:rPr>
          <w:t>2</w:t>
        </w:r>
      </w:fldSimple>
      <w:r w:rsidR="00D4736F">
        <w:noBreakHyphen/>
      </w:r>
      <w:fldSimple w:instr=" SEQ Equation \* ARABIC \s 1 ">
        <w:r w:rsidR="007566B9">
          <w:rPr>
            <w:noProof/>
          </w:rPr>
          <w:t>6</w:t>
        </w:r>
      </w:fldSimple>
      <w:bookmarkEnd w:id="234"/>
      <w:r>
        <w:t>. General Equation for Calculating BROs Demand Savings</w:t>
      </w:r>
    </w:p>
    <w:p w14:paraId="198FCBE5" w14:textId="77777777" w:rsidR="005C2BDF" w:rsidRDefault="005C2BDF" w:rsidP="00974FAC">
      <m:oMathPara>
        <m:oMath>
          <m:r>
            <w:rPr>
              <w:rFonts w:ascii="Cambria Math" w:hAnsi="Cambria Math"/>
            </w:rPr>
            <m:t xml:space="preserve">Incremental Market Potential </m:t>
          </m:r>
          <m:d>
            <m:dPr>
              <m:ctrlPr>
                <w:rPr>
                  <w:rFonts w:ascii="Cambria Math" w:hAnsi="Cambria Math"/>
                  <w:i/>
                </w:rPr>
              </m:ctrlPr>
            </m:dPr>
            <m:e>
              <m:r>
                <w:rPr>
                  <w:rFonts w:ascii="Cambria Math" w:hAnsi="Cambria Math"/>
                </w:rPr>
                <m:t>kW</m:t>
              </m:r>
            </m:e>
          </m:d>
          <m:r>
            <w:rPr>
              <w:rFonts w:ascii="Cambria Math" w:hAnsi="Cambria Math"/>
            </w:rPr>
            <m:t xml:space="preserve">=Incremental Market Potential </m:t>
          </m:r>
          <m:d>
            <m:dPr>
              <m:ctrlPr>
                <w:rPr>
                  <w:rFonts w:ascii="Cambria Math" w:hAnsi="Cambria Math"/>
                  <w:i/>
                </w:rPr>
              </m:ctrlPr>
            </m:dPr>
            <m:e>
              <m:r>
                <w:rPr>
                  <w:rFonts w:ascii="Cambria Math" w:hAnsi="Cambria Math"/>
                </w:rPr>
                <m:t>kWh</m:t>
              </m:r>
            </m:e>
          </m:d>
          <m:r>
            <w:rPr>
              <w:rFonts w:ascii="Cambria Math" w:hAnsi="Cambria Math"/>
            </w:rPr>
            <m:t xml:space="preserve"> × Peak to Energy Ratio</m:t>
          </m:r>
        </m:oMath>
      </m:oMathPara>
    </w:p>
    <w:p w14:paraId="3C8DD26E" w14:textId="77777777" w:rsidR="00F65784" w:rsidRPr="00974FAC" w:rsidRDefault="00F65784" w:rsidP="00F65784">
      <w:pPr>
        <w:pStyle w:val="Heading4"/>
      </w:pPr>
      <w:r w:rsidRPr="00974FAC">
        <w:t>Costs</w:t>
      </w:r>
    </w:p>
    <w:p w14:paraId="27CE8F51" w14:textId="77777777" w:rsidR="00D4736F" w:rsidRPr="00974FAC" w:rsidRDefault="00D4736F" w:rsidP="00974FAC">
      <w:r w:rsidRPr="00974FAC">
        <w:t xml:space="preserve">Similarly to demand savings, </w:t>
      </w:r>
      <w:r w:rsidR="00CB3715">
        <w:t xml:space="preserve">utility </w:t>
      </w:r>
      <w:r w:rsidRPr="00974FAC">
        <w:t xml:space="preserve">program costs are calculated from the energy savings in </w:t>
      </w:r>
      <w:r w:rsidRPr="00974FAC">
        <w:fldChar w:fldCharType="begin"/>
      </w:r>
      <w:r w:rsidRPr="00974FAC">
        <w:instrText xml:space="preserve"> REF _Ref481751326 \h </w:instrText>
      </w:r>
      <w:r w:rsidR="00662ECD">
        <w:instrText xml:space="preserve"> \* MERGEFORMAT </w:instrText>
      </w:r>
      <w:r w:rsidRPr="00974FAC">
        <w:fldChar w:fldCharType="separate"/>
      </w:r>
      <w:r w:rsidR="007566B9" w:rsidRPr="00B20B55">
        <w:t xml:space="preserve">Equation </w:t>
      </w:r>
      <w:r w:rsidR="007566B9">
        <w:rPr>
          <w:noProof/>
        </w:rPr>
        <w:t>2</w:t>
      </w:r>
      <w:r w:rsidR="007566B9">
        <w:rPr>
          <w:noProof/>
        </w:rPr>
        <w:noBreakHyphen/>
        <w:t>5</w:t>
      </w:r>
      <w:r w:rsidRPr="00974FAC">
        <w:fldChar w:fldCharType="end"/>
      </w:r>
      <w:r w:rsidRPr="00974FAC">
        <w:t xml:space="preserve">. The Cost Factor in </w:t>
      </w:r>
      <w:r w:rsidRPr="00974FAC">
        <w:fldChar w:fldCharType="begin"/>
      </w:r>
      <w:r w:rsidRPr="00974FAC">
        <w:instrText xml:space="preserve"> REF _Ref481751824 \h </w:instrText>
      </w:r>
      <w:r w:rsidR="00662ECD">
        <w:instrText xml:space="preserve"> \* MERGEFORMAT </w:instrText>
      </w:r>
      <w:r w:rsidRPr="00974FAC">
        <w:fldChar w:fldCharType="separate"/>
      </w:r>
      <w:r w:rsidR="007566B9" w:rsidRPr="00974FAC">
        <w:t xml:space="preserve">Equation </w:t>
      </w:r>
      <w:r w:rsidR="007566B9">
        <w:rPr>
          <w:noProof/>
        </w:rPr>
        <w:t>2</w:t>
      </w:r>
      <w:r w:rsidR="007566B9" w:rsidRPr="00974FAC">
        <w:rPr>
          <w:noProof/>
        </w:rPr>
        <w:noBreakHyphen/>
      </w:r>
      <w:r w:rsidR="007566B9">
        <w:rPr>
          <w:noProof/>
        </w:rPr>
        <w:t>7</w:t>
      </w:r>
      <w:r w:rsidRPr="00974FAC">
        <w:fldChar w:fldCharType="end"/>
      </w:r>
      <w:r w:rsidRPr="00974FAC">
        <w:t xml:space="preserve"> is a unit energy cost expressed in either dollars per kWh or dollars per therm. </w:t>
      </w:r>
      <w:r w:rsidR="00662ECD" w:rsidRPr="00974FAC">
        <w:t xml:space="preserve">For programs that save both electricity and gas, it was sometimes possible to divide the costs by fuel type, but in instances where this was not possible all costs were assigned to one fuel type to avoid double-counting costs. </w:t>
      </w:r>
    </w:p>
    <w:p w14:paraId="3A5CE999" w14:textId="77777777" w:rsidR="00D4736F" w:rsidRPr="00974FAC" w:rsidRDefault="00D4736F" w:rsidP="00974FAC"/>
    <w:p w14:paraId="197A5DE3" w14:textId="77777777" w:rsidR="00D4736F" w:rsidRPr="00974FAC" w:rsidRDefault="00D4736F" w:rsidP="00974FAC">
      <w:pPr>
        <w:pStyle w:val="Caption"/>
      </w:pPr>
      <w:bookmarkStart w:id="235" w:name="_Ref481751824"/>
      <w:r w:rsidRPr="00974FAC">
        <w:t xml:space="preserve">Equation </w:t>
      </w:r>
      <w:fldSimple w:instr=" STYLEREF 1 \s ">
        <w:r w:rsidR="007566B9">
          <w:rPr>
            <w:noProof/>
          </w:rPr>
          <w:t>2</w:t>
        </w:r>
      </w:fldSimple>
      <w:r w:rsidRPr="00974FAC">
        <w:noBreakHyphen/>
      </w:r>
      <w:fldSimple w:instr=" SEQ Equation \* ARABIC \s 1 ">
        <w:r w:rsidR="007566B9">
          <w:rPr>
            <w:noProof/>
          </w:rPr>
          <w:t>7</w:t>
        </w:r>
      </w:fldSimple>
      <w:bookmarkEnd w:id="235"/>
      <w:r w:rsidRPr="00974FAC">
        <w:t>. General Equation for Calculating BROs Program Costs</w:t>
      </w:r>
    </w:p>
    <w:p w14:paraId="06709600" w14:textId="77777777" w:rsidR="00D4736F" w:rsidRPr="00974FAC" w:rsidRDefault="00D4736F" w:rsidP="00974FAC">
      <m:oMathPara>
        <m:oMath>
          <m:r>
            <w:rPr>
              <w:rFonts w:ascii="Cambria Math" w:hAnsi="Cambria Math"/>
            </w:rPr>
            <m:t>Program Cost=Incremental Market Potential × Cost Factor</m:t>
          </m:r>
        </m:oMath>
      </m:oMathPara>
    </w:p>
    <w:p w14:paraId="28372AE2" w14:textId="77777777" w:rsidR="008820EA" w:rsidRPr="001B5456" w:rsidRDefault="00D30C26" w:rsidP="008820EA">
      <w:pPr>
        <w:pStyle w:val="Heading3"/>
      </w:pPr>
      <w:bookmarkStart w:id="236" w:name="_Toc482626404"/>
      <w:bookmarkStart w:id="237" w:name="_Toc490225772"/>
      <w:bookmarkStart w:id="238" w:name="_Toc478990498"/>
      <w:bookmarkStart w:id="239" w:name="_Toc479768571"/>
      <w:bookmarkStart w:id="240" w:name="_Toc482357296"/>
      <w:bookmarkStart w:id="241" w:name="_Toc482634272"/>
      <w:bookmarkStart w:id="242" w:name="_Toc484092475"/>
      <w:bookmarkStart w:id="243" w:name="_Toc484172678"/>
      <w:bookmarkStart w:id="244" w:name="_Toc484183015"/>
      <w:r w:rsidRPr="001B5456">
        <w:lastRenderedPageBreak/>
        <w:t>Residential Low Income</w:t>
      </w:r>
      <w:bookmarkEnd w:id="236"/>
      <w:bookmarkEnd w:id="237"/>
      <w:r w:rsidR="00C5490B" w:rsidRPr="001B5456">
        <w:t xml:space="preserve"> </w:t>
      </w:r>
      <w:bookmarkEnd w:id="238"/>
      <w:bookmarkEnd w:id="239"/>
      <w:bookmarkEnd w:id="240"/>
      <w:bookmarkEnd w:id="241"/>
      <w:bookmarkEnd w:id="242"/>
      <w:bookmarkEnd w:id="243"/>
      <w:bookmarkEnd w:id="244"/>
    </w:p>
    <w:p w14:paraId="6774F25F" w14:textId="77777777" w:rsidR="008016FC" w:rsidRPr="00CA5727" w:rsidRDefault="008016FC" w:rsidP="008113A1">
      <w:r w:rsidRPr="00CA5727">
        <w:t xml:space="preserve">The </w:t>
      </w:r>
      <w:r>
        <w:t>p</w:t>
      </w:r>
      <w:r w:rsidRPr="00CA5727">
        <w:t xml:space="preserve">otential for energy efficiency in the low-income sector is forecast based on the Energy Savings Assistance program (ESAP).  ESAP is offered by all four IOUs </w:t>
      </w:r>
      <w:r>
        <w:t xml:space="preserve">as a </w:t>
      </w:r>
      <w:r w:rsidRPr="00CA5727">
        <w:t>no cost direct installation of weatherization measures</w:t>
      </w:r>
      <w:r>
        <w:t xml:space="preserve"> that also includes </w:t>
      </w:r>
      <w:r w:rsidRPr="00CA5727">
        <w:t>a wide range of energy efficiency equipment combined with energy efficiency education and referrals to other income qualified programs. The 2018 PG</w:t>
      </w:r>
      <w:r>
        <w:t xml:space="preserve"> model </w:t>
      </w:r>
      <w:r w:rsidRPr="00CA5727">
        <w:t xml:space="preserve">forecast is an update </w:t>
      </w:r>
      <w:r>
        <w:t xml:space="preserve">to previous forecasts </w:t>
      </w:r>
      <w:r w:rsidRPr="00CA5727">
        <w:t xml:space="preserve">based on changes in the low-income market and regulatory environment that </w:t>
      </w:r>
      <w:r>
        <w:t>impact the ESAP offering</w:t>
      </w:r>
      <w:r w:rsidRPr="00CA5727">
        <w:t xml:space="preserve">.  </w:t>
      </w:r>
      <w:r>
        <w:t xml:space="preserve">One of the major changes to the 2018 PG model is to include ESAP program savings for ‘retreatment’ installations as allowed by Decision </w:t>
      </w:r>
      <w:r w:rsidRPr="001E6C86">
        <w:t>16-11-022</w:t>
      </w:r>
      <w:r>
        <w:t xml:space="preserve"> (the Decision).</w:t>
      </w:r>
      <w:r>
        <w:rPr>
          <w:rStyle w:val="FootnoteReference"/>
          <w:rFonts w:cs="Arial"/>
        </w:rPr>
        <w:footnoteReference w:id="29"/>
      </w:r>
      <w:r>
        <w:t xml:space="preserve">  The Decision allows the ESAP program to go-back and retreat households by installing new and updated measures in homes that have been served by past ESAP program activity.  All past PG model low income forecast have only included estimates of potential for ‘first time’ installations on households that have never participated in ESAP. </w:t>
      </w:r>
    </w:p>
    <w:p w14:paraId="0C83114A" w14:textId="77777777" w:rsidR="008016FC" w:rsidRDefault="008016FC" w:rsidP="008820EA"/>
    <w:p w14:paraId="1B3AF124" w14:textId="77777777" w:rsidR="001B5456" w:rsidRPr="001B5456" w:rsidRDefault="001B5456" w:rsidP="008113A1">
      <w:r w:rsidRPr="001B5456">
        <w:t xml:space="preserve">Residential Low Income (LI) programs are modeled based on two key inputs: number of households (HH) forecasted to be treated and unit energy savings (UES) per treated household. The savings are calculated using </w:t>
      </w:r>
      <w:r w:rsidRPr="001B5456">
        <w:fldChar w:fldCharType="begin"/>
      </w:r>
      <w:r w:rsidRPr="001B5456">
        <w:instrText xml:space="preserve"> REF _Ref481592893 \h </w:instrText>
      </w:r>
      <w:r>
        <w:instrText xml:space="preserve"> \* MERGEFORMAT </w:instrText>
      </w:r>
      <w:r w:rsidRPr="001B5456">
        <w:fldChar w:fldCharType="separate"/>
      </w:r>
      <w:r w:rsidR="007566B9" w:rsidRPr="001B5456">
        <w:t xml:space="preserve">Equation </w:t>
      </w:r>
      <w:r w:rsidR="007566B9">
        <w:rPr>
          <w:noProof/>
        </w:rPr>
        <w:t>2</w:t>
      </w:r>
      <w:r w:rsidR="007566B9">
        <w:rPr>
          <w:noProof/>
        </w:rPr>
        <w:noBreakHyphen/>
        <w:t>8</w:t>
      </w:r>
      <w:r w:rsidRPr="001B5456">
        <w:fldChar w:fldCharType="end"/>
      </w:r>
    </w:p>
    <w:p w14:paraId="3F41C0D4" w14:textId="77777777" w:rsidR="001B5456" w:rsidRPr="001B5456" w:rsidRDefault="001B5456" w:rsidP="008820EA"/>
    <w:p w14:paraId="588F5B2F" w14:textId="77777777" w:rsidR="001B5456" w:rsidRPr="001B5456" w:rsidRDefault="001B5456" w:rsidP="001B5456">
      <w:pPr>
        <w:pStyle w:val="Caption"/>
      </w:pPr>
      <w:bookmarkStart w:id="245" w:name="_Ref481592893"/>
      <w:r w:rsidRPr="001B5456">
        <w:t xml:space="preserve">Equation </w:t>
      </w:r>
      <w:fldSimple w:instr=" STYLEREF 1 \s ">
        <w:r w:rsidR="007566B9">
          <w:rPr>
            <w:noProof/>
          </w:rPr>
          <w:t>2</w:t>
        </w:r>
      </w:fldSimple>
      <w:r w:rsidR="00D4736F">
        <w:noBreakHyphen/>
      </w:r>
      <w:fldSimple w:instr=" SEQ Equation \* ARABIC \s 1 ">
        <w:r w:rsidR="007566B9">
          <w:rPr>
            <w:noProof/>
          </w:rPr>
          <w:t>8</w:t>
        </w:r>
      </w:fldSimple>
      <w:bookmarkEnd w:id="245"/>
      <w:r w:rsidRPr="001B5456">
        <w:t>. General Equation for Calculating LI Savings</w:t>
      </w:r>
    </w:p>
    <w:p w14:paraId="0EA9EF92" w14:textId="77777777" w:rsidR="001B5456" w:rsidRPr="001B5456" w:rsidRDefault="001B5456" w:rsidP="008820EA">
      <m:oMathPara>
        <m:oMath>
          <m:r>
            <w:rPr>
              <w:rFonts w:ascii="Cambria Math" w:hAnsi="Cambria Math"/>
            </w:rPr>
            <m:t>Low Income Program Savings=Households Treated x Unit Energy Savings</m:t>
          </m:r>
        </m:oMath>
      </m:oMathPara>
    </w:p>
    <w:p w14:paraId="2858712F" w14:textId="77777777" w:rsidR="001B5456" w:rsidRPr="001B5456" w:rsidRDefault="001B5456" w:rsidP="008820EA"/>
    <w:p w14:paraId="63FAD3F1" w14:textId="77777777" w:rsidR="001B5456" w:rsidRDefault="001B5456" w:rsidP="008820EA">
      <w:r w:rsidRPr="001B5456">
        <w:t>The forecast for Households treated is obtained from IOU plans. The team does not develop its own forecast. The savings potential reported for Low Income are not a true “Market Potential” but more of a “forecast of IOU planned activity”.</w:t>
      </w:r>
      <w:r>
        <w:t xml:space="preserve"> The model allows for disaggregation of savings by building type (Single Family, Multifamily, Mobile Home) based on IOU data provided. </w:t>
      </w:r>
    </w:p>
    <w:p w14:paraId="28A1A369" w14:textId="77777777" w:rsidR="008113A1" w:rsidRDefault="008113A1" w:rsidP="008820EA"/>
    <w:p w14:paraId="5C06CB55" w14:textId="77777777" w:rsidR="008113A1" w:rsidRDefault="008113A1" w:rsidP="008113A1">
      <w:pPr>
        <w:pStyle w:val="CommentText"/>
      </w:pPr>
      <w:r>
        <w:t xml:space="preserve">The PG model reports LI savings separately from all other rebate programs. Though this may not be the case in the goal setting process. </w:t>
      </w:r>
    </w:p>
    <w:p w14:paraId="0BB37411" w14:textId="77777777" w:rsidR="008820EA" w:rsidRPr="006B44D0" w:rsidRDefault="008820EA" w:rsidP="008820EA">
      <w:pPr>
        <w:pStyle w:val="Heading3"/>
      </w:pPr>
      <w:bookmarkStart w:id="246" w:name="_Toc478990499"/>
      <w:bookmarkStart w:id="247" w:name="_Toc479768572"/>
      <w:bookmarkStart w:id="248" w:name="_Toc482357297"/>
      <w:bookmarkStart w:id="249" w:name="_Toc482634273"/>
      <w:bookmarkStart w:id="250" w:name="_Toc482626405"/>
      <w:bookmarkStart w:id="251" w:name="_Toc484092476"/>
      <w:bookmarkStart w:id="252" w:name="_Toc484172679"/>
      <w:bookmarkStart w:id="253" w:name="_Toc484183016"/>
      <w:bookmarkStart w:id="254" w:name="_Toc490225773"/>
      <w:r w:rsidRPr="006B44D0">
        <w:t>Codes and Standards (C&amp;S)</w:t>
      </w:r>
      <w:bookmarkEnd w:id="246"/>
      <w:bookmarkEnd w:id="247"/>
      <w:bookmarkEnd w:id="248"/>
      <w:bookmarkEnd w:id="249"/>
      <w:bookmarkEnd w:id="250"/>
      <w:bookmarkEnd w:id="251"/>
      <w:bookmarkEnd w:id="252"/>
      <w:bookmarkEnd w:id="253"/>
      <w:bookmarkEnd w:id="254"/>
      <w:r w:rsidRPr="006B44D0">
        <w:t xml:space="preserve"> </w:t>
      </w:r>
    </w:p>
    <w:p w14:paraId="7E787123" w14:textId="77777777" w:rsidR="006B44D0" w:rsidRDefault="006B44D0" w:rsidP="006B44D0">
      <w:r>
        <w:t>Codes and Standards (</w:t>
      </w:r>
      <w:r w:rsidRPr="00E54706">
        <w:t>C&amp;S</w:t>
      </w:r>
      <w:r>
        <w:t>)</w:t>
      </w:r>
      <w:r w:rsidRPr="00E54706">
        <w:t xml:space="preserve"> impacts </w:t>
      </w:r>
      <w:r>
        <w:t>on energy efficiency potential are modeled two ways:</w:t>
      </w:r>
    </w:p>
    <w:p w14:paraId="6D99380F" w14:textId="77777777" w:rsidR="006B44D0" w:rsidRDefault="006B44D0" w:rsidP="004E4E36">
      <w:pPr>
        <w:pStyle w:val="ListParagraph"/>
        <w:numPr>
          <w:ilvl w:val="0"/>
          <w:numId w:val="22"/>
        </w:numPr>
        <w:spacing w:line="240" w:lineRule="auto"/>
      </w:pPr>
      <w:r w:rsidRPr="00E54706">
        <w:t xml:space="preserve">C&amp;S </w:t>
      </w:r>
      <w:r>
        <w:t xml:space="preserve">impacts the code baseline for IOU rebated measures; as C&amp;S becomes more stringent in the future, above-code savings claimable by IOU programs decreases. This is discussed further in section </w:t>
      </w:r>
      <w:r>
        <w:fldChar w:fldCharType="begin"/>
      </w:r>
      <w:r>
        <w:instrText xml:space="preserve"> REF _Ref477347831 \r \h </w:instrText>
      </w:r>
      <w:r>
        <w:fldChar w:fldCharType="separate"/>
      </w:r>
      <w:r w:rsidR="007566B9">
        <w:t>2.1.1.2</w:t>
      </w:r>
      <w:r>
        <w:fldChar w:fldCharType="end"/>
      </w:r>
      <w:r>
        <w:t>.</w:t>
      </w:r>
    </w:p>
    <w:p w14:paraId="2A088A77" w14:textId="77777777" w:rsidR="007B1535" w:rsidRDefault="006B44D0" w:rsidP="004E4E36">
      <w:pPr>
        <w:pStyle w:val="ListParagraph"/>
        <w:numPr>
          <w:ilvl w:val="0"/>
          <w:numId w:val="22"/>
        </w:numPr>
        <w:autoSpaceDE w:val="0"/>
        <w:autoSpaceDN w:val="0"/>
        <w:adjustRightInd w:val="0"/>
        <w:spacing w:line="240" w:lineRule="auto"/>
        <w:rPr>
          <w:rFonts w:ascii="PalatinoLinotype" w:hAnsi="PalatinoLinotype" w:cs="PalatinoLinotype"/>
          <w:szCs w:val="20"/>
        </w:rPr>
      </w:pPr>
      <w:r w:rsidRPr="00E54706">
        <w:t>IOUs can claim a portion of savings from C&amp;S</w:t>
      </w:r>
      <w:r>
        <w:t xml:space="preserve"> that come into effect through the IOU C&amp;S advocacy programs</w:t>
      </w:r>
      <w:r w:rsidRPr="00E54706">
        <w:t>.</w:t>
      </w:r>
      <w:r w:rsidR="007B1535">
        <w:t xml:space="preserve"> </w:t>
      </w:r>
      <w:r w:rsidRPr="00AF21BE">
        <w:t>This section describes the calculation of IOU claimable savings from C&amp;S.</w:t>
      </w:r>
      <w:r w:rsidRPr="007B1535">
        <w:rPr>
          <w:rFonts w:ascii="PalatinoLinotype" w:hAnsi="PalatinoLinotype" w:cs="PalatinoLinotype"/>
          <w:szCs w:val="20"/>
        </w:rPr>
        <w:t xml:space="preserve"> </w:t>
      </w:r>
    </w:p>
    <w:p w14:paraId="24B4CA2E" w14:textId="77777777" w:rsidR="007B1535" w:rsidRDefault="007B1535" w:rsidP="007B1535">
      <w:pPr>
        <w:autoSpaceDE w:val="0"/>
        <w:autoSpaceDN w:val="0"/>
        <w:adjustRightInd w:val="0"/>
        <w:spacing w:line="240" w:lineRule="auto"/>
        <w:rPr>
          <w:rFonts w:ascii="PalatinoLinotype" w:hAnsi="PalatinoLinotype" w:cs="PalatinoLinotype"/>
          <w:szCs w:val="20"/>
        </w:rPr>
      </w:pPr>
    </w:p>
    <w:p w14:paraId="46BCFD1C" w14:textId="77777777" w:rsidR="006B44D0" w:rsidRPr="007B1535" w:rsidRDefault="006B44D0" w:rsidP="00AA58B2">
      <w:r w:rsidRPr="007B1535">
        <w:t xml:space="preserve">This study calculates the estimated savings of codes and standards in multiple formats, each for a different use: </w:t>
      </w:r>
    </w:p>
    <w:p w14:paraId="5B46F010" w14:textId="77777777" w:rsidR="006B44D0" w:rsidRPr="00707E30" w:rsidRDefault="006B44D0" w:rsidP="004E4E36">
      <w:pPr>
        <w:pStyle w:val="ListParagraph"/>
        <w:numPr>
          <w:ilvl w:val="0"/>
          <w:numId w:val="22"/>
        </w:numPr>
        <w:spacing w:line="240" w:lineRule="auto"/>
      </w:pPr>
      <w:r w:rsidRPr="00707E30">
        <w:rPr>
          <w:b/>
        </w:rPr>
        <w:t>Net C&amp;S Savings</w:t>
      </w:r>
      <w:r w:rsidRPr="00707E30">
        <w:t xml:space="preserve"> are the total energy savings estimated to be achieved from the updates to</w:t>
      </w:r>
      <w:r>
        <w:t xml:space="preserve"> </w:t>
      </w:r>
      <w:r w:rsidRPr="00707E30">
        <w:t>codes and standards since 2006. Net savings calculations account</w:t>
      </w:r>
      <w:r>
        <w:t xml:space="preserve"> </w:t>
      </w:r>
      <w:r w:rsidRPr="00707E30">
        <w:t xml:space="preserve">for naturally occurring market adoption (NOMAD) of code-compliant equipment </w:t>
      </w:r>
      <w:r>
        <w:t xml:space="preserve">and are used </w:t>
      </w:r>
      <w:r w:rsidRPr="00707E30">
        <w:t>to inform demand forecasting,</w:t>
      </w:r>
      <w:r>
        <w:t xml:space="preserve"> </w:t>
      </w:r>
      <w:r w:rsidRPr="00707E30">
        <w:t>procurement planning, and tracking against greenhouse gas targets.</w:t>
      </w:r>
      <w:r w:rsidR="00E20953">
        <w:t xml:space="preserve"> This informs the CEC forecast.</w:t>
      </w:r>
    </w:p>
    <w:p w14:paraId="4B748E4C" w14:textId="77777777" w:rsidR="006B44D0" w:rsidRDefault="006B44D0" w:rsidP="004E4E36">
      <w:pPr>
        <w:pStyle w:val="ListParagraph"/>
        <w:numPr>
          <w:ilvl w:val="0"/>
          <w:numId w:val="22"/>
        </w:numPr>
        <w:spacing w:line="240" w:lineRule="auto"/>
      </w:pPr>
      <w:r w:rsidRPr="00707E30">
        <w:rPr>
          <w:b/>
        </w:rPr>
        <w:lastRenderedPageBreak/>
        <w:t>Net IOU C&amp;S Program Savings</w:t>
      </w:r>
      <w:r w:rsidRPr="00707E30">
        <w:t xml:space="preserve"> identif</w:t>
      </w:r>
      <w:r>
        <w:t>ies</w:t>
      </w:r>
      <w:r w:rsidRPr="00707E30">
        <w:t xml:space="preserve"> the portion of the </w:t>
      </w:r>
      <w:r>
        <w:t>Net</w:t>
      </w:r>
      <w:r w:rsidRPr="00707E30">
        <w:t xml:space="preserve"> </w:t>
      </w:r>
      <w:r>
        <w:t xml:space="preserve">C&amp;S Savings </w:t>
      </w:r>
      <w:r w:rsidRPr="00707E30">
        <w:t>that can</w:t>
      </w:r>
      <w:r>
        <w:t xml:space="preserve"> </w:t>
      </w:r>
      <w:r w:rsidRPr="00707E30">
        <w:t xml:space="preserve">be attributed to the advocacy work of the IOU’s C&amp;S program. </w:t>
      </w:r>
      <w:r>
        <w:t xml:space="preserve">This result is used to </w:t>
      </w:r>
      <w:r w:rsidRPr="00707E30">
        <w:t>inform the IOU</w:t>
      </w:r>
      <w:r>
        <w:t xml:space="preserve"> program </w:t>
      </w:r>
      <w:r w:rsidRPr="00707E30">
        <w:t>goals.</w:t>
      </w:r>
    </w:p>
    <w:p w14:paraId="5183D672" w14:textId="77777777" w:rsidR="006B44D0" w:rsidRDefault="006B44D0" w:rsidP="006B44D0">
      <w:pPr>
        <w:spacing w:line="240" w:lineRule="auto"/>
      </w:pPr>
    </w:p>
    <w:p w14:paraId="49C6AF47" w14:textId="77777777" w:rsidR="006B44D0" w:rsidRDefault="006B44D0" w:rsidP="00AA58B2">
      <w:r>
        <w:t xml:space="preserve">The </w:t>
      </w:r>
      <w:r w:rsidRPr="00707E30">
        <w:t xml:space="preserve">modeling </w:t>
      </w:r>
      <w:r>
        <w:t xml:space="preserve">methodology </w:t>
      </w:r>
      <w:r w:rsidRPr="00707E30">
        <w:t xml:space="preserve">of </w:t>
      </w:r>
      <w:r>
        <w:t>C&amp;S savings was</w:t>
      </w:r>
      <w:r w:rsidRPr="00707E30">
        <w:t xml:space="preserve"> based on </w:t>
      </w:r>
      <w:r>
        <w:t>the</w:t>
      </w:r>
      <w:r w:rsidRPr="00707E30">
        <w:t xml:space="preserve"> </w:t>
      </w:r>
      <w:r w:rsidRPr="00243365">
        <w:t>Integrated Standards Savings Model</w:t>
      </w:r>
      <w:r>
        <w:t xml:space="preserve"> (ISSM)</w:t>
      </w:r>
      <w:r w:rsidRPr="00243365">
        <w:rPr>
          <w:rStyle w:val="FootnoteReference"/>
        </w:rPr>
        <w:footnoteReference w:id="30"/>
      </w:r>
      <w:r w:rsidRPr="00243365">
        <w:t xml:space="preserve"> developed by CADMUS and DNV GL</w:t>
      </w:r>
      <w:r>
        <w:t xml:space="preserve"> </w:t>
      </w:r>
      <w:r w:rsidRPr="00707E30">
        <w:t xml:space="preserve">used by the CPUC </w:t>
      </w:r>
      <w:r>
        <w:t xml:space="preserve">in </w:t>
      </w:r>
      <w:r w:rsidRPr="00707E30">
        <w:t>C&amp;S program evaluation.</w:t>
      </w:r>
      <w:r>
        <w:t xml:space="preserve"> </w:t>
      </w:r>
      <w:r w:rsidRPr="00707E30">
        <w:t xml:space="preserve">The Navigant team replicated the methodology </w:t>
      </w:r>
      <w:r>
        <w:t xml:space="preserve">of ISSM in the PG Model </w:t>
      </w:r>
      <w:r w:rsidRPr="00707E30">
        <w:t>for</w:t>
      </w:r>
      <w:r>
        <w:t xml:space="preserve"> </w:t>
      </w:r>
      <w:r w:rsidRPr="00707E30">
        <w:t xml:space="preserve">use in this study. </w:t>
      </w:r>
      <w:r>
        <w:t xml:space="preserve">The process of calculating Net C&amp;S Savings and Net IOU C&amp;S Program Savings is illustrated in </w:t>
      </w:r>
      <w:r>
        <w:fldChar w:fldCharType="begin"/>
      </w:r>
      <w:r>
        <w:instrText xml:space="preserve"> REF _Ref477184347 \h </w:instrText>
      </w:r>
      <w:r w:rsidR="00AA58B2">
        <w:instrText xml:space="preserve"> \* MERGEFORMAT </w:instrText>
      </w:r>
      <w:r>
        <w:fldChar w:fldCharType="separate"/>
      </w:r>
      <w:r w:rsidR="007566B9">
        <w:t xml:space="preserve">Figure </w:t>
      </w:r>
      <w:r w:rsidR="007566B9">
        <w:rPr>
          <w:noProof/>
        </w:rPr>
        <w:t>2</w:t>
      </w:r>
      <w:r w:rsidR="007566B9">
        <w:rPr>
          <w:noProof/>
        </w:rPr>
        <w:noBreakHyphen/>
        <w:t>8</w:t>
      </w:r>
      <w:r>
        <w:fldChar w:fldCharType="end"/>
      </w:r>
      <w:r>
        <w:t xml:space="preserve">. Key components of the </w:t>
      </w:r>
      <w:r w:rsidR="002179A1">
        <w:t xml:space="preserve">calculation listed in </w:t>
      </w:r>
      <w:r w:rsidR="002179A1">
        <w:fldChar w:fldCharType="begin"/>
      </w:r>
      <w:r w:rsidR="002179A1">
        <w:instrText xml:space="preserve"> REF _Ref477184347 \h </w:instrText>
      </w:r>
      <w:r w:rsidR="00AA58B2">
        <w:instrText xml:space="preserve"> \* MERGEFORMAT </w:instrText>
      </w:r>
      <w:r w:rsidR="002179A1">
        <w:fldChar w:fldCharType="separate"/>
      </w:r>
      <w:r w:rsidR="007566B9">
        <w:t xml:space="preserve">Figure </w:t>
      </w:r>
      <w:r w:rsidR="007566B9">
        <w:rPr>
          <w:noProof/>
        </w:rPr>
        <w:t>2</w:t>
      </w:r>
      <w:r w:rsidR="007566B9">
        <w:rPr>
          <w:noProof/>
        </w:rPr>
        <w:noBreakHyphen/>
        <w:t>8</w:t>
      </w:r>
      <w:r w:rsidR="002179A1">
        <w:fldChar w:fldCharType="end"/>
      </w:r>
      <w:r w:rsidR="002179A1">
        <w:t xml:space="preserve"> include:</w:t>
      </w:r>
      <w:r>
        <w:t xml:space="preserve"> </w:t>
      </w:r>
    </w:p>
    <w:p w14:paraId="663F04CB" w14:textId="77777777" w:rsidR="002179A1" w:rsidRPr="007B1535" w:rsidRDefault="002179A1" w:rsidP="004E4E36">
      <w:pPr>
        <w:pStyle w:val="ListParagraph"/>
        <w:numPr>
          <w:ilvl w:val="0"/>
          <w:numId w:val="23"/>
        </w:numPr>
      </w:pPr>
      <w:r w:rsidRPr="007B1535">
        <w:rPr>
          <w:b/>
        </w:rPr>
        <w:t>Unit Sales</w:t>
      </w:r>
      <w:r w:rsidRPr="007B1535">
        <w:t xml:space="preserve"> – Unit sales are the assumed baseline units sold each year for each measure. They represent the expected population of code-compliant or standard-compliant equipment adopted.</w:t>
      </w:r>
    </w:p>
    <w:p w14:paraId="1AA7BCF6" w14:textId="77777777" w:rsidR="002179A1" w:rsidRPr="007B1535" w:rsidRDefault="002179A1" w:rsidP="004E4E36">
      <w:pPr>
        <w:pStyle w:val="ListParagraph"/>
        <w:numPr>
          <w:ilvl w:val="0"/>
          <w:numId w:val="23"/>
        </w:numPr>
      </w:pPr>
      <w:r w:rsidRPr="007B1535">
        <w:rPr>
          <w:b/>
        </w:rPr>
        <w:t>Unit Energy Savings</w:t>
      </w:r>
      <w:r w:rsidRPr="007B1535">
        <w:t xml:space="preserve"> – Unit energy savings are the energy savings (in kWh, kW, or therms) relative to the previous code or standard for the new compliant equipment.</w:t>
      </w:r>
    </w:p>
    <w:p w14:paraId="3008DB58" w14:textId="77777777" w:rsidR="002179A1" w:rsidRPr="007B1535" w:rsidRDefault="00E20953" w:rsidP="004E4E36">
      <w:pPr>
        <w:pStyle w:val="ListParagraph"/>
        <w:numPr>
          <w:ilvl w:val="0"/>
          <w:numId w:val="23"/>
        </w:numPr>
      </w:pPr>
      <w:r>
        <w:rPr>
          <w:b/>
        </w:rPr>
        <w:t>Compliance Adjustment Factor (CAF)</w:t>
      </w:r>
      <w:r w:rsidR="002179A1" w:rsidRPr="007B1535">
        <w:t xml:space="preserve"> – </w:t>
      </w:r>
      <w:r>
        <w:t>(CAF)</w:t>
      </w:r>
      <w:r w:rsidR="002179A1" w:rsidRPr="007B1535">
        <w:t xml:space="preserve"> is the baseline assumption for the rate at which the population complies with codes or standards.</w:t>
      </w:r>
    </w:p>
    <w:p w14:paraId="5ED39EBA" w14:textId="77777777" w:rsidR="002179A1" w:rsidRPr="007B1535" w:rsidRDefault="002179A1" w:rsidP="004E4E36">
      <w:pPr>
        <w:pStyle w:val="ListParagraph"/>
        <w:numPr>
          <w:ilvl w:val="0"/>
          <w:numId w:val="23"/>
        </w:numPr>
      </w:pPr>
      <w:r w:rsidRPr="007B1535">
        <w:rPr>
          <w:b/>
        </w:rPr>
        <w:t>NOMAD</w:t>
      </w:r>
      <w:r w:rsidRPr="007B1535">
        <w:t xml:space="preserve"> – The naturally occurring market adoption is the fraction of the population that would naturally adopt the code-compliant or standard-compliant measure in the absence of any code or standard.</w:t>
      </w:r>
    </w:p>
    <w:p w14:paraId="777D24A7" w14:textId="77777777" w:rsidR="002179A1" w:rsidRPr="007B1535" w:rsidRDefault="002179A1" w:rsidP="004E4E36">
      <w:pPr>
        <w:pStyle w:val="ListParagraph"/>
        <w:numPr>
          <w:ilvl w:val="0"/>
          <w:numId w:val="23"/>
        </w:numPr>
      </w:pPr>
      <w:r w:rsidRPr="007B1535">
        <w:rPr>
          <w:b/>
        </w:rPr>
        <w:t>Attribution</w:t>
      </w:r>
      <w:r w:rsidRPr="007B1535">
        <w:t xml:space="preserve"> – IOU Attribution is the portion of gross C&amp;S savings in California that can be claimed by IOU Code Support programs.</w:t>
      </w:r>
    </w:p>
    <w:p w14:paraId="16F407C4" w14:textId="77777777" w:rsidR="002179A1" w:rsidRPr="007B1535" w:rsidRDefault="002179A1" w:rsidP="004E4E36">
      <w:pPr>
        <w:pStyle w:val="ListParagraph"/>
        <w:numPr>
          <w:ilvl w:val="0"/>
          <w:numId w:val="23"/>
        </w:numPr>
      </w:pPr>
      <w:r w:rsidRPr="007B1535">
        <w:rPr>
          <w:b/>
        </w:rPr>
        <w:t>Allocation Factors</w:t>
      </w:r>
      <w:r w:rsidRPr="007B1535">
        <w:t xml:space="preserve"> – Allocation factors are the fraction of the statewide C&amp;S savings that occur in each IOU territory. Additional allocation factors assumed by Navigant break down the savings into sectors and end uses.  </w:t>
      </w:r>
    </w:p>
    <w:p w14:paraId="2ADAAFAA" w14:textId="77777777" w:rsidR="002179A1" w:rsidRDefault="002179A1" w:rsidP="006B44D0">
      <w:pPr>
        <w:spacing w:line="240" w:lineRule="auto"/>
      </w:pPr>
    </w:p>
    <w:p w14:paraId="2291CED9" w14:textId="77777777" w:rsidR="006B44D0" w:rsidRDefault="006B44D0" w:rsidP="006B44D0">
      <w:pPr>
        <w:spacing w:line="240" w:lineRule="auto"/>
      </w:pPr>
    </w:p>
    <w:p w14:paraId="4EB91640" w14:textId="77777777" w:rsidR="006B44D0" w:rsidRDefault="006B44D0" w:rsidP="006B44D0">
      <w:pPr>
        <w:pStyle w:val="Caption"/>
      </w:pPr>
      <w:bookmarkStart w:id="255" w:name="_Ref477184347"/>
      <w:bookmarkStart w:id="256" w:name="_Toc482634245"/>
      <w:bookmarkStart w:id="257" w:name="_Toc482626454"/>
      <w:bookmarkStart w:id="258" w:name="_Toc484436998"/>
      <w:bookmarkStart w:id="259" w:name="_Toc490491724"/>
      <w:r>
        <w:t xml:space="preserve">Figure </w:t>
      </w:r>
      <w:fldSimple w:instr=" STYLEREF 1 \s ">
        <w:r w:rsidR="007566B9">
          <w:rPr>
            <w:noProof/>
          </w:rPr>
          <w:t>2</w:t>
        </w:r>
      </w:fldSimple>
      <w:r w:rsidR="00CE124F">
        <w:noBreakHyphen/>
      </w:r>
      <w:fldSimple w:instr=" SEQ Figure \* ARABIC \s 1 ">
        <w:r w:rsidR="007566B9">
          <w:rPr>
            <w:noProof/>
          </w:rPr>
          <w:t>8</w:t>
        </w:r>
      </w:fldSimple>
      <w:bookmarkEnd w:id="255"/>
      <w:r w:rsidR="00BB59F5">
        <w:rPr>
          <w:noProof/>
        </w:rPr>
        <w:t>.</w:t>
      </w:r>
      <w:r>
        <w:t xml:space="preserve"> C&amp;S Savings Calculation Methodology</w:t>
      </w:r>
      <w:bookmarkEnd w:id="256"/>
      <w:bookmarkEnd w:id="257"/>
      <w:bookmarkEnd w:id="258"/>
      <w:bookmarkEnd w:id="259"/>
    </w:p>
    <w:p w14:paraId="2D9770AA" w14:textId="77777777" w:rsidR="006B44D0" w:rsidRDefault="008113A1" w:rsidP="002179A1">
      <w:pPr>
        <w:jc w:val="center"/>
        <w:rPr>
          <w:highlight w:val="yellow"/>
        </w:rPr>
      </w:pPr>
      <w:r w:rsidRPr="008113A1">
        <w:rPr>
          <w:noProof/>
        </w:rPr>
        <w:drawing>
          <wp:inline distT="0" distB="0" distL="0" distR="0" wp14:anchorId="033BB80A" wp14:editId="251005F1">
            <wp:extent cx="5646273" cy="266606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4784" cy="2670081"/>
                    </a:xfrm>
                    <a:prstGeom prst="rect">
                      <a:avLst/>
                    </a:prstGeom>
                    <a:noFill/>
                  </pic:spPr>
                </pic:pic>
              </a:graphicData>
            </a:graphic>
          </wp:inline>
        </w:drawing>
      </w:r>
    </w:p>
    <w:p w14:paraId="25C9F450" w14:textId="77777777" w:rsidR="006B44D0" w:rsidRDefault="006B44D0" w:rsidP="008820EA">
      <w:pPr>
        <w:rPr>
          <w:highlight w:val="yellow"/>
        </w:rPr>
      </w:pPr>
    </w:p>
    <w:p w14:paraId="4FAE70A3" w14:textId="77777777" w:rsidR="006B44D0" w:rsidRDefault="006B44D0" w:rsidP="008820EA">
      <w:pPr>
        <w:rPr>
          <w:highlight w:val="yellow"/>
        </w:rPr>
      </w:pPr>
    </w:p>
    <w:p w14:paraId="7223F34E" w14:textId="77777777" w:rsidR="0035722A" w:rsidRPr="006B44D0" w:rsidRDefault="006B44D0" w:rsidP="008D4574">
      <w:r>
        <w:t xml:space="preserve">The </w:t>
      </w:r>
      <w:r w:rsidR="00BB59F5">
        <w:t>2018</w:t>
      </w:r>
      <w:r>
        <w:t xml:space="preserve"> study continued to use no layering when analyzing net IOU attributable C&amp;S savings. In addition to the removal of layering as provided by ISSM data, the </w:t>
      </w:r>
      <w:r w:rsidR="00BB59F5">
        <w:t>2018</w:t>
      </w:r>
      <w:r>
        <w:t xml:space="preserve"> study analyzed all codes and standards included in the analysis and removed savings from standards that were superseded by other standards once the new standard took effect. This holistic approach to layering removal is a change in methodology relative to the 2015 study</w:t>
      </w:r>
      <w:r w:rsidR="008D4574">
        <w:t xml:space="preserve">. A detailed table of C&amp;S impacted by layering can be found in </w:t>
      </w:r>
      <w:r w:rsidR="008D4574">
        <w:fldChar w:fldCharType="begin"/>
      </w:r>
      <w:r w:rsidR="008D4574">
        <w:instrText xml:space="preserve"> REF _Ref477351442 \n \h </w:instrText>
      </w:r>
      <w:r w:rsidR="00AA58B2">
        <w:instrText xml:space="preserve"> \* MERGEFORMAT </w:instrText>
      </w:r>
      <w:r w:rsidR="008D4574">
        <w:fldChar w:fldCharType="separate"/>
      </w:r>
      <w:r w:rsidR="007566B9">
        <w:t>Appendix E</w:t>
      </w:r>
      <w:r w:rsidR="008D4574">
        <w:fldChar w:fldCharType="end"/>
      </w:r>
      <w:r w:rsidR="008D4574">
        <w:t>.</w:t>
      </w:r>
    </w:p>
    <w:p w14:paraId="6839EC39" w14:textId="77777777" w:rsidR="008820EA" w:rsidRDefault="008820EA" w:rsidP="008820EA">
      <w:pPr>
        <w:pStyle w:val="Heading3"/>
      </w:pPr>
      <w:bookmarkStart w:id="260" w:name="_Toc482357298"/>
      <w:bookmarkStart w:id="261" w:name="_Toc482634274"/>
      <w:bookmarkStart w:id="262" w:name="_Toc482626406"/>
      <w:bookmarkStart w:id="263" w:name="_Toc484092477"/>
      <w:bookmarkStart w:id="264" w:name="_Toc484172680"/>
      <w:bookmarkStart w:id="265" w:name="_Toc484183017"/>
      <w:bookmarkStart w:id="266" w:name="_Toc490225774"/>
      <w:bookmarkStart w:id="267" w:name="_Toc478990500"/>
      <w:bookmarkStart w:id="268" w:name="_Toc479768573"/>
      <w:r>
        <w:t>F</w:t>
      </w:r>
      <w:r w:rsidRPr="00CD1669">
        <w:t>inancing</w:t>
      </w:r>
      <w:bookmarkEnd w:id="260"/>
      <w:bookmarkEnd w:id="261"/>
      <w:bookmarkEnd w:id="262"/>
      <w:bookmarkEnd w:id="263"/>
      <w:bookmarkEnd w:id="264"/>
      <w:bookmarkEnd w:id="265"/>
      <w:bookmarkEnd w:id="266"/>
      <w:r w:rsidRPr="00CD1669">
        <w:t xml:space="preserve"> </w:t>
      </w:r>
      <w:bookmarkEnd w:id="267"/>
      <w:bookmarkEnd w:id="268"/>
    </w:p>
    <w:p w14:paraId="11282E56" w14:textId="77777777" w:rsidR="008820EA" w:rsidRDefault="008820EA" w:rsidP="008820EA">
      <w:r w:rsidRPr="00CD1669">
        <w:t>Financing has the potential to break through a number of market barriers that have limited the widespread market adoption of cost-effective energy efficiency measures. The PG Model estimates the incremental effects of introducing energy efficiency financing on energy efficiency market potential and how shifting assumptions about financing affect the potential energy savings.</w:t>
      </w:r>
    </w:p>
    <w:p w14:paraId="4D8654BC" w14:textId="77777777" w:rsidR="005A7511" w:rsidRDefault="005A7511" w:rsidP="008820EA"/>
    <w:p w14:paraId="356D92AE" w14:textId="77777777" w:rsidR="00947B1F" w:rsidRPr="004B7BF5" w:rsidRDefault="00947B1F" w:rsidP="00947B1F">
      <w:pPr>
        <w:rPr>
          <w:rFonts w:cs="Arial"/>
          <w:szCs w:val="20"/>
        </w:rPr>
      </w:pPr>
      <w:r w:rsidRPr="004B7BF5">
        <w:rPr>
          <w:rFonts w:cs="Arial"/>
        </w:rPr>
        <w:t>Examples of market barriers that can slow energy efficiency adoption</w:t>
      </w:r>
      <w:r w:rsidRPr="004B7BF5">
        <w:rPr>
          <w:rStyle w:val="FootnoteReference"/>
          <w:rFonts w:cs="Arial"/>
        </w:rPr>
        <w:footnoteReference w:id="31"/>
      </w:r>
      <w:r w:rsidRPr="004B7BF5">
        <w:rPr>
          <w:rFonts w:cs="Arial"/>
        </w:rPr>
        <w:t xml:space="preserve"> </w:t>
      </w:r>
      <w:r w:rsidRPr="008E0DE8">
        <w:rPr>
          <w:rFonts w:cs="Arial"/>
        </w:rPr>
        <w:t xml:space="preserve">include: </w:t>
      </w:r>
    </w:p>
    <w:p w14:paraId="47A0E3A5" w14:textId="77777777" w:rsidR="00947B1F" w:rsidRPr="00211361" w:rsidRDefault="00947B1F" w:rsidP="004E4E36">
      <w:pPr>
        <w:pStyle w:val="ListParagraph"/>
        <w:numPr>
          <w:ilvl w:val="0"/>
          <w:numId w:val="75"/>
        </w:numPr>
        <w:autoSpaceDE w:val="0"/>
        <w:autoSpaceDN w:val="0"/>
        <w:adjustRightInd w:val="0"/>
        <w:spacing w:line="240" w:lineRule="auto"/>
        <w:rPr>
          <w:rFonts w:cs="Arial"/>
          <w:szCs w:val="20"/>
        </w:rPr>
      </w:pPr>
      <w:r w:rsidRPr="00211361">
        <w:rPr>
          <w:rFonts w:cs="Arial"/>
          <w:b/>
          <w:bCs/>
          <w:szCs w:val="20"/>
        </w:rPr>
        <w:t xml:space="preserve">Information Search Cost </w:t>
      </w:r>
      <w:r w:rsidRPr="00211361">
        <w:rPr>
          <w:rFonts w:cs="Arial"/>
          <w:szCs w:val="20"/>
        </w:rPr>
        <w:t>- Even when information of new technologies is publicly available, it is costly for consumers to learn about the innovation</w:t>
      </w:r>
    </w:p>
    <w:p w14:paraId="024A00E5" w14:textId="77777777" w:rsidR="00947B1F" w:rsidRPr="00211361" w:rsidRDefault="00947B1F" w:rsidP="004E4E36">
      <w:pPr>
        <w:pStyle w:val="ListParagraph"/>
        <w:numPr>
          <w:ilvl w:val="0"/>
          <w:numId w:val="75"/>
        </w:numPr>
        <w:autoSpaceDE w:val="0"/>
        <w:autoSpaceDN w:val="0"/>
        <w:adjustRightInd w:val="0"/>
        <w:spacing w:line="240" w:lineRule="auto"/>
        <w:rPr>
          <w:rFonts w:cs="Arial"/>
          <w:szCs w:val="20"/>
        </w:rPr>
      </w:pPr>
      <w:r w:rsidRPr="00211361">
        <w:rPr>
          <w:rFonts w:cs="Arial"/>
          <w:b/>
          <w:bCs/>
          <w:szCs w:val="20"/>
        </w:rPr>
        <w:t xml:space="preserve">Lack of Capital Access and Liquidity Constraint - </w:t>
      </w:r>
      <w:r w:rsidRPr="00211361">
        <w:rPr>
          <w:rFonts w:cs="Arial"/>
          <w:szCs w:val="20"/>
        </w:rPr>
        <w:t>Lack of up-front capital or credit for energy efficiency investments.</w:t>
      </w:r>
    </w:p>
    <w:p w14:paraId="6C10FD66" w14:textId="77777777" w:rsidR="00947B1F" w:rsidRPr="00211361" w:rsidRDefault="00947B1F" w:rsidP="004E4E36">
      <w:pPr>
        <w:pStyle w:val="ListParagraph"/>
        <w:numPr>
          <w:ilvl w:val="0"/>
          <w:numId w:val="75"/>
        </w:numPr>
        <w:autoSpaceDE w:val="0"/>
        <w:autoSpaceDN w:val="0"/>
        <w:adjustRightInd w:val="0"/>
        <w:spacing w:line="240" w:lineRule="auto"/>
        <w:rPr>
          <w:rFonts w:cs="Arial"/>
          <w:szCs w:val="20"/>
        </w:rPr>
      </w:pPr>
      <w:r w:rsidRPr="00211361">
        <w:rPr>
          <w:rFonts w:cs="Arial"/>
          <w:b/>
          <w:bCs/>
          <w:szCs w:val="20"/>
        </w:rPr>
        <w:t xml:space="preserve">Un-internalized Externalities </w:t>
      </w:r>
      <w:r w:rsidRPr="00211361">
        <w:rPr>
          <w:rFonts w:cs="Arial"/>
          <w:szCs w:val="20"/>
        </w:rPr>
        <w:t>- Energy is heavily subsidized; consumers are not aware of the true cost of energy.</w:t>
      </w:r>
    </w:p>
    <w:p w14:paraId="62D61257" w14:textId="77777777" w:rsidR="00947B1F" w:rsidRPr="00211361" w:rsidRDefault="00947B1F" w:rsidP="004E4E36">
      <w:pPr>
        <w:pStyle w:val="ListParagraph"/>
        <w:numPr>
          <w:ilvl w:val="0"/>
          <w:numId w:val="75"/>
        </w:numPr>
        <w:autoSpaceDE w:val="0"/>
        <w:autoSpaceDN w:val="0"/>
        <w:adjustRightInd w:val="0"/>
        <w:spacing w:line="240" w:lineRule="auto"/>
        <w:rPr>
          <w:rFonts w:cs="Arial"/>
          <w:szCs w:val="20"/>
        </w:rPr>
      </w:pPr>
      <w:r w:rsidRPr="00211361">
        <w:rPr>
          <w:rFonts w:cs="Arial"/>
          <w:b/>
          <w:bCs/>
          <w:szCs w:val="20"/>
        </w:rPr>
        <w:t xml:space="preserve">Split Incentives </w:t>
      </w:r>
      <w:r w:rsidRPr="00211361">
        <w:rPr>
          <w:rFonts w:cs="Arial"/>
          <w:szCs w:val="20"/>
        </w:rPr>
        <w:t>- Party making the efficiency investment decision is not the party benefitting from the decision.</w:t>
      </w:r>
    </w:p>
    <w:p w14:paraId="498A6DBE" w14:textId="77777777" w:rsidR="00947B1F" w:rsidRPr="00211361" w:rsidRDefault="00947B1F" w:rsidP="004E4E36">
      <w:pPr>
        <w:pStyle w:val="ListParagraph"/>
        <w:numPr>
          <w:ilvl w:val="0"/>
          <w:numId w:val="75"/>
        </w:numPr>
        <w:autoSpaceDE w:val="0"/>
        <w:autoSpaceDN w:val="0"/>
        <w:adjustRightInd w:val="0"/>
        <w:spacing w:line="240" w:lineRule="auto"/>
        <w:rPr>
          <w:rFonts w:cs="Arial"/>
          <w:szCs w:val="20"/>
        </w:rPr>
      </w:pPr>
      <w:r w:rsidRPr="00211361">
        <w:rPr>
          <w:rFonts w:cs="Arial"/>
          <w:b/>
          <w:bCs/>
          <w:szCs w:val="20"/>
        </w:rPr>
        <w:t xml:space="preserve">Hassle Factor - </w:t>
      </w:r>
      <w:r w:rsidRPr="00211361">
        <w:rPr>
          <w:rFonts w:cs="Arial"/>
          <w:szCs w:val="20"/>
        </w:rPr>
        <w:t>This includes efforts invested in completing transactions such as the application process.</w:t>
      </w:r>
    </w:p>
    <w:p w14:paraId="5EA0FF91" w14:textId="77777777" w:rsidR="00947B1F" w:rsidRPr="00211361" w:rsidRDefault="00947B1F" w:rsidP="004E4E36">
      <w:pPr>
        <w:pStyle w:val="ListParagraph"/>
        <w:numPr>
          <w:ilvl w:val="0"/>
          <w:numId w:val="75"/>
        </w:numPr>
        <w:autoSpaceDE w:val="0"/>
        <w:autoSpaceDN w:val="0"/>
        <w:adjustRightInd w:val="0"/>
        <w:spacing w:line="240" w:lineRule="auto"/>
        <w:rPr>
          <w:rFonts w:cs="Arial"/>
        </w:rPr>
      </w:pPr>
      <w:r w:rsidRPr="00211361">
        <w:rPr>
          <w:rFonts w:cs="Arial"/>
          <w:b/>
          <w:bCs/>
          <w:szCs w:val="20"/>
        </w:rPr>
        <w:t xml:space="preserve">Behavioral Failures </w:t>
      </w:r>
      <w:r w:rsidRPr="00211361">
        <w:rPr>
          <w:rFonts w:cs="Arial"/>
          <w:szCs w:val="20"/>
        </w:rPr>
        <w:t>- Consumers are not perfectly rational, resulting in consumer behavior inconsistent with utility maximization or energy cost minimization.</w:t>
      </w:r>
    </w:p>
    <w:p w14:paraId="61794CF1" w14:textId="77777777" w:rsidR="00662116" w:rsidRPr="004B7BF5" w:rsidRDefault="00662116" w:rsidP="00662116">
      <w:pPr>
        <w:pStyle w:val="Heading4"/>
      </w:pPr>
      <w:r>
        <w:t>Financing Programs Background</w:t>
      </w:r>
    </w:p>
    <w:p w14:paraId="0589AFA4" w14:textId="77777777" w:rsidR="00947B1F" w:rsidRPr="004B7BF5" w:rsidRDefault="00947B1F" w:rsidP="00AA58B2">
      <w:pPr>
        <w:rPr>
          <w:rFonts w:cs="Arial"/>
          <w:bCs/>
          <w:szCs w:val="20"/>
        </w:rPr>
      </w:pPr>
      <w:r w:rsidRPr="004B7BF5">
        <w:rPr>
          <w:rFonts w:cs="Arial"/>
          <w:bCs/>
          <w:szCs w:val="20"/>
        </w:rPr>
        <w:t xml:space="preserve">California financing programs address some of these market barriers, such as lack of capital access and liquidity. Per the </w:t>
      </w:r>
      <w:r>
        <w:rPr>
          <w:rFonts w:cs="Arial"/>
          <w:bCs/>
          <w:szCs w:val="20"/>
        </w:rPr>
        <w:t xml:space="preserve">CPUC’s </w:t>
      </w:r>
      <w:r w:rsidRPr="004B7BF5">
        <w:rPr>
          <w:rFonts w:cs="Arial"/>
          <w:bCs/>
          <w:szCs w:val="20"/>
        </w:rPr>
        <w:t>PY2014 Finance Residential Market Baseline Study</w:t>
      </w:r>
      <w:r>
        <w:rPr>
          <w:rFonts w:cs="Arial"/>
          <w:bCs/>
          <w:szCs w:val="20"/>
        </w:rPr>
        <w:t xml:space="preserve"> Report</w:t>
      </w:r>
      <w:r>
        <w:rPr>
          <w:rStyle w:val="FootnoteReference"/>
          <w:rFonts w:cs="Arial"/>
          <w:bCs/>
          <w:szCs w:val="20"/>
        </w:rPr>
        <w:footnoteReference w:id="32"/>
      </w:r>
      <w:r w:rsidRPr="004B7BF5">
        <w:rPr>
          <w:rFonts w:cs="Arial"/>
          <w:bCs/>
          <w:szCs w:val="20"/>
        </w:rPr>
        <w:t>, more than half of homeowners (54%) believe that the higher upfront costs present a barrier</w:t>
      </w:r>
      <w:r w:rsidR="00BB10CF">
        <w:rPr>
          <w:rFonts w:cs="Arial"/>
          <w:bCs/>
          <w:szCs w:val="20"/>
        </w:rPr>
        <w:t xml:space="preserve"> to energy efficiency projects and </w:t>
      </w:r>
      <w:r w:rsidRPr="004B7BF5">
        <w:rPr>
          <w:rFonts w:cs="Arial"/>
          <w:bCs/>
          <w:szCs w:val="20"/>
        </w:rPr>
        <w:t xml:space="preserve">one third of respondents stated that financing could help reduce that barrier. </w:t>
      </w:r>
    </w:p>
    <w:p w14:paraId="0E23E43F" w14:textId="77777777" w:rsidR="00AA58B2" w:rsidRPr="004B7BF5" w:rsidRDefault="00AA58B2" w:rsidP="00AA58B2"/>
    <w:p w14:paraId="11F80B2C" w14:textId="77777777" w:rsidR="00947B1F" w:rsidRPr="008E0DE8" w:rsidRDefault="00947B1F" w:rsidP="00AA58B2">
      <w:pPr>
        <w:rPr>
          <w:rFonts w:cs="Arial"/>
        </w:rPr>
      </w:pPr>
      <w:r w:rsidRPr="004B7BF5">
        <w:rPr>
          <w:rFonts w:cs="Arial"/>
          <w:bCs/>
          <w:szCs w:val="20"/>
        </w:rPr>
        <w:t>Furthermore, there is research to suggest that financing programs encourage deeper energy savings per project since consumers can take on larger projects with higher associated savings, beyond what they could have otherwise afforded in the absence of financing.</w:t>
      </w:r>
      <w:r w:rsidRPr="004B7BF5">
        <w:rPr>
          <w:vertAlign w:val="superscript"/>
        </w:rPr>
        <w:footnoteReference w:id="33"/>
      </w:r>
      <w:r w:rsidR="00BB10CF">
        <w:rPr>
          <w:rFonts w:cs="Arial"/>
          <w:bCs/>
          <w:szCs w:val="20"/>
        </w:rPr>
        <w:t xml:space="preserve">  </w:t>
      </w:r>
      <w:r w:rsidRPr="008E0DE8">
        <w:rPr>
          <w:rFonts w:cs="Arial"/>
          <w:bCs/>
          <w:szCs w:val="20"/>
        </w:rPr>
        <w:t>Amongs</w:t>
      </w:r>
      <w:r w:rsidRPr="004B7BF5">
        <w:rPr>
          <w:rFonts w:cs="Arial"/>
          <w:bCs/>
          <w:szCs w:val="20"/>
        </w:rPr>
        <w:t>t homeowners</w:t>
      </w:r>
      <w:r w:rsidRPr="004B7BF5">
        <w:rPr>
          <w:rFonts w:cstheme="minorHAnsi"/>
          <w:szCs w:val="20"/>
        </w:rPr>
        <w:t xml:space="preserve"> who made an energy </w:t>
      </w:r>
      <w:r w:rsidRPr="004B7BF5">
        <w:rPr>
          <w:rFonts w:cstheme="minorHAnsi"/>
          <w:szCs w:val="20"/>
        </w:rPr>
        <w:lastRenderedPageBreak/>
        <w:t>upgrade and used financing, nearly three-quarters using financing indicated that the financing allowed them to do a larger project or purchase higher quality equipment than what they would have done on their own</w:t>
      </w:r>
      <w:r>
        <w:rPr>
          <w:rStyle w:val="FootnoteReference"/>
          <w:rFonts w:cstheme="minorHAnsi"/>
          <w:szCs w:val="20"/>
        </w:rPr>
        <w:footnoteReference w:id="34"/>
      </w:r>
      <w:r w:rsidRPr="004B7BF5">
        <w:rPr>
          <w:rFonts w:cstheme="minorHAnsi"/>
          <w:szCs w:val="20"/>
        </w:rPr>
        <w:t>. For the non-residential sector, 83% of</w:t>
      </w:r>
      <w:r>
        <w:rPr>
          <w:rFonts w:cstheme="minorHAnsi"/>
          <w:szCs w:val="20"/>
        </w:rPr>
        <w:t xml:space="preserve"> </w:t>
      </w:r>
      <w:r w:rsidR="00BB10CF">
        <w:rPr>
          <w:rFonts w:cstheme="minorHAnsi"/>
          <w:szCs w:val="20"/>
        </w:rPr>
        <w:t>on bill financing (</w:t>
      </w:r>
      <w:r>
        <w:rPr>
          <w:rFonts w:cstheme="minorHAnsi"/>
          <w:szCs w:val="20"/>
        </w:rPr>
        <w:t>OBF</w:t>
      </w:r>
      <w:r w:rsidR="00BB10CF">
        <w:rPr>
          <w:rFonts w:cstheme="minorHAnsi"/>
          <w:szCs w:val="20"/>
        </w:rPr>
        <w:t>)</w:t>
      </w:r>
      <w:r w:rsidRPr="008E0DE8">
        <w:rPr>
          <w:rFonts w:cstheme="minorHAnsi"/>
          <w:szCs w:val="20"/>
        </w:rPr>
        <w:t xml:space="preserve"> loans were for projects </w:t>
      </w:r>
      <w:r>
        <w:rPr>
          <w:rFonts w:cstheme="minorHAnsi"/>
          <w:szCs w:val="20"/>
        </w:rPr>
        <w:t>exceeding</w:t>
      </w:r>
      <w:r w:rsidRPr="008E0DE8">
        <w:rPr>
          <w:rFonts w:cstheme="minorHAnsi"/>
          <w:szCs w:val="20"/>
        </w:rPr>
        <w:t xml:space="preserve"> 10% energy savings</w:t>
      </w:r>
      <w:r>
        <w:rPr>
          <w:rFonts w:cstheme="minorHAnsi"/>
          <w:szCs w:val="20"/>
        </w:rPr>
        <w:t>.</w:t>
      </w:r>
      <w:r>
        <w:rPr>
          <w:rStyle w:val="FootnoteReference"/>
          <w:rFonts w:cstheme="minorHAnsi"/>
          <w:szCs w:val="20"/>
        </w:rPr>
        <w:footnoteReference w:id="35"/>
      </w:r>
    </w:p>
    <w:p w14:paraId="73D158FE" w14:textId="77777777" w:rsidR="00AA58B2" w:rsidRPr="008E0DE8" w:rsidRDefault="00AA58B2" w:rsidP="00AA58B2"/>
    <w:p w14:paraId="41500973" w14:textId="77777777" w:rsidR="00947B1F" w:rsidRPr="004B7BF5" w:rsidRDefault="00947B1F" w:rsidP="00AA58B2">
      <w:pPr>
        <w:rPr>
          <w:rFonts w:cs="Arial"/>
          <w:bCs/>
          <w:szCs w:val="20"/>
        </w:rPr>
      </w:pPr>
      <w:r w:rsidRPr="004B7BF5">
        <w:rPr>
          <w:rFonts w:cs="Arial"/>
          <w:bCs/>
          <w:szCs w:val="20"/>
        </w:rPr>
        <w:t xml:space="preserve">Financing may also reduce the “hassle factor” barrier that may affect a consumer’s willingness to take on an energy efficiency project. </w:t>
      </w:r>
      <w:r>
        <w:rPr>
          <w:rFonts w:cs="Arial"/>
          <w:bCs/>
          <w:szCs w:val="20"/>
        </w:rPr>
        <w:t>In a California study of</w:t>
      </w:r>
      <w:r w:rsidRPr="004B7BF5">
        <w:rPr>
          <w:rFonts w:cs="Arial"/>
          <w:bCs/>
          <w:szCs w:val="20"/>
        </w:rPr>
        <w:t xml:space="preserve"> homeowners who chose to use financing, </w:t>
      </w:r>
      <w:r>
        <w:rPr>
          <w:rFonts w:cs="Arial"/>
          <w:bCs/>
          <w:szCs w:val="20"/>
        </w:rPr>
        <w:t>a clear majority</w:t>
      </w:r>
      <w:r w:rsidRPr="004B7BF5">
        <w:rPr>
          <w:rFonts w:cs="Arial"/>
          <w:bCs/>
          <w:szCs w:val="20"/>
        </w:rPr>
        <w:t xml:space="preserve"> (88%) </w:t>
      </w:r>
      <w:r>
        <w:rPr>
          <w:rFonts w:cs="Arial"/>
          <w:bCs/>
          <w:szCs w:val="20"/>
        </w:rPr>
        <w:t>felt</w:t>
      </w:r>
      <w:r w:rsidRPr="004B7BF5">
        <w:rPr>
          <w:rFonts w:cs="Arial"/>
          <w:bCs/>
          <w:szCs w:val="20"/>
        </w:rPr>
        <w:t xml:space="preserve"> that financing was the most convenient option for them</w:t>
      </w:r>
      <w:r w:rsidRPr="004B7BF5">
        <w:rPr>
          <w:rStyle w:val="FootnoteReference"/>
          <w:rFonts w:cs="Arial"/>
          <w:bCs/>
          <w:szCs w:val="20"/>
        </w:rPr>
        <w:footnoteReference w:id="36"/>
      </w:r>
      <w:r w:rsidRPr="004B7BF5">
        <w:rPr>
          <w:rFonts w:cs="Arial"/>
          <w:bCs/>
          <w:szCs w:val="20"/>
        </w:rPr>
        <w:t xml:space="preserve">. </w:t>
      </w:r>
    </w:p>
    <w:p w14:paraId="36876050" w14:textId="77777777" w:rsidR="00947B1F" w:rsidRDefault="00947B1F" w:rsidP="00AA58B2">
      <w:pPr>
        <w:rPr>
          <w:rFonts w:cs="Arial"/>
          <w:bCs/>
          <w:szCs w:val="20"/>
        </w:rPr>
      </w:pPr>
      <w:r w:rsidRPr="004B7BF5">
        <w:rPr>
          <w:rFonts w:cs="Arial"/>
          <w:bCs/>
          <w:szCs w:val="20"/>
        </w:rPr>
        <w:t xml:space="preserve">For non-residential customers, qualified customers can access zero-percent OBF through a statewide program administered by the investor-owned utilities (IOUs). </w:t>
      </w:r>
      <w:r>
        <w:rPr>
          <w:rFonts w:cs="Arial"/>
          <w:bCs/>
          <w:szCs w:val="20"/>
        </w:rPr>
        <w:t>The OBF programs use alternative underwriting criteria that considers utility bill repayment history as a measure of creditworthiness</w:t>
      </w:r>
      <w:r>
        <w:rPr>
          <w:rStyle w:val="FootnoteReference"/>
          <w:rFonts w:cs="Arial"/>
          <w:bCs/>
          <w:szCs w:val="20"/>
        </w:rPr>
        <w:footnoteReference w:id="37"/>
      </w:r>
      <w:r>
        <w:rPr>
          <w:rFonts w:cs="Arial"/>
          <w:bCs/>
          <w:szCs w:val="20"/>
        </w:rPr>
        <w:t>. Participating in OBF and repaying</w:t>
      </w:r>
      <w:r w:rsidRPr="004B7BF5">
        <w:rPr>
          <w:rFonts w:cs="Arial"/>
          <w:bCs/>
          <w:szCs w:val="20"/>
        </w:rPr>
        <w:t xml:space="preserve"> the financed cost through </w:t>
      </w:r>
      <w:r>
        <w:rPr>
          <w:rFonts w:cs="Arial"/>
          <w:bCs/>
          <w:szCs w:val="20"/>
        </w:rPr>
        <w:t>a</w:t>
      </w:r>
      <w:r w:rsidRPr="004B7BF5">
        <w:rPr>
          <w:rFonts w:cs="Arial"/>
          <w:bCs/>
          <w:szCs w:val="20"/>
        </w:rPr>
        <w:t xml:space="preserve"> utility bill may be </w:t>
      </w:r>
      <w:r>
        <w:rPr>
          <w:rFonts w:cs="Arial"/>
          <w:bCs/>
          <w:szCs w:val="20"/>
        </w:rPr>
        <w:t>easier to understand and more convenient</w:t>
      </w:r>
      <w:r w:rsidRPr="004B7BF5">
        <w:rPr>
          <w:rFonts w:cs="Arial"/>
          <w:bCs/>
          <w:szCs w:val="20"/>
        </w:rPr>
        <w:t xml:space="preserve"> than applying for and repaying a conventional financing option. </w:t>
      </w:r>
    </w:p>
    <w:p w14:paraId="0286A73F" w14:textId="77777777" w:rsidR="00AA58B2" w:rsidRDefault="00AA58B2" w:rsidP="00AA58B2"/>
    <w:p w14:paraId="02CAC89F" w14:textId="77777777" w:rsidR="00947B1F" w:rsidRPr="004B7BF5" w:rsidRDefault="00947B1F" w:rsidP="00AA58B2">
      <w:pPr>
        <w:rPr>
          <w:rFonts w:cs="Arial"/>
          <w:bCs/>
          <w:szCs w:val="20"/>
        </w:rPr>
      </w:pPr>
      <w:r w:rsidRPr="004B7BF5">
        <w:rPr>
          <w:rFonts w:cs="Arial"/>
          <w:bCs/>
          <w:szCs w:val="20"/>
        </w:rPr>
        <w:t>Because a significant proportion of customers (46%</w:t>
      </w:r>
      <w:r>
        <w:rPr>
          <w:rFonts w:cs="Arial"/>
          <w:bCs/>
          <w:szCs w:val="20"/>
        </w:rPr>
        <w:t>)</w:t>
      </w:r>
      <w:r w:rsidRPr="004B7BF5">
        <w:rPr>
          <w:rFonts w:cs="Arial"/>
          <w:bCs/>
          <w:szCs w:val="20"/>
        </w:rPr>
        <w:t xml:space="preserve"> indicated a preference for zero percent financing over rebates (34%)</w:t>
      </w:r>
      <w:r w:rsidRPr="004B7BF5">
        <w:rPr>
          <w:rStyle w:val="FootnoteReference"/>
          <w:rFonts w:cs="Arial"/>
          <w:bCs/>
          <w:szCs w:val="20"/>
        </w:rPr>
        <w:footnoteReference w:id="38"/>
      </w:r>
      <w:r w:rsidRPr="004B7BF5">
        <w:rPr>
          <w:rFonts w:cs="Arial"/>
          <w:bCs/>
          <w:szCs w:val="20"/>
        </w:rPr>
        <w:t>, PG&amp;E is testing an OBF alternative pathway</w:t>
      </w:r>
      <w:r>
        <w:rPr>
          <w:rFonts w:cs="Arial"/>
          <w:bCs/>
          <w:szCs w:val="20"/>
        </w:rPr>
        <w:t xml:space="preserve"> that will be paired with metered energy data instead of an incentive</w:t>
      </w:r>
      <w:r>
        <w:rPr>
          <w:rStyle w:val="FootnoteReference"/>
          <w:rFonts w:cs="Arial"/>
          <w:bCs/>
          <w:szCs w:val="20"/>
        </w:rPr>
        <w:footnoteReference w:id="39"/>
      </w:r>
      <w:r>
        <w:rPr>
          <w:rFonts w:cs="Arial"/>
          <w:bCs/>
          <w:szCs w:val="20"/>
        </w:rPr>
        <w:t>. Because the incentive applications are where most problems occur in the application process, the alternate pathway program may further reduce the complexity and hassle barrier that some customers may associate with participating in utility energy efficiency programs.</w:t>
      </w:r>
      <w:r>
        <w:rPr>
          <w:rStyle w:val="FootnoteReference"/>
          <w:rFonts w:cs="Arial"/>
          <w:bCs/>
          <w:szCs w:val="20"/>
        </w:rPr>
        <w:footnoteReference w:id="40"/>
      </w:r>
    </w:p>
    <w:p w14:paraId="387F4019" w14:textId="77777777" w:rsidR="00947B1F" w:rsidRPr="004B7BF5" w:rsidRDefault="00947B1F" w:rsidP="00662116">
      <w:pPr>
        <w:pStyle w:val="Heading4"/>
      </w:pPr>
      <w:r w:rsidRPr="004B7BF5">
        <w:t xml:space="preserve">Impact of Financing on </w:t>
      </w:r>
      <w:r w:rsidR="00662116">
        <w:t>Consumer Economics</w:t>
      </w:r>
      <w:r w:rsidRPr="004B7BF5">
        <w:t xml:space="preserve"> </w:t>
      </w:r>
    </w:p>
    <w:p w14:paraId="04CAE2BC" w14:textId="77777777" w:rsidR="00947B1F" w:rsidRPr="004B7BF5" w:rsidRDefault="00947B1F" w:rsidP="00AA58B2">
      <w:pPr>
        <w:rPr>
          <w:rFonts w:cs="Arial"/>
        </w:rPr>
      </w:pPr>
      <w:r w:rsidRPr="004B7BF5">
        <w:rPr>
          <w:rFonts w:cs="Arial"/>
          <w:bCs/>
          <w:szCs w:val="20"/>
        </w:rPr>
        <w:t xml:space="preserve">Financing allows consumers to use private capital to fund energy efficiency projects; borrowers avoid the up-front cost and repay the project cost over time. We can evaluate the attractiveness of a financing option by looking at the annual cash flows for an efficient measure, compared to an efficient measure that is financed, and comparing the net present value of the options. </w:t>
      </w:r>
    </w:p>
    <w:p w14:paraId="76690875" w14:textId="77777777" w:rsidR="00947B1F" w:rsidRDefault="00947B1F" w:rsidP="00AA58B2">
      <w:pPr>
        <w:rPr>
          <w:rFonts w:cs="Arial"/>
          <w:bCs/>
          <w:szCs w:val="20"/>
        </w:rPr>
      </w:pPr>
    </w:p>
    <w:p w14:paraId="36765941" w14:textId="77777777" w:rsidR="00244626" w:rsidRDefault="00947B1F" w:rsidP="00AA58B2">
      <w:pPr>
        <w:rPr>
          <w:rFonts w:cs="Arial"/>
          <w:bCs/>
          <w:szCs w:val="20"/>
        </w:rPr>
      </w:pPr>
      <w:r w:rsidRPr="004B7BF5">
        <w:rPr>
          <w:rFonts w:cs="Arial"/>
          <w:bCs/>
          <w:szCs w:val="20"/>
        </w:rPr>
        <w:t xml:space="preserve">The net present value </w:t>
      </w:r>
      <w:r w:rsidR="00882599">
        <w:rPr>
          <w:rFonts w:cs="Arial"/>
          <w:bCs/>
          <w:szCs w:val="20"/>
        </w:rPr>
        <w:t>(NPV)</w:t>
      </w:r>
      <w:r w:rsidRPr="004B7BF5">
        <w:rPr>
          <w:rFonts w:cs="Arial"/>
          <w:bCs/>
          <w:szCs w:val="20"/>
        </w:rPr>
        <w:t xml:space="preserve"> is calculated by assigning costs and benefits, discounting future costs and benefits </w:t>
      </w:r>
      <w:r w:rsidR="00882599">
        <w:rPr>
          <w:rFonts w:cs="Arial"/>
          <w:bCs/>
          <w:szCs w:val="20"/>
        </w:rPr>
        <w:t xml:space="preserve">(future value, or FV) </w:t>
      </w:r>
      <w:r w:rsidRPr="004B7BF5">
        <w:rPr>
          <w:rFonts w:cs="Arial"/>
          <w:bCs/>
          <w:szCs w:val="20"/>
        </w:rPr>
        <w:t>by an appropriate discount rate</w:t>
      </w:r>
      <w:r w:rsidR="00882599">
        <w:rPr>
          <w:rFonts w:cs="Arial"/>
          <w:bCs/>
          <w:szCs w:val="20"/>
        </w:rPr>
        <w:t xml:space="preserve"> (i)</w:t>
      </w:r>
      <w:r w:rsidRPr="004B7BF5">
        <w:rPr>
          <w:rFonts w:cs="Arial"/>
          <w:bCs/>
          <w:szCs w:val="20"/>
        </w:rPr>
        <w:t>, and subtracting the present value total costs from the present value total benefits.</w:t>
      </w:r>
      <w:r w:rsidRPr="004B7BF5">
        <w:rPr>
          <w:rStyle w:val="FootnoteReference"/>
          <w:rFonts w:cs="Arial"/>
          <w:bCs/>
          <w:szCs w:val="20"/>
        </w:rPr>
        <w:footnoteReference w:id="41"/>
      </w:r>
    </w:p>
    <w:p w14:paraId="754AEA0D" w14:textId="77777777" w:rsidR="00244626" w:rsidRDefault="00244626" w:rsidP="00AA58B2">
      <w:pPr>
        <w:rPr>
          <w:rFonts w:cs="Arial"/>
          <w:bCs/>
          <w:szCs w:val="20"/>
        </w:rPr>
      </w:pPr>
    </w:p>
    <w:p w14:paraId="5601F3F3" w14:textId="77777777" w:rsidR="00244626" w:rsidRDefault="00244626" w:rsidP="00AA58B2">
      <w:pPr>
        <w:rPr>
          <w:rFonts w:cs="Arial"/>
          <w:bCs/>
          <w:szCs w:val="20"/>
        </w:rPr>
      </w:pPr>
      <w:r>
        <w:rPr>
          <w:rFonts w:cs="Arial"/>
          <w:bCs/>
          <w:szCs w:val="20"/>
        </w:rPr>
        <w:t>To discount future payments</w:t>
      </w:r>
      <w:r w:rsidR="00542182">
        <w:rPr>
          <w:rFonts w:cs="Arial"/>
          <w:bCs/>
          <w:szCs w:val="20"/>
        </w:rPr>
        <w:t xml:space="preserve">, we apply the </w:t>
      </w:r>
      <w:r w:rsidR="00923920">
        <w:rPr>
          <w:rFonts w:cs="Arial"/>
          <w:bCs/>
          <w:szCs w:val="20"/>
        </w:rPr>
        <w:t xml:space="preserve">annual </w:t>
      </w:r>
      <w:r>
        <w:rPr>
          <w:rFonts w:cs="Arial"/>
          <w:bCs/>
          <w:szCs w:val="20"/>
        </w:rPr>
        <w:t>consumer discount rate</w:t>
      </w:r>
      <w:r w:rsidR="00923920">
        <w:rPr>
          <w:rFonts w:cs="Arial"/>
          <w:bCs/>
          <w:szCs w:val="20"/>
        </w:rPr>
        <w:t xml:space="preserve"> (</w:t>
      </w:r>
      <w:r w:rsidR="00923920" w:rsidRPr="00662116">
        <w:rPr>
          <w:rFonts w:cs="Arial"/>
          <w:bCs/>
          <w:i/>
          <w:szCs w:val="20"/>
        </w:rPr>
        <w:t>i</w:t>
      </w:r>
      <w:r w:rsidR="00923920">
        <w:rPr>
          <w:rFonts w:cs="Arial"/>
          <w:bCs/>
          <w:szCs w:val="20"/>
        </w:rPr>
        <w:t>)</w:t>
      </w:r>
      <w:r w:rsidR="00542182">
        <w:rPr>
          <w:rFonts w:cs="Arial"/>
          <w:bCs/>
          <w:szCs w:val="20"/>
        </w:rPr>
        <w:t xml:space="preserve"> per</w:t>
      </w:r>
      <w:r w:rsidR="00957936">
        <w:rPr>
          <w:rFonts w:cs="Arial"/>
          <w:bCs/>
          <w:szCs w:val="20"/>
        </w:rPr>
        <w:t xml:space="preserve"> </w:t>
      </w:r>
      <w:r w:rsidR="00957936">
        <w:rPr>
          <w:rFonts w:cs="Arial"/>
          <w:bCs/>
          <w:szCs w:val="20"/>
        </w:rPr>
        <w:fldChar w:fldCharType="begin"/>
      </w:r>
      <w:r w:rsidR="00957936">
        <w:rPr>
          <w:rFonts w:cs="Arial"/>
          <w:bCs/>
          <w:szCs w:val="20"/>
        </w:rPr>
        <w:instrText xml:space="preserve"> REF _Ref482624568 \h </w:instrText>
      </w:r>
      <w:r w:rsidR="00957936">
        <w:rPr>
          <w:rFonts w:cs="Arial"/>
          <w:bCs/>
          <w:szCs w:val="20"/>
        </w:rPr>
      </w:r>
      <w:r w:rsidR="00957936">
        <w:rPr>
          <w:rFonts w:cs="Arial"/>
          <w:bCs/>
          <w:szCs w:val="20"/>
        </w:rPr>
        <w:fldChar w:fldCharType="separate"/>
      </w:r>
      <w:r w:rsidR="007566B9" w:rsidRPr="001B5456">
        <w:t xml:space="preserve">Equation </w:t>
      </w:r>
      <w:r w:rsidR="007566B9">
        <w:rPr>
          <w:noProof/>
        </w:rPr>
        <w:t>2</w:t>
      </w:r>
      <w:r w:rsidR="007566B9">
        <w:noBreakHyphen/>
      </w:r>
      <w:r w:rsidR="007566B9">
        <w:rPr>
          <w:noProof/>
        </w:rPr>
        <w:t>9</w:t>
      </w:r>
      <w:r w:rsidR="00957936">
        <w:rPr>
          <w:rFonts w:cs="Arial"/>
          <w:bCs/>
          <w:szCs w:val="20"/>
        </w:rPr>
        <w:fldChar w:fldCharType="end"/>
      </w:r>
      <w:r w:rsidR="00923920">
        <w:rPr>
          <w:rFonts w:cs="Arial"/>
          <w:bCs/>
          <w:szCs w:val="20"/>
        </w:rPr>
        <w:t xml:space="preserve">, where </w:t>
      </w:r>
      <w:r w:rsidR="00923920" w:rsidRPr="00662116">
        <w:rPr>
          <w:rFonts w:cs="Arial"/>
          <w:bCs/>
          <w:i/>
          <w:szCs w:val="20"/>
        </w:rPr>
        <w:t>n</w:t>
      </w:r>
      <w:r w:rsidR="00923920">
        <w:rPr>
          <w:rFonts w:cs="Arial"/>
          <w:bCs/>
          <w:szCs w:val="20"/>
        </w:rPr>
        <w:t xml:space="preserve"> is the number of years</w:t>
      </w:r>
      <w:r>
        <w:rPr>
          <w:rFonts w:cs="Arial"/>
          <w:bCs/>
          <w:szCs w:val="20"/>
        </w:rPr>
        <w:t xml:space="preserve">: </w:t>
      </w:r>
    </w:p>
    <w:p w14:paraId="23F89B9A" w14:textId="77777777" w:rsidR="00244626" w:rsidRDefault="00244626" w:rsidP="00947B1F">
      <w:pPr>
        <w:autoSpaceDE w:val="0"/>
        <w:autoSpaceDN w:val="0"/>
        <w:adjustRightInd w:val="0"/>
        <w:spacing w:line="240" w:lineRule="auto"/>
        <w:rPr>
          <w:rFonts w:cs="Arial"/>
          <w:bCs/>
          <w:szCs w:val="20"/>
        </w:rPr>
      </w:pPr>
    </w:p>
    <w:p w14:paraId="1376331F" w14:textId="77777777" w:rsidR="00923920" w:rsidRDefault="00957936">
      <w:pPr>
        <w:pStyle w:val="Caption"/>
      </w:pPr>
      <w:bookmarkStart w:id="269" w:name="_Ref482624568"/>
      <w:r w:rsidRPr="001B5456">
        <w:t xml:space="preserve">Equation </w:t>
      </w:r>
      <w:fldSimple w:instr=" STYLEREF 1 \s ">
        <w:r w:rsidR="007566B9">
          <w:rPr>
            <w:noProof/>
          </w:rPr>
          <w:t>2</w:t>
        </w:r>
      </w:fldSimple>
      <w:r>
        <w:noBreakHyphen/>
      </w:r>
      <w:fldSimple w:instr=" SEQ Equation \* ARABIC \s 1 ">
        <w:r w:rsidR="007566B9">
          <w:rPr>
            <w:noProof/>
          </w:rPr>
          <w:t>9</w:t>
        </w:r>
      </w:fldSimple>
      <w:bookmarkEnd w:id="269"/>
      <w:r w:rsidRPr="001B5456">
        <w:t xml:space="preserve">. </w:t>
      </w:r>
      <w:r w:rsidR="00662116">
        <w:t>Present</w:t>
      </w:r>
      <w:r w:rsidR="00923920">
        <w:t xml:space="preserve"> Value Equation</w:t>
      </w:r>
    </w:p>
    <w:p w14:paraId="3893ED60" w14:textId="77777777" w:rsidR="00923920" w:rsidRDefault="00173FA8" w:rsidP="00923920">
      <w:pPr>
        <w:autoSpaceDE w:val="0"/>
        <w:autoSpaceDN w:val="0"/>
        <w:adjustRightInd w:val="0"/>
        <w:spacing w:line="240" w:lineRule="auto"/>
        <w:rPr>
          <w:rFonts w:cs="Arial"/>
          <w:bCs/>
          <w:szCs w:val="20"/>
        </w:rPr>
      </w:pPr>
      <m:oMathPara>
        <m:oMath>
          <m:r>
            <w:rPr>
              <w:rFonts w:ascii="Cambria Math" w:hAnsi="Cambria Math" w:cs="Arial"/>
              <w:szCs w:val="20"/>
            </w:rPr>
            <m:t>Present Value =Future Value ×</m:t>
          </m:r>
          <m:sSup>
            <m:sSupPr>
              <m:ctrlPr>
                <w:rPr>
                  <w:rFonts w:ascii="Cambria Math" w:hAnsi="Cambria Math" w:cs="Arial"/>
                  <w:bCs/>
                  <w:i/>
                  <w:szCs w:val="20"/>
                </w:rPr>
              </m:ctrlPr>
            </m:sSupPr>
            <m:e>
              <m:r>
                <w:rPr>
                  <w:rFonts w:ascii="Cambria Math" w:hAnsi="Cambria Math" w:cs="Arial"/>
                  <w:szCs w:val="20"/>
                </w:rPr>
                <m:t>(1+i)</m:t>
              </m:r>
            </m:e>
            <m:sup>
              <m:r>
                <w:rPr>
                  <w:rFonts w:ascii="Cambria Math" w:hAnsi="Cambria Math" w:cs="Arial"/>
                  <w:szCs w:val="20"/>
                </w:rPr>
                <m:t>-n</m:t>
              </m:r>
            </m:sup>
          </m:sSup>
        </m:oMath>
      </m:oMathPara>
    </w:p>
    <w:p w14:paraId="1E064FCC" w14:textId="77777777" w:rsidR="00244626" w:rsidRDefault="00244626" w:rsidP="00947B1F">
      <w:pPr>
        <w:autoSpaceDE w:val="0"/>
        <w:autoSpaceDN w:val="0"/>
        <w:adjustRightInd w:val="0"/>
        <w:spacing w:line="240" w:lineRule="auto"/>
        <w:rPr>
          <w:rFonts w:cs="Arial"/>
          <w:bCs/>
          <w:szCs w:val="20"/>
        </w:rPr>
      </w:pPr>
    </w:p>
    <w:p w14:paraId="7330095E" w14:textId="77777777" w:rsidR="00B7636F" w:rsidRDefault="00923920" w:rsidP="00AA58B2">
      <w:pPr>
        <w:rPr>
          <w:rFonts w:cs="Arial"/>
          <w:bCs/>
          <w:szCs w:val="20"/>
        </w:rPr>
      </w:pPr>
      <w:r>
        <w:rPr>
          <w:rFonts w:cs="Arial"/>
          <w:bCs/>
          <w:szCs w:val="20"/>
        </w:rPr>
        <w:t xml:space="preserve">We can evaluate the present value of an energy efficiency measure over the useful life of the </w:t>
      </w:r>
      <w:r w:rsidR="00882599">
        <w:rPr>
          <w:rFonts w:cs="Arial"/>
          <w:bCs/>
          <w:szCs w:val="20"/>
        </w:rPr>
        <w:t>equipment</w:t>
      </w:r>
      <w:r>
        <w:rPr>
          <w:rFonts w:cs="Arial"/>
          <w:bCs/>
          <w:szCs w:val="20"/>
        </w:rPr>
        <w:t xml:space="preserve"> by comparing the net present value of </w:t>
      </w:r>
      <w:r w:rsidR="00882599">
        <w:rPr>
          <w:rFonts w:cs="Arial"/>
          <w:bCs/>
          <w:szCs w:val="20"/>
        </w:rPr>
        <w:t>the</w:t>
      </w:r>
      <w:r>
        <w:rPr>
          <w:rFonts w:cs="Arial"/>
          <w:bCs/>
          <w:szCs w:val="20"/>
        </w:rPr>
        <w:t xml:space="preserve"> hypothetical costs of the equipment and energy.</w:t>
      </w:r>
      <w:r w:rsidR="00882599">
        <w:rPr>
          <w:rFonts w:cs="Arial"/>
          <w:bCs/>
          <w:szCs w:val="20"/>
        </w:rPr>
        <w:t xml:space="preserve"> </w:t>
      </w:r>
      <w:r w:rsidR="00882599">
        <w:t xml:space="preserve">For example, </w:t>
      </w:r>
      <w:r w:rsidR="00303412">
        <w:fldChar w:fldCharType="begin"/>
      </w:r>
      <w:r w:rsidR="00303412">
        <w:instrText xml:space="preserve"> REF _Ref490227447 \h </w:instrText>
      </w:r>
      <w:r w:rsidR="00303412">
        <w:fldChar w:fldCharType="separate"/>
      </w:r>
      <w:r w:rsidR="00303412">
        <w:t xml:space="preserve">Table </w:t>
      </w:r>
      <w:r w:rsidR="00303412">
        <w:rPr>
          <w:noProof/>
        </w:rPr>
        <w:t>2</w:t>
      </w:r>
      <w:r w:rsidR="00303412">
        <w:noBreakHyphen/>
      </w:r>
      <w:r w:rsidR="00303412">
        <w:rPr>
          <w:noProof/>
        </w:rPr>
        <w:t>4</w:t>
      </w:r>
      <w:r w:rsidR="00303412">
        <w:fldChar w:fldCharType="end"/>
      </w:r>
      <w:r w:rsidR="00303412">
        <w:t xml:space="preserve"> </w:t>
      </w:r>
      <w:r w:rsidR="00882599">
        <w:rPr>
          <w:rFonts w:cs="Arial"/>
          <w:bCs/>
          <w:szCs w:val="20"/>
        </w:rPr>
        <w:t xml:space="preserve">shows the present value cost of a base efficiency </w:t>
      </w:r>
      <w:r w:rsidR="00C04E94">
        <w:rPr>
          <w:rFonts w:cs="Arial"/>
          <w:bCs/>
          <w:szCs w:val="20"/>
        </w:rPr>
        <w:t>technology</w:t>
      </w:r>
      <w:r w:rsidR="00882599">
        <w:rPr>
          <w:rFonts w:cs="Arial"/>
          <w:bCs/>
          <w:szCs w:val="20"/>
        </w:rPr>
        <w:t xml:space="preserve"> ($1000) purchased in year 0, followed by energy costs for that unit of $200 annually for ten years. The total cash outflows are discounted by the assumed consumer discount rate, which for this example is 7%. The net present cost of the base </w:t>
      </w:r>
      <w:r w:rsidR="00C04E94">
        <w:rPr>
          <w:rFonts w:cs="Arial"/>
          <w:bCs/>
          <w:szCs w:val="20"/>
        </w:rPr>
        <w:t>technology</w:t>
      </w:r>
      <w:r w:rsidR="00882599">
        <w:rPr>
          <w:rFonts w:cs="Arial"/>
          <w:bCs/>
          <w:szCs w:val="20"/>
        </w:rPr>
        <w:t xml:space="preserve"> is $2,</w:t>
      </w:r>
      <w:r w:rsidR="00514DB0">
        <w:rPr>
          <w:rFonts w:cs="Arial"/>
          <w:bCs/>
          <w:szCs w:val="20"/>
        </w:rPr>
        <w:t>405</w:t>
      </w:r>
      <w:r w:rsidR="00882599">
        <w:rPr>
          <w:rFonts w:cs="Arial"/>
          <w:bCs/>
          <w:szCs w:val="20"/>
        </w:rPr>
        <w:t xml:space="preserve">. </w:t>
      </w:r>
    </w:p>
    <w:p w14:paraId="14E44733" w14:textId="77777777" w:rsidR="00882599" w:rsidRDefault="00882599" w:rsidP="00AA58B2">
      <w:pPr>
        <w:rPr>
          <w:rFonts w:cs="Arial"/>
          <w:bCs/>
          <w:szCs w:val="20"/>
        </w:rPr>
      </w:pPr>
    </w:p>
    <w:p w14:paraId="148C204F" w14:textId="77777777" w:rsidR="00882599" w:rsidRDefault="00882599" w:rsidP="00AA58B2">
      <w:pPr>
        <w:rPr>
          <w:rFonts w:cs="Arial"/>
          <w:bCs/>
          <w:szCs w:val="20"/>
        </w:rPr>
      </w:pPr>
      <w:r>
        <w:rPr>
          <w:rFonts w:cs="Arial"/>
          <w:bCs/>
          <w:szCs w:val="20"/>
        </w:rPr>
        <w:t xml:space="preserve">The next calculation shows the net present cost of the efficient technology, which in this case costs $1250 to the consumer </w:t>
      </w:r>
      <w:r w:rsidR="00542182">
        <w:rPr>
          <w:rFonts w:cs="Arial"/>
          <w:bCs/>
          <w:szCs w:val="20"/>
        </w:rPr>
        <w:t xml:space="preserve">up-front </w:t>
      </w:r>
      <w:r>
        <w:rPr>
          <w:rFonts w:cs="Arial"/>
          <w:bCs/>
          <w:szCs w:val="20"/>
        </w:rPr>
        <w:t xml:space="preserve">after a 50% rebate on the incremental cost of the efficient technology whose original cost was $1500 (i.e., $1500 – [($1500-$1000) x 50%] = $1250). The annual energy cost of the efficient </w:t>
      </w:r>
      <w:r w:rsidR="00C04E94">
        <w:rPr>
          <w:rFonts w:cs="Arial"/>
          <w:bCs/>
          <w:szCs w:val="20"/>
        </w:rPr>
        <w:t>technology</w:t>
      </w:r>
      <w:r>
        <w:rPr>
          <w:rFonts w:cs="Arial"/>
          <w:bCs/>
          <w:szCs w:val="20"/>
        </w:rPr>
        <w:t xml:space="preserve"> is $125 per year. The total cash outflows are discounted by the same consumer discount rate (7%)</w:t>
      </w:r>
      <w:r w:rsidR="00542182">
        <w:rPr>
          <w:rFonts w:cs="Arial"/>
          <w:bCs/>
          <w:szCs w:val="20"/>
        </w:rPr>
        <w:t>,</w:t>
      </w:r>
      <w:r>
        <w:rPr>
          <w:rFonts w:cs="Arial"/>
          <w:bCs/>
          <w:szCs w:val="20"/>
        </w:rPr>
        <w:t xml:space="preserve"> yielding a net present cost for the efficient </w:t>
      </w:r>
      <w:r w:rsidR="00C04E94">
        <w:rPr>
          <w:rFonts w:cs="Arial"/>
          <w:bCs/>
          <w:szCs w:val="20"/>
        </w:rPr>
        <w:t>technology</w:t>
      </w:r>
      <w:r>
        <w:rPr>
          <w:rFonts w:cs="Arial"/>
          <w:bCs/>
          <w:szCs w:val="20"/>
        </w:rPr>
        <w:t xml:space="preserve"> is $2,</w:t>
      </w:r>
      <w:r w:rsidR="00514DB0">
        <w:rPr>
          <w:rFonts w:cs="Arial"/>
          <w:bCs/>
          <w:szCs w:val="20"/>
        </w:rPr>
        <w:t>128</w:t>
      </w:r>
      <w:r w:rsidR="00542182">
        <w:rPr>
          <w:rFonts w:cs="Arial"/>
          <w:bCs/>
          <w:szCs w:val="20"/>
        </w:rPr>
        <w:t xml:space="preserve">. This total cost is less than the base </w:t>
      </w:r>
      <w:r w:rsidR="00C04E94">
        <w:rPr>
          <w:rFonts w:cs="Arial"/>
          <w:bCs/>
          <w:szCs w:val="20"/>
        </w:rPr>
        <w:t>technology</w:t>
      </w:r>
      <w:r>
        <w:rPr>
          <w:rFonts w:cs="Arial"/>
          <w:bCs/>
          <w:szCs w:val="20"/>
        </w:rPr>
        <w:t>.</w:t>
      </w:r>
    </w:p>
    <w:p w14:paraId="5EC033B0" w14:textId="77777777" w:rsidR="00244626" w:rsidRDefault="00244626" w:rsidP="00947B1F">
      <w:pPr>
        <w:autoSpaceDE w:val="0"/>
        <w:autoSpaceDN w:val="0"/>
        <w:adjustRightInd w:val="0"/>
        <w:spacing w:line="240" w:lineRule="auto"/>
        <w:rPr>
          <w:rFonts w:cs="Arial"/>
          <w:bCs/>
          <w:szCs w:val="20"/>
        </w:rPr>
      </w:pPr>
    </w:p>
    <w:p w14:paraId="0E8BE199" w14:textId="77777777" w:rsidR="00542182" w:rsidRDefault="00542182" w:rsidP="00AA58B2">
      <w:pPr>
        <w:rPr>
          <w:rFonts w:cs="Arial"/>
          <w:bCs/>
          <w:szCs w:val="20"/>
        </w:rPr>
      </w:pPr>
      <w:r>
        <w:rPr>
          <w:rFonts w:cs="Arial"/>
          <w:bCs/>
          <w:szCs w:val="20"/>
        </w:rPr>
        <w:t xml:space="preserve">Finally, the third calculation shows the net present cost of the efficient technology after financing. The efficient </w:t>
      </w:r>
      <w:r w:rsidR="00C04E94">
        <w:rPr>
          <w:rFonts w:cs="Arial"/>
          <w:bCs/>
          <w:szCs w:val="20"/>
        </w:rPr>
        <w:t>technology</w:t>
      </w:r>
      <w:r>
        <w:rPr>
          <w:rFonts w:cs="Arial"/>
          <w:bCs/>
          <w:szCs w:val="20"/>
        </w:rPr>
        <w:t xml:space="preserve"> costs $1250 with the utility incentive. Assuming a consumer uses an energy efficiency loan at 4% for ten years, the equipment and financing costs are spread over ten years at $148 per year. The annual energy cost of the efficient </w:t>
      </w:r>
      <w:r w:rsidR="00B73F53">
        <w:rPr>
          <w:rFonts w:cs="Arial"/>
          <w:bCs/>
          <w:szCs w:val="20"/>
        </w:rPr>
        <w:t>technology</w:t>
      </w:r>
      <w:r>
        <w:rPr>
          <w:rFonts w:cs="Arial"/>
          <w:bCs/>
          <w:szCs w:val="20"/>
        </w:rPr>
        <w:t xml:space="preserve"> financed is still $125 per year. The total cash outflows are discounted by the same consumer discount rate (7%), yielding a net present cost for the efficient </w:t>
      </w:r>
      <w:r w:rsidR="00B73F53">
        <w:rPr>
          <w:rFonts w:cs="Arial"/>
          <w:bCs/>
          <w:szCs w:val="20"/>
        </w:rPr>
        <w:t>technology</w:t>
      </w:r>
      <w:r>
        <w:rPr>
          <w:rFonts w:cs="Arial"/>
          <w:bCs/>
          <w:szCs w:val="20"/>
        </w:rPr>
        <w:t xml:space="preserve"> with financing of $1,</w:t>
      </w:r>
      <w:r w:rsidR="00514DB0">
        <w:rPr>
          <w:rFonts w:cs="Arial"/>
          <w:bCs/>
          <w:szCs w:val="20"/>
        </w:rPr>
        <w:t>992</w:t>
      </w:r>
      <w:r>
        <w:rPr>
          <w:rFonts w:cs="Arial"/>
          <w:bCs/>
          <w:szCs w:val="20"/>
        </w:rPr>
        <w:t xml:space="preserve">. This total cost is less than the base model and less than the efficient </w:t>
      </w:r>
      <w:r w:rsidR="00B73F53">
        <w:rPr>
          <w:rFonts w:cs="Arial"/>
          <w:bCs/>
          <w:szCs w:val="20"/>
        </w:rPr>
        <w:t>technology</w:t>
      </w:r>
      <w:r>
        <w:rPr>
          <w:rFonts w:cs="Arial"/>
          <w:bCs/>
          <w:szCs w:val="20"/>
        </w:rPr>
        <w:t xml:space="preserve"> without financing.</w:t>
      </w:r>
    </w:p>
    <w:p w14:paraId="275A6B52" w14:textId="77777777" w:rsidR="00542182" w:rsidRDefault="00542182" w:rsidP="00947B1F">
      <w:pPr>
        <w:autoSpaceDE w:val="0"/>
        <w:autoSpaceDN w:val="0"/>
        <w:adjustRightInd w:val="0"/>
        <w:spacing w:line="240" w:lineRule="auto"/>
        <w:rPr>
          <w:rFonts w:cs="Arial"/>
          <w:bCs/>
          <w:szCs w:val="20"/>
        </w:rPr>
      </w:pPr>
    </w:p>
    <w:p w14:paraId="52D4003B" w14:textId="77777777" w:rsidR="00882599" w:rsidRDefault="00882599" w:rsidP="00662116">
      <w:pPr>
        <w:pStyle w:val="Caption"/>
      </w:pPr>
      <w:bookmarkStart w:id="270" w:name="_Ref482002416"/>
      <w:bookmarkStart w:id="271" w:name="_Ref490227447"/>
      <w:bookmarkStart w:id="272" w:name="_Toc482634204"/>
      <w:bookmarkStart w:id="273" w:name="_Toc484436943"/>
      <w:bookmarkStart w:id="274" w:name="_Ref485118759"/>
      <w:bookmarkStart w:id="275" w:name="_Toc490560654"/>
      <w:r>
        <w:lastRenderedPageBreak/>
        <w:t xml:space="preserve">Table </w:t>
      </w:r>
      <w:fldSimple w:instr=" STYLEREF 1 \s ">
        <w:r w:rsidR="007566B9">
          <w:rPr>
            <w:noProof/>
          </w:rPr>
          <w:t>2</w:t>
        </w:r>
      </w:fldSimple>
      <w:r w:rsidR="00C17D59">
        <w:noBreakHyphen/>
      </w:r>
      <w:bookmarkEnd w:id="270"/>
      <w:r w:rsidR="00B206D8">
        <w:fldChar w:fldCharType="begin"/>
      </w:r>
      <w:r w:rsidR="00B206D8">
        <w:instrText xml:space="preserve"> SEQ Table \* ARABIC \s 1 </w:instrText>
      </w:r>
      <w:r w:rsidR="00B206D8">
        <w:fldChar w:fldCharType="separate"/>
      </w:r>
      <w:r w:rsidR="007566B9">
        <w:rPr>
          <w:noProof/>
        </w:rPr>
        <w:t>4</w:t>
      </w:r>
      <w:r w:rsidR="00B206D8">
        <w:rPr>
          <w:noProof/>
        </w:rPr>
        <w:fldChar w:fldCharType="end"/>
      </w:r>
      <w:bookmarkEnd w:id="271"/>
      <w:r>
        <w:t xml:space="preserve">. </w:t>
      </w:r>
      <w:r w:rsidR="00662116">
        <w:t xml:space="preserve">Example </w:t>
      </w:r>
      <w:r>
        <w:t>Present Value Comparisons for Base and Efficient Technologies and Financing</w:t>
      </w:r>
      <w:bookmarkEnd w:id="272"/>
      <w:bookmarkEnd w:id="273"/>
      <w:bookmarkEnd w:id="274"/>
      <w:bookmarkEnd w:id="275"/>
      <w:r>
        <w:t xml:space="preserve"> </w:t>
      </w:r>
    </w:p>
    <w:tbl>
      <w:tblPr>
        <w:tblStyle w:val="EnergyTable1"/>
        <w:tblW w:w="9528" w:type="dxa"/>
        <w:tblLook w:val="04A0" w:firstRow="1" w:lastRow="0" w:firstColumn="1" w:lastColumn="0" w:noHBand="0" w:noVBand="1"/>
      </w:tblPr>
      <w:tblGrid>
        <w:gridCol w:w="2451"/>
        <w:gridCol w:w="805"/>
        <w:gridCol w:w="638"/>
        <w:gridCol w:w="638"/>
        <w:gridCol w:w="638"/>
        <w:gridCol w:w="638"/>
        <w:gridCol w:w="638"/>
        <w:gridCol w:w="638"/>
        <w:gridCol w:w="638"/>
        <w:gridCol w:w="638"/>
        <w:gridCol w:w="638"/>
        <w:gridCol w:w="581"/>
      </w:tblGrid>
      <w:tr w:rsidR="00244626" w:rsidRPr="00662116" w14:paraId="74FE4F54" w14:textId="77777777" w:rsidTr="00AF21BE">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0" w:type="dxa"/>
            <w:noWrap/>
            <w:hideMark/>
          </w:tcPr>
          <w:p w14:paraId="2A19B04D" w14:textId="77777777" w:rsidR="00244626" w:rsidRPr="00662116" w:rsidRDefault="00244626" w:rsidP="00662116">
            <w:pPr>
              <w:keepNext/>
              <w:spacing w:line="240" w:lineRule="auto"/>
              <w:jc w:val="left"/>
              <w:rPr>
                <w:rFonts w:ascii="Arial Narrow" w:hAnsi="Arial Narrow" w:cs="Arial"/>
                <w:szCs w:val="20"/>
              </w:rPr>
            </w:pPr>
            <w:r w:rsidRPr="00662116">
              <w:rPr>
                <w:rFonts w:ascii="Arial Narrow" w:hAnsi="Arial Narrow" w:cs="Arial"/>
                <w:szCs w:val="20"/>
              </w:rPr>
              <w:t xml:space="preserve">Base Technology </w:t>
            </w:r>
          </w:p>
        </w:tc>
        <w:tc>
          <w:tcPr>
            <w:tcW w:w="0" w:type="dxa"/>
            <w:gridSpan w:val="8"/>
            <w:noWrap/>
            <w:hideMark/>
          </w:tcPr>
          <w:p w14:paraId="368D3DC9" w14:textId="77777777" w:rsidR="00244626" w:rsidRPr="00662116" w:rsidRDefault="00244626" w:rsidP="00662116">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662116">
              <w:rPr>
                <w:rFonts w:ascii="Arial Narrow" w:hAnsi="Arial Narrow" w:cs="Arial"/>
                <w:szCs w:val="20"/>
              </w:rPr>
              <w:t> </w:t>
            </w:r>
          </w:p>
        </w:tc>
        <w:tc>
          <w:tcPr>
            <w:tcW w:w="0" w:type="dxa"/>
            <w:gridSpan w:val="3"/>
          </w:tcPr>
          <w:p w14:paraId="63880A41" w14:textId="77777777" w:rsidR="00542182" w:rsidRPr="00662116" w:rsidRDefault="00542182" w:rsidP="00244626">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p>
        </w:tc>
      </w:tr>
      <w:tr w:rsidR="00244626" w:rsidRPr="00662116" w14:paraId="05656A68" w14:textId="77777777" w:rsidTr="00AF21B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0" w:type="dxa"/>
            <w:noWrap/>
            <w:hideMark/>
          </w:tcPr>
          <w:p w14:paraId="5B36430C" w14:textId="77777777" w:rsidR="00244626" w:rsidRPr="00662116" w:rsidRDefault="00244626" w:rsidP="00662116">
            <w:pPr>
              <w:keepNext/>
              <w:spacing w:line="240" w:lineRule="auto"/>
              <w:rPr>
                <w:rFonts w:ascii="Arial Narrow" w:hAnsi="Arial Narrow" w:cs="Arial"/>
                <w:b/>
                <w:color w:val="000000"/>
                <w:szCs w:val="20"/>
              </w:rPr>
            </w:pPr>
            <w:r w:rsidRPr="00662116">
              <w:rPr>
                <w:rFonts w:ascii="Arial Narrow" w:hAnsi="Arial Narrow" w:cs="Arial"/>
                <w:b/>
                <w:color w:val="000000"/>
                <w:szCs w:val="20"/>
              </w:rPr>
              <w:t xml:space="preserve">Year </w:t>
            </w:r>
          </w:p>
        </w:tc>
        <w:tc>
          <w:tcPr>
            <w:tcW w:w="0" w:type="dxa"/>
            <w:noWrap/>
            <w:hideMark/>
          </w:tcPr>
          <w:p w14:paraId="4BB7152D" w14:textId="77777777" w:rsidR="00244626" w:rsidRPr="00662116" w:rsidRDefault="00244626" w:rsidP="00662116">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Cs w:val="20"/>
              </w:rPr>
            </w:pPr>
            <w:r w:rsidRPr="00662116">
              <w:rPr>
                <w:rFonts w:ascii="Arial Narrow" w:hAnsi="Arial Narrow" w:cs="Arial"/>
                <w:b/>
                <w:color w:val="000000"/>
                <w:szCs w:val="20"/>
              </w:rPr>
              <w:t>0</w:t>
            </w:r>
          </w:p>
        </w:tc>
        <w:tc>
          <w:tcPr>
            <w:tcW w:w="0" w:type="dxa"/>
            <w:noWrap/>
            <w:hideMark/>
          </w:tcPr>
          <w:p w14:paraId="49B435D1" w14:textId="77777777" w:rsidR="00244626" w:rsidRPr="00662116" w:rsidRDefault="00244626" w:rsidP="00662116">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Cs w:val="20"/>
              </w:rPr>
            </w:pPr>
            <w:r w:rsidRPr="00662116">
              <w:rPr>
                <w:rFonts w:ascii="Arial Narrow" w:hAnsi="Arial Narrow" w:cs="Arial"/>
                <w:b/>
                <w:color w:val="000000"/>
                <w:szCs w:val="20"/>
              </w:rPr>
              <w:t>1</w:t>
            </w:r>
          </w:p>
        </w:tc>
        <w:tc>
          <w:tcPr>
            <w:tcW w:w="0" w:type="dxa"/>
            <w:noWrap/>
            <w:hideMark/>
          </w:tcPr>
          <w:p w14:paraId="21815DEE" w14:textId="77777777" w:rsidR="00244626" w:rsidRPr="00662116" w:rsidRDefault="00542182" w:rsidP="00662116">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Cs w:val="20"/>
              </w:rPr>
            </w:pPr>
            <w:r w:rsidRPr="00662116">
              <w:rPr>
                <w:rFonts w:ascii="Arial Narrow" w:hAnsi="Arial Narrow" w:cs="Arial"/>
                <w:b/>
                <w:bCs/>
                <w:color w:val="000000"/>
                <w:szCs w:val="20"/>
              </w:rPr>
              <w:t>2</w:t>
            </w:r>
          </w:p>
        </w:tc>
        <w:tc>
          <w:tcPr>
            <w:tcW w:w="0" w:type="dxa"/>
            <w:noWrap/>
            <w:hideMark/>
          </w:tcPr>
          <w:p w14:paraId="7AFD467A" w14:textId="77777777" w:rsidR="00244626" w:rsidRPr="00662116" w:rsidRDefault="00542182" w:rsidP="00662116">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Cs w:val="20"/>
              </w:rPr>
            </w:pPr>
            <w:r w:rsidRPr="00662116">
              <w:rPr>
                <w:rFonts w:ascii="Arial Narrow" w:hAnsi="Arial Narrow" w:cs="Arial"/>
                <w:b/>
                <w:bCs/>
                <w:color w:val="000000"/>
                <w:szCs w:val="20"/>
              </w:rPr>
              <w:t>3</w:t>
            </w:r>
          </w:p>
        </w:tc>
        <w:tc>
          <w:tcPr>
            <w:tcW w:w="0" w:type="dxa"/>
            <w:noWrap/>
            <w:hideMark/>
          </w:tcPr>
          <w:p w14:paraId="6185C069" w14:textId="77777777" w:rsidR="00244626" w:rsidRPr="00662116" w:rsidRDefault="00542182" w:rsidP="00662116">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Cs w:val="20"/>
              </w:rPr>
            </w:pPr>
            <w:r w:rsidRPr="00662116">
              <w:rPr>
                <w:rFonts w:ascii="Arial Narrow" w:hAnsi="Arial Narrow" w:cs="Arial"/>
                <w:b/>
                <w:bCs/>
                <w:color w:val="000000"/>
                <w:szCs w:val="20"/>
              </w:rPr>
              <w:t>4</w:t>
            </w:r>
          </w:p>
        </w:tc>
        <w:tc>
          <w:tcPr>
            <w:tcW w:w="0" w:type="dxa"/>
            <w:noWrap/>
            <w:hideMark/>
          </w:tcPr>
          <w:p w14:paraId="6333735B" w14:textId="77777777" w:rsidR="00244626" w:rsidRPr="00662116" w:rsidRDefault="00542182" w:rsidP="00662116">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Cs w:val="20"/>
              </w:rPr>
            </w:pPr>
            <w:r w:rsidRPr="00662116">
              <w:rPr>
                <w:rFonts w:ascii="Arial Narrow" w:hAnsi="Arial Narrow" w:cs="Arial"/>
                <w:b/>
                <w:bCs/>
                <w:color w:val="000000"/>
                <w:szCs w:val="20"/>
              </w:rPr>
              <w:t>5</w:t>
            </w:r>
          </w:p>
        </w:tc>
        <w:tc>
          <w:tcPr>
            <w:tcW w:w="0" w:type="dxa"/>
            <w:noWrap/>
            <w:hideMark/>
          </w:tcPr>
          <w:p w14:paraId="47DD4386" w14:textId="77777777" w:rsidR="00244626" w:rsidRPr="00662116" w:rsidRDefault="00542182" w:rsidP="00662116">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Cs w:val="20"/>
              </w:rPr>
            </w:pPr>
            <w:r w:rsidRPr="00662116">
              <w:rPr>
                <w:rFonts w:ascii="Arial Narrow" w:hAnsi="Arial Narrow" w:cs="Arial"/>
                <w:b/>
                <w:bCs/>
                <w:color w:val="000000"/>
                <w:szCs w:val="20"/>
              </w:rPr>
              <w:t>6</w:t>
            </w:r>
          </w:p>
        </w:tc>
        <w:tc>
          <w:tcPr>
            <w:tcW w:w="0" w:type="dxa"/>
            <w:noWrap/>
            <w:hideMark/>
          </w:tcPr>
          <w:p w14:paraId="0E7440E0" w14:textId="77777777" w:rsidR="00244626" w:rsidRPr="00662116" w:rsidRDefault="00542182" w:rsidP="00662116">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Cs w:val="20"/>
              </w:rPr>
            </w:pPr>
            <w:r w:rsidRPr="00662116">
              <w:rPr>
                <w:rFonts w:ascii="Arial Narrow" w:hAnsi="Arial Narrow" w:cs="Arial"/>
                <w:b/>
                <w:bCs/>
                <w:color w:val="000000"/>
                <w:szCs w:val="20"/>
              </w:rPr>
              <w:t>7</w:t>
            </w:r>
          </w:p>
        </w:tc>
        <w:tc>
          <w:tcPr>
            <w:tcW w:w="0" w:type="dxa"/>
            <w:noWrap/>
            <w:hideMark/>
          </w:tcPr>
          <w:p w14:paraId="1CE99902" w14:textId="77777777" w:rsidR="00244626" w:rsidRPr="00662116" w:rsidRDefault="00542182" w:rsidP="00662116">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Cs w:val="20"/>
              </w:rPr>
            </w:pPr>
            <w:r w:rsidRPr="00662116">
              <w:rPr>
                <w:rFonts w:ascii="Arial Narrow" w:hAnsi="Arial Narrow" w:cs="Arial"/>
                <w:b/>
                <w:bCs/>
                <w:color w:val="000000"/>
                <w:szCs w:val="20"/>
              </w:rPr>
              <w:t>8</w:t>
            </w:r>
          </w:p>
        </w:tc>
        <w:tc>
          <w:tcPr>
            <w:tcW w:w="0" w:type="dxa"/>
            <w:noWrap/>
            <w:hideMark/>
          </w:tcPr>
          <w:p w14:paraId="489FAE14" w14:textId="77777777" w:rsidR="00244626" w:rsidRPr="00662116" w:rsidRDefault="00542182" w:rsidP="00662116">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Cs w:val="20"/>
              </w:rPr>
            </w:pPr>
            <w:r w:rsidRPr="00662116">
              <w:rPr>
                <w:rFonts w:ascii="Arial Narrow" w:hAnsi="Arial Narrow" w:cs="Arial"/>
                <w:b/>
                <w:bCs/>
                <w:color w:val="000000"/>
                <w:szCs w:val="20"/>
              </w:rPr>
              <w:t>9</w:t>
            </w:r>
          </w:p>
        </w:tc>
        <w:tc>
          <w:tcPr>
            <w:tcW w:w="0" w:type="dxa"/>
          </w:tcPr>
          <w:p w14:paraId="30E612A1" w14:textId="77777777" w:rsidR="00542182" w:rsidRPr="00662116" w:rsidRDefault="00542182" w:rsidP="00542182">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10</w:t>
            </w:r>
          </w:p>
        </w:tc>
      </w:tr>
      <w:tr w:rsidR="002544A3" w:rsidRPr="00662116" w14:paraId="431C2D61" w14:textId="77777777" w:rsidTr="00662116">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51" w:type="dxa"/>
            <w:noWrap/>
            <w:hideMark/>
          </w:tcPr>
          <w:p w14:paraId="1EAFC8F0" w14:textId="77777777" w:rsidR="00244626" w:rsidRPr="00662116" w:rsidRDefault="00542182" w:rsidP="00662116">
            <w:pPr>
              <w:keepNext/>
              <w:spacing w:line="240" w:lineRule="auto"/>
              <w:jc w:val="left"/>
              <w:rPr>
                <w:rFonts w:ascii="Arial Narrow" w:hAnsi="Arial Narrow" w:cs="Arial"/>
                <w:color w:val="000000"/>
                <w:szCs w:val="20"/>
              </w:rPr>
            </w:pPr>
            <w:r w:rsidRPr="00662116">
              <w:rPr>
                <w:rFonts w:ascii="Arial Narrow" w:hAnsi="Arial Narrow" w:cs="Arial"/>
                <w:color w:val="000000"/>
                <w:szCs w:val="20"/>
              </w:rPr>
              <w:t xml:space="preserve">Base </w:t>
            </w:r>
            <w:r w:rsidR="00244626" w:rsidRPr="00662116">
              <w:rPr>
                <w:rFonts w:ascii="Arial Narrow" w:hAnsi="Arial Narrow" w:cs="Arial"/>
                <w:color w:val="000000"/>
                <w:szCs w:val="20"/>
              </w:rPr>
              <w:t>Equipment Cost</w:t>
            </w:r>
            <w:r w:rsidRPr="00662116">
              <w:rPr>
                <w:rFonts w:ascii="Arial Narrow" w:hAnsi="Arial Narrow" w:cs="Arial"/>
                <w:color w:val="000000"/>
                <w:szCs w:val="20"/>
              </w:rPr>
              <w:t xml:space="preserve"> </w:t>
            </w:r>
          </w:p>
        </w:tc>
        <w:tc>
          <w:tcPr>
            <w:tcW w:w="805" w:type="dxa"/>
            <w:noWrap/>
            <w:hideMark/>
          </w:tcPr>
          <w:p w14:paraId="58BC58A8"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$1,000</w:t>
            </w:r>
          </w:p>
        </w:tc>
        <w:tc>
          <w:tcPr>
            <w:tcW w:w="638" w:type="dxa"/>
            <w:noWrap/>
            <w:hideMark/>
          </w:tcPr>
          <w:p w14:paraId="4CA20B15"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$0</w:t>
            </w:r>
          </w:p>
        </w:tc>
        <w:tc>
          <w:tcPr>
            <w:tcW w:w="638" w:type="dxa"/>
            <w:noWrap/>
            <w:hideMark/>
          </w:tcPr>
          <w:p w14:paraId="7F900D9A"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$0</w:t>
            </w:r>
          </w:p>
        </w:tc>
        <w:tc>
          <w:tcPr>
            <w:tcW w:w="638" w:type="dxa"/>
            <w:noWrap/>
            <w:hideMark/>
          </w:tcPr>
          <w:p w14:paraId="5466B924"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$0</w:t>
            </w:r>
          </w:p>
        </w:tc>
        <w:tc>
          <w:tcPr>
            <w:tcW w:w="638" w:type="dxa"/>
            <w:noWrap/>
            <w:hideMark/>
          </w:tcPr>
          <w:p w14:paraId="03D97F03"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$0</w:t>
            </w:r>
          </w:p>
        </w:tc>
        <w:tc>
          <w:tcPr>
            <w:tcW w:w="638" w:type="dxa"/>
            <w:noWrap/>
            <w:hideMark/>
          </w:tcPr>
          <w:p w14:paraId="49EA3CE7"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$0</w:t>
            </w:r>
          </w:p>
        </w:tc>
        <w:tc>
          <w:tcPr>
            <w:tcW w:w="638" w:type="dxa"/>
            <w:noWrap/>
            <w:hideMark/>
          </w:tcPr>
          <w:p w14:paraId="3A2F4734"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$0</w:t>
            </w:r>
          </w:p>
        </w:tc>
        <w:tc>
          <w:tcPr>
            <w:tcW w:w="638" w:type="dxa"/>
            <w:noWrap/>
            <w:hideMark/>
          </w:tcPr>
          <w:p w14:paraId="42CB7533"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$0</w:t>
            </w:r>
          </w:p>
        </w:tc>
        <w:tc>
          <w:tcPr>
            <w:tcW w:w="638" w:type="dxa"/>
            <w:noWrap/>
            <w:hideMark/>
          </w:tcPr>
          <w:p w14:paraId="125C012B"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$0</w:t>
            </w:r>
          </w:p>
        </w:tc>
        <w:tc>
          <w:tcPr>
            <w:tcW w:w="638" w:type="dxa"/>
            <w:noWrap/>
            <w:hideMark/>
          </w:tcPr>
          <w:p w14:paraId="6EA587B7"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$0</w:t>
            </w:r>
          </w:p>
        </w:tc>
        <w:tc>
          <w:tcPr>
            <w:tcW w:w="527" w:type="dxa"/>
          </w:tcPr>
          <w:p w14:paraId="5F54610E" w14:textId="77777777" w:rsidR="00542182" w:rsidRPr="00662116" w:rsidRDefault="00542182" w:rsidP="00542182">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$0</w:t>
            </w:r>
          </w:p>
        </w:tc>
      </w:tr>
      <w:tr w:rsidR="00244626" w:rsidRPr="00662116" w14:paraId="292EAF5E" w14:textId="77777777" w:rsidTr="00AF21B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0" w:type="dxa"/>
            <w:noWrap/>
            <w:hideMark/>
          </w:tcPr>
          <w:p w14:paraId="2B05AD2B" w14:textId="77777777" w:rsidR="00244626" w:rsidRPr="00662116" w:rsidRDefault="00244626" w:rsidP="00662116">
            <w:pPr>
              <w:keepNext/>
              <w:spacing w:line="240" w:lineRule="auto"/>
              <w:jc w:val="left"/>
              <w:rPr>
                <w:rFonts w:ascii="Arial Narrow" w:hAnsi="Arial Narrow" w:cs="Arial"/>
                <w:color w:val="000000"/>
                <w:szCs w:val="20"/>
              </w:rPr>
            </w:pPr>
            <w:r w:rsidRPr="00662116">
              <w:rPr>
                <w:rFonts w:ascii="Arial Narrow" w:hAnsi="Arial Narrow" w:cs="Arial"/>
                <w:color w:val="000000"/>
                <w:szCs w:val="20"/>
              </w:rPr>
              <w:t xml:space="preserve">Energy Cost </w:t>
            </w:r>
          </w:p>
        </w:tc>
        <w:tc>
          <w:tcPr>
            <w:tcW w:w="0" w:type="dxa"/>
            <w:noWrap/>
            <w:hideMark/>
          </w:tcPr>
          <w:p w14:paraId="13D116AD"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$0</w:t>
            </w:r>
          </w:p>
        </w:tc>
        <w:tc>
          <w:tcPr>
            <w:tcW w:w="0" w:type="dxa"/>
            <w:noWrap/>
            <w:hideMark/>
          </w:tcPr>
          <w:p w14:paraId="575FAC55"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0" w:type="dxa"/>
            <w:noWrap/>
            <w:hideMark/>
          </w:tcPr>
          <w:p w14:paraId="0C632FA5"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0" w:type="dxa"/>
            <w:noWrap/>
            <w:hideMark/>
          </w:tcPr>
          <w:p w14:paraId="54277C98"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0" w:type="dxa"/>
            <w:noWrap/>
            <w:hideMark/>
          </w:tcPr>
          <w:p w14:paraId="09E3C124"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0" w:type="dxa"/>
            <w:noWrap/>
            <w:hideMark/>
          </w:tcPr>
          <w:p w14:paraId="01754777"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0" w:type="dxa"/>
            <w:noWrap/>
            <w:hideMark/>
          </w:tcPr>
          <w:p w14:paraId="0B435B5A"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0" w:type="dxa"/>
            <w:noWrap/>
            <w:hideMark/>
          </w:tcPr>
          <w:p w14:paraId="32144B3D"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0" w:type="dxa"/>
            <w:noWrap/>
            <w:hideMark/>
          </w:tcPr>
          <w:p w14:paraId="4F972356"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0" w:type="dxa"/>
            <w:noWrap/>
            <w:hideMark/>
          </w:tcPr>
          <w:p w14:paraId="743376F7"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0" w:type="dxa"/>
            <w:tcBorders>
              <w:bottom w:val="single" w:sz="8" w:space="0" w:color="808080" w:themeColor="background1" w:themeShade="80"/>
            </w:tcBorders>
          </w:tcPr>
          <w:p w14:paraId="7567C648" w14:textId="77777777" w:rsidR="00542182" w:rsidRPr="00662116" w:rsidRDefault="00542182" w:rsidP="00542182">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r>
      <w:tr w:rsidR="002544A3" w:rsidRPr="00662116" w14:paraId="54E6E90D" w14:textId="77777777" w:rsidTr="00662116">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51" w:type="dxa"/>
            <w:noWrap/>
            <w:hideMark/>
          </w:tcPr>
          <w:p w14:paraId="7F0A82AF" w14:textId="77777777" w:rsidR="00244626" w:rsidRPr="00662116" w:rsidRDefault="00244626" w:rsidP="00662116">
            <w:pPr>
              <w:keepNext/>
              <w:spacing w:line="240" w:lineRule="auto"/>
              <w:jc w:val="left"/>
              <w:rPr>
                <w:rFonts w:ascii="Arial Narrow" w:hAnsi="Arial Narrow" w:cs="Arial"/>
                <w:color w:val="000000"/>
                <w:szCs w:val="20"/>
              </w:rPr>
            </w:pPr>
            <w:r w:rsidRPr="00662116">
              <w:rPr>
                <w:rFonts w:ascii="Arial Narrow" w:hAnsi="Arial Narrow" w:cs="Arial"/>
                <w:color w:val="000000"/>
                <w:szCs w:val="20"/>
              </w:rPr>
              <w:t xml:space="preserve">Total Cash Out </w:t>
            </w:r>
          </w:p>
        </w:tc>
        <w:tc>
          <w:tcPr>
            <w:tcW w:w="805" w:type="dxa"/>
            <w:noWrap/>
            <w:hideMark/>
          </w:tcPr>
          <w:p w14:paraId="51447619"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$1,000</w:t>
            </w:r>
          </w:p>
        </w:tc>
        <w:tc>
          <w:tcPr>
            <w:tcW w:w="638" w:type="dxa"/>
            <w:noWrap/>
            <w:hideMark/>
          </w:tcPr>
          <w:p w14:paraId="4A73871B"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4D12F179"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6AC6808D"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5C3E9A01"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68A71112"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6C46D147"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73D786A7"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2E55AA3B"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638" w:type="dxa"/>
            <w:noWrap/>
            <w:hideMark/>
          </w:tcPr>
          <w:p w14:paraId="27707320"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c>
          <w:tcPr>
            <w:tcW w:w="527" w:type="dxa"/>
            <w:tcBorders>
              <w:top w:val="single" w:sz="8" w:space="0" w:color="808080" w:themeColor="background1" w:themeShade="80"/>
              <w:bottom w:val="single" w:sz="4" w:space="0" w:color="DCDDDE"/>
            </w:tcBorders>
          </w:tcPr>
          <w:p w14:paraId="1FFD565D" w14:textId="77777777" w:rsidR="00542182" w:rsidRPr="00662116" w:rsidRDefault="00542182" w:rsidP="00542182">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$200</w:t>
            </w:r>
          </w:p>
        </w:tc>
      </w:tr>
      <w:tr w:rsidR="00244626" w:rsidRPr="00662116" w14:paraId="05395AD1" w14:textId="77777777" w:rsidTr="00AF21B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0" w:type="dxa"/>
            <w:noWrap/>
            <w:hideMark/>
          </w:tcPr>
          <w:p w14:paraId="39878B90" w14:textId="77777777" w:rsidR="00244626" w:rsidRPr="00662116" w:rsidRDefault="00542182" w:rsidP="00662116">
            <w:pPr>
              <w:keepNext/>
              <w:spacing w:line="240" w:lineRule="auto"/>
              <w:jc w:val="left"/>
              <w:rPr>
                <w:rFonts w:ascii="Arial Narrow" w:hAnsi="Arial Narrow" w:cs="Arial"/>
                <w:color w:val="000000"/>
                <w:szCs w:val="20"/>
              </w:rPr>
            </w:pPr>
            <w:r w:rsidRPr="00662116">
              <w:rPr>
                <w:rFonts w:ascii="Arial Narrow" w:hAnsi="Arial Narrow" w:cs="Arial"/>
                <w:color w:val="000000"/>
                <w:szCs w:val="20"/>
              </w:rPr>
              <w:t>Present Value</w:t>
            </w:r>
          </w:p>
        </w:tc>
        <w:tc>
          <w:tcPr>
            <w:tcW w:w="0" w:type="dxa"/>
            <w:noWrap/>
            <w:hideMark/>
          </w:tcPr>
          <w:p w14:paraId="2001E61C"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$1,000</w:t>
            </w:r>
          </w:p>
        </w:tc>
        <w:tc>
          <w:tcPr>
            <w:tcW w:w="0" w:type="dxa"/>
            <w:noWrap/>
            <w:hideMark/>
          </w:tcPr>
          <w:p w14:paraId="03E58F00"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$187</w:t>
            </w:r>
          </w:p>
        </w:tc>
        <w:tc>
          <w:tcPr>
            <w:tcW w:w="0" w:type="dxa"/>
            <w:noWrap/>
            <w:hideMark/>
          </w:tcPr>
          <w:p w14:paraId="18ABA9C6"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w:t>
            </w:r>
            <w:r w:rsidR="00542182" w:rsidRPr="00662116">
              <w:rPr>
                <w:rFonts w:ascii="Arial Narrow" w:hAnsi="Arial Narrow" w:cs="Arial"/>
                <w:color w:val="000000"/>
                <w:szCs w:val="20"/>
              </w:rPr>
              <w:t>175</w:t>
            </w:r>
          </w:p>
        </w:tc>
        <w:tc>
          <w:tcPr>
            <w:tcW w:w="0" w:type="dxa"/>
            <w:noWrap/>
            <w:hideMark/>
          </w:tcPr>
          <w:p w14:paraId="0C9CE24E"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w:t>
            </w:r>
            <w:r w:rsidR="00542182" w:rsidRPr="00662116">
              <w:rPr>
                <w:rFonts w:ascii="Arial Narrow" w:hAnsi="Arial Narrow" w:cs="Arial"/>
                <w:color w:val="000000"/>
                <w:szCs w:val="20"/>
              </w:rPr>
              <w:t>163</w:t>
            </w:r>
          </w:p>
        </w:tc>
        <w:tc>
          <w:tcPr>
            <w:tcW w:w="0" w:type="dxa"/>
            <w:noWrap/>
            <w:hideMark/>
          </w:tcPr>
          <w:p w14:paraId="79A287D9"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w:t>
            </w:r>
            <w:r w:rsidR="00542182" w:rsidRPr="00662116">
              <w:rPr>
                <w:rFonts w:ascii="Arial Narrow" w:hAnsi="Arial Narrow" w:cs="Arial"/>
                <w:color w:val="000000"/>
                <w:szCs w:val="20"/>
              </w:rPr>
              <w:t>153</w:t>
            </w:r>
          </w:p>
        </w:tc>
        <w:tc>
          <w:tcPr>
            <w:tcW w:w="0" w:type="dxa"/>
            <w:noWrap/>
            <w:hideMark/>
          </w:tcPr>
          <w:p w14:paraId="6B4294E7"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w:t>
            </w:r>
            <w:r w:rsidR="00542182" w:rsidRPr="00662116">
              <w:rPr>
                <w:rFonts w:ascii="Arial Narrow" w:hAnsi="Arial Narrow" w:cs="Arial"/>
                <w:color w:val="000000"/>
                <w:szCs w:val="20"/>
              </w:rPr>
              <w:t>143</w:t>
            </w:r>
          </w:p>
        </w:tc>
        <w:tc>
          <w:tcPr>
            <w:tcW w:w="0" w:type="dxa"/>
            <w:noWrap/>
            <w:hideMark/>
          </w:tcPr>
          <w:p w14:paraId="74575288"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w:t>
            </w:r>
            <w:r w:rsidR="00542182" w:rsidRPr="00662116">
              <w:rPr>
                <w:rFonts w:ascii="Arial Narrow" w:hAnsi="Arial Narrow" w:cs="Arial"/>
                <w:color w:val="000000"/>
                <w:szCs w:val="20"/>
              </w:rPr>
              <w:t>133</w:t>
            </w:r>
          </w:p>
        </w:tc>
        <w:tc>
          <w:tcPr>
            <w:tcW w:w="0" w:type="dxa"/>
            <w:noWrap/>
            <w:hideMark/>
          </w:tcPr>
          <w:p w14:paraId="55062BE8"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w:t>
            </w:r>
            <w:r w:rsidR="00542182" w:rsidRPr="00662116">
              <w:rPr>
                <w:rFonts w:ascii="Arial Narrow" w:hAnsi="Arial Narrow" w:cs="Arial"/>
                <w:color w:val="000000"/>
                <w:szCs w:val="20"/>
              </w:rPr>
              <w:t>125</w:t>
            </w:r>
          </w:p>
        </w:tc>
        <w:tc>
          <w:tcPr>
            <w:tcW w:w="0" w:type="dxa"/>
            <w:noWrap/>
            <w:hideMark/>
          </w:tcPr>
          <w:p w14:paraId="68CF50E6"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w:t>
            </w:r>
            <w:r w:rsidR="00542182" w:rsidRPr="00662116">
              <w:rPr>
                <w:rFonts w:ascii="Arial Narrow" w:hAnsi="Arial Narrow" w:cs="Arial"/>
                <w:color w:val="000000"/>
                <w:szCs w:val="20"/>
              </w:rPr>
              <w:t>116</w:t>
            </w:r>
          </w:p>
        </w:tc>
        <w:tc>
          <w:tcPr>
            <w:tcW w:w="0" w:type="dxa"/>
            <w:noWrap/>
            <w:hideMark/>
          </w:tcPr>
          <w:p w14:paraId="745F7DCA" w14:textId="77777777" w:rsidR="00244626" w:rsidRPr="00662116" w:rsidRDefault="00244626" w:rsidP="0066211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w:t>
            </w:r>
            <w:r w:rsidR="00542182" w:rsidRPr="00662116">
              <w:rPr>
                <w:rFonts w:ascii="Arial Narrow" w:hAnsi="Arial Narrow" w:cs="Arial"/>
                <w:color w:val="000000"/>
                <w:szCs w:val="20"/>
              </w:rPr>
              <w:t>109</w:t>
            </w:r>
          </w:p>
        </w:tc>
        <w:tc>
          <w:tcPr>
            <w:tcW w:w="0" w:type="dxa"/>
            <w:tcBorders>
              <w:top w:val="single" w:sz="4" w:space="0" w:color="DCDDDE"/>
            </w:tcBorders>
          </w:tcPr>
          <w:p w14:paraId="0E69A05A" w14:textId="77777777" w:rsidR="00542182" w:rsidRPr="00662116" w:rsidRDefault="00542182" w:rsidP="00542182">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cs="Arial"/>
                <w:color w:val="000000"/>
                <w:szCs w:val="20"/>
              </w:rPr>
              <w:t>$102</w:t>
            </w:r>
          </w:p>
        </w:tc>
      </w:tr>
      <w:tr w:rsidR="002544A3" w:rsidRPr="00662116" w14:paraId="0CD6EF63" w14:textId="77777777" w:rsidTr="00662116">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51" w:type="dxa"/>
            <w:noWrap/>
            <w:hideMark/>
          </w:tcPr>
          <w:p w14:paraId="045DA74C" w14:textId="77777777" w:rsidR="00244626" w:rsidRPr="00662116" w:rsidRDefault="00244626" w:rsidP="00662116">
            <w:pPr>
              <w:keepNext/>
              <w:spacing w:line="240" w:lineRule="auto"/>
              <w:jc w:val="left"/>
              <w:rPr>
                <w:rFonts w:ascii="Arial Narrow" w:hAnsi="Arial Narrow" w:cs="Arial"/>
                <w:b/>
                <w:color w:val="000000"/>
                <w:szCs w:val="20"/>
              </w:rPr>
            </w:pPr>
            <w:r w:rsidRPr="00662116">
              <w:rPr>
                <w:rFonts w:ascii="Arial Narrow" w:hAnsi="Arial Narrow" w:cs="Arial"/>
                <w:b/>
                <w:color w:val="000000"/>
                <w:szCs w:val="20"/>
              </w:rPr>
              <w:t xml:space="preserve">Net Present Value </w:t>
            </w:r>
            <w:r w:rsidR="00542182" w:rsidRPr="00662116">
              <w:rPr>
                <w:rFonts w:ascii="Arial Narrow" w:hAnsi="Arial Narrow" w:cs="Arial"/>
                <w:b/>
                <w:bCs/>
                <w:color w:val="000000"/>
                <w:szCs w:val="20"/>
              </w:rPr>
              <w:t>Cost</w:t>
            </w:r>
          </w:p>
        </w:tc>
        <w:tc>
          <w:tcPr>
            <w:tcW w:w="805" w:type="dxa"/>
            <w:noWrap/>
            <w:hideMark/>
          </w:tcPr>
          <w:p w14:paraId="17E7B7E6"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Cs w:val="20"/>
              </w:rPr>
            </w:pPr>
            <w:r w:rsidRPr="00662116">
              <w:rPr>
                <w:rFonts w:ascii="Arial Narrow" w:hAnsi="Arial Narrow" w:cs="Arial"/>
                <w:b/>
                <w:color w:val="000000"/>
                <w:szCs w:val="20"/>
              </w:rPr>
              <w:t>$2,</w:t>
            </w:r>
            <w:r w:rsidR="00542182" w:rsidRPr="00662116">
              <w:rPr>
                <w:rFonts w:ascii="Arial Narrow" w:hAnsi="Arial Narrow" w:cs="Arial"/>
                <w:b/>
                <w:color w:val="000000"/>
                <w:szCs w:val="20"/>
              </w:rPr>
              <w:t>405</w:t>
            </w:r>
          </w:p>
        </w:tc>
        <w:tc>
          <w:tcPr>
            <w:tcW w:w="638" w:type="dxa"/>
            <w:noWrap/>
            <w:hideMark/>
          </w:tcPr>
          <w:p w14:paraId="2F86A941" w14:textId="77777777" w:rsidR="00244626" w:rsidRPr="00662116" w:rsidRDefault="00244626" w:rsidP="00662116">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8" w:type="dxa"/>
            <w:noWrap/>
            <w:hideMark/>
          </w:tcPr>
          <w:p w14:paraId="5C17ED04" w14:textId="77777777" w:rsidR="00244626" w:rsidRPr="00662116" w:rsidRDefault="00244626" w:rsidP="00662116">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8" w:type="dxa"/>
            <w:noWrap/>
            <w:hideMark/>
          </w:tcPr>
          <w:p w14:paraId="1CEC9A75" w14:textId="77777777" w:rsidR="00244626" w:rsidRPr="00662116" w:rsidRDefault="00244626" w:rsidP="00662116">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8" w:type="dxa"/>
            <w:noWrap/>
            <w:hideMark/>
          </w:tcPr>
          <w:p w14:paraId="3BEE327A" w14:textId="77777777" w:rsidR="00244626" w:rsidRPr="00662116" w:rsidRDefault="00244626" w:rsidP="00662116">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8" w:type="dxa"/>
            <w:noWrap/>
            <w:hideMark/>
          </w:tcPr>
          <w:p w14:paraId="3C134019" w14:textId="77777777" w:rsidR="00244626" w:rsidRPr="00662116" w:rsidRDefault="00244626" w:rsidP="00662116">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8" w:type="dxa"/>
            <w:noWrap/>
            <w:hideMark/>
          </w:tcPr>
          <w:p w14:paraId="498EC763" w14:textId="77777777" w:rsidR="00244626" w:rsidRPr="00662116" w:rsidRDefault="00244626" w:rsidP="00662116">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8" w:type="dxa"/>
            <w:noWrap/>
            <w:hideMark/>
          </w:tcPr>
          <w:p w14:paraId="058405AC" w14:textId="77777777" w:rsidR="00244626" w:rsidRPr="00662116" w:rsidRDefault="00244626" w:rsidP="00662116">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8" w:type="dxa"/>
            <w:noWrap/>
            <w:hideMark/>
          </w:tcPr>
          <w:p w14:paraId="34DA4FC2" w14:textId="77777777" w:rsidR="00244626" w:rsidRPr="00662116" w:rsidRDefault="00244626" w:rsidP="00662116">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8" w:type="dxa"/>
            <w:noWrap/>
            <w:hideMark/>
          </w:tcPr>
          <w:p w14:paraId="363288C3" w14:textId="77777777" w:rsidR="00244626" w:rsidRPr="00662116" w:rsidRDefault="00244626" w:rsidP="00662116">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527" w:type="dxa"/>
          </w:tcPr>
          <w:p w14:paraId="4BB57F06" w14:textId="77777777" w:rsidR="00542182" w:rsidRPr="00662116" w:rsidRDefault="00542182" w:rsidP="00542182">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r>
    </w:tbl>
    <w:p w14:paraId="2CAA5327" w14:textId="77777777" w:rsidR="00244626" w:rsidRDefault="00244626" w:rsidP="00662116">
      <w:pPr>
        <w:keepNext/>
        <w:autoSpaceDE w:val="0"/>
        <w:autoSpaceDN w:val="0"/>
        <w:adjustRightInd w:val="0"/>
        <w:spacing w:line="240" w:lineRule="auto"/>
        <w:rPr>
          <w:rFonts w:cs="Arial"/>
          <w:bCs/>
          <w:szCs w:val="20"/>
        </w:rPr>
      </w:pPr>
    </w:p>
    <w:tbl>
      <w:tblPr>
        <w:tblStyle w:val="EnergyTable1"/>
        <w:tblW w:w="9576" w:type="dxa"/>
        <w:tblLook w:val="04A0" w:firstRow="1" w:lastRow="0" w:firstColumn="1" w:lastColumn="0" w:noHBand="0" w:noVBand="1"/>
      </w:tblPr>
      <w:tblGrid>
        <w:gridCol w:w="2436"/>
        <w:gridCol w:w="800"/>
        <w:gridCol w:w="634"/>
        <w:gridCol w:w="634"/>
        <w:gridCol w:w="634"/>
        <w:gridCol w:w="634"/>
        <w:gridCol w:w="634"/>
        <w:gridCol w:w="634"/>
        <w:gridCol w:w="634"/>
        <w:gridCol w:w="634"/>
        <w:gridCol w:w="634"/>
        <w:gridCol w:w="634"/>
      </w:tblGrid>
      <w:tr w:rsidR="00514DB0" w:rsidRPr="00662116" w14:paraId="4B52EC32" w14:textId="77777777" w:rsidTr="00AF21BE">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0" w:type="dxa"/>
            <w:noWrap/>
            <w:hideMark/>
          </w:tcPr>
          <w:p w14:paraId="1D44BCC3" w14:textId="77777777" w:rsidR="00514DB0" w:rsidRPr="00662116" w:rsidRDefault="00514DB0" w:rsidP="00662116">
            <w:pPr>
              <w:keepNext/>
              <w:spacing w:line="240" w:lineRule="auto"/>
              <w:jc w:val="left"/>
              <w:rPr>
                <w:rFonts w:ascii="Arial Narrow" w:hAnsi="Arial Narrow" w:cs="Arial"/>
                <w:bCs/>
                <w:szCs w:val="20"/>
              </w:rPr>
            </w:pPr>
            <w:r w:rsidRPr="00662116">
              <w:rPr>
                <w:rFonts w:ascii="Arial Narrow" w:hAnsi="Arial Narrow" w:cs="Arial"/>
                <w:bCs/>
                <w:szCs w:val="20"/>
              </w:rPr>
              <w:t xml:space="preserve">Efficient Technology </w:t>
            </w:r>
          </w:p>
        </w:tc>
        <w:tc>
          <w:tcPr>
            <w:tcW w:w="0" w:type="dxa"/>
            <w:gridSpan w:val="10"/>
            <w:noWrap/>
            <w:hideMark/>
          </w:tcPr>
          <w:p w14:paraId="710A4427" w14:textId="77777777" w:rsidR="00514DB0" w:rsidRPr="00662116" w:rsidRDefault="00514DB0" w:rsidP="00514DB0">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662116">
              <w:rPr>
                <w:rFonts w:ascii="Arial Narrow" w:hAnsi="Arial Narrow" w:cs="Arial"/>
                <w:szCs w:val="20"/>
              </w:rPr>
              <w:t> </w:t>
            </w:r>
          </w:p>
        </w:tc>
        <w:tc>
          <w:tcPr>
            <w:tcW w:w="0" w:type="dxa"/>
          </w:tcPr>
          <w:p w14:paraId="31E578AA" w14:textId="77777777" w:rsidR="00514DB0" w:rsidRPr="00662116" w:rsidRDefault="00514DB0" w:rsidP="00514DB0">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p>
        </w:tc>
      </w:tr>
      <w:tr w:rsidR="00514DB0" w:rsidRPr="00662116" w14:paraId="6D96013A" w14:textId="77777777" w:rsidTr="00AF21B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0" w:type="dxa"/>
            <w:noWrap/>
            <w:hideMark/>
          </w:tcPr>
          <w:p w14:paraId="473C1D38" w14:textId="77777777" w:rsidR="00514DB0" w:rsidRPr="00662116" w:rsidRDefault="00514DB0" w:rsidP="00514DB0">
            <w:pPr>
              <w:keepNext/>
              <w:spacing w:line="240" w:lineRule="auto"/>
              <w:rPr>
                <w:rFonts w:ascii="Arial Narrow" w:hAnsi="Arial Narrow" w:cs="Arial"/>
                <w:b/>
                <w:bCs/>
                <w:color w:val="000000"/>
                <w:szCs w:val="20"/>
              </w:rPr>
            </w:pPr>
            <w:r w:rsidRPr="00662116">
              <w:rPr>
                <w:rFonts w:ascii="Arial Narrow" w:hAnsi="Arial Narrow" w:cs="Arial"/>
                <w:b/>
                <w:bCs/>
                <w:color w:val="000000"/>
                <w:szCs w:val="20"/>
              </w:rPr>
              <w:t xml:space="preserve">Year </w:t>
            </w:r>
          </w:p>
        </w:tc>
        <w:tc>
          <w:tcPr>
            <w:tcW w:w="0" w:type="dxa"/>
            <w:noWrap/>
            <w:hideMark/>
          </w:tcPr>
          <w:p w14:paraId="6839CC20"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0</w:t>
            </w:r>
          </w:p>
        </w:tc>
        <w:tc>
          <w:tcPr>
            <w:tcW w:w="0" w:type="dxa"/>
            <w:noWrap/>
            <w:hideMark/>
          </w:tcPr>
          <w:p w14:paraId="0C58DF37"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1</w:t>
            </w:r>
          </w:p>
        </w:tc>
        <w:tc>
          <w:tcPr>
            <w:tcW w:w="0" w:type="dxa"/>
            <w:noWrap/>
            <w:hideMark/>
          </w:tcPr>
          <w:p w14:paraId="4877F08F"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2</w:t>
            </w:r>
          </w:p>
        </w:tc>
        <w:tc>
          <w:tcPr>
            <w:tcW w:w="0" w:type="dxa"/>
            <w:noWrap/>
            <w:hideMark/>
          </w:tcPr>
          <w:p w14:paraId="3C5484E7"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3</w:t>
            </w:r>
          </w:p>
        </w:tc>
        <w:tc>
          <w:tcPr>
            <w:tcW w:w="0" w:type="dxa"/>
            <w:noWrap/>
            <w:hideMark/>
          </w:tcPr>
          <w:p w14:paraId="117B5B6D"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4</w:t>
            </w:r>
          </w:p>
        </w:tc>
        <w:tc>
          <w:tcPr>
            <w:tcW w:w="0" w:type="dxa"/>
            <w:noWrap/>
            <w:hideMark/>
          </w:tcPr>
          <w:p w14:paraId="446F1F57"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5</w:t>
            </w:r>
          </w:p>
        </w:tc>
        <w:tc>
          <w:tcPr>
            <w:tcW w:w="0" w:type="dxa"/>
            <w:noWrap/>
            <w:hideMark/>
          </w:tcPr>
          <w:p w14:paraId="76123607"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6</w:t>
            </w:r>
          </w:p>
        </w:tc>
        <w:tc>
          <w:tcPr>
            <w:tcW w:w="0" w:type="dxa"/>
            <w:noWrap/>
            <w:hideMark/>
          </w:tcPr>
          <w:p w14:paraId="33AF9A30"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7</w:t>
            </w:r>
          </w:p>
        </w:tc>
        <w:tc>
          <w:tcPr>
            <w:tcW w:w="0" w:type="dxa"/>
            <w:noWrap/>
            <w:hideMark/>
          </w:tcPr>
          <w:p w14:paraId="72BAEFC9"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8</w:t>
            </w:r>
          </w:p>
        </w:tc>
        <w:tc>
          <w:tcPr>
            <w:tcW w:w="0" w:type="dxa"/>
            <w:noWrap/>
            <w:hideMark/>
          </w:tcPr>
          <w:p w14:paraId="088DF5BF"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9</w:t>
            </w:r>
          </w:p>
        </w:tc>
        <w:tc>
          <w:tcPr>
            <w:tcW w:w="0" w:type="dxa"/>
          </w:tcPr>
          <w:p w14:paraId="49196073"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cs="Arial"/>
                <w:b/>
                <w:bCs/>
                <w:color w:val="000000"/>
                <w:szCs w:val="20"/>
              </w:rPr>
              <w:t>10</w:t>
            </w:r>
          </w:p>
        </w:tc>
      </w:tr>
      <w:tr w:rsidR="002544A3" w:rsidRPr="00662116" w14:paraId="3DDE9A14" w14:textId="77777777" w:rsidTr="0066211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5" w:type="dxa"/>
            <w:noWrap/>
            <w:hideMark/>
          </w:tcPr>
          <w:p w14:paraId="2EBA0C07" w14:textId="77777777" w:rsidR="00514DB0" w:rsidRPr="00662116" w:rsidRDefault="00514DB0" w:rsidP="00514DB0">
            <w:pPr>
              <w:keepNext/>
              <w:spacing w:line="240" w:lineRule="auto"/>
              <w:jc w:val="left"/>
              <w:rPr>
                <w:rFonts w:ascii="Arial Narrow" w:hAnsi="Arial Narrow" w:cs="Arial"/>
                <w:color w:val="000000"/>
                <w:szCs w:val="20"/>
              </w:rPr>
            </w:pPr>
            <w:r w:rsidRPr="00662116">
              <w:rPr>
                <w:rFonts w:ascii="Arial Narrow" w:hAnsi="Arial Narrow" w:cs="Arial"/>
                <w:color w:val="000000"/>
                <w:szCs w:val="20"/>
              </w:rPr>
              <w:t xml:space="preserve">Efficient Equipment Cost </w:t>
            </w:r>
          </w:p>
        </w:tc>
        <w:tc>
          <w:tcPr>
            <w:tcW w:w="800" w:type="dxa"/>
            <w:noWrap/>
            <w:vAlign w:val="top"/>
            <w:hideMark/>
          </w:tcPr>
          <w:p w14:paraId="326C290F"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$1,250</w:t>
            </w:r>
          </w:p>
        </w:tc>
        <w:tc>
          <w:tcPr>
            <w:tcW w:w="634" w:type="dxa"/>
            <w:noWrap/>
            <w:vAlign w:val="top"/>
            <w:hideMark/>
          </w:tcPr>
          <w:p w14:paraId="7A6FE6FB"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c>
          <w:tcPr>
            <w:tcW w:w="634" w:type="dxa"/>
            <w:noWrap/>
            <w:vAlign w:val="top"/>
            <w:hideMark/>
          </w:tcPr>
          <w:p w14:paraId="31FD36C7"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c>
          <w:tcPr>
            <w:tcW w:w="634" w:type="dxa"/>
            <w:noWrap/>
            <w:vAlign w:val="top"/>
            <w:hideMark/>
          </w:tcPr>
          <w:p w14:paraId="5A2B330E"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c>
          <w:tcPr>
            <w:tcW w:w="634" w:type="dxa"/>
            <w:noWrap/>
            <w:vAlign w:val="top"/>
            <w:hideMark/>
          </w:tcPr>
          <w:p w14:paraId="465273DB"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c>
          <w:tcPr>
            <w:tcW w:w="634" w:type="dxa"/>
            <w:noWrap/>
            <w:vAlign w:val="top"/>
            <w:hideMark/>
          </w:tcPr>
          <w:p w14:paraId="6433753E"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c>
          <w:tcPr>
            <w:tcW w:w="634" w:type="dxa"/>
            <w:noWrap/>
            <w:vAlign w:val="top"/>
            <w:hideMark/>
          </w:tcPr>
          <w:p w14:paraId="2525BFD0"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c>
          <w:tcPr>
            <w:tcW w:w="634" w:type="dxa"/>
            <w:noWrap/>
            <w:vAlign w:val="top"/>
            <w:hideMark/>
          </w:tcPr>
          <w:p w14:paraId="343C64CE"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c>
          <w:tcPr>
            <w:tcW w:w="634" w:type="dxa"/>
            <w:noWrap/>
            <w:vAlign w:val="top"/>
            <w:hideMark/>
          </w:tcPr>
          <w:p w14:paraId="0BF40F4D"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c>
          <w:tcPr>
            <w:tcW w:w="634" w:type="dxa"/>
            <w:noWrap/>
            <w:vAlign w:val="top"/>
            <w:hideMark/>
          </w:tcPr>
          <w:p w14:paraId="2CFBB5FF"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c>
          <w:tcPr>
            <w:tcW w:w="634" w:type="dxa"/>
            <w:vAlign w:val="top"/>
          </w:tcPr>
          <w:p w14:paraId="4F81B3E1"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r>
      <w:tr w:rsidR="00662116" w:rsidRPr="00662116" w14:paraId="7D9841D9" w14:textId="77777777" w:rsidTr="00AF21B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0" w:type="dxa"/>
            <w:tcBorders>
              <w:bottom w:val="single" w:sz="8" w:space="0" w:color="808080" w:themeColor="background1" w:themeShade="80"/>
            </w:tcBorders>
            <w:noWrap/>
            <w:hideMark/>
          </w:tcPr>
          <w:p w14:paraId="1FC9B4DA" w14:textId="77777777" w:rsidR="00514DB0" w:rsidRPr="00662116" w:rsidRDefault="00514DB0" w:rsidP="00514DB0">
            <w:pPr>
              <w:keepNext/>
              <w:spacing w:line="240" w:lineRule="auto"/>
              <w:jc w:val="left"/>
              <w:rPr>
                <w:rFonts w:ascii="Arial Narrow" w:hAnsi="Arial Narrow" w:cs="Arial"/>
                <w:color w:val="000000"/>
                <w:szCs w:val="20"/>
              </w:rPr>
            </w:pPr>
            <w:r w:rsidRPr="00662116">
              <w:rPr>
                <w:rFonts w:ascii="Arial Narrow" w:hAnsi="Arial Narrow" w:cs="Arial"/>
                <w:color w:val="000000"/>
                <w:szCs w:val="20"/>
              </w:rPr>
              <w:t xml:space="preserve">Energy Cost </w:t>
            </w:r>
          </w:p>
        </w:tc>
        <w:tc>
          <w:tcPr>
            <w:tcW w:w="0" w:type="dxa"/>
            <w:tcBorders>
              <w:bottom w:val="single" w:sz="8" w:space="0" w:color="808080" w:themeColor="background1" w:themeShade="80"/>
            </w:tcBorders>
            <w:noWrap/>
            <w:vAlign w:val="top"/>
            <w:hideMark/>
          </w:tcPr>
          <w:p w14:paraId="182BE2E5"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c>
          <w:tcPr>
            <w:tcW w:w="0" w:type="dxa"/>
            <w:tcBorders>
              <w:bottom w:val="single" w:sz="8" w:space="0" w:color="808080" w:themeColor="background1" w:themeShade="80"/>
            </w:tcBorders>
            <w:noWrap/>
            <w:vAlign w:val="top"/>
            <w:hideMark/>
          </w:tcPr>
          <w:p w14:paraId="66AC1A8B"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0" w:type="dxa"/>
            <w:tcBorders>
              <w:bottom w:val="single" w:sz="8" w:space="0" w:color="808080" w:themeColor="background1" w:themeShade="80"/>
            </w:tcBorders>
            <w:noWrap/>
            <w:vAlign w:val="top"/>
            <w:hideMark/>
          </w:tcPr>
          <w:p w14:paraId="73833EE7"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0" w:type="dxa"/>
            <w:tcBorders>
              <w:bottom w:val="single" w:sz="8" w:space="0" w:color="808080" w:themeColor="background1" w:themeShade="80"/>
            </w:tcBorders>
            <w:noWrap/>
            <w:vAlign w:val="top"/>
            <w:hideMark/>
          </w:tcPr>
          <w:p w14:paraId="0D112027"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0" w:type="dxa"/>
            <w:tcBorders>
              <w:bottom w:val="single" w:sz="8" w:space="0" w:color="808080" w:themeColor="background1" w:themeShade="80"/>
            </w:tcBorders>
            <w:noWrap/>
            <w:vAlign w:val="top"/>
            <w:hideMark/>
          </w:tcPr>
          <w:p w14:paraId="650B31F0"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0" w:type="dxa"/>
            <w:tcBorders>
              <w:bottom w:val="single" w:sz="8" w:space="0" w:color="808080" w:themeColor="background1" w:themeShade="80"/>
            </w:tcBorders>
            <w:noWrap/>
            <w:vAlign w:val="top"/>
            <w:hideMark/>
          </w:tcPr>
          <w:p w14:paraId="79879FBF"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0" w:type="dxa"/>
            <w:tcBorders>
              <w:bottom w:val="single" w:sz="8" w:space="0" w:color="808080" w:themeColor="background1" w:themeShade="80"/>
            </w:tcBorders>
            <w:noWrap/>
            <w:vAlign w:val="top"/>
            <w:hideMark/>
          </w:tcPr>
          <w:p w14:paraId="6308613D"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0" w:type="dxa"/>
            <w:tcBorders>
              <w:bottom w:val="single" w:sz="8" w:space="0" w:color="808080" w:themeColor="background1" w:themeShade="80"/>
            </w:tcBorders>
            <w:noWrap/>
            <w:vAlign w:val="top"/>
            <w:hideMark/>
          </w:tcPr>
          <w:p w14:paraId="53874EEE"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0" w:type="dxa"/>
            <w:tcBorders>
              <w:bottom w:val="single" w:sz="8" w:space="0" w:color="808080" w:themeColor="background1" w:themeShade="80"/>
            </w:tcBorders>
            <w:noWrap/>
            <w:vAlign w:val="top"/>
            <w:hideMark/>
          </w:tcPr>
          <w:p w14:paraId="08EBDE46"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0" w:type="dxa"/>
            <w:tcBorders>
              <w:bottom w:val="single" w:sz="8" w:space="0" w:color="808080" w:themeColor="background1" w:themeShade="80"/>
            </w:tcBorders>
            <w:noWrap/>
            <w:vAlign w:val="top"/>
            <w:hideMark/>
          </w:tcPr>
          <w:p w14:paraId="5BBAE6CA"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0" w:type="dxa"/>
            <w:tcBorders>
              <w:bottom w:val="single" w:sz="8" w:space="0" w:color="808080" w:themeColor="background1" w:themeShade="80"/>
            </w:tcBorders>
            <w:vAlign w:val="top"/>
          </w:tcPr>
          <w:p w14:paraId="2C34B88A"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r>
      <w:tr w:rsidR="002544A3" w:rsidRPr="00662116" w14:paraId="3F47C063" w14:textId="77777777" w:rsidTr="0066211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5" w:type="dxa"/>
            <w:tcBorders>
              <w:top w:val="single" w:sz="8" w:space="0" w:color="808080" w:themeColor="background1" w:themeShade="80"/>
              <w:bottom w:val="single" w:sz="4" w:space="0" w:color="DCDDDE"/>
            </w:tcBorders>
            <w:noWrap/>
            <w:hideMark/>
          </w:tcPr>
          <w:p w14:paraId="5523191E" w14:textId="77777777" w:rsidR="00514DB0" w:rsidRPr="00662116" w:rsidRDefault="00514DB0" w:rsidP="00514DB0">
            <w:pPr>
              <w:keepNext/>
              <w:spacing w:line="240" w:lineRule="auto"/>
              <w:jc w:val="left"/>
              <w:rPr>
                <w:rFonts w:ascii="Arial Narrow" w:hAnsi="Arial Narrow" w:cs="Arial"/>
                <w:color w:val="000000"/>
                <w:szCs w:val="20"/>
              </w:rPr>
            </w:pPr>
            <w:r w:rsidRPr="00662116">
              <w:rPr>
                <w:rFonts w:ascii="Arial Narrow" w:hAnsi="Arial Narrow" w:cs="Arial"/>
                <w:color w:val="000000"/>
                <w:szCs w:val="20"/>
              </w:rPr>
              <w:t xml:space="preserve">Total Cash Out </w:t>
            </w:r>
          </w:p>
        </w:tc>
        <w:tc>
          <w:tcPr>
            <w:tcW w:w="800" w:type="dxa"/>
            <w:tcBorders>
              <w:top w:val="single" w:sz="8" w:space="0" w:color="808080" w:themeColor="background1" w:themeShade="80"/>
              <w:bottom w:val="single" w:sz="4" w:space="0" w:color="DCDDDE"/>
            </w:tcBorders>
            <w:noWrap/>
            <w:vAlign w:val="top"/>
            <w:hideMark/>
          </w:tcPr>
          <w:p w14:paraId="3E877455"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$1,250</w:t>
            </w:r>
          </w:p>
        </w:tc>
        <w:tc>
          <w:tcPr>
            <w:tcW w:w="634" w:type="dxa"/>
            <w:tcBorders>
              <w:top w:val="single" w:sz="8" w:space="0" w:color="808080" w:themeColor="background1" w:themeShade="80"/>
              <w:bottom w:val="single" w:sz="4" w:space="0" w:color="DCDDDE"/>
            </w:tcBorders>
            <w:noWrap/>
            <w:vAlign w:val="top"/>
            <w:hideMark/>
          </w:tcPr>
          <w:p w14:paraId="6D86B1F3"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top w:val="single" w:sz="8" w:space="0" w:color="808080" w:themeColor="background1" w:themeShade="80"/>
              <w:bottom w:val="single" w:sz="4" w:space="0" w:color="DCDDDE"/>
            </w:tcBorders>
            <w:noWrap/>
            <w:vAlign w:val="top"/>
            <w:hideMark/>
          </w:tcPr>
          <w:p w14:paraId="6365A5A5"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top w:val="single" w:sz="8" w:space="0" w:color="808080" w:themeColor="background1" w:themeShade="80"/>
              <w:bottom w:val="single" w:sz="4" w:space="0" w:color="DCDDDE"/>
            </w:tcBorders>
            <w:noWrap/>
            <w:vAlign w:val="top"/>
            <w:hideMark/>
          </w:tcPr>
          <w:p w14:paraId="4D909A36"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top w:val="single" w:sz="8" w:space="0" w:color="808080" w:themeColor="background1" w:themeShade="80"/>
              <w:bottom w:val="single" w:sz="4" w:space="0" w:color="DCDDDE"/>
            </w:tcBorders>
            <w:noWrap/>
            <w:vAlign w:val="top"/>
            <w:hideMark/>
          </w:tcPr>
          <w:p w14:paraId="3F78D957"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top w:val="single" w:sz="8" w:space="0" w:color="808080" w:themeColor="background1" w:themeShade="80"/>
              <w:bottom w:val="single" w:sz="4" w:space="0" w:color="DCDDDE"/>
            </w:tcBorders>
            <w:noWrap/>
            <w:vAlign w:val="top"/>
            <w:hideMark/>
          </w:tcPr>
          <w:p w14:paraId="1A36C2A3"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top w:val="single" w:sz="8" w:space="0" w:color="808080" w:themeColor="background1" w:themeShade="80"/>
              <w:bottom w:val="single" w:sz="4" w:space="0" w:color="DCDDDE"/>
            </w:tcBorders>
            <w:noWrap/>
            <w:vAlign w:val="top"/>
            <w:hideMark/>
          </w:tcPr>
          <w:p w14:paraId="41D5AD7F"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top w:val="single" w:sz="8" w:space="0" w:color="808080" w:themeColor="background1" w:themeShade="80"/>
              <w:bottom w:val="single" w:sz="4" w:space="0" w:color="DCDDDE"/>
            </w:tcBorders>
            <w:noWrap/>
            <w:vAlign w:val="top"/>
            <w:hideMark/>
          </w:tcPr>
          <w:p w14:paraId="3D6DC983"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top w:val="single" w:sz="8" w:space="0" w:color="808080" w:themeColor="background1" w:themeShade="80"/>
              <w:bottom w:val="single" w:sz="4" w:space="0" w:color="DCDDDE"/>
            </w:tcBorders>
            <w:noWrap/>
            <w:vAlign w:val="top"/>
            <w:hideMark/>
          </w:tcPr>
          <w:p w14:paraId="37D88167"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top w:val="single" w:sz="8" w:space="0" w:color="808080" w:themeColor="background1" w:themeShade="80"/>
              <w:bottom w:val="single" w:sz="4" w:space="0" w:color="DCDDDE"/>
            </w:tcBorders>
            <w:noWrap/>
            <w:vAlign w:val="top"/>
            <w:hideMark/>
          </w:tcPr>
          <w:p w14:paraId="07E92BF5"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634" w:type="dxa"/>
            <w:tcBorders>
              <w:top w:val="single" w:sz="8" w:space="0" w:color="808080" w:themeColor="background1" w:themeShade="80"/>
              <w:bottom w:val="single" w:sz="4" w:space="0" w:color="DCDDDE"/>
            </w:tcBorders>
            <w:vAlign w:val="top"/>
          </w:tcPr>
          <w:p w14:paraId="1747F9D3"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r>
      <w:tr w:rsidR="00662116" w:rsidRPr="00662116" w14:paraId="3AFE8CF8" w14:textId="77777777" w:rsidTr="00AF21B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CDDDE"/>
            </w:tcBorders>
            <w:noWrap/>
            <w:hideMark/>
          </w:tcPr>
          <w:p w14:paraId="3EAC5A4D" w14:textId="77777777" w:rsidR="00514DB0" w:rsidRPr="00662116" w:rsidRDefault="00514DB0" w:rsidP="00514DB0">
            <w:pPr>
              <w:keepNext/>
              <w:spacing w:line="240" w:lineRule="auto"/>
              <w:jc w:val="left"/>
              <w:rPr>
                <w:rFonts w:ascii="Arial Narrow" w:hAnsi="Arial Narrow" w:cs="Arial"/>
                <w:color w:val="000000"/>
                <w:szCs w:val="20"/>
              </w:rPr>
            </w:pPr>
            <w:r w:rsidRPr="00662116">
              <w:rPr>
                <w:rFonts w:ascii="Arial Narrow" w:hAnsi="Arial Narrow" w:cs="Arial"/>
                <w:color w:val="000000"/>
                <w:szCs w:val="20"/>
              </w:rPr>
              <w:t>Present Value</w:t>
            </w:r>
          </w:p>
        </w:tc>
        <w:tc>
          <w:tcPr>
            <w:tcW w:w="0" w:type="dxa"/>
            <w:tcBorders>
              <w:top w:val="single" w:sz="4" w:space="0" w:color="DCDDDE"/>
            </w:tcBorders>
            <w:noWrap/>
            <w:vAlign w:val="top"/>
            <w:hideMark/>
          </w:tcPr>
          <w:p w14:paraId="7511089F"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$1,250</w:t>
            </w:r>
          </w:p>
        </w:tc>
        <w:tc>
          <w:tcPr>
            <w:tcW w:w="0" w:type="dxa"/>
            <w:tcBorders>
              <w:top w:val="single" w:sz="4" w:space="0" w:color="DCDDDE"/>
            </w:tcBorders>
            <w:noWrap/>
            <w:vAlign w:val="top"/>
            <w:hideMark/>
          </w:tcPr>
          <w:p w14:paraId="2984B4FF"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$117</w:t>
            </w:r>
          </w:p>
        </w:tc>
        <w:tc>
          <w:tcPr>
            <w:tcW w:w="0" w:type="dxa"/>
            <w:tcBorders>
              <w:top w:val="single" w:sz="4" w:space="0" w:color="DCDDDE"/>
            </w:tcBorders>
            <w:noWrap/>
            <w:vAlign w:val="top"/>
            <w:hideMark/>
          </w:tcPr>
          <w:p w14:paraId="63207094"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$109</w:t>
            </w:r>
          </w:p>
        </w:tc>
        <w:tc>
          <w:tcPr>
            <w:tcW w:w="0" w:type="dxa"/>
            <w:tcBorders>
              <w:top w:val="single" w:sz="4" w:space="0" w:color="DCDDDE"/>
            </w:tcBorders>
            <w:noWrap/>
            <w:vAlign w:val="top"/>
            <w:hideMark/>
          </w:tcPr>
          <w:p w14:paraId="6E8BC4B7"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$102</w:t>
            </w:r>
          </w:p>
        </w:tc>
        <w:tc>
          <w:tcPr>
            <w:tcW w:w="0" w:type="dxa"/>
            <w:tcBorders>
              <w:top w:val="single" w:sz="4" w:space="0" w:color="DCDDDE"/>
            </w:tcBorders>
            <w:noWrap/>
            <w:vAlign w:val="top"/>
            <w:hideMark/>
          </w:tcPr>
          <w:p w14:paraId="0306905A"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$95</w:t>
            </w:r>
          </w:p>
        </w:tc>
        <w:tc>
          <w:tcPr>
            <w:tcW w:w="0" w:type="dxa"/>
            <w:tcBorders>
              <w:top w:val="single" w:sz="4" w:space="0" w:color="DCDDDE"/>
            </w:tcBorders>
            <w:noWrap/>
            <w:vAlign w:val="top"/>
            <w:hideMark/>
          </w:tcPr>
          <w:p w14:paraId="2DDC8784"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$89</w:t>
            </w:r>
          </w:p>
        </w:tc>
        <w:tc>
          <w:tcPr>
            <w:tcW w:w="0" w:type="dxa"/>
            <w:tcBorders>
              <w:top w:val="single" w:sz="4" w:space="0" w:color="DCDDDE"/>
            </w:tcBorders>
            <w:noWrap/>
            <w:vAlign w:val="top"/>
            <w:hideMark/>
          </w:tcPr>
          <w:p w14:paraId="00479CFD"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$83</w:t>
            </w:r>
          </w:p>
        </w:tc>
        <w:tc>
          <w:tcPr>
            <w:tcW w:w="0" w:type="dxa"/>
            <w:tcBorders>
              <w:top w:val="single" w:sz="4" w:space="0" w:color="DCDDDE"/>
            </w:tcBorders>
            <w:noWrap/>
            <w:vAlign w:val="top"/>
            <w:hideMark/>
          </w:tcPr>
          <w:p w14:paraId="565E4BB5"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$78</w:t>
            </w:r>
          </w:p>
        </w:tc>
        <w:tc>
          <w:tcPr>
            <w:tcW w:w="0" w:type="dxa"/>
            <w:tcBorders>
              <w:top w:val="single" w:sz="4" w:space="0" w:color="DCDDDE"/>
            </w:tcBorders>
            <w:noWrap/>
            <w:vAlign w:val="top"/>
            <w:hideMark/>
          </w:tcPr>
          <w:p w14:paraId="7A8B48A0"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$73</w:t>
            </w:r>
          </w:p>
        </w:tc>
        <w:tc>
          <w:tcPr>
            <w:tcW w:w="0" w:type="dxa"/>
            <w:tcBorders>
              <w:top w:val="single" w:sz="4" w:space="0" w:color="DCDDDE"/>
            </w:tcBorders>
            <w:noWrap/>
            <w:vAlign w:val="top"/>
            <w:hideMark/>
          </w:tcPr>
          <w:p w14:paraId="4C6E239A"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$68</w:t>
            </w:r>
          </w:p>
        </w:tc>
        <w:tc>
          <w:tcPr>
            <w:tcW w:w="0" w:type="dxa"/>
            <w:tcBorders>
              <w:top w:val="single" w:sz="4" w:space="0" w:color="DCDDDE"/>
            </w:tcBorders>
            <w:vAlign w:val="top"/>
          </w:tcPr>
          <w:p w14:paraId="38589FFD"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$64</w:t>
            </w:r>
          </w:p>
        </w:tc>
      </w:tr>
      <w:tr w:rsidR="002544A3" w:rsidRPr="00662116" w14:paraId="7B978872" w14:textId="77777777" w:rsidTr="0066211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5" w:type="dxa"/>
            <w:noWrap/>
            <w:hideMark/>
          </w:tcPr>
          <w:p w14:paraId="5272DAB0" w14:textId="77777777" w:rsidR="00514DB0" w:rsidRPr="00662116" w:rsidRDefault="00514DB0" w:rsidP="00514DB0">
            <w:pPr>
              <w:keepNext/>
              <w:spacing w:line="240" w:lineRule="auto"/>
              <w:jc w:val="left"/>
              <w:rPr>
                <w:rFonts w:ascii="Arial Narrow" w:hAnsi="Arial Narrow" w:cs="Arial"/>
                <w:b/>
                <w:bCs/>
                <w:color w:val="000000"/>
                <w:szCs w:val="20"/>
              </w:rPr>
            </w:pPr>
            <w:r w:rsidRPr="00662116">
              <w:rPr>
                <w:rFonts w:ascii="Arial Narrow" w:hAnsi="Arial Narrow" w:cs="Arial"/>
                <w:b/>
                <w:bCs/>
                <w:color w:val="000000"/>
                <w:szCs w:val="20"/>
              </w:rPr>
              <w:t>Net Present Value Cost</w:t>
            </w:r>
          </w:p>
        </w:tc>
        <w:tc>
          <w:tcPr>
            <w:tcW w:w="800" w:type="dxa"/>
            <w:noWrap/>
            <w:vAlign w:val="top"/>
            <w:hideMark/>
          </w:tcPr>
          <w:p w14:paraId="1B3C6E8D"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Cs w:val="20"/>
              </w:rPr>
            </w:pPr>
            <w:r w:rsidRPr="00662116">
              <w:rPr>
                <w:rFonts w:ascii="Arial Narrow" w:hAnsi="Arial Narrow"/>
                <w:b/>
              </w:rPr>
              <w:t>$2,128</w:t>
            </w:r>
          </w:p>
        </w:tc>
        <w:tc>
          <w:tcPr>
            <w:tcW w:w="634" w:type="dxa"/>
            <w:noWrap/>
            <w:vAlign w:val="top"/>
            <w:hideMark/>
          </w:tcPr>
          <w:p w14:paraId="7869DE2D"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4" w:type="dxa"/>
            <w:noWrap/>
            <w:vAlign w:val="top"/>
            <w:hideMark/>
          </w:tcPr>
          <w:p w14:paraId="107D6514"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4" w:type="dxa"/>
            <w:noWrap/>
            <w:vAlign w:val="top"/>
            <w:hideMark/>
          </w:tcPr>
          <w:p w14:paraId="359B6624"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4" w:type="dxa"/>
            <w:noWrap/>
            <w:vAlign w:val="top"/>
            <w:hideMark/>
          </w:tcPr>
          <w:p w14:paraId="25AA3D8F"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4" w:type="dxa"/>
            <w:noWrap/>
            <w:vAlign w:val="top"/>
            <w:hideMark/>
          </w:tcPr>
          <w:p w14:paraId="0F085F8F"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4" w:type="dxa"/>
            <w:noWrap/>
            <w:vAlign w:val="top"/>
            <w:hideMark/>
          </w:tcPr>
          <w:p w14:paraId="4F46A4CD"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4" w:type="dxa"/>
            <w:noWrap/>
            <w:vAlign w:val="top"/>
            <w:hideMark/>
          </w:tcPr>
          <w:p w14:paraId="642D1A9F"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4" w:type="dxa"/>
            <w:noWrap/>
            <w:vAlign w:val="top"/>
            <w:hideMark/>
          </w:tcPr>
          <w:p w14:paraId="316330E9"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4" w:type="dxa"/>
            <w:noWrap/>
            <w:vAlign w:val="top"/>
            <w:hideMark/>
          </w:tcPr>
          <w:p w14:paraId="45582ABE"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4" w:type="dxa"/>
            <w:vAlign w:val="top"/>
          </w:tcPr>
          <w:p w14:paraId="626C9B88"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r>
    </w:tbl>
    <w:p w14:paraId="7F5A67A9" w14:textId="77777777" w:rsidR="00514DB0" w:rsidRDefault="00514DB0" w:rsidP="00662116">
      <w:pPr>
        <w:keepNext/>
        <w:autoSpaceDE w:val="0"/>
        <w:autoSpaceDN w:val="0"/>
        <w:adjustRightInd w:val="0"/>
        <w:spacing w:line="240" w:lineRule="auto"/>
        <w:rPr>
          <w:rFonts w:cs="Arial"/>
          <w:bCs/>
          <w:szCs w:val="20"/>
        </w:rPr>
      </w:pPr>
    </w:p>
    <w:tbl>
      <w:tblPr>
        <w:tblStyle w:val="EnergyTable1"/>
        <w:tblW w:w="9564" w:type="dxa"/>
        <w:tblLook w:val="04A0" w:firstRow="1" w:lastRow="0" w:firstColumn="1" w:lastColumn="0" w:noHBand="0" w:noVBand="1"/>
      </w:tblPr>
      <w:tblGrid>
        <w:gridCol w:w="2432"/>
        <w:gridCol w:w="799"/>
        <w:gridCol w:w="633"/>
        <w:gridCol w:w="633"/>
        <w:gridCol w:w="633"/>
        <w:gridCol w:w="633"/>
        <w:gridCol w:w="633"/>
        <w:gridCol w:w="633"/>
        <w:gridCol w:w="633"/>
        <w:gridCol w:w="633"/>
        <w:gridCol w:w="633"/>
        <w:gridCol w:w="636"/>
      </w:tblGrid>
      <w:tr w:rsidR="00514DB0" w:rsidRPr="00662116" w14:paraId="3AEF61C8" w14:textId="77777777" w:rsidTr="00AF21BE">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0" w:type="dxa"/>
            <w:gridSpan w:val="12"/>
            <w:noWrap/>
            <w:hideMark/>
          </w:tcPr>
          <w:p w14:paraId="4A47AE1D" w14:textId="77777777" w:rsidR="00514DB0" w:rsidRPr="00662116" w:rsidRDefault="00514DB0" w:rsidP="00662116">
            <w:pPr>
              <w:keepNext/>
              <w:spacing w:line="240" w:lineRule="auto"/>
              <w:jc w:val="left"/>
              <w:rPr>
                <w:rFonts w:ascii="Arial Narrow" w:hAnsi="Arial Narrow" w:cs="Arial"/>
                <w:szCs w:val="20"/>
              </w:rPr>
            </w:pPr>
            <w:r w:rsidRPr="00662116">
              <w:rPr>
                <w:rFonts w:ascii="Arial Narrow" w:hAnsi="Arial Narrow" w:cs="Arial"/>
                <w:bCs/>
                <w:szCs w:val="20"/>
              </w:rPr>
              <w:t xml:space="preserve">Efficient Technology with Financing </w:t>
            </w:r>
            <w:r w:rsidRPr="00662116">
              <w:rPr>
                <w:rFonts w:ascii="Arial Narrow" w:hAnsi="Arial Narrow" w:cs="Arial"/>
                <w:szCs w:val="20"/>
              </w:rPr>
              <w:t> </w:t>
            </w:r>
          </w:p>
        </w:tc>
      </w:tr>
      <w:tr w:rsidR="00514DB0" w:rsidRPr="00662116" w14:paraId="47FE5152" w14:textId="77777777" w:rsidTr="00AF21B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0" w:type="dxa"/>
            <w:noWrap/>
            <w:vAlign w:val="top"/>
            <w:hideMark/>
          </w:tcPr>
          <w:p w14:paraId="0C8707EE" w14:textId="77777777" w:rsidR="00514DB0" w:rsidRPr="00662116" w:rsidRDefault="00514DB0" w:rsidP="00514DB0">
            <w:pPr>
              <w:keepNext/>
              <w:spacing w:line="240" w:lineRule="auto"/>
              <w:rPr>
                <w:rFonts w:ascii="Arial Narrow" w:hAnsi="Arial Narrow" w:cs="Arial"/>
                <w:b/>
                <w:bCs/>
                <w:color w:val="000000"/>
                <w:szCs w:val="20"/>
              </w:rPr>
            </w:pPr>
            <w:r w:rsidRPr="00662116">
              <w:rPr>
                <w:rFonts w:ascii="Arial Narrow" w:hAnsi="Arial Narrow"/>
              </w:rPr>
              <w:t xml:space="preserve">Year </w:t>
            </w:r>
          </w:p>
        </w:tc>
        <w:tc>
          <w:tcPr>
            <w:tcW w:w="0" w:type="dxa"/>
            <w:noWrap/>
            <w:vAlign w:val="top"/>
            <w:hideMark/>
          </w:tcPr>
          <w:p w14:paraId="3347F9DF"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rPr>
              <w:t>0</w:t>
            </w:r>
          </w:p>
        </w:tc>
        <w:tc>
          <w:tcPr>
            <w:tcW w:w="0" w:type="dxa"/>
            <w:noWrap/>
            <w:vAlign w:val="top"/>
            <w:hideMark/>
          </w:tcPr>
          <w:p w14:paraId="6B49B3A1"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rPr>
              <w:t>1</w:t>
            </w:r>
          </w:p>
        </w:tc>
        <w:tc>
          <w:tcPr>
            <w:tcW w:w="0" w:type="dxa"/>
            <w:noWrap/>
            <w:vAlign w:val="top"/>
            <w:hideMark/>
          </w:tcPr>
          <w:p w14:paraId="057D1C9B"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rPr>
              <w:t>2</w:t>
            </w:r>
          </w:p>
        </w:tc>
        <w:tc>
          <w:tcPr>
            <w:tcW w:w="0" w:type="dxa"/>
            <w:noWrap/>
            <w:vAlign w:val="top"/>
            <w:hideMark/>
          </w:tcPr>
          <w:p w14:paraId="2BBF1630"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rPr>
              <w:t>3</w:t>
            </w:r>
          </w:p>
        </w:tc>
        <w:tc>
          <w:tcPr>
            <w:tcW w:w="0" w:type="dxa"/>
            <w:noWrap/>
            <w:vAlign w:val="top"/>
            <w:hideMark/>
          </w:tcPr>
          <w:p w14:paraId="5CC30BE6"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rPr>
              <w:t>4</w:t>
            </w:r>
          </w:p>
        </w:tc>
        <w:tc>
          <w:tcPr>
            <w:tcW w:w="0" w:type="dxa"/>
            <w:noWrap/>
            <w:vAlign w:val="top"/>
            <w:hideMark/>
          </w:tcPr>
          <w:p w14:paraId="41AC55F0"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rPr>
              <w:t>5</w:t>
            </w:r>
          </w:p>
        </w:tc>
        <w:tc>
          <w:tcPr>
            <w:tcW w:w="0" w:type="dxa"/>
            <w:noWrap/>
            <w:vAlign w:val="top"/>
            <w:hideMark/>
          </w:tcPr>
          <w:p w14:paraId="0B69BACC"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rPr>
              <w:t>6</w:t>
            </w:r>
          </w:p>
        </w:tc>
        <w:tc>
          <w:tcPr>
            <w:tcW w:w="0" w:type="dxa"/>
            <w:noWrap/>
            <w:vAlign w:val="top"/>
            <w:hideMark/>
          </w:tcPr>
          <w:p w14:paraId="722FD915"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rPr>
              <w:t>7</w:t>
            </w:r>
          </w:p>
        </w:tc>
        <w:tc>
          <w:tcPr>
            <w:tcW w:w="0" w:type="dxa"/>
            <w:noWrap/>
            <w:vAlign w:val="top"/>
            <w:hideMark/>
          </w:tcPr>
          <w:p w14:paraId="30A7E494"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rPr>
              <w:t>8</w:t>
            </w:r>
          </w:p>
        </w:tc>
        <w:tc>
          <w:tcPr>
            <w:tcW w:w="0" w:type="dxa"/>
            <w:noWrap/>
            <w:vAlign w:val="top"/>
            <w:hideMark/>
          </w:tcPr>
          <w:p w14:paraId="33F8D59D"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rPr>
              <w:t>9</w:t>
            </w:r>
          </w:p>
        </w:tc>
        <w:tc>
          <w:tcPr>
            <w:tcW w:w="0" w:type="dxa"/>
            <w:vAlign w:val="top"/>
          </w:tcPr>
          <w:p w14:paraId="6C27A553" w14:textId="77777777" w:rsidR="00514DB0" w:rsidRPr="00662116" w:rsidRDefault="00514DB0" w:rsidP="00514DB0">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Cs w:val="20"/>
              </w:rPr>
            </w:pPr>
            <w:r w:rsidRPr="00662116">
              <w:rPr>
                <w:rFonts w:ascii="Arial Narrow" w:hAnsi="Arial Narrow"/>
              </w:rPr>
              <w:t>10</w:t>
            </w:r>
          </w:p>
        </w:tc>
      </w:tr>
      <w:tr w:rsidR="002544A3" w:rsidRPr="00662116" w14:paraId="6F914E5D" w14:textId="77777777" w:rsidTr="007A098A">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2" w:type="dxa"/>
            <w:noWrap/>
            <w:vAlign w:val="top"/>
            <w:hideMark/>
          </w:tcPr>
          <w:p w14:paraId="02828D7C" w14:textId="77777777" w:rsidR="00514DB0" w:rsidRPr="00662116" w:rsidRDefault="00514DB0" w:rsidP="00514DB0">
            <w:pPr>
              <w:keepNext/>
              <w:spacing w:line="240" w:lineRule="auto"/>
              <w:jc w:val="left"/>
              <w:rPr>
                <w:rFonts w:ascii="Arial Narrow" w:hAnsi="Arial Narrow" w:cs="Arial"/>
                <w:color w:val="000000"/>
                <w:szCs w:val="20"/>
              </w:rPr>
            </w:pPr>
            <w:r w:rsidRPr="00662116">
              <w:rPr>
                <w:rFonts w:ascii="Arial Narrow" w:hAnsi="Arial Narrow"/>
              </w:rPr>
              <w:t>Equipment Cost Financed</w:t>
            </w:r>
          </w:p>
        </w:tc>
        <w:tc>
          <w:tcPr>
            <w:tcW w:w="799" w:type="dxa"/>
            <w:noWrap/>
            <w:vAlign w:val="top"/>
            <w:hideMark/>
          </w:tcPr>
          <w:p w14:paraId="657A8797"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3" w:type="dxa"/>
            <w:noWrap/>
            <w:vAlign w:val="top"/>
            <w:hideMark/>
          </w:tcPr>
          <w:p w14:paraId="28B098E1"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3" w:type="dxa"/>
            <w:noWrap/>
            <w:vAlign w:val="top"/>
            <w:hideMark/>
          </w:tcPr>
          <w:p w14:paraId="19E5C53C"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3" w:type="dxa"/>
            <w:noWrap/>
            <w:vAlign w:val="top"/>
            <w:hideMark/>
          </w:tcPr>
          <w:p w14:paraId="1ECC4BF1"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3" w:type="dxa"/>
            <w:noWrap/>
            <w:vAlign w:val="top"/>
            <w:hideMark/>
          </w:tcPr>
          <w:p w14:paraId="1E8A186C"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3" w:type="dxa"/>
            <w:noWrap/>
            <w:vAlign w:val="top"/>
            <w:hideMark/>
          </w:tcPr>
          <w:p w14:paraId="32D79FBB"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3" w:type="dxa"/>
            <w:noWrap/>
            <w:vAlign w:val="top"/>
            <w:hideMark/>
          </w:tcPr>
          <w:p w14:paraId="1517A121"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3" w:type="dxa"/>
            <w:noWrap/>
            <w:vAlign w:val="top"/>
            <w:hideMark/>
          </w:tcPr>
          <w:p w14:paraId="468D1A72"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3" w:type="dxa"/>
            <w:noWrap/>
            <w:vAlign w:val="top"/>
            <w:hideMark/>
          </w:tcPr>
          <w:p w14:paraId="2E3C6EBE"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3" w:type="dxa"/>
            <w:noWrap/>
            <w:vAlign w:val="top"/>
            <w:hideMark/>
          </w:tcPr>
          <w:p w14:paraId="5F713501"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6" w:type="dxa"/>
            <w:vAlign w:val="top"/>
          </w:tcPr>
          <w:p w14:paraId="150B5A3B"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r>
      <w:tr w:rsidR="00662116" w:rsidRPr="00662116" w14:paraId="7932A519" w14:textId="77777777" w:rsidTr="00AF21B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0" w:type="dxa"/>
            <w:tcBorders>
              <w:bottom w:val="single" w:sz="8" w:space="0" w:color="808080" w:themeColor="background1" w:themeShade="80"/>
            </w:tcBorders>
            <w:noWrap/>
            <w:vAlign w:val="top"/>
            <w:hideMark/>
          </w:tcPr>
          <w:p w14:paraId="34784A2F" w14:textId="77777777" w:rsidR="00514DB0" w:rsidRPr="00662116" w:rsidRDefault="00514DB0" w:rsidP="00514DB0">
            <w:pPr>
              <w:keepNext/>
              <w:spacing w:line="240" w:lineRule="auto"/>
              <w:jc w:val="left"/>
              <w:rPr>
                <w:rFonts w:ascii="Arial Narrow" w:hAnsi="Arial Narrow" w:cs="Arial"/>
                <w:color w:val="000000"/>
                <w:szCs w:val="20"/>
              </w:rPr>
            </w:pPr>
            <w:r w:rsidRPr="00662116">
              <w:rPr>
                <w:rFonts w:ascii="Arial Narrow" w:hAnsi="Arial Narrow"/>
              </w:rPr>
              <w:t xml:space="preserve">Energy Cost </w:t>
            </w:r>
          </w:p>
        </w:tc>
        <w:tc>
          <w:tcPr>
            <w:tcW w:w="0" w:type="dxa"/>
            <w:tcBorders>
              <w:bottom w:val="single" w:sz="8" w:space="0" w:color="808080" w:themeColor="background1" w:themeShade="80"/>
            </w:tcBorders>
            <w:noWrap/>
            <w:vAlign w:val="top"/>
            <w:hideMark/>
          </w:tcPr>
          <w:p w14:paraId="05C2C56B"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$0</w:t>
            </w:r>
          </w:p>
        </w:tc>
        <w:tc>
          <w:tcPr>
            <w:tcW w:w="0" w:type="dxa"/>
            <w:tcBorders>
              <w:bottom w:val="single" w:sz="8" w:space="0" w:color="808080" w:themeColor="background1" w:themeShade="80"/>
            </w:tcBorders>
            <w:noWrap/>
            <w:vAlign w:val="top"/>
            <w:hideMark/>
          </w:tcPr>
          <w:p w14:paraId="1C1C5345"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0" w:type="dxa"/>
            <w:tcBorders>
              <w:bottom w:val="single" w:sz="8" w:space="0" w:color="808080" w:themeColor="background1" w:themeShade="80"/>
            </w:tcBorders>
            <w:noWrap/>
            <w:vAlign w:val="top"/>
            <w:hideMark/>
          </w:tcPr>
          <w:p w14:paraId="05B336CA"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0" w:type="dxa"/>
            <w:tcBorders>
              <w:bottom w:val="single" w:sz="8" w:space="0" w:color="808080" w:themeColor="background1" w:themeShade="80"/>
            </w:tcBorders>
            <w:noWrap/>
            <w:vAlign w:val="top"/>
            <w:hideMark/>
          </w:tcPr>
          <w:p w14:paraId="4749AA1D"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0" w:type="dxa"/>
            <w:tcBorders>
              <w:bottom w:val="single" w:sz="8" w:space="0" w:color="808080" w:themeColor="background1" w:themeShade="80"/>
            </w:tcBorders>
            <w:noWrap/>
            <w:vAlign w:val="top"/>
            <w:hideMark/>
          </w:tcPr>
          <w:p w14:paraId="7010065B"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0" w:type="dxa"/>
            <w:tcBorders>
              <w:bottom w:val="single" w:sz="8" w:space="0" w:color="808080" w:themeColor="background1" w:themeShade="80"/>
            </w:tcBorders>
            <w:noWrap/>
            <w:vAlign w:val="top"/>
            <w:hideMark/>
          </w:tcPr>
          <w:p w14:paraId="31D0B983"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0" w:type="dxa"/>
            <w:tcBorders>
              <w:bottom w:val="single" w:sz="8" w:space="0" w:color="808080" w:themeColor="background1" w:themeShade="80"/>
            </w:tcBorders>
            <w:noWrap/>
            <w:vAlign w:val="top"/>
            <w:hideMark/>
          </w:tcPr>
          <w:p w14:paraId="2F699229"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0" w:type="dxa"/>
            <w:tcBorders>
              <w:bottom w:val="single" w:sz="8" w:space="0" w:color="808080" w:themeColor="background1" w:themeShade="80"/>
            </w:tcBorders>
            <w:noWrap/>
            <w:vAlign w:val="top"/>
            <w:hideMark/>
          </w:tcPr>
          <w:p w14:paraId="0018F1E2"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0" w:type="dxa"/>
            <w:tcBorders>
              <w:bottom w:val="single" w:sz="8" w:space="0" w:color="808080" w:themeColor="background1" w:themeShade="80"/>
            </w:tcBorders>
            <w:noWrap/>
            <w:vAlign w:val="top"/>
            <w:hideMark/>
          </w:tcPr>
          <w:p w14:paraId="58042D69"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0" w:type="dxa"/>
            <w:tcBorders>
              <w:bottom w:val="single" w:sz="8" w:space="0" w:color="808080" w:themeColor="background1" w:themeShade="80"/>
            </w:tcBorders>
            <w:noWrap/>
            <w:vAlign w:val="top"/>
            <w:hideMark/>
          </w:tcPr>
          <w:p w14:paraId="334F0BD5"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c>
          <w:tcPr>
            <w:tcW w:w="0" w:type="dxa"/>
            <w:tcBorders>
              <w:bottom w:val="single" w:sz="8" w:space="0" w:color="808080" w:themeColor="background1" w:themeShade="80"/>
            </w:tcBorders>
            <w:vAlign w:val="top"/>
          </w:tcPr>
          <w:p w14:paraId="7A85C710" w14:textId="77777777" w:rsidR="00514DB0" w:rsidRPr="00662116" w:rsidRDefault="00514DB0" w:rsidP="00514DB0">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r>
      <w:tr w:rsidR="002544A3" w:rsidRPr="00662116" w14:paraId="56FE6359" w14:textId="77777777" w:rsidTr="007A098A">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2" w:type="dxa"/>
            <w:tcBorders>
              <w:top w:val="single" w:sz="8" w:space="0" w:color="808080" w:themeColor="background1" w:themeShade="80"/>
              <w:bottom w:val="single" w:sz="4" w:space="0" w:color="DCDDDE"/>
            </w:tcBorders>
            <w:noWrap/>
            <w:vAlign w:val="top"/>
            <w:hideMark/>
          </w:tcPr>
          <w:p w14:paraId="26F4ACB1" w14:textId="77777777" w:rsidR="00514DB0" w:rsidRPr="00662116" w:rsidRDefault="00514DB0" w:rsidP="00514DB0">
            <w:pPr>
              <w:keepNext/>
              <w:spacing w:line="240" w:lineRule="auto"/>
              <w:jc w:val="left"/>
              <w:rPr>
                <w:rFonts w:ascii="Arial Narrow" w:hAnsi="Arial Narrow" w:cs="Arial"/>
                <w:color w:val="000000"/>
                <w:szCs w:val="20"/>
              </w:rPr>
            </w:pPr>
            <w:r w:rsidRPr="00662116">
              <w:rPr>
                <w:rFonts w:ascii="Arial Narrow" w:hAnsi="Arial Narrow"/>
              </w:rPr>
              <w:t xml:space="preserve">Total Cash Out </w:t>
            </w:r>
          </w:p>
        </w:tc>
        <w:tc>
          <w:tcPr>
            <w:tcW w:w="799" w:type="dxa"/>
            <w:tcBorders>
              <w:top w:val="single" w:sz="8" w:space="0" w:color="808080" w:themeColor="background1" w:themeShade="80"/>
              <w:bottom w:val="single" w:sz="4" w:space="0" w:color="DCDDDE"/>
            </w:tcBorders>
            <w:noWrap/>
            <w:vAlign w:val="top"/>
            <w:hideMark/>
          </w:tcPr>
          <w:p w14:paraId="1391B87A"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633" w:type="dxa"/>
            <w:tcBorders>
              <w:top w:val="single" w:sz="8" w:space="0" w:color="808080" w:themeColor="background1" w:themeShade="80"/>
              <w:bottom w:val="single" w:sz="4" w:space="0" w:color="DCDDDE"/>
            </w:tcBorders>
            <w:noWrap/>
            <w:vAlign w:val="top"/>
            <w:hideMark/>
          </w:tcPr>
          <w:p w14:paraId="585EE04F"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$273</w:t>
            </w:r>
          </w:p>
        </w:tc>
        <w:tc>
          <w:tcPr>
            <w:tcW w:w="633" w:type="dxa"/>
            <w:tcBorders>
              <w:top w:val="single" w:sz="8" w:space="0" w:color="808080" w:themeColor="background1" w:themeShade="80"/>
              <w:bottom w:val="single" w:sz="4" w:space="0" w:color="DCDDDE"/>
            </w:tcBorders>
            <w:noWrap/>
            <w:vAlign w:val="top"/>
            <w:hideMark/>
          </w:tcPr>
          <w:p w14:paraId="4AD0152F"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$273</w:t>
            </w:r>
          </w:p>
        </w:tc>
        <w:tc>
          <w:tcPr>
            <w:tcW w:w="633" w:type="dxa"/>
            <w:tcBorders>
              <w:top w:val="single" w:sz="8" w:space="0" w:color="808080" w:themeColor="background1" w:themeShade="80"/>
              <w:bottom w:val="single" w:sz="4" w:space="0" w:color="DCDDDE"/>
            </w:tcBorders>
            <w:noWrap/>
            <w:vAlign w:val="top"/>
            <w:hideMark/>
          </w:tcPr>
          <w:p w14:paraId="2BC987CA"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$273</w:t>
            </w:r>
          </w:p>
        </w:tc>
        <w:tc>
          <w:tcPr>
            <w:tcW w:w="633" w:type="dxa"/>
            <w:tcBorders>
              <w:top w:val="single" w:sz="8" w:space="0" w:color="808080" w:themeColor="background1" w:themeShade="80"/>
              <w:bottom w:val="single" w:sz="4" w:space="0" w:color="DCDDDE"/>
            </w:tcBorders>
            <w:noWrap/>
            <w:vAlign w:val="top"/>
            <w:hideMark/>
          </w:tcPr>
          <w:p w14:paraId="6D6B1072"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$273</w:t>
            </w:r>
          </w:p>
        </w:tc>
        <w:tc>
          <w:tcPr>
            <w:tcW w:w="633" w:type="dxa"/>
            <w:tcBorders>
              <w:top w:val="single" w:sz="8" w:space="0" w:color="808080" w:themeColor="background1" w:themeShade="80"/>
              <w:bottom w:val="single" w:sz="4" w:space="0" w:color="DCDDDE"/>
            </w:tcBorders>
            <w:noWrap/>
            <w:vAlign w:val="top"/>
            <w:hideMark/>
          </w:tcPr>
          <w:p w14:paraId="3F62CADE"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$273</w:t>
            </w:r>
          </w:p>
        </w:tc>
        <w:tc>
          <w:tcPr>
            <w:tcW w:w="633" w:type="dxa"/>
            <w:tcBorders>
              <w:top w:val="single" w:sz="8" w:space="0" w:color="808080" w:themeColor="background1" w:themeShade="80"/>
              <w:bottom w:val="single" w:sz="4" w:space="0" w:color="DCDDDE"/>
            </w:tcBorders>
            <w:noWrap/>
            <w:vAlign w:val="top"/>
            <w:hideMark/>
          </w:tcPr>
          <w:p w14:paraId="4C0D7E64"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$273</w:t>
            </w:r>
          </w:p>
        </w:tc>
        <w:tc>
          <w:tcPr>
            <w:tcW w:w="633" w:type="dxa"/>
            <w:tcBorders>
              <w:top w:val="single" w:sz="8" w:space="0" w:color="808080" w:themeColor="background1" w:themeShade="80"/>
              <w:bottom w:val="single" w:sz="4" w:space="0" w:color="DCDDDE"/>
            </w:tcBorders>
            <w:noWrap/>
            <w:vAlign w:val="top"/>
            <w:hideMark/>
          </w:tcPr>
          <w:p w14:paraId="3CB690B4"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$273</w:t>
            </w:r>
          </w:p>
        </w:tc>
        <w:tc>
          <w:tcPr>
            <w:tcW w:w="633" w:type="dxa"/>
            <w:tcBorders>
              <w:top w:val="single" w:sz="8" w:space="0" w:color="808080" w:themeColor="background1" w:themeShade="80"/>
              <w:bottom w:val="single" w:sz="4" w:space="0" w:color="DCDDDE"/>
            </w:tcBorders>
            <w:noWrap/>
            <w:vAlign w:val="top"/>
            <w:hideMark/>
          </w:tcPr>
          <w:p w14:paraId="42DA2314"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$273</w:t>
            </w:r>
          </w:p>
        </w:tc>
        <w:tc>
          <w:tcPr>
            <w:tcW w:w="633" w:type="dxa"/>
            <w:tcBorders>
              <w:top w:val="single" w:sz="8" w:space="0" w:color="808080" w:themeColor="background1" w:themeShade="80"/>
              <w:bottom w:val="single" w:sz="4" w:space="0" w:color="DCDDDE"/>
            </w:tcBorders>
            <w:noWrap/>
            <w:vAlign w:val="top"/>
            <w:hideMark/>
          </w:tcPr>
          <w:p w14:paraId="4580A05D"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$273</w:t>
            </w:r>
          </w:p>
        </w:tc>
        <w:tc>
          <w:tcPr>
            <w:tcW w:w="636" w:type="dxa"/>
            <w:tcBorders>
              <w:top w:val="single" w:sz="8" w:space="0" w:color="808080" w:themeColor="background1" w:themeShade="80"/>
              <w:bottom w:val="single" w:sz="4" w:space="0" w:color="DCDDDE"/>
            </w:tcBorders>
            <w:vAlign w:val="top"/>
          </w:tcPr>
          <w:p w14:paraId="7294F16A"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2116">
              <w:rPr>
                <w:rFonts w:ascii="Arial Narrow" w:hAnsi="Arial Narrow"/>
              </w:rPr>
              <w:t>$125</w:t>
            </w:r>
          </w:p>
        </w:tc>
      </w:tr>
      <w:tr w:rsidR="007A098A" w:rsidRPr="00662116" w14:paraId="1B48D727" w14:textId="77777777" w:rsidTr="00AF21B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CDDDE"/>
            </w:tcBorders>
            <w:noWrap/>
            <w:hideMark/>
          </w:tcPr>
          <w:p w14:paraId="78362046" w14:textId="77777777" w:rsidR="007A098A" w:rsidRPr="00662116" w:rsidRDefault="007A098A" w:rsidP="007A098A">
            <w:pPr>
              <w:keepNext/>
              <w:spacing w:line="240" w:lineRule="auto"/>
              <w:jc w:val="left"/>
              <w:rPr>
                <w:rFonts w:ascii="Arial Narrow" w:hAnsi="Arial Narrow" w:cs="Arial"/>
                <w:color w:val="000000"/>
                <w:szCs w:val="20"/>
              </w:rPr>
            </w:pPr>
            <w:r w:rsidRPr="00662116">
              <w:rPr>
                <w:rFonts w:ascii="Arial Narrow" w:hAnsi="Arial Narrow" w:cs="Arial"/>
                <w:color w:val="000000"/>
                <w:szCs w:val="20"/>
              </w:rPr>
              <w:t>Present Value</w:t>
            </w:r>
          </w:p>
        </w:tc>
        <w:tc>
          <w:tcPr>
            <w:tcW w:w="0" w:type="dxa"/>
            <w:tcBorders>
              <w:top w:val="single" w:sz="4" w:space="0" w:color="DCDDDE"/>
            </w:tcBorders>
            <w:noWrap/>
            <w:vAlign w:val="top"/>
            <w:hideMark/>
          </w:tcPr>
          <w:p w14:paraId="4F81208E" w14:textId="77777777" w:rsidR="007A098A" w:rsidRPr="00662116" w:rsidRDefault="007A098A" w:rsidP="007A098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$148</w:t>
            </w:r>
          </w:p>
        </w:tc>
        <w:tc>
          <w:tcPr>
            <w:tcW w:w="0" w:type="dxa"/>
            <w:tcBorders>
              <w:top w:val="single" w:sz="4" w:space="0" w:color="DCDDDE"/>
            </w:tcBorders>
            <w:noWrap/>
            <w:vAlign w:val="top"/>
            <w:hideMark/>
          </w:tcPr>
          <w:p w14:paraId="27CABCA2" w14:textId="77777777" w:rsidR="007A098A" w:rsidRPr="00662116" w:rsidRDefault="007A098A" w:rsidP="007A098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$255</w:t>
            </w:r>
          </w:p>
        </w:tc>
        <w:tc>
          <w:tcPr>
            <w:tcW w:w="0" w:type="dxa"/>
            <w:tcBorders>
              <w:top w:val="single" w:sz="4" w:space="0" w:color="DCDDDE"/>
            </w:tcBorders>
            <w:noWrap/>
            <w:vAlign w:val="top"/>
            <w:hideMark/>
          </w:tcPr>
          <w:p w14:paraId="27B34C8C" w14:textId="77777777" w:rsidR="007A098A" w:rsidRPr="00662116" w:rsidRDefault="007A098A" w:rsidP="007A098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$239</w:t>
            </w:r>
          </w:p>
        </w:tc>
        <w:tc>
          <w:tcPr>
            <w:tcW w:w="0" w:type="dxa"/>
            <w:tcBorders>
              <w:top w:val="single" w:sz="4" w:space="0" w:color="DCDDDE"/>
            </w:tcBorders>
            <w:noWrap/>
            <w:vAlign w:val="top"/>
            <w:hideMark/>
          </w:tcPr>
          <w:p w14:paraId="248C6B75" w14:textId="77777777" w:rsidR="007A098A" w:rsidRPr="00662116" w:rsidRDefault="007A098A" w:rsidP="007A098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$223</w:t>
            </w:r>
          </w:p>
        </w:tc>
        <w:tc>
          <w:tcPr>
            <w:tcW w:w="0" w:type="dxa"/>
            <w:tcBorders>
              <w:top w:val="single" w:sz="4" w:space="0" w:color="DCDDDE"/>
            </w:tcBorders>
            <w:noWrap/>
            <w:vAlign w:val="top"/>
            <w:hideMark/>
          </w:tcPr>
          <w:p w14:paraId="3A031DC1" w14:textId="77777777" w:rsidR="007A098A" w:rsidRPr="00662116" w:rsidRDefault="007A098A" w:rsidP="007A098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$208</w:t>
            </w:r>
          </w:p>
        </w:tc>
        <w:tc>
          <w:tcPr>
            <w:tcW w:w="0" w:type="dxa"/>
            <w:tcBorders>
              <w:top w:val="single" w:sz="4" w:space="0" w:color="DCDDDE"/>
            </w:tcBorders>
            <w:noWrap/>
            <w:vAlign w:val="top"/>
            <w:hideMark/>
          </w:tcPr>
          <w:p w14:paraId="24993C13" w14:textId="77777777" w:rsidR="007A098A" w:rsidRPr="00662116" w:rsidRDefault="007A098A" w:rsidP="007A098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$195</w:t>
            </w:r>
          </w:p>
        </w:tc>
        <w:tc>
          <w:tcPr>
            <w:tcW w:w="0" w:type="dxa"/>
            <w:tcBorders>
              <w:top w:val="single" w:sz="4" w:space="0" w:color="DCDDDE"/>
            </w:tcBorders>
            <w:noWrap/>
            <w:vAlign w:val="top"/>
            <w:hideMark/>
          </w:tcPr>
          <w:p w14:paraId="25A258E8" w14:textId="77777777" w:rsidR="007A098A" w:rsidRPr="00662116" w:rsidRDefault="007A098A" w:rsidP="007A098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$182</w:t>
            </w:r>
          </w:p>
        </w:tc>
        <w:tc>
          <w:tcPr>
            <w:tcW w:w="0" w:type="dxa"/>
            <w:tcBorders>
              <w:top w:val="single" w:sz="4" w:space="0" w:color="DCDDDE"/>
            </w:tcBorders>
            <w:noWrap/>
            <w:vAlign w:val="top"/>
            <w:hideMark/>
          </w:tcPr>
          <w:p w14:paraId="60397201" w14:textId="77777777" w:rsidR="007A098A" w:rsidRPr="00662116" w:rsidRDefault="007A098A" w:rsidP="007A098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$170</w:t>
            </w:r>
          </w:p>
        </w:tc>
        <w:tc>
          <w:tcPr>
            <w:tcW w:w="0" w:type="dxa"/>
            <w:tcBorders>
              <w:top w:val="single" w:sz="4" w:space="0" w:color="DCDDDE"/>
            </w:tcBorders>
            <w:noWrap/>
            <w:vAlign w:val="top"/>
            <w:hideMark/>
          </w:tcPr>
          <w:p w14:paraId="16D77345" w14:textId="77777777" w:rsidR="007A098A" w:rsidRPr="00662116" w:rsidRDefault="007A098A" w:rsidP="007A098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$159</w:t>
            </w:r>
          </w:p>
        </w:tc>
        <w:tc>
          <w:tcPr>
            <w:tcW w:w="0" w:type="dxa"/>
            <w:tcBorders>
              <w:top w:val="single" w:sz="4" w:space="0" w:color="DCDDDE"/>
            </w:tcBorders>
            <w:noWrap/>
            <w:vAlign w:val="top"/>
            <w:hideMark/>
          </w:tcPr>
          <w:p w14:paraId="626DEEEA" w14:textId="77777777" w:rsidR="007A098A" w:rsidRPr="00662116" w:rsidRDefault="007A098A" w:rsidP="007A098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$149</w:t>
            </w:r>
          </w:p>
        </w:tc>
        <w:tc>
          <w:tcPr>
            <w:tcW w:w="0" w:type="dxa"/>
            <w:tcBorders>
              <w:top w:val="single" w:sz="4" w:space="0" w:color="DCDDDE"/>
            </w:tcBorders>
            <w:vAlign w:val="top"/>
          </w:tcPr>
          <w:p w14:paraId="2E736079" w14:textId="77777777" w:rsidR="007A098A" w:rsidRPr="00662116" w:rsidRDefault="007A098A" w:rsidP="007A098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2116">
              <w:rPr>
                <w:rFonts w:ascii="Arial Narrow" w:hAnsi="Arial Narrow"/>
              </w:rPr>
              <w:t>$64</w:t>
            </w:r>
          </w:p>
        </w:tc>
      </w:tr>
      <w:tr w:rsidR="002544A3" w:rsidRPr="00662116" w14:paraId="6B1932FC" w14:textId="77777777" w:rsidTr="007A098A">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2" w:type="dxa"/>
            <w:noWrap/>
            <w:vAlign w:val="top"/>
            <w:hideMark/>
          </w:tcPr>
          <w:p w14:paraId="5472BACC" w14:textId="77777777" w:rsidR="00514DB0" w:rsidRPr="00662116" w:rsidRDefault="00514DB0" w:rsidP="00514DB0">
            <w:pPr>
              <w:keepNext/>
              <w:spacing w:line="240" w:lineRule="auto"/>
              <w:jc w:val="left"/>
              <w:rPr>
                <w:rFonts w:ascii="Arial Narrow" w:hAnsi="Arial Narrow" w:cs="Arial"/>
                <w:b/>
                <w:bCs/>
                <w:color w:val="000000"/>
                <w:szCs w:val="20"/>
              </w:rPr>
            </w:pPr>
            <w:r w:rsidRPr="00662116">
              <w:rPr>
                <w:rFonts w:ascii="Arial Narrow" w:hAnsi="Arial Narrow"/>
                <w:b/>
              </w:rPr>
              <w:t xml:space="preserve">Net Present Value </w:t>
            </w:r>
          </w:p>
        </w:tc>
        <w:tc>
          <w:tcPr>
            <w:tcW w:w="799" w:type="dxa"/>
            <w:noWrap/>
            <w:vAlign w:val="top"/>
            <w:hideMark/>
          </w:tcPr>
          <w:p w14:paraId="507516D3"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Cs w:val="20"/>
              </w:rPr>
            </w:pPr>
            <w:r w:rsidRPr="00662116">
              <w:rPr>
                <w:rFonts w:ascii="Arial Narrow" w:hAnsi="Arial Narrow"/>
                <w:b/>
              </w:rPr>
              <w:t>$1,992</w:t>
            </w:r>
          </w:p>
        </w:tc>
        <w:tc>
          <w:tcPr>
            <w:tcW w:w="633" w:type="dxa"/>
            <w:noWrap/>
            <w:vAlign w:val="top"/>
            <w:hideMark/>
          </w:tcPr>
          <w:p w14:paraId="36F97A04" w14:textId="77777777" w:rsidR="00514DB0" w:rsidRPr="00662116" w:rsidRDefault="00514DB0" w:rsidP="00514DB0">
            <w:pPr>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3" w:type="dxa"/>
            <w:noWrap/>
            <w:vAlign w:val="top"/>
            <w:hideMark/>
          </w:tcPr>
          <w:p w14:paraId="1BCAAB5F"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3" w:type="dxa"/>
            <w:noWrap/>
            <w:vAlign w:val="top"/>
            <w:hideMark/>
          </w:tcPr>
          <w:p w14:paraId="491D0CAA"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3" w:type="dxa"/>
            <w:noWrap/>
            <w:vAlign w:val="top"/>
            <w:hideMark/>
          </w:tcPr>
          <w:p w14:paraId="7A7BB596"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3" w:type="dxa"/>
            <w:noWrap/>
            <w:vAlign w:val="top"/>
            <w:hideMark/>
          </w:tcPr>
          <w:p w14:paraId="76F247E8"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3" w:type="dxa"/>
            <w:noWrap/>
            <w:vAlign w:val="top"/>
            <w:hideMark/>
          </w:tcPr>
          <w:p w14:paraId="47BD7868"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3" w:type="dxa"/>
            <w:noWrap/>
            <w:vAlign w:val="top"/>
            <w:hideMark/>
          </w:tcPr>
          <w:p w14:paraId="4AC101A0"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3" w:type="dxa"/>
            <w:noWrap/>
            <w:vAlign w:val="top"/>
            <w:hideMark/>
          </w:tcPr>
          <w:p w14:paraId="69683AC7"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3" w:type="dxa"/>
            <w:noWrap/>
            <w:vAlign w:val="top"/>
            <w:hideMark/>
          </w:tcPr>
          <w:p w14:paraId="5EA3D476"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c>
          <w:tcPr>
            <w:tcW w:w="636" w:type="dxa"/>
            <w:vAlign w:val="top"/>
          </w:tcPr>
          <w:p w14:paraId="4E1A897C" w14:textId="77777777" w:rsidR="00514DB0" w:rsidRPr="00662116" w:rsidRDefault="00514DB0" w:rsidP="00514DB0">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p>
        </w:tc>
      </w:tr>
    </w:tbl>
    <w:p w14:paraId="40C5DEB0" w14:textId="77777777" w:rsidR="00244626" w:rsidRDefault="00244626" w:rsidP="00662116">
      <w:pPr>
        <w:keepNext/>
        <w:autoSpaceDE w:val="0"/>
        <w:autoSpaceDN w:val="0"/>
        <w:adjustRightInd w:val="0"/>
        <w:spacing w:line="240" w:lineRule="auto"/>
        <w:rPr>
          <w:rFonts w:cs="Arial"/>
          <w:bCs/>
          <w:szCs w:val="20"/>
        </w:rPr>
      </w:pPr>
    </w:p>
    <w:p w14:paraId="01FCEA92" w14:textId="77777777" w:rsidR="00244626" w:rsidRDefault="00B348CC" w:rsidP="00AA58B2">
      <w:pPr>
        <w:rPr>
          <w:rFonts w:cs="Arial"/>
          <w:bCs/>
          <w:szCs w:val="20"/>
        </w:rPr>
      </w:pPr>
      <w:r>
        <w:rPr>
          <w:rFonts w:cs="Arial"/>
          <w:bCs/>
          <w:szCs w:val="20"/>
        </w:rPr>
        <w:t xml:space="preserve">The modified cash flows feed into the calculation of consumer willingness (described earlier in </w:t>
      </w:r>
      <w:r>
        <w:fldChar w:fldCharType="begin"/>
      </w:r>
      <w:r>
        <w:instrText xml:space="preserve"> REF _Ref481682182 \n \h </w:instrText>
      </w:r>
      <w:r w:rsidR="00AA58B2">
        <w:instrText xml:space="preserve"> \* MERGEFORMAT </w:instrText>
      </w:r>
      <w:r>
        <w:fldChar w:fldCharType="separate"/>
      </w:r>
      <w:r w:rsidR="007566B9">
        <w:t>2.1.1.4</w:t>
      </w:r>
      <w:r>
        <w:fldChar w:fldCharType="end"/>
      </w:r>
      <w:r>
        <w:t>)</w:t>
      </w:r>
      <w:r w:rsidR="00B73F53">
        <w:t xml:space="preserve"> by representing the effective present value of financing to the customer as a fraction of the upfront cost</w:t>
      </w:r>
      <w:r>
        <w:t>.</w:t>
      </w:r>
      <w:r>
        <w:rPr>
          <w:rFonts w:cs="Arial"/>
          <w:bCs/>
          <w:szCs w:val="20"/>
        </w:rPr>
        <w:t xml:space="preserve"> Increasing willingness results in higher adoption of EE measures and thus more savings. The model does not estimate technical or economic potential of financing, only market potential.  </w:t>
      </w:r>
    </w:p>
    <w:p w14:paraId="5EBF9457" w14:textId="77777777" w:rsidR="00B63C13" w:rsidRDefault="00B63C13" w:rsidP="00B63C13">
      <w:pPr>
        <w:pStyle w:val="Heading2"/>
      </w:pPr>
      <w:bookmarkStart w:id="276" w:name="_Toc478990501"/>
      <w:bookmarkStart w:id="277" w:name="_Toc479768574"/>
      <w:bookmarkStart w:id="278" w:name="_Toc482357299"/>
      <w:bookmarkStart w:id="279" w:name="_Toc482634275"/>
      <w:bookmarkStart w:id="280" w:name="_Toc482626407"/>
      <w:bookmarkStart w:id="281" w:name="_Toc484092478"/>
      <w:bookmarkStart w:id="282" w:name="_Toc484172681"/>
      <w:bookmarkStart w:id="283" w:name="_Toc484183018"/>
      <w:bookmarkStart w:id="284" w:name="_Toc490225775"/>
      <w:r>
        <w:t>C</w:t>
      </w:r>
      <w:r w:rsidR="00932B52">
        <w:t>alibrati</w:t>
      </w:r>
      <w:r>
        <w:t>n</w:t>
      </w:r>
      <w:r w:rsidR="00932B52">
        <w:t>g Rebated Technologies and Whole Building Approaches</w:t>
      </w:r>
      <w:bookmarkEnd w:id="276"/>
      <w:bookmarkEnd w:id="277"/>
      <w:bookmarkEnd w:id="278"/>
      <w:bookmarkEnd w:id="279"/>
      <w:bookmarkEnd w:id="280"/>
      <w:bookmarkEnd w:id="281"/>
      <w:bookmarkEnd w:id="282"/>
      <w:bookmarkEnd w:id="283"/>
      <w:bookmarkEnd w:id="284"/>
    </w:p>
    <w:p w14:paraId="76AABB60" w14:textId="77777777" w:rsidR="00ED04DD" w:rsidRDefault="00ED04DD" w:rsidP="00B63C13">
      <w:r>
        <w:rPr>
          <w:rFonts w:cs="Arial"/>
          <w:snapToGrid w:val="0"/>
        </w:rPr>
        <w:t xml:space="preserve">SB 350 directed the CPUC to adopt goals based on </w:t>
      </w:r>
      <w:r w:rsidRPr="00116031">
        <w:rPr>
          <w:rFonts w:cs="Arial"/>
          <w:snapToGrid w:val="0"/>
        </w:rPr>
        <w:t xml:space="preserve">energy efficiency </w:t>
      </w:r>
      <w:r>
        <w:rPr>
          <w:rFonts w:cs="Arial"/>
          <w:snapToGrid w:val="0"/>
        </w:rPr>
        <w:t xml:space="preserve">potential </w:t>
      </w:r>
      <w:r w:rsidRPr="00116031">
        <w:rPr>
          <w:rFonts w:cs="Arial"/>
          <w:snapToGrid w:val="0"/>
        </w:rPr>
        <w:t xml:space="preserve">studies that are </w:t>
      </w:r>
      <w:r>
        <w:rPr>
          <w:rFonts w:cs="Arial"/>
          <w:snapToGrid w:val="0"/>
        </w:rPr>
        <w:t xml:space="preserve">not </w:t>
      </w:r>
      <w:r w:rsidRPr="00116031">
        <w:rPr>
          <w:rFonts w:cs="Arial"/>
          <w:snapToGrid w:val="0"/>
        </w:rPr>
        <w:t>restricted</w:t>
      </w:r>
      <w:r>
        <w:rPr>
          <w:rFonts w:cs="Arial"/>
          <w:snapToGrid w:val="0"/>
        </w:rPr>
        <w:t xml:space="preserve"> by previous </w:t>
      </w:r>
      <w:r w:rsidRPr="00116031">
        <w:rPr>
          <w:rFonts w:cs="Arial"/>
          <w:snapToGrid w:val="0"/>
        </w:rPr>
        <w:t>levels of utility energy efficiency savings</w:t>
      </w:r>
      <w:r>
        <w:t xml:space="preserve">. However, this does not mean that a potential study model shouldn’t be calibrated. </w:t>
      </w:r>
    </w:p>
    <w:p w14:paraId="0EE346B1" w14:textId="77777777" w:rsidR="00ED04DD" w:rsidRDefault="00ED04DD" w:rsidP="00B63C13"/>
    <w:p w14:paraId="401BAEAC" w14:textId="77777777" w:rsidR="00B63C13" w:rsidRPr="00367C1A" w:rsidRDefault="00B63C13" w:rsidP="00B63C13">
      <w:r w:rsidRPr="00367C1A">
        <w:t>Like any model that forecasts the future, the PG model faces challenges with validating results, as there is no future basis against which one can compare simulated versus actual results. Calibration, however, provides both the developer and recipient of model results with a level of comfort that simulated results are reasonable. Calibration is intended to achieve three main purposes:</w:t>
      </w:r>
    </w:p>
    <w:p w14:paraId="0108C312" w14:textId="77777777" w:rsidR="00B63C13" w:rsidRPr="00367C1A" w:rsidRDefault="00B63C13" w:rsidP="004E4E36">
      <w:pPr>
        <w:pStyle w:val="ListParagraph"/>
        <w:numPr>
          <w:ilvl w:val="0"/>
          <w:numId w:val="15"/>
        </w:numPr>
      </w:pPr>
      <w:r w:rsidRPr="00367C1A">
        <w:lastRenderedPageBreak/>
        <w:t>Anchors the model in actual market conditions and ensures that the bottom-up approach to calculating potential can replicate previous market conditions;</w:t>
      </w:r>
    </w:p>
    <w:p w14:paraId="48304110" w14:textId="77777777" w:rsidR="00B63C13" w:rsidRPr="00367C1A" w:rsidRDefault="00B63C13" w:rsidP="004E4E36">
      <w:pPr>
        <w:pStyle w:val="ListParagraph"/>
        <w:numPr>
          <w:ilvl w:val="0"/>
          <w:numId w:val="15"/>
        </w:numPr>
      </w:pPr>
      <w:r w:rsidRPr="00367C1A">
        <w:t>Ensures a realistic starting point from which future projections are made; and</w:t>
      </w:r>
    </w:p>
    <w:p w14:paraId="7E3CCD24" w14:textId="77777777" w:rsidR="00B63C13" w:rsidRPr="00367C1A" w:rsidRDefault="00B63C13" w:rsidP="004E4E36">
      <w:pPr>
        <w:pStyle w:val="ListParagraph"/>
        <w:numPr>
          <w:ilvl w:val="0"/>
          <w:numId w:val="15"/>
        </w:numPr>
      </w:pPr>
      <w:r w:rsidRPr="00367C1A">
        <w:t xml:space="preserve">Accounts for varying levels of market barriers </w:t>
      </w:r>
      <w:r w:rsidR="00367C1A" w:rsidRPr="00367C1A">
        <w:t xml:space="preserve">and influences </w:t>
      </w:r>
      <w:r w:rsidRPr="00367C1A">
        <w:t xml:space="preserve">across different types of technologies. The model applies general market and consumer parameters to forecast technology adoption. There are often reasons </w:t>
      </w:r>
      <w:r w:rsidR="00361FC8">
        <w:t>why</w:t>
      </w:r>
      <w:r w:rsidR="00361FC8" w:rsidRPr="00367C1A">
        <w:t xml:space="preserve"> </w:t>
      </w:r>
      <w:r w:rsidRPr="00367C1A">
        <w:t>markets for certain end uses or technologies behave differently than the norm- both higher and lower. Calibration offers a mechanism for using historic observations to account for these differences.</w:t>
      </w:r>
    </w:p>
    <w:p w14:paraId="7D96CA92" w14:textId="77777777" w:rsidR="00B63C13" w:rsidRPr="006B5490" w:rsidRDefault="00B63C13" w:rsidP="00B63C13">
      <w:pPr>
        <w:rPr>
          <w:highlight w:val="yellow"/>
        </w:rPr>
      </w:pPr>
    </w:p>
    <w:p w14:paraId="1CE643D8" w14:textId="77777777" w:rsidR="00ED04DD" w:rsidRDefault="00B63C13" w:rsidP="00B63C13">
      <w:r w:rsidRPr="00367C1A">
        <w:t xml:space="preserve">The PG model is calibrated by reviewing </w:t>
      </w:r>
      <w:r w:rsidRPr="00957936">
        <w:t xml:space="preserve">portfolio data from </w:t>
      </w:r>
      <w:r w:rsidR="00367C1A" w:rsidRPr="00957936">
        <w:t xml:space="preserve">2013 </w:t>
      </w:r>
      <w:r w:rsidRPr="00957936">
        <w:t>through 201</w:t>
      </w:r>
      <w:r w:rsidR="00367C1A" w:rsidRPr="00957936">
        <w:t>5</w:t>
      </w:r>
      <w:r w:rsidRPr="00957936">
        <w:t xml:space="preserve"> to assess how the market has reacted to program offerings in the past. For more details on the necessity of calibration, the data basis of calibration, effects of calibration, and interpreting calibration please see Appendix A. </w:t>
      </w:r>
    </w:p>
    <w:p w14:paraId="48C5723C" w14:textId="77777777" w:rsidR="00B63C13" w:rsidRDefault="00B63C13" w:rsidP="00B63C13">
      <w:pPr>
        <w:pStyle w:val="Heading2"/>
      </w:pPr>
      <w:bookmarkStart w:id="285" w:name="_Toc478990502"/>
      <w:bookmarkStart w:id="286" w:name="_Toc479768575"/>
      <w:bookmarkStart w:id="287" w:name="_Toc482357300"/>
      <w:bookmarkStart w:id="288" w:name="_Toc482634276"/>
      <w:bookmarkStart w:id="289" w:name="_Toc482626408"/>
      <w:bookmarkStart w:id="290" w:name="_Toc484092479"/>
      <w:bookmarkStart w:id="291" w:name="_Toc484172682"/>
      <w:bookmarkStart w:id="292" w:name="_Toc484183019"/>
      <w:bookmarkStart w:id="293" w:name="_Ref484533078"/>
      <w:bookmarkStart w:id="294" w:name="_Ref484547475"/>
      <w:bookmarkStart w:id="295" w:name="_Toc490225776"/>
      <w:r>
        <w:t>Scenarios</w:t>
      </w:r>
      <w:bookmarkEnd w:id="285"/>
      <w:bookmarkEnd w:id="286"/>
      <w:bookmarkEnd w:id="287"/>
      <w:bookmarkEnd w:id="288"/>
      <w:bookmarkEnd w:id="289"/>
      <w:bookmarkEnd w:id="290"/>
      <w:bookmarkEnd w:id="291"/>
      <w:bookmarkEnd w:id="292"/>
      <w:bookmarkEnd w:id="293"/>
      <w:bookmarkEnd w:id="294"/>
      <w:bookmarkEnd w:id="295"/>
    </w:p>
    <w:p w14:paraId="59BC4D8C" w14:textId="77777777" w:rsidR="00C77DD5" w:rsidRDefault="00C77DD5" w:rsidP="00C77DD5">
      <w:pPr>
        <w:rPr>
          <w:rFonts w:cs="Arial"/>
          <w:snapToGrid w:val="0"/>
        </w:rPr>
      </w:pPr>
      <w:r>
        <w:rPr>
          <w:rFonts w:cs="Arial"/>
          <w:snapToGrid w:val="0"/>
        </w:rPr>
        <w:t xml:space="preserve">In the recent past (2013 and 2015), the </w:t>
      </w:r>
      <w:r w:rsidR="00F90D70">
        <w:rPr>
          <w:rFonts w:cs="Arial"/>
          <w:snapToGrid w:val="0"/>
        </w:rPr>
        <w:t>PG s</w:t>
      </w:r>
      <w:r>
        <w:rPr>
          <w:rFonts w:cs="Arial"/>
          <w:snapToGrid w:val="0"/>
        </w:rPr>
        <w:t xml:space="preserve">tudies produced a single forecast of energy efficiency potential for the purposes of informing IOU goals. The forecast was calibrated to </w:t>
      </w:r>
      <w:r w:rsidRPr="00B11C2A">
        <w:rPr>
          <w:rFonts w:cs="Arial"/>
          <w:snapToGrid w:val="0"/>
        </w:rPr>
        <w:t>historic program activity</w:t>
      </w:r>
      <w:r>
        <w:rPr>
          <w:rFonts w:cs="Arial"/>
          <w:snapToGrid w:val="0"/>
        </w:rPr>
        <w:t>. In these past studies, alternate s</w:t>
      </w:r>
      <w:r w:rsidRPr="00B11C2A">
        <w:rPr>
          <w:rFonts w:cs="Arial"/>
          <w:snapToGrid w:val="0"/>
        </w:rPr>
        <w:t xml:space="preserve">cenarios were only considered in the </w:t>
      </w:r>
      <w:r>
        <w:rPr>
          <w:rFonts w:cs="Arial"/>
          <w:snapToGrid w:val="0"/>
        </w:rPr>
        <w:t>Additional Achievable Energy Efficiency (</w:t>
      </w:r>
      <w:r w:rsidRPr="00B11C2A">
        <w:rPr>
          <w:rFonts w:cs="Arial"/>
          <w:snapToGrid w:val="0"/>
        </w:rPr>
        <w:t>AAEE</w:t>
      </w:r>
      <w:r>
        <w:rPr>
          <w:rFonts w:cs="Arial"/>
          <w:snapToGrid w:val="0"/>
        </w:rPr>
        <w:t>)</w:t>
      </w:r>
      <w:r w:rsidRPr="00B11C2A">
        <w:rPr>
          <w:rFonts w:cs="Arial"/>
          <w:snapToGrid w:val="0"/>
        </w:rPr>
        <w:t xml:space="preserve"> forecast </w:t>
      </w:r>
      <w:r>
        <w:rPr>
          <w:rFonts w:cs="Arial"/>
          <w:snapToGrid w:val="0"/>
        </w:rPr>
        <w:t xml:space="preserve">used by the California Energy Commission. The AAEE scenarios were developed </w:t>
      </w:r>
      <w:r w:rsidRPr="00B11C2A">
        <w:rPr>
          <w:rFonts w:cs="Arial"/>
          <w:snapToGrid w:val="0"/>
        </w:rPr>
        <w:t>after</w:t>
      </w:r>
      <w:r>
        <w:rPr>
          <w:rFonts w:cs="Arial"/>
          <w:snapToGrid w:val="0"/>
        </w:rPr>
        <w:t xml:space="preserve"> the CPUC had established goals and were primarily driven by the needs of the CEC. The 2018 PG study considers multiple scenarios to inform the goal setting process. </w:t>
      </w:r>
    </w:p>
    <w:p w14:paraId="27F7E753" w14:textId="77777777" w:rsidR="00C77DD5" w:rsidRDefault="00C77DD5" w:rsidP="00C77DD5">
      <w:pPr>
        <w:rPr>
          <w:rFonts w:cs="Arial"/>
          <w:snapToGrid w:val="0"/>
        </w:rPr>
      </w:pPr>
    </w:p>
    <w:p w14:paraId="6C723178" w14:textId="77777777" w:rsidR="00C77DD5" w:rsidRPr="006D0CAB" w:rsidRDefault="00B112E7" w:rsidP="00C77DD5">
      <w:pPr>
        <w:rPr>
          <w:rFonts w:cs="Arial"/>
          <w:snapToGrid w:val="0"/>
          <w:szCs w:val="20"/>
        </w:rPr>
      </w:pPr>
      <w:r>
        <w:rPr>
          <w:rFonts w:cs="Arial"/>
          <w:snapToGrid w:val="0"/>
        </w:rPr>
        <w:t xml:space="preserve">SB 350 directed the CPUC to adopt goals based on </w:t>
      </w:r>
      <w:r w:rsidR="00116031" w:rsidRPr="00116031">
        <w:rPr>
          <w:rFonts w:cs="Arial"/>
          <w:snapToGrid w:val="0"/>
        </w:rPr>
        <w:t xml:space="preserve">energy efficiency </w:t>
      </w:r>
      <w:r>
        <w:rPr>
          <w:rFonts w:cs="Arial"/>
          <w:snapToGrid w:val="0"/>
        </w:rPr>
        <w:t xml:space="preserve">potential </w:t>
      </w:r>
      <w:r w:rsidR="00116031" w:rsidRPr="00116031">
        <w:rPr>
          <w:rFonts w:cs="Arial"/>
          <w:snapToGrid w:val="0"/>
        </w:rPr>
        <w:t xml:space="preserve">studies that are </w:t>
      </w:r>
      <w:r>
        <w:rPr>
          <w:rFonts w:cs="Arial"/>
          <w:snapToGrid w:val="0"/>
        </w:rPr>
        <w:t xml:space="preserve">not </w:t>
      </w:r>
      <w:r w:rsidR="00116031" w:rsidRPr="00116031">
        <w:rPr>
          <w:rFonts w:cs="Arial"/>
          <w:snapToGrid w:val="0"/>
        </w:rPr>
        <w:t>restricted</w:t>
      </w:r>
      <w:r>
        <w:rPr>
          <w:rFonts w:cs="Arial"/>
          <w:snapToGrid w:val="0"/>
        </w:rPr>
        <w:t xml:space="preserve"> by previous </w:t>
      </w:r>
      <w:r w:rsidR="00116031" w:rsidRPr="00116031">
        <w:rPr>
          <w:rFonts w:cs="Arial"/>
          <w:snapToGrid w:val="0"/>
        </w:rPr>
        <w:t>levels of utility energy efficiency savings</w:t>
      </w:r>
      <w:r>
        <w:rPr>
          <w:rFonts w:cs="Arial"/>
          <w:snapToGrid w:val="0"/>
        </w:rPr>
        <w:t xml:space="preserve">. Commission staff proposed to meet this direction by exploring scenarios reflecting alternative future outcomes based on variables that can be controlled by policy decisions or program influence. </w:t>
      </w:r>
      <w:r w:rsidR="00C77DD5">
        <w:rPr>
          <w:rFonts w:cs="Arial"/>
          <w:snapToGrid w:val="0"/>
        </w:rPr>
        <w:t xml:space="preserve">This study considers scenarios </w:t>
      </w:r>
      <w:r w:rsidR="00C77DD5" w:rsidRPr="006D0CAB">
        <w:rPr>
          <w:rFonts w:cs="Arial"/>
          <w:snapToGrid w:val="0"/>
          <w:szCs w:val="20"/>
        </w:rPr>
        <w:t xml:space="preserve">primarily built around policies and program decisions that are under control of the CPUC and IOUs collectively, these are referred to as “internally influenced” variables. On the other hand, “externally influenced” variables </w:t>
      </w:r>
      <w:r w:rsidR="00C77DD5">
        <w:rPr>
          <w:rFonts w:cs="Arial"/>
          <w:snapToGrid w:val="0"/>
          <w:szCs w:val="20"/>
        </w:rPr>
        <w:t xml:space="preserve">were not </w:t>
      </w:r>
      <w:r w:rsidR="00C77DD5" w:rsidRPr="006D0CAB">
        <w:rPr>
          <w:rFonts w:cs="Arial"/>
          <w:snapToGrid w:val="0"/>
          <w:szCs w:val="20"/>
        </w:rPr>
        <w:t xml:space="preserve">considered in scenarios that inform the goals. External variables are those that CPUC and IOUs collectively have no control over.  A list of </w:t>
      </w:r>
      <w:r w:rsidR="00C77DD5">
        <w:rPr>
          <w:rFonts w:cs="Arial"/>
          <w:snapToGrid w:val="0"/>
          <w:szCs w:val="20"/>
        </w:rPr>
        <w:t xml:space="preserve">example </w:t>
      </w:r>
      <w:r w:rsidR="00C77DD5" w:rsidRPr="006D0CAB">
        <w:rPr>
          <w:rFonts w:cs="Arial"/>
          <w:snapToGrid w:val="0"/>
          <w:szCs w:val="20"/>
        </w:rPr>
        <w:t xml:space="preserve">internally and externally influenced variables can be found in </w:t>
      </w:r>
      <w:r w:rsidR="00303412">
        <w:rPr>
          <w:rFonts w:cs="Arial"/>
          <w:snapToGrid w:val="0"/>
          <w:szCs w:val="20"/>
        </w:rPr>
        <w:fldChar w:fldCharType="begin"/>
      </w:r>
      <w:r w:rsidR="00303412">
        <w:rPr>
          <w:rFonts w:cs="Arial"/>
          <w:snapToGrid w:val="0"/>
          <w:szCs w:val="20"/>
        </w:rPr>
        <w:instrText xml:space="preserve"> REF _Ref490227524 \h </w:instrText>
      </w:r>
      <w:r w:rsidR="00303412">
        <w:rPr>
          <w:rFonts w:cs="Arial"/>
          <w:snapToGrid w:val="0"/>
          <w:szCs w:val="20"/>
        </w:rPr>
      </w:r>
      <w:r w:rsidR="00303412">
        <w:rPr>
          <w:rFonts w:cs="Arial"/>
          <w:snapToGrid w:val="0"/>
          <w:szCs w:val="20"/>
        </w:rPr>
        <w:fldChar w:fldCharType="separate"/>
      </w:r>
      <w:r w:rsidR="00303412">
        <w:t xml:space="preserve">Table </w:t>
      </w:r>
      <w:r w:rsidR="00303412">
        <w:rPr>
          <w:noProof/>
        </w:rPr>
        <w:t>2</w:t>
      </w:r>
      <w:r w:rsidR="00303412">
        <w:noBreakHyphen/>
      </w:r>
      <w:r w:rsidR="00303412">
        <w:rPr>
          <w:noProof/>
        </w:rPr>
        <w:t>5</w:t>
      </w:r>
      <w:r w:rsidR="00303412">
        <w:rPr>
          <w:rFonts w:cs="Arial"/>
          <w:snapToGrid w:val="0"/>
          <w:szCs w:val="20"/>
        </w:rPr>
        <w:fldChar w:fldCharType="end"/>
      </w:r>
      <w:r w:rsidR="00116031">
        <w:rPr>
          <w:rFonts w:cs="Arial"/>
          <w:snapToGrid w:val="0"/>
          <w:szCs w:val="20"/>
        </w:rPr>
        <w:fldChar w:fldCharType="begin"/>
      </w:r>
      <w:r w:rsidR="00116031">
        <w:rPr>
          <w:rFonts w:cs="Arial"/>
          <w:snapToGrid w:val="0"/>
          <w:szCs w:val="20"/>
        </w:rPr>
        <w:instrText xml:space="preserve"> REF _Ref481505140 \h </w:instrText>
      </w:r>
      <w:r w:rsidR="00116031">
        <w:rPr>
          <w:rFonts w:cs="Arial"/>
          <w:snapToGrid w:val="0"/>
          <w:szCs w:val="20"/>
        </w:rPr>
      </w:r>
      <w:r w:rsidR="00116031">
        <w:rPr>
          <w:rFonts w:cs="Arial"/>
          <w:snapToGrid w:val="0"/>
          <w:szCs w:val="20"/>
        </w:rPr>
        <w:fldChar w:fldCharType="end"/>
      </w:r>
      <w:r w:rsidR="00116031">
        <w:rPr>
          <w:rFonts w:cs="Arial"/>
          <w:snapToGrid w:val="0"/>
          <w:szCs w:val="20"/>
        </w:rPr>
        <w:t xml:space="preserve"> </w:t>
      </w:r>
      <w:r w:rsidR="00C77DD5" w:rsidRPr="006D0CAB">
        <w:rPr>
          <w:rFonts w:cs="Arial"/>
          <w:snapToGrid w:val="0"/>
          <w:szCs w:val="20"/>
        </w:rPr>
        <w:t xml:space="preserve">below. </w:t>
      </w:r>
      <w:r w:rsidR="00C77DD5">
        <w:rPr>
          <w:rFonts w:cs="Arial"/>
          <w:snapToGrid w:val="0"/>
          <w:szCs w:val="20"/>
        </w:rPr>
        <w:t xml:space="preserve"> </w:t>
      </w:r>
    </w:p>
    <w:p w14:paraId="73E0AC05" w14:textId="77777777" w:rsidR="00C77DD5" w:rsidRPr="006D0CAB" w:rsidRDefault="00C77DD5" w:rsidP="00C77DD5">
      <w:pPr>
        <w:rPr>
          <w:rFonts w:cs="Arial"/>
          <w:snapToGrid w:val="0"/>
          <w:szCs w:val="20"/>
        </w:rPr>
      </w:pPr>
    </w:p>
    <w:p w14:paraId="0D343D85" w14:textId="77777777" w:rsidR="00C77DD5" w:rsidRDefault="00C77DD5" w:rsidP="00C77DD5">
      <w:pPr>
        <w:pStyle w:val="Caption"/>
        <w:rPr>
          <w:rFonts w:cs="Arial"/>
          <w:snapToGrid w:val="0"/>
        </w:rPr>
      </w:pPr>
      <w:bookmarkStart w:id="296" w:name="_Ref481505140"/>
      <w:bookmarkStart w:id="297" w:name="_Ref490227524"/>
      <w:bookmarkStart w:id="298" w:name="_Toc482634205"/>
      <w:bookmarkStart w:id="299" w:name="_Toc484436944"/>
      <w:bookmarkStart w:id="300" w:name="_Toc490560655"/>
      <w:r>
        <w:t xml:space="preserve">Table </w:t>
      </w:r>
      <w:fldSimple w:instr=" STYLEREF 1 \s ">
        <w:r w:rsidR="007566B9">
          <w:rPr>
            <w:noProof/>
          </w:rPr>
          <w:t>2</w:t>
        </w:r>
      </w:fldSimple>
      <w:r w:rsidR="00C17D59">
        <w:noBreakHyphen/>
      </w:r>
      <w:bookmarkEnd w:id="296"/>
      <w:r w:rsidR="00B206D8">
        <w:fldChar w:fldCharType="begin"/>
      </w:r>
      <w:r w:rsidR="00B206D8">
        <w:instrText xml:space="preserve"> SEQ Table \* ARABIC \s 1 </w:instrText>
      </w:r>
      <w:r w:rsidR="00B206D8">
        <w:fldChar w:fldCharType="separate"/>
      </w:r>
      <w:r w:rsidR="007566B9">
        <w:rPr>
          <w:noProof/>
        </w:rPr>
        <w:t>5</w:t>
      </w:r>
      <w:r w:rsidR="00B206D8">
        <w:rPr>
          <w:noProof/>
        </w:rPr>
        <w:fldChar w:fldCharType="end"/>
      </w:r>
      <w:bookmarkEnd w:id="297"/>
      <w:r w:rsidR="00BB59F5">
        <w:rPr>
          <w:noProof/>
        </w:rPr>
        <w:t>.</w:t>
      </w:r>
      <w:r>
        <w:t xml:space="preserve"> Variables Affecting Energy Efficiency Potential</w:t>
      </w:r>
      <w:bookmarkEnd w:id="298"/>
      <w:bookmarkEnd w:id="299"/>
      <w:bookmarkEnd w:id="300"/>
    </w:p>
    <w:tbl>
      <w:tblPr>
        <w:tblStyle w:val="EnergyTable12"/>
        <w:tblW w:w="0" w:type="auto"/>
        <w:tblLook w:val="04A0" w:firstRow="1" w:lastRow="0" w:firstColumn="1" w:lastColumn="0" w:noHBand="0" w:noVBand="1"/>
      </w:tblPr>
      <w:tblGrid>
        <w:gridCol w:w="4495"/>
        <w:gridCol w:w="4495"/>
      </w:tblGrid>
      <w:tr w:rsidR="00303412" w:rsidRPr="00303412" w14:paraId="4B71FDA5" w14:textId="77777777" w:rsidTr="00FA33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2828DAFA" w14:textId="77777777" w:rsidR="00303412" w:rsidRPr="00303412" w:rsidRDefault="00303412" w:rsidP="00303412">
            <w:pPr>
              <w:keepNext/>
              <w:rPr>
                <w:rFonts w:ascii="Arial Narrow" w:hAnsi="Arial Narrow" w:cs="Arial"/>
                <w:b w:val="0"/>
                <w:snapToGrid w:val="0"/>
                <w:color w:val="FFFFFF" w:themeColor="background1"/>
              </w:rPr>
            </w:pPr>
            <w:r w:rsidRPr="00303412">
              <w:rPr>
                <w:rFonts w:ascii="Arial Narrow" w:hAnsi="Arial Narrow" w:cs="Arial"/>
                <w:snapToGrid w:val="0"/>
                <w:color w:val="FFFFFF" w:themeColor="background1"/>
              </w:rPr>
              <w:t>Internally Influenced</w:t>
            </w:r>
          </w:p>
        </w:tc>
        <w:tc>
          <w:tcPr>
            <w:tcW w:w="4495" w:type="dxa"/>
          </w:tcPr>
          <w:p w14:paraId="4265837C" w14:textId="77777777" w:rsidR="00303412" w:rsidRPr="00303412" w:rsidRDefault="00303412" w:rsidP="00303412">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b w:val="0"/>
                <w:snapToGrid w:val="0"/>
                <w:color w:val="FFFFFF" w:themeColor="background1"/>
              </w:rPr>
            </w:pPr>
            <w:r w:rsidRPr="00303412">
              <w:rPr>
                <w:rFonts w:ascii="Arial Narrow" w:hAnsi="Arial Narrow" w:cs="Arial"/>
                <w:snapToGrid w:val="0"/>
                <w:color w:val="FFFFFF" w:themeColor="background1"/>
              </w:rPr>
              <w:t>Externally Influenced</w:t>
            </w:r>
          </w:p>
        </w:tc>
      </w:tr>
      <w:tr w:rsidR="00303412" w:rsidRPr="00303412" w14:paraId="15B19210" w14:textId="77777777" w:rsidTr="00FA3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6F1C755C" w14:textId="77777777" w:rsidR="00303412" w:rsidRPr="00303412" w:rsidRDefault="00303412" w:rsidP="00303412">
            <w:pPr>
              <w:numPr>
                <w:ilvl w:val="0"/>
                <w:numId w:val="39"/>
              </w:numPr>
              <w:spacing w:before="0" w:line="240" w:lineRule="exact"/>
              <w:ind w:left="337" w:hanging="180"/>
              <w:contextualSpacing/>
              <w:jc w:val="left"/>
              <w:rPr>
                <w:rFonts w:ascii="Arial Narrow" w:hAnsi="Arial Narrow" w:cs="Arial"/>
                <w:snapToGrid w:val="0"/>
              </w:rPr>
            </w:pPr>
            <w:r w:rsidRPr="00303412">
              <w:rPr>
                <w:rFonts w:ascii="Arial Narrow" w:hAnsi="Arial Narrow" w:cs="Arial"/>
                <w:snapToGrid w:val="0"/>
              </w:rPr>
              <w:t>Cost-effectiveness (C-E) test</w:t>
            </w:r>
          </w:p>
          <w:p w14:paraId="31CF4322" w14:textId="77777777" w:rsidR="00303412" w:rsidRPr="00303412" w:rsidRDefault="00303412" w:rsidP="00303412">
            <w:pPr>
              <w:numPr>
                <w:ilvl w:val="0"/>
                <w:numId w:val="39"/>
              </w:numPr>
              <w:spacing w:before="0" w:line="240" w:lineRule="exact"/>
              <w:ind w:left="337" w:hanging="180"/>
              <w:contextualSpacing/>
              <w:jc w:val="left"/>
              <w:rPr>
                <w:rFonts w:ascii="Arial Narrow" w:hAnsi="Arial Narrow" w:cs="Arial"/>
                <w:snapToGrid w:val="0"/>
              </w:rPr>
            </w:pPr>
            <w:r w:rsidRPr="00303412">
              <w:rPr>
                <w:rFonts w:ascii="Arial Narrow" w:hAnsi="Arial Narrow" w:cs="Arial"/>
                <w:snapToGrid w:val="0"/>
              </w:rPr>
              <w:t>C-E measure screening threshold</w:t>
            </w:r>
          </w:p>
          <w:p w14:paraId="774F3ACD" w14:textId="77777777" w:rsidR="00303412" w:rsidRPr="00303412" w:rsidRDefault="00303412" w:rsidP="00303412">
            <w:pPr>
              <w:numPr>
                <w:ilvl w:val="0"/>
                <w:numId w:val="39"/>
              </w:numPr>
              <w:spacing w:before="0" w:line="240" w:lineRule="exact"/>
              <w:ind w:left="337" w:hanging="180"/>
              <w:contextualSpacing/>
              <w:jc w:val="left"/>
              <w:rPr>
                <w:rFonts w:ascii="Arial Narrow" w:hAnsi="Arial Narrow" w:cs="Arial"/>
                <w:snapToGrid w:val="0"/>
              </w:rPr>
            </w:pPr>
            <w:r w:rsidRPr="00303412">
              <w:rPr>
                <w:rFonts w:ascii="Arial Narrow" w:hAnsi="Arial Narrow" w:cs="Arial"/>
                <w:snapToGrid w:val="0"/>
              </w:rPr>
              <w:t>Incentive levels</w:t>
            </w:r>
          </w:p>
          <w:p w14:paraId="358FC74E" w14:textId="77777777" w:rsidR="00303412" w:rsidRPr="00303412" w:rsidRDefault="00303412" w:rsidP="00303412">
            <w:pPr>
              <w:numPr>
                <w:ilvl w:val="0"/>
                <w:numId w:val="39"/>
              </w:numPr>
              <w:spacing w:before="0" w:line="240" w:lineRule="exact"/>
              <w:ind w:left="337" w:hanging="180"/>
              <w:contextualSpacing/>
              <w:jc w:val="left"/>
              <w:rPr>
                <w:rFonts w:ascii="Arial Narrow" w:hAnsi="Arial Narrow" w:cs="Arial"/>
                <w:snapToGrid w:val="0"/>
              </w:rPr>
            </w:pPr>
            <w:r w:rsidRPr="00303412">
              <w:rPr>
                <w:rFonts w:ascii="Arial Narrow" w:hAnsi="Arial Narrow" w:cs="Arial"/>
                <w:snapToGrid w:val="0"/>
              </w:rPr>
              <w:t>Marketing &amp; Outreach</w:t>
            </w:r>
          </w:p>
          <w:p w14:paraId="67DDC67D" w14:textId="77777777" w:rsidR="00303412" w:rsidRPr="00303412" w:rsidRDefault="00303412" w:rsidP="00303412">
            <w:pPr>
              <w:numPr>
                <w:ilvl w:val="0"/>
                <w:numId w:val="39"/>
              </w:numPr>
              <w:spacing w:before="0" w:line="240" w:lineRule="exact"/>
              <w:ind w:left="337" w:hanging="180"/>
              <w:contextualSpacing/>
              <w:jc w:val="left"/>
              <w:rPr>
                <w:rFonts w:ascii="Arial Narrow" w:hAnsi="Arial Narrow" w:cs="Arial"/>
                <w:snapToGrid w:val="0"/>
              </w:rPr>
            </w:pPr>
            <w:r w:rsidRPr="00303412">
              <w:rPr>
                <w:rFonts w:ascii="Arial Narrow" w:hAnsi="Arial Narrow" w:cs="Arial"/>
                <w:snapToGrid w:val="0"/>
              </w:rPr>
              <w:t xml:space="preserve">Behavior, Retro commissioning &amp; Operational (BROs) customer enrollment over time </w:t>
            </w:r>
          </w:p>
          <w:p w14:paraId="42148A5E" w14:textId="77777777" w:rsidR="00303412" w:rsidRPr="00303412" w:rsidRDefault="00303412" w:rsidP="00303412">
            <w:pPr>
              <w:numPr>
                <w:ilvl w:val="0"/>
                <w:numId w:val="39"/>
              </w:numPr>
              <w:spacing w:before="0" w:line="240" w:lineRule="exact"/>
              <w:ind w:left="337" w:hanging="180"/>
              <w:contextualSpacing/>
              <w:jc w:val="left"/>
              <w:rPr>
                <w:rFonts w:ascii="Arial Narrow" w:hAnsi="Arial Narrow" w:cs="Arial"/>
                <w:snapToGrid w:val="0"/>
              </w:rPr>
            </w:pPr>
            <w:r w:rsidRPr="00303412">
              <w:rPr>
                <w:rFonts w:ascii="Arial Narrow" w:hAnsi="Arial Narrow" w:cs="Arial"/>
                <w:snapToGrid w:val="0"/>
              </w:rPr>
              <w:t>IOU financing programs</w:t>
            </w:r>
          </w:p>
        </w:tc>
        <w:tc>
          <w:tcPr>
            <w:tcW w:w="4495" w:type="dxa"/>
          </w:tcPr>
          <w:p w14:paraId="290D13A3" w14:textId="77777777" w:rsidR="00303412" w:rsidRPr="00303412" w:rsidRDefault="00303412" w:rsidP="00303412">
            <w:pPr>
              <w:numPr>
                <w:ilvl w:val="0"/>
                <w:numId w:val="39"/>
              </w:numPr>
              <w:spacing w:before="0" w:line="240" w:lineRule="exact"/>
              <w:ind w:left="337" w:hanging="180"/>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rPr>
            </w:pPr>
            <w:r w:rsidRPr="00303412">
              <w:rPr>
                <w:rFonts w:ascii="Arial Narrow" w:hAnsi="Arial Narrow" w:cs="Arial"/>
                <w:snapToGrid w:val="0"/>
              </w:rPr>
              <w:t>Building stock forecast</w:t>
            </w:r>
          </w:p>
          <w:p w14:paraId="75B725BC" w14:textId="77777777" w:rsidR="00303412" w:rsidRPr="00303412" w:rsidRDefault="00303412" w:rsidP="00303412">
            <w:pPr>
              <w:numPr>
                <w:ilvl w:val="0"/>
                <w:numId w:val="39"/>
              </w:numPr>
              <w:spacing w:before="0" w:line="240" w:lineRule="exact"/>
              <w:ind w:left="337" w:hanging="180"/>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rPr>
            </w:pPr>
            <w:r w:rsidRPr="00303412">
              <w:rPr>
                <w:rFonts w:ascii="Arial Narrow" w:hAnsi="Arial Narrow" w:cs="Arial"/>
                <w:snapToGrid w:val="0"/>
              </w:rPr>
              <w:t>Retail energy price forecast</w:t>
            </w:r>
          </w:p>
          <w:p w14:paraId="0E2F8F1E" w14:textId="77777777" w:rsidR="00303412" w:rsidRPr="00303412" w:rsidRDefault="00303412" w:rsidP="00303412">
            <w:pPr>
              <w:numPr>
                <w:ilvl w:val="0"/>
                <w:numId w:val="39"/>
              </w:numPr>
              <w:spacing w:before="0" w:line="240" w:lineRule="exact"/>
              <w:ind w:left="337" w:hanging="180"/>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rPr>
            </w:pPr>
            <w:r w:rsidRPr="00303412">
              <w:rPr>
                <w:rFonts w:ascii="Arial Narrow" w:hAnsi="Arial Narrow" w:cs="Arial"/>
                <w:snapToGrid w:val="0"/>
              </w:rPr>
              <w:t>Measure-level input uncertainties (unit energy savings, unit costs, densities)</w:t>
            </w:r>
          </w:p>
          <w:p w14:paraId="51922214" w14:textId="77777777" w:rsidR="00303412" w:rsidRPr="00303412" w:rsidRDefault="00303412" w:rsidP="00303412">
            <w:pPr>
              <w:numPr>
                <w:ilvl w:val="0"/>
                <w:numId w:val="39"/>
              </w:numPr>
              <w:spacing w:before="0" w:line="240" w:lineRule="exact"/>
              <w:ind w:left="337" w:hanging="180"/>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rPr>
            </w:pPr>
            <w:r w:rsidRPr="00303412">
              <w:rPr>
                <w:rFonts w:ascii="Arial Narrow" w:hAnsi="Arial Narrow" w:cs="Arial"/>
                <w:snapToGrid w:val="0"/>
              </w:rPr>
              <w:t>Non-IOU financing programs</w:t>
            </w:r>
          </w:p>
          <w:p w14:paraId="6E322B3C" w14:textId="77777777" w:rsidR="00303412" w:rsidRPr="00303412" w:rsidRDefault="00303412" w:rsidP="00303412">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rPr>
            </w:pPr>
          </w:p>
        </w:tc>
      </w:tr>
    </w:tbl>
    <w:p w14:paraId="583D2DA1" w14:textId="77777777" w:rsidR="00C77DD5" w:rsidRDefault="00C77DD5" w:rsidP="00C77DD5">
      <w:pPr>
        <w:rPr>
          <w:rFonts w:cs="Arial"/>
          <w:snapToGrid w:val="0"/>
        </w:rPr>
      </w:pPr>
    </w:p>
    <w:p w14:paraId="3E0C4DB5" w14:textId="77777777" w:rsidR="00C77DD5" w:rsidRDefault="00C77DD5" w:rsidP="00C77DD5">
      <w:pPr>
        <w:rPr>
          <w:rFonts w:cs="Arial"/>
          <w:snapToGrid w:val="0"/>
        </w:rPr>
      </w:pPr>
      <w:r>
        <w:rPr>
          <w:rFonts w:cs="Arial"/>
          <w:snapToGrid w:val="0"/>
        </w:rPr>
        <w:lastRenderedPageBreak/>
        <w:t>Additional details on each of the internally influenced variables can be found in the study team’s presentation to the Demand Analysis Working Group (DAWG) on December 12, 2016.</w:t>
      </w:r>
      <w:r>
        <w:rPr>
          <w:rStyle w:val="FootnoteReference"/>
          <w:rFonts w:cs="Arial"/>
          <w:snapToGrid w:val="0"/>
        </w:rPr>
        <w:footnoteReference w:id="42"/>
      </w:r>
    </w:p>
    <w:p w14:paraId="790DF8E2" w14:textId="77777777" w:rsidR="00C77DD5" w:rsidRDefault="00C77DD5" w:rsidP="00C77DD5">
      <w:pPr>
        <w:pStyle w:val="Heading3"/>
        <w:rPr>
          <w:snapToGrid w:val="0"/>
        </w:rPr>
      </w:pPr>
      <w:bookmarkStart w:id="301" w:name="_Toc482357301"/>
      <w:bookmarkStart w:id="302" w:name="_Toc482634277"/>
      <w:bookmarkStart w:id="303" w:name="_Toc482626409"/>
      <w:bookmarkStart w:id="304" w:name="_Toc484092480"/>
      <w:bookmarkStart w:id="305" w:name="_Toc484172683"/>
      <w:bookmarkStart w:id="306" w:name="_Toc484183020"/>
      <w:bookmarkStart w:id="307" w:name="_Toc490225777"/>
      <w:r>
        <w:rPr>
          <w:snapToGrid w:val="0"/>
        </w:rPr>
        <w:t>Stakeholder Input</w:t>
      </w:r>
      <w:bookmarkEnd w:id="301"/>
      <w:bookmarkEnd w:id="302"/>
      <w:bookmarkEnd w:id="303"/>
      <w:bookmarkEnd w:id="304"/>
      <w:bookmarkEnd w:id="305"/>
      <w:bookmarkEnd w:id="306"/>
      <w:bookmarkEnd w:id="307"/>
    </w:p>
    <w:p w14:paraId="2811F807" w14:textId="77777777" w:rsidR="00C77DD5" w:rsidRDefault="00C77DD5" w:rsidP="00C77DD5">
      <w:pPr>
        <w:rPr>
          <w:rFonts w:cs="Arial"/>
          <w:snapToGrid w:val="0"/>
        </w:rPr>
      </w:pPr>
      <w:r>
        <w:rPr>
          <w:rFonts w:cs="Arial"/>
          <w:snapToGrid w:val="0"/>
        </w:rPr>
        <w:t xml:space="preserve">Stakeholders and members of the DAWG were given the opportunity to provide informal feedback to the team on the development of scenarios including which variables to consider and the range of variables. </w:t>
      </w:r>
      <w:r w:rsidR="00303412">
        <w:rPr>
          <w:rFonts w:cs="Arial"/>
          <w:snapToGrid w:val="0"/>
        </w:rPr>
        <w:fldChar w:fldCharType="begin"/>
      </w:r>
      <w:r w:rsidR="00303412">
        <w:rPr>
          <w:rFonts w:cs="Arial"/>
          <w:snapToGrid w:val="0"/>
        </w:rPr>
        <w:instrText xml:space="preserve"> REF _Ref490227532 \h </w:instrText>
      </w:r>
      <w:r w:rsidR="00303412">
        <w:rPr>
          <w:rFonts w:cs="Arial"/>
          <w:snapToGrid w:val="0"/>
        </w:rPr>
      </w:r>
      <w:r w:rsidR="00303412">
        <w:rPr>
          <w:rFonts w:cs="Arial"/>
          <w:snapToGrid w:val="0"/>
        </w:rPr>
        <w:fldChar w:fldCharType="separate"/>
      </w:r>
      <w:r w:rsidR="00303412">
        <w:t xml:space="preserve">Table </w:t>
      </w:r>
      <w:r w:rsidR="00303412">
        <w:rPr>
          <w:noProof/>
        </w:rPr>
        <w:t>2</w:t>
      </w:r>
      <w:r w:rsidR="00303412">
        <w:noBreakHyphen/>
      </w:r>
      <w:r w:rsidR="00303412">
        <w:rPr>
          <w:noProof/>
        </w:rPr>
        <w:t>6</w:t>
      </w:r>
      <w:r w:rsidR="00303412">
        <w:rPr>
          <w:rFonts w:cs="Arial"/>
          <w:snapToGrid w:val="0"/>
        </w:rPr>
        <w:fldChar w:fldCharType="end"/>
      </w:r>
      <w:r w:rsidR="00303412">
        <w:rPr>
          <w:rFonts w:cs="Arial"/>
          <w:snapToGrid w:val="0"/>
        </w:rPr>
        <w:t xml:space="preserve"> </w:t>
      </w:r>
      <w:r>
        <w:rPr>
          <w:rFonts w:cs="Arial"/>
          <w:snapToGrid w:val="0"/>
        </w:rPr>
        <w:t>contains a summary of relevant stakeholder feedback</w:t>
      </w:r>
      <w:r w:rsidR="00D84DAE">
        <w:rPr>
          <w:rFonts w:cs="Arial"/>
          <w:snapToGrid w:val="0"/>
        </w:rPr>
        <w:t xml:space="preserve"> received from the December DAWG meeting</w:t>
      </w:r>
      <w:r>
        <w:rPr>
          <w:rFonts w:cs="Arial"/>
          <w:snapToGrid w:val="0"/>
        </w:rPr>
        <w:t>.</w:t>
      </w:r>
    </w:p>
    <w:p w14:paraId="5464FD2F" w14:textId="77777777" w:rsidR="00C77DD5" w:rsidRDefault="00C77DD5" w:rsidP="00C77DD5">
      <w:pPr>
        <w:rPr>
          <w:rFonts w:cs="Arial"/>
          <w:snapToGrid w:val="0"/>
        </w:rPr>
      </w:pPr>
    </w:p>
    <w:p w14:paraId="4151C958" w14:textId="77777777" w:rsidR="00C77DD5" w:rsidRDefault="00C77DD5" w:rsidP="00C77DD5">
      <w:pPr>
        <w:pStyle w:val="Caption"/>
        <w:rPr>
          <w:rFonts w:cs="Arial"/>
          <w:snapToGrid w:val="0"/>
        </w:rPr>
      </w:pPr>
      <w:bookmarkStart w:id="308" w:name="_Ref481505154"/>
      <w:bookmarkStart w:id="309" w:name="_Ref490227532"/>
      <w:bookmarkStart w:id="310" w:name="_Toc482634206"/>
      <w:bookmarkStart w:id="311" w:name="_Toc484436945"/>
      <w:bookmarkStart w:id="312" w:name="_Toc490560656"/>
      <w:r>
        <w:t xml:space="preserve">Table </w:t>
      </w:r>
      <w:fldSimple w:instr=" STYLEREF 1 \s ">
        <w:r w:rsidR="007566B9">
          <w:rPr>
            <w:noProof/>
          </w:rPr>
          <w:t>2</w:t>
        </w:r>
      </w:fldSimple>
      <w:r w:rsidR="00C17D59">
        <w:noBreakHyphen/>
      </w:r>
      <w:bookmarkEnd w:id="308"/>
      <w:r w:rsidR="00B206D8">
        <w:fldChar w:fldCharType="begin"/>
      </w:r>
      <w:r w:rsidR="00B206D8">
        <w:instrText xml:space="preserve"> SEQ Table \* ARABIC \s 1 </w:instrText>
      </w:r>
      <w:r w:rsidR="00B206D8">
        <w:fldChar w:fldCharType="separate"/>
      </w:r>
      <w:r w:rsidR="007566B9">
        <w:rPr>
          <w:noProof/>
        </w:rPr>
        <w:t>6</w:t>
      </w:r>
      <w:r w:rsidR="00B206D8">
        <w:rPr>
          <w:noProof/>
        </w:rPr>
        <w:fldChar w:fldCharType="end"/>
      </w:r>
      <w:bookmarkEnd w:id="309"/>
      <w:r w:rsidR="00BB59F5">
        <w:t>.</w:t>
      </w:r>
      <w:r>
        <w:t xml:space="preserve"> Stakeholder Feedback</w:t>
      </w:r>
      <w:bookmarkEnd w:id="310"/>
      <w:bookmarkEnd w:id="311"/>
      <w:bookmarkEnd w:id="312"/>
    </w:p>
    <w:tbl>
      <w:tblPr>
        <w:tblStyle w:val="EnergyTable1"/>
        <w:tblW w:w="9450" w:type="dxa"/>
        <w:tblLook w:val="04A0" w:firstRow="1" w:lastRow="0" w:firstColumn="1" w:lastColumn="0" w:noHBand="0" w:noVBand="1"/>
      </w:tblPr>
      <w:tblGrid>
        <w:gridCol w:w="5506"/>
        <w:gridCol w:w="3944"/>
      </w:tblGrid>
      <w:tr w:rsidR="00C77DD5" w:rsidRPr="00F90D70" w14:paraId="6C53F4CD" w14:textId="77777777" w:rsidTr="00AF21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79A60391" w14:textId="77777777" w:rsidR="00C77DD5" w:rsidRPr="00F90D70" w:rsidRDefault="00C77DD5" w:rsidP="001E31E0">
            <w:pPr>
              <w:rPr>
                <w:rFonts w:ascii="Arial Narrow" w:hAnsi="Arial Narrow" w:cs="Arial"/>
                <w:b w:val="0"/>
                <w:snapToGrid w:val="0"/>
                <w:color w:val="FFFFFF" w:themeColor="background1"/>
                <w:szCs w:val="18"/>
              </w:rPr>
            </w:pPr>
            <w:r w:rsidRPr="00F90D70">
              <w:rPr>
                <w:rFonts w:ascii="Arial Narrow" w:hAnsi="Arial Narrow" w:cs="Arial"/>
                <w:snapToGrid w:val="0"/>
                <w:color w:val="FFFFFF" w:themeColor="background1"/>
                <w:szCs w:val="18"/>
              </w:rPr>
              <w:t>Stakeholder Comments</w:t>
            </w:r>
          </w:p>
        </w:tc>
        <w:tc>
          <w:tcPr>
            <w:tcW w:w="0" w:type="dxa"/>
          </w:tcPr>
          <w:p w14:paraId="70E3C044" w14:textId="77777777" w:rsidR="00C77DD5" w:rsidRPr="00F90D70" w:rsidRDefault="00C77DD5" w:rsidP="001E31E0">
            <w:pPr>
              <w:cnfStyle w:val="100000000000" w:firstRow="1" w:lastRow="0" w:firstColumn="0" w:lastColumn="0" w:oddVBand="0" w:evenVBand="0" w:oddHBand="0" w:evenHBand="0" w:firstRowFirstColumn="0" w:firstRowLastColumn="0" w:lastRowFirstColumn="0" w:lastRowLastColumn="0"/>
              <w:rPr>
                <w:rFonts w:ascii="Arial Narrow" w:hAnsi="Arial Narrow" w:cs="Arial"/>
                <w:b w:val="0"/>
                <w:snapToGrid w:val="0"/>
                <w:color w:val="FFFFFF" w:themeColor="background1"/>
                <w:szCs w:val="18"/>
              </w:rPr>
            </w:pPr>
            <w:r w:rsidRPr="00F90D70">
              <w:rPr>
                <w:rFonts w:ascii="Arial Narrow" w:hAnsi="Arial Narrow" w:cs="Arial"/>
                <w:snapToGrid w:val="0"/>
                <w:color w:val="FFFFFF" w:themeColor="background1"/>
                <w:szCs w:val="18"/>
              </w:rPr>
              <w:t>Additional Context from Navigant</w:t>
            </w:r>
          </w:p>
        </w:tc>
      </w:tr>
      <w:tr w:rsidR="00C77DD5" w:rsidRPr="00F90D70" w14:paraId="08005D4B"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DCDDDE" w:themeFill="text2" w:themeFillTint="33"/>
          </w:tcPr>
          <w:p w14:paraId="6BE33F4D" w14:textId="77777777" w:rsidR="00C77DD5" w:rsidRPr="00F90D70" w:rsidRDefault="00C77DD5" w:rsidP="001E31E0">
            <w:pPr>
              <w:rPr>
                <w:rFonts w:ascii="Arial Narrow" w:hAnsi="Arial Narrow" w:cs="Arial"/>
                <w:b/>
                <w:snapToGrid w:val="0"/>
                <w:szCs w:val="18"/>
              </w:rPr>
            </w:pPr>
            <w:r w:rsidRPr="00F90D70">
              <w:rPr>
                <w:rFonts w:ascii="Arial Narrow" w:hAnsi="Arial Narrow" w:cs="Arial"/>
                <w:b/>
                <w:snapToGrid w:val="0"/>
                <w:szCs w:val="18"/>
              </w:rPr>
              <w:t>Cost Effectiveness Test</w:t>
            </w:r>
          </w:p>
        </w:tc>
      </w:tr>
      <w:tr w:rsidR="00C77DD5" w:rsidRPr="00F90D70" w14:paraId="5ED49CE0"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107C484"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 xml:space="preserve">PG&amp;E: </w:t>
            </w:r>
            <w:r w:rsidRPr="00F90D70">
              <w:rPr>
                <w:rFonts w:ascii="Arial Narrow" w:hAnsi="Arial Narrow" w:cs="Arial"/>
                <w:snapToGrid w:val="0"/>
                <w:szCs w:val="18"/>
              </w:rPr>
              <w:t xml:space="preserve">Screening measures based on different cost-effectiveness tests is acceptable “so long as the goals assigned to the IOUs are aligned with the policy that the IOUs will have to follow when operating their portfolios.” </w:t>
            </w:r>
          </w:p>
          <w:p w14:paraId="720AAD41"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NRDC:</w:t>
            </w:r>
            <w:r w:rsidRPr="00F90D70">
              <w:rPr>
                <w:rFonts w:ascii="Arial Narrow" w:hAnsi="Arial Narrow" w:cs="Arial"/>
                <w:snapToGrid w:val="0"/>
                <w:szCs w:val="18"/>
              </w:rPr>
              <w:t xml:space="preserve"> Supports assessing the potential using the PAC as well as the SCT</w:t>
            </w:r>
          </w:p>
          <w:p w14:paraId="1EA58463"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SDG&amp;E:</w:t>
            </w:r>
            <w:r w:rsidRPr="00F90D70">
              <w:rPr>
                <w:rFonts w:ascii="Arial Narrow" w:hAnsi="Arial Narrow" w:cs="Arial"/>
                <w:snapToGrid w:val="0"/>
                <w:szCs w:val="18"/>
              </w:rPr>
              <w:t xml:space="preserve"> Supports creating scenarios around prospective changes in the C-E tests given that the CPUC is actively exploring such tests.</w:t>
            </w:r>
          </w:p>
          <w:p w14:paraId="4ED4817C"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TURN:</w:t>
            </w:r>
            <w:r w:rsidRPr="00F90D70">
              <w:rPr>
                <w:rFonts w:ascii="Arial Narrow" w:hAnsi="Arial Narrow" w:cs="Arial"/>
                <w:snapToGrid w:val="0"/>
                <w:szCs w:val="18"/>
              </w:rPr>
              <w:t xml:space="preserve"> Suggests portfolio cost-effectiveness should be subject to a 10-year lifecycle average measure mix. </w:t>
            </w:r>
          </w:p>
          <w:p w14:paraId="497862BD"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SCE:</w:t>
            </w:r>
            <w:r w:rsidRPr="00F90D70">
              <w:rPr>
                <w:rFonts w:ascii="Arial Narrow" w:hAnsi="Arial Narrow" w:cs="Arial"/>
                <w:snapToGrid w:val="0"/>
                <w:szCs w:val="18"/>
              </w:rPr>
              <w:t xml:space="preserve"> Encourages investigating alternative C-E tests, and assessing the impacts of changes on EE programs ability to capture savings. </w:t>
            </w:r>
          </w:p>
        </w:tc>
        <w:tc>
          <w:tcPr>
            <w:tcW w:w="0" w:type="dxa"/>
          </w:tcPr>
          <w:p w14:paraId="2A70CDB2" w14:textId="77777777" w:rsidR="00C77DD5" w:rsidRPr="00F90D70" w:rsidRDefault="00C77DD5" w:rsidP="004E4E36">
            <w:pPr>
              <w:pStyle w:val="ListParagraph"/>
              <w:numPr>
                <w:ilvl w:val="0"/>
                <w:numId w:val="40"/>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sidRPr="00F90D70">
              <w:rPr>
                <w:rFonts w:ascii="Arial Narrow" w:hAnsi="Arial Narrow" w:cs="Arial"/>
                <w:snapToGrid w:val="0"/>
                <w:szCs w:val="18"/>
              </w:rPr>
              <w:t>TURN’s comment is a broader policy issue that Navigant does not plan to address in these scenarios.</w:t>
            </w:r>
          </w:p>
          <w:p w14:paraId="448FE1C2" w14:textId="77777777" w:rsidR="00C77DD5" w:rsidRPr="00F90D70" w:rsidRDefault="00A330AB" w:rsidP="004E4E36">
            <w:pPr>
              <w:pStyle w:val="ListParagraph"/>
              <w:numPr>
                <w:ilvl w:val="0"/>
                <w:numId w:val="40"/>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Factors impacting the SCT test (discount rate, cost of carbon) may be informed by the other CPUC proceedings as appropriate. Methods to determine some factors, like health and air quality impacts are yet to be defined.</w:t>
            </w:r>
          </w:p>
        </w:tc>
      </w:tr>
      <w:tr w:rsidR="00C77DD5" w:rsidRPr="00F90D70" w14:paraId="3294A09F"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DCDDDE" w:themeFill="text2" w:themeFillTint="33"/>
          </w:tcPr>
          <w:p w14:paraId="1D932F91" w14:textId="77777777" w:rsidR="00C77DD5" w:rsidRPr="00F90D70" w:rsidRDefault="00C77DD5" w:rsidP="006B655B">
            <w:pPr>
              <w:keepNext/>
              <w:rPr>
                <w:rFonts w:ascii="Arial Narrow" w:hAnsi="Arial Narrow" w:cs="Arial"/>
                <w:b/>
                <w:snapToGrid w:val="0"/>
                <w:szCs w:val="18"/>
              </w:rPr>
            </w:pPr>
            <w:r w:rsidRPr="00F90D70">
              <w:rPr>
                <w:rFonts w:ascii="Arial Narrow" w:hAnsi="Arial Narrow" w:cs="Arial"/>
                <w:b/>
                <w:snapToGrid w:val="0"/>
                <w:szCs w:val="18"/>
              </w:rPr>
              <w:t>C-E Screening Threshold</w:t>
            </w:r>
          </w:p>
        </w:tc>
      </w:tr>
      <w:tr w:rsidR="00C77DD5" w:rsidRPr="00F90D70" w14:paraId="36F7EED1"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AE2D087"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PGE:</w:t>
            </w:r>
            <w:r w:rsidRPr="00F90D70">
              <w:rPr>
                <w:rFonts w:ascii="Arial Narrow" w:hAnsi="Arial Narrow" w:cs="Arial"/>
                <w:snapToGrid w:val="0"/>
                <w:szCs w:val="18"/>
              </w:rPr>
              <w:t xml:space="preserve"> Current thresholds of TRC in the model (0.85 for conventional technologies, 0.5 for emerging technologies) are appropriate. </w:t>
            </w:r>
          </w:p>
          <w:p w14:paraId="3A667993"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SoCalGas:</w:t>
            </w:r>
            <w:r w:rsidRPr="00F90D70">
              <w:rPr>
                <w:rFonts w:ascii="Arial Narrow" w:hAnsi="Arial Narrow" w:cs="Arial"/>
                <w:snapToGrid w:val="0"/>
                <w:szCs w:val="18"/>
              </w:rPr>
              <w:t xml:space="preserve"> Prefers using a “1.0 TRC scenario as a benchmark”</w:t>
            </w:r>
          </w:p>
          <w:p w14:paraId="0852CE87"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SCE:</w:t>
            </w:r>
            <w:r w:rsidRPr="00F90D70">
              <w:rPr>
                <w:rFonts w:ascii="Arial Narrow" w:hAnsi="Arial Narrow" w:cs="Arial"/>
                <w:snapToGrid w:val="0"/>
                <w:szCs w:val="18"/>
              </w:rPr>
              <w:t xml:space="preserve"> Prefers using a TRC threshold of 0.85 with no exception for new technologies or approaches (i.e. including emerging technologies). SCE does encourage exploring “what if” scenarios around thresholds to guide possible policy changes.</w:t>
            </w:r>
          </w:p>
        </w:tc>
        <w:tc>
          <w:tcPr>
            <w:tcW w:w="0" w:type="dxa"/>
          </w:tcPr>
          <w:p w14:paraId="6BC9C783" w14:textId="77777777" w:rsidR="00C77DD5" w:rsidRPr="00F90D70" w:rsidRDefault="00C77DD5" w:rsidP="004E4E36">
            <w:pPr>
              <w:pStyle w:val="ListParagraph"/>
              <w:numPr>
                <w:ilvl w:val="0"/>
                <w:numId w:val="40"/>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sidRPr="00F90D70">
              <w:rPr>
                <w:rFonts w:ascii="Arial Narrow" w:hAnsi="Arial Narrow" w:cs="Arial"/>
                <w:snapToGrid w:val="0"/>
                <w:szCs w:val="18"/>
              </w:rPr>
              <w:t>The assumption of 0.85 has been used for several iterations of the study and is also reflective of the history of measures with TRC &lt; 1 being included in programs</w:t>
            </w:r>
          </w:p>
        </w:tc>
      </w:tr>
      <w:tr w:rsidR="00C77DD5" w:rsidRPr="00F90D70" w14:paraId="4C37420D"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DCDDDE" w:themeFill="text2" w:themeFillTint="33"/>
          </w:tcPr>
          <w:p w14:paraId="60919613" w14:textId="77777777" w:rsidR="00C77DD5" w:rsidRPr="00F90D70" w:rsidRDefault="00C77DD5" w:rsidP="00C77DD5">
            <w:pPr>
              <w:rPr>
                <w:rFonts w:ascii="Arial Narrow" w:hAnsi="Arial Narrow" w:cs="Arial"/>
                <w:b/>
                <w:snapToGrid w:val="0"/>
                <w:szCs w:val="18"/>
              </w:rPr>
            </w:pPr>
            <w:r w:rsidRPr="00F90D70">
              <w:rPr>
                <w:rFonts w:ascii="Arial Narrow" w:hAnsi="Arial Narrow" w:cs="Arial"/>
                <w:b/>
                <w:snapToGrid w:val="0"/>
                <w:szCs w:val="18"/>
              </w:rPr>
              <w:t>Incentive Levels</w:t>
            </w:r>
          </w:p>
        </w:tc>
      </w:tr>
      <w:tr w:rsidR="00C77DD5" w:rsidRPr="00F90D70" w14:paraId="7FCBFE26"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EEDBCD1"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PG&amp;E:</w:t>
            </w:r>
            <w:r w:rsidRPr="00F90D70">
              <w:rPr>
                <w:rFonts w:ascii="Arial Narrow" w:hAnsi="Arial Narrow" w:cs="Arial"/>
                <w:snapToGrid w:val="0"/>
                <w:szCs w:val="18"/>
              </w:rPr>
              <w:t xml:space="preserve"> Suggests it’s reasonable to use tiered incentives with a cap at 50% as was previously used in the AB802 Technical Analysis.</w:t>
            </w:r>
            <w:r w:rsidRPr="00F90D70">
              <w:rPr>
                <w:rStyle w:val="FootnoteReference"/>
                <w:rFonts w:ascii="Arial Narrow" w:hAnsi="Arial Narrow" w:cs="Arial"/>
                <w:snapToGrid w:val="0"/>
                <w:szCs w:val="18"/>
              </w:rPr>
              <w:footnoteReference w:id="43"/>
            </w:r>
            <w:r w:rsidRPr="00F90D70">
              <w:rPr>
                <w:rFonts w:ascii="Arial Narrow" w:hAnsi="Arial Narrow" w:cs="Arial"/>
                <w:snapToGrid w:val="0"/>
                <w:szCs w:val="18"/>
              </w:rPr>
              <w:t xml:space="preserve"> Suggests it would be reasonable for a high scenario to use up to a 75% cap and a low scenario to use as low as a 25% cap.</w:t>
            </w:r>
          </w:p>
        </w:tc>
        <w:tc>
          <w:tcPr>
            <w:tcW w:w="0" w:type="dxa"/>
          </w:tcPr>
          <w:p w14:paraId="0171A4CD" w14:textId="77777777" w:rsidR="00C77DD5" w:rsidRPr="00F90D70" w:rsidRDefault="00C77DD5"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sidRPr="00F90D70">
              <w:rPr>
                <w:rFonts w:ascii="Arial Narrow" w:hAnsi="Arial Narrow" w:cs="Arial"/>
                <w:snapToGrid w:val="0"/>
                <w:szCs w:val="18"/>
              </w:rPr>
              <w:t xml:space="preserve">Scenarios will explore higher levels of rebates but not lower. </w:t>
            </w:r>
          </w:p>
        </w:tc>
      </w:tr>
      <w:tr w:rsidR="00C77DD5" w:rsidRPr="00F90D70" w14:paraId="27AA07D5"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DCDDDE" w:themeFill="text2" w:themeFillTint="33"/>
          </w:tcPr>
          <w:p w14:paraId="4FE1E20E" w14:textId="77777777" w:rsidR="00C77DD5" w:rsidRPr="00F90D70" w:rsidRDefault="00C77DD5" w:rsidP="00C77DD5">
            <w:pPr>
              <w:rPr>
                <w:rFonts w:ascii="Arial Narrow" w:hAnsi="Arial Narrow" w:cs="Arial"/>
                <w:b/>
                <w:snapToGrid w:val="0"/>
                <w:szCs w:val="18"/>
              </w:rPr>
            </w:pPr>
            <w:r w:rsidRPr="00F90D70">
              <w:rPr>
                <w:rFonts w:ascii="Arial Narrow" w:hAnsi="Arial Narrow" w:cs="Arial"/>
                <w:b/>
                <w:snapToGrid w:val="0"/>
                <w:szCs w:val="18"/>
              </w:rPr>
              <w:t>Marketing &amp; Outreach</w:t>
            </w:r>
          </w:p>
        </w:tc>
      </w:tr>
      <w:tr w:rsidR="00C77DD5" w:rsidRPr="00F90D70" w14:paraId="32343E3E"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0FB3A90"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lastRenderedPageBreak/>
              <w:t>Jeanne Clinton:</w:t>
            </w:r>
            <w:r w:rsidRPr="00F90D70">
              <w:rPr>
                <w:rFonts w:ascii="Arial Narrow" w:hAnsi="Arial Narrow" w:cs="Arial"/>
                <w:snapToGrid w:val="0"/>
                <w:szCs w:val="18"/>
              </w:rPr>
              <w:t xml:space="preserve"> Suggests having scenarios on different levels of penetration, to reflect different levels of “market effectiveness and/or payment facilities” to better inform program design and market strategy.</w:t>
            </w:r>
          </w:p>
          <w:p w14:paraId="01028B65"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 xml:space="preserve">NRDC: </w:t>
            </w:r>
            <w:r w:rsidRPr="00F90D70">
              <w:rPr>
                <w:rFonts w:ascii="Arial Narrow" w:hAnsi="Arial Narrow" w:cs="Arial"/>
                <w:snapToGrid w:val="0"/>
                <w:szCs w:val="18"/>
              </w:rPr>
              <w:t>Suggests an additional scenario that assesses the energy savings potential based on various delivery channels (e.g., upstream, midstream, downstream)</w:t>
            </w:r>
          </w:p>
          <w:p w14:paraId="59AA5671"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 xml:space="preserve">SCE: </w:t>
            </w:r>
            <w:r w:rsidRPr="00F90D70">
              <w:rPr>
                <w:rFonts w:ascii="Arial Narrow" w:hAnsi="Arial Narrow" w:cs="Arial"/>
                <w:snapToGrid w:val="0"/>
                <w:szCs w:val="18"/>
              </w:rPr>
              <w:t>Advocating for explicitly identifying barriers to EE program adoption when developing Scenarios.</w:t>
            </w:r>
          </w:p>
        </w:tc>
        <w:tc>
          <w:tcPr>
            <w:tcW w:w="0" w:type="dxa"/>
          </w:tcPr>
          <w:p w14:paraId="76C30218" w14:textId="77777777" w:rsidR="00C77DD5" w:rsidRPr="00F90D70" w:rsidRDefault="00C77DD5"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sidRPr="00F90D70">
              <w:rPr>
                <w:rFonts w:ascii="Arial Narrow" w:hAnsi="Arial Narrow" w:cs="Arial"/>
                <w:snapToGrid w:val="0"/>
                <w:szCs w:val="18"/>
              </w:rPr>
              <w:t xml:space="preserve">The model does not forecast the explicit impact of specific program design or delivery mechanisms </w:t>
            </w:r>
            <w:r w:rsidR="00C56434">
              <w:rPr>
                <w:rFonts w:ascii="Arial Narrow" w:hAnsi="Arial Narrow" w:cs="Arial"/>
                <w:snapToGrid w:val="0"/>
                <w:szCs w:val="18"/>
              </w:rPr>
              <w:t xml:space="preserve">or barriers to specific technologies </w:t>
            </w:r>
            <w:r w:rsidRPr="00F90D70">
              <w:rPr>
                <w:rFonts w:ascii="Arial Narrow" w:hAnsi="Arial Narrow" w:cs="Arial"/>
                <w:snapToGrid w:val="0"/>
                <w:szCs w:val="18"/>
              </w:rPr>
              <w:t>but rather the overall effect of removal of barriers that drive more participants to programs.</w:t>
            </w:r>
          </w:p>
        </w:tc>
      </w:tr>
      <w:tr w:rsidR="00C77DD5" w:rsidRPr="00F90D70" w14:paraId="784E9A37"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DCDDDE" w:themeFill="text2" w:themeFillTint="33"/>
          </w:tcPr>
          <w:p w14:paraId="19449D2E" w14:textId="77777777" w:rsidR="00C77DD5" w:rsidRPr="00F90D70" w:rsidRDefault="00C77DD5" w:rsidP="006B655B">
            <w:pPr>
              <w:keepNext/>
              <w:rPr>
                <w:rFonts w:ascii="Arial Narrow" w:hAnsi="Arial Narrow" w:cs="Arial"/>
                <w:b/>
                <w:snapToGrid w:val="0"/>
                <w:szCs w:val="18"/>
              </w:rPr>
            </w:pPr>
            <w:r w:rsidRPr="00F90D70">
              <w:rPr>
                <w:rFonts w:ascii="Arial Narrow" w:hAnsi="Arial Narrow" w:cs="Arial"/>
                <w:b/>
                <w:snapToGrid w:val="0"/>
                <w:szCs w:val="18"/>
              </w:rPr>
              <w:t>Behavior, Retro-commissioning &amp; Operational (BROs) Enrollment</w:t>
            </w:r>
          </w:p>
        </w:tc>
      </w:tr>
      <w:tr w:rsidR="00C77DD5" w:rsidRPr="00F90D70" w14:paraId="0E118909"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A7F2C22"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 xml:space="preserve">PG&amp;E: </w:t>
            </w:r>
            <w:r w:rsidRPr="00F90D70">
              <w:rPr>
                <w:rFonts w:ascii="Arial Narrow" w:hAnsi="Arial Narrow" w:cs="Arial"/>
                <w:snapToGrid w:val="0"/>
                <w:szCs w:val="18"/>
              </w:rPr>
              <w:t>Suggests assuming current levels of participation for the reference forecast is acceptable, as well as reasonable upper and lower ranges around current levels.</w:t>
            </w:r>
          </w:p>
          <w:p w14:paraId="7BCD13CD"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 xml:space="preserve">SCE: </w:t>
            </w:r>
            <w:r w:rsidRPr="00F90D70">
              <w:rPr>
                <w:rFonts w:ascii="Arial Narrow" w:hAnsi="Arial Narrow" w:cs="Arial"/>
                <w:snapToGrid w:val="0"/>
                <w:szCs w:val="18"/>
              </w:rPr>
              <w:t>Suggests including scenarios around increased savings from behavior and operational efficiency programs.</w:t>
            </w:r>
          </w:p>
          <w:p w14:paraId="057D9EA1"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SDG&amp;E:</w:t>
            </w:r>
            <w:r w:rsidRPr="00F90D70">
              <w:rPr>
                <w:rFonts w:ascii="Arial Narrow" w:hAnsi="Arial Narrow" w:cs="Arial"/>
                <w:snapToGrid w:val="0"/>
                <w:szCs w:val="18"/>
              </w:rPr>
              <w:t xml:space="preserve"> “It would be useful to see scenarios built around holistic approaches/program designs that develop potential long-term energy road maps for customers, in addition to looking at just individual technologies or end uses.  An example would be Strategic Energy Management programs.”</w:t>
            </w:r>
          </w:p>
        </w:tc>
        <w:tc>
          <w:tcPr>
            <w:tcW w:w="0" w:type="dxa"/>
          </w:tcPr>
          <w:p w14:paraId="3F3B4368" w14:textId="77777777" w:rsidR="00C77DD5" w:rsidRDefault="00C77DD5"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sidRPr="00F90D70">
              <w:rPr>
                <w:rFonts w:ascii="Arial Narrow" w:hAnsi="Arial Narrow" w:cs="Arial"/>
                <w:snapToGrid w:val="0"/>
                <w:szCs w:val="18"/>
              </w:rPr>
              <w:t xml:space="preserve">Scenarios will explore reasonable upper bounds but no lower than current levels. </w:t>
            </w:r>
          </w:p>
          <w:p w14:paraId="5F95BA1B" w14:textId="77777777" w:rsidR="008113A1" w:rsidRPr="00F90D70" w:rsidRDefault="008113A1"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 xml:space="preserve">Navigant held a follow-up workshop on BROs that included discussion of scenarios. Additional discussion can be found in section </w:t>
            </w:r>
            <w:r w:rsidR="00412EAF">
              <w:rPr>
                <w:rFonts w:ascii="Arial Narrow" w:hAnsi="Arial Narrow" w:cs="Arial"/>
                <w:snapToGrid w:val="0"/>
                <w:szCs w:val="18"/>
                <w:highlight w:val="yellow"/>
              </w:rPr>
              <w:fldChar w:fldCharType="begin"/>
            </w:r>
            <w:r w:rsidR="00412EAF">
              <w:rPr>
                <w:rFonts w:ascii="Arial Narrow" w:hAnsi="Arial Narrow" w:cs="Arial"/>
                <w:snapToGrid w:val="0"/>
                <w:szCs w:val="18"/>
              </w:rPr>
              <w:instrText xml:space="preserve"> REF _Ref484071991 \n \h </w:instrText>
            </w:r>
            <w:r w:rsidR="00412EAF">
              <w:rPr>
                <w:rFonts w:ascii="Arial Narrow" w:hAnsi="Arial Narrow" w:cs="Arial"/>
                <w:snapToGrid w:val="0"/>
                <w:szCs w:val="18"/>
                <w:highlight w:val="yellow"/>
              </w:rPr>
            </w:r>
            <w:r w:rsidR="00412EAF">
              <w:rPr>
                <w:rFonts w:ascii="Arial Narrow" w:hAnsi="Arial Narrow" w:cs="Arial"/>
                <w:snapToGrid w:val="0"/>
                <w:szCs w:val="18"/>
                <w:highlight w:val="yellow"/>
              </w:rPr>
              <w:fldChar w:fldCharType="separate"/>
            </w:r>
            <w:r w:rsidR="007566B9">
              <w:rPr>
                <w:rFonts w:ascii="Arial Narrow" w:hAnsi="Arial Narrow" w:cs="Arial"/>
                <w:snapToGrid w:val="0"/>
                <w:szCs w:val="18"/>
              </w:rPr>
              <w:t>0</w:t>
            </w:r>
            <w:r w:rsidR="00412EAF">
              <w:rPr>
                <w:rFonts w:ascii="Arial Narrow" w:hAnsi="Arial Narrow" w:cs="Arial"/>
                <w:snapToGrid w:val="0"/>
                <w:szCs w:val="18"/>
                <w:highlight w:val="yellow"/>
              </w:rPr>
              <w:fldChar w:fldCharType="end"/>
            </w:r>
          </w:p>
        </w:tc>
      </w:tr>
      <w:tr w:rsidR="00C77DD5" w:rsidRPr="00F90D70" w14:paraId="398B02D8"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DCDDDE" w:themeFill="text2" w:themeFillTint="33"/>
          </w:tcPr>
          <w:p w14:paraId="51C2CEF9" w14:textId="77777777" w:rsidR="00C77DD5" w:rsidRPr="00F90D70" w:rsidRDefault="00C77DD5" w:rsidP="006B655B">
            <w:pPr>
              <w:keepNext/>
              <w:rPr>
                <w:rFonts w:ascii="Arial Narrow" w:hAnsi="Arial Narrow" w:cs="Arial"/>
                <w:b/>
                <w:snapToGrid w:val="0"/>
                <w:szCs w:val="18"/>
              </w:rPr>
            </w:pPr>
            <w:r w:rsidRPr="00F90D70">
              <w:rPr>
                <w:rFonts w:ascii="Arial Narrow" w:hAnsi="Arial Narrow" w:cs="Arial"/>
                <w:b/>
                <w:snapToGrid w:val="0"/>
                <w:szCs w:val="18"/>
              </w:rPr>
              <w:t>IOU Financing Programs</w:t>
            </w:r>
            <w:r w:rsidRPr="00F90D70">
              <w:rPr>
                <w:rStyle w:val="FootnoteReference"/>
                <w:rFonts w:ascii="Arial Narrow" w:hAnsi="Arial Narrow" w:cs="Arial"/>
                <w:snapToGrid w:val="0"/>
              </w:rPr>
              <w:footnoteReference w:id="44"/>
            </w:r>
          </w:p>
        </w:tc>
      </w:tr>
      <w:tr w:rsidR="00C77DD5" w:rsidRPr="00F90D70" w14:paraId="481C3F6E"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4F8F0E3"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 xml:space="preserve">PG&amp;E: </w:t>
            </w:r>
            <w:r w:rsidRPr="00F90D70">
              <w:rPr>
                <w:rFonts w:ascii="Arial Narrow" w:hAnsi="Arial Narrow" w:cs="Arial"/>
                <w:snapToGrid w:val="0"/>
                <w:szCs w:val="18"/>
              </w:rPr>
              <w:t>IOU activities (to date) are not driving the energy efficiency financing industry though there is a role for IOUs to play in the future. PG&amp;E further commented that most energy efficiency projects “will be financed – however PG&amp;E doesn’t think it is appropriate to assume this financing will use [IOU] EE financing tools. Traditional financing tools are more likely to be the financing source (e.g., bonds … mortgages…). PG&amp;E would expect to see greater participation in EE financing tools as goals increase. However, the financing schemes that are put in place are unlikely to change much under different goal scenarios. So PG&amp;E believes that incentive level is the primary driver of EE financing investments.”</w:t>
            </w:r>
          </w:p>
          <w:p w14:paraId="7D3DF4D3"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 xml:space="preserve">SoCalGas: </w:t>
            </w:r>
            <w:r w:rsidRPr="00F90D70">
              <w:rPr>
                <w:rFonts w:ascii="Arial Narrow" w:hAnsi="Arial Narrow" w:cs="Arial"/>
                <w:snapToGrid w:val="0"/>
                <w:szCs w:val="18"/>
              </w:rPr>
              <w:t>Suggests any assumptions about financing programs “should be realistic because of the slow start and likely niche operations” of IOU financing programs.</w:t>
            </w:r>
          </w:p>
          <w:p w14:paraId="4CE643FA" w14:textId="77777777" w:rsidR="00C77DD5"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 xml:space="preserve">SDG&amp;E: </w:t>
            </w:r>
            <w:r w:rsidRPr="00F90D70">
              <w:rPr>
                <w:rFonts w:ascii="Arial Narrow" w:hAnsi="Arial Narrow" w:cs="Arial"/>
                <w:snapToGrid w:val="0"/>
                <w:szCs w:val="18"/>
              </w:rPr>
              <w:t xml:space="preserve">Supports different scenarios considering different financing levels/schemes though also comments that IOU financing pilots are not deployed and cannot provide complete information. </w:t>
            </w:r>
          </w:p>
          <w:p w14:paraId="38CABB71" w14:textId="77777777" w:rsidR="00A330AB" w:rsidRPr="00F90D70" w:rsidRDefault="00A330AB" w:rsidP="00A330AB">
            <w:pPr>
              <w:pStyle w:val="ListParagraph"/>
              <w:spacing w:before="0" w:line="240" w:lineRule="exact"/>
              <w:ind w:left="360"/>
              <w:contextualSpacing/>
              <w:jc w:val="left"/>
              <w:rPr>
                <w:rFonts w:ascii="Arial Narrow" w:hAnsi="Arial Narrow" w:cs="Arial"/>
                <w:snapToGrid w:val="0"/>
                <w:szCs w:val="18"/>
              </w:rPr>
            </w:pPr>
          </w:p>
        </w:tc>
        <w:tc>
          <w:tcPr>
            <w:tcW w:w="0" w:type="dxa"/>
          </w:tcPr>
          <w:p w14:paraId="5485ADEC" w14:textId="77777777" w:rsidR="00C77DD5" w:rsidRPr="00F90D70" w:rsidRDefault="00C77DD5"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sidRPr="00F90D70">
              <w:rPr>
                <w:rFonts w:ascii="Arial Narrow" w:hAnsi="Arial Narrow" w:cs="Arial"/>
                <w:snapToGrid w:val="0"/>
                <w:szCs w:val="18"/>
              </w:rPr>
              <w:t>Since the last PG study there have been no new completed impact evaluations of financing programs to better inform our analysis.</w:t>
            </w:r>
          </w:p>
          <w:p w14:paraId="276E28B4" w14:textId="77777777" w:rsidR="00C77DD5" w:rsidRPr="00F90D70" w:rsidRDefault="00C77DD5"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sidRPr="00F90D70">
              <w:rPr>
                <w:rFonts w:ascii="Arial Narrow" w:hAnsi="Arial Narrow" w:cs="Arial"/>
                <w:snapToGrid w:val="0"/>
                <w:szCs w:val="18"/>
              </w:rPr>
              <w:t>Note: the 2015 PG study excluded financing from the results being used to inform goals</w:t>
            </w:r>
          </w:p>
        </w:tc>
      </w:tr>
      <w:tr w:rsidR="00C77DD5" w:rsidRPr="00F90D70" w14:paraId="4B6C47C3"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DCDDDE" w:themeFill="text2" w:themeFillTint="33"/>
          </w:tcPr>
          <w:p w14:paraId="7EBA4815" w14:textId="77777777" w:rsidR="00C77DD5" w:rsidRPr="00F90D70" w:rsidRDefault="00C77DD5" w:rsidP="00C77DD5">
            <w:pPr>
              <w:jc w:val="left"/>
              <w:rPr>
                <w:rFonts w:ascii="Arial Narrow" w:hAnsi="Arial Narrow" w:cs="Arial"/>
                <w:b/>
                <w:snapToGrid w:val="0"/>
                <w:szCs w:val="18"/>
              </w:rPr>
            </w:pPr>
            <w:r w:rsidRPr="00F90D70">
              <w:rPr>
                <w:rFonts w:ascii="Arial Narrow" w:hAnsi="Arial Narrow" w:cs="Arial"/>
                <w:b/>
                <w:snapToGrid w:val="0"/>
                <w:szCs w:val="18"/>
              </w:rPr>
              <w:t>Additional Comments</w:t>
            </w:r>
          </w:p>
        </w:tc>
      </w:tr>
      <w:tr w:rsidR="00C77DD5" w:rsidRPr="00F90D70" w14:paraId="51E5081C"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409E0AE"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PG&amp;E:</w:t>
            </w:r>
            <w:r w:rsidRPr="00F90D70">
              <w:rPr>
                <w:rFonts w:ascii="Arial Narrow" w:hAnsi="Arial Narrow" w:cs="Arial"/>
                <w:snapToGrid w:val="0"/>
                <w:szCs w:val="18"/>
              </w:rPr>
              <w:t xml:space="preserve"> Suggests overall scenarios should focus on three variables: cost-effectiveness, awareness, and incentive level.</w:t>
            </w:r>
          </w:p>
          <w:p w14:paraId="59FD28B5" w14:textId="77777777" w:rsidR="00C77DD5" w:rsidRPr="00F90D70" w:rsidRDefault="00C77DD5" w:rsidP="004E4E36">
            <w:pPr>
              <w:pStyle w:val="ListParagraph"/>
              <w:numPr>
                <w:ilvl w:val="0"/>
                <w:numId w:val="40"/>
              </w:numPr>
              <w:spacing w:before="0" w:line="240" w:lineRule="exact"/>
              <w:contextualSpacing/>
              <w:jc w:val="left"/>
              <w:rPr>
                <w:rFonts w:ascii="Arial Narrow" w:hAnsi="Arial Narrow" w:cs="Arial"/>
                <w:snapToGrid w:val="0"/>
                <w:szCs w:val="18"/>
              </w:rPr>
            </w:pPr>
            <w:r w:rsidRPr="00F90D70">
              <w:rPr>
                <w:rFonts w:ascii="Arial Narrow" w:hAnsi="Arial Narrow" w:cs="Arial"/>
                <w:b/>
                <w:snapToGrid w:val="0"/>
                <w:szCs w:val="18"/>
              </w:rPr>
              <w:t>SDG&amp;E:</w:t>
            </w:r>
            <w:r w:rsidRPr="00F90D70">
              <w:rPr>
                <w:rFonts w:ascii="Arial Narrow" w:hAnsi="Arial Narrow" w:cs="Arial"/>
                <w:snapToGrid w:val="0"/>
                <w:szCs w:val="18"/>
              </w:rPr>
              <w:t xml:space="preserve"> Suggests various scenarios and sensitivity analysis around avoided costs.  </w:t>
            </w:r>
          </w:p>
        </w:tc>
        <w:tc>
          <w:tcPr>
            <w:tcW w:w="0" w:type="dxa"/>
          </w:tcPr>
          <w:p w14:paraId="600F9C1E" w14:textId="77777777" w:rsidR="00C77DD5" w:rsidRPr="00F90D70" w:rsidRDefault="00C77DD5" w:rsidP="004E4E36">
            <w:pPr>
              <w:pStyle w:val="ListParagraph"/>
              <w:numPr>
                <w:ilvl w:val="0"/>
                <w:numId w:val="40"/>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sidRPr="00F90D70">
              <w:rPr>
                <w:rFonts w:ascii="Arial Narrow" w:hAnsi="Arial Narrow" w:cs="Arial"/>
                <w:snapToGrid w:val="0"/>
                <w:szCs w:val="18"/>
              </w:rPr>
              <w:t xml:space="preserve">Avoided costs are an externally influenced variable and is out of scope of scenario analysis. </w:t>
            </w:r>
          </w:p>
        </w:tc>
      </w:tr>
    </w:tbl>
    <w:p w14:paraId="5A74F283" w14:textId="77777777" w:rsidR="00C77DD5" w:rsidRPr="007B0459" w:rsidRDefault="00180989" w:rsidP="007B0459">
      <w:pPr>
        <w:pStyle w:val="Heading3"/>
      </w:pPr>
      <w:bookmarkStart w:id="313" w:name="_Toc484172684"/>
      <w:bookmarkStart w:id="314" w:name="_Toc484345601"/>
      <w:bookmarkStart w:id="315" w:name="_Toc484092481"/>
      <w:bookmarkStart w:id="316" w:name="_Toc482357302"/>
      <w:bookmarkStart w:id="317" w:name="_Toc482634278"/>
      <w:bookmarkStart w:id="318" w:name="_Toc482626410"/>
      <w:bookmarkStart w:id="319" w:name="_Toc484172685"/>
      <w:bookmarkStart w:id="320" w:name="_Toc484183021"/>
      <w:bookmarkStart w:id="321" w:name="_Ref484595847"/>
      <w:bookmarkStart w:id="322" w:name="_Toc490225778"/>
      <w:bookmarkEnd w:id="313"/>
      <w:bookmarkEnd w:id="314"/>
      <w:r>
        <w:rPr>
          <w:rStyle w:val="Heading3Char"/>
          <w:b/>
          <w:bCs/>
          <w:i/>
        </w:rPr>
        <w:lastRenderedPageBreak/>
        <w:t>Final</w:t>
      </w:r>
      <w:r w:rsidRPr="007B0459">
        <w:t xml:space="preserve"> </w:t>
      </w:r>
      <w:r w:rsidR="00C77DD5" w:rsidRPr="007B0459">
        <w:t>Scenarios</w:t>
      </w:r>
      <w:bookmarkEnd w:id="315"/>
      <w:bookmarkEnd w:id="316"/>
      <w:bookmarkEnd w:id="317"/>
      <w:bookmarkEnd w:id="318"/>
      <w:bookmarkEnd w:id="319"/>
      <w:bookmarkEnd w:id="320"/>
      <w:bookmarkEnd w:id="321"/>
      <w:bookmarkEnd w:id="322"/>
    </w:p>
    <w:p w14:paraId="53886B59" w14:textId="77777777" w:rsidR="00D84DAE" w:rsidRDefault="00C77DD5" w:rsidP="00C77DD5">
      <w:pPr>
        <w:rPr>
          <w:rFonts w:cs="Arial"/>
          <w:snapToGrid w:val="0"/>
          <w:szCs w:val="20"/>
        </w:rPr>
      </w:pPr>
      <w:r>
        <w:rPr>
          <w:rFonts w:cs="Arial"/>
          <w:snapToGrid w:val="0"/>
        </w:rPr>
        <w:t xml:space="preserve">The team worked with </w:t>
      </w:r>
      <w:r w:rsidR="000A3F3A">
        <w:rPr>
          <w:rFonts w:cs="Arial"/>
          <w:snapToGrid w:val="0"/>
        </w:rPr>
        <w:t xml:space="preserve">Commission staff </w:t>
      </w:r>
      <w:r>
        <w:rPr>
          <w:rFonts w:cs="Arial"/>
          <w:snapToGrid w:val="0"/>
        </w:rPr>
        <w:t xml:space="preserve">to develop scenarios for consideration in the goal setting process. </w:t>
      </w:r>
      <w:r w:rsidRPr="008F2ADE">
        <w:rPr>
          <w:rFonts w:cs="Arial"/>
          <w:snapToGrid w:val="0"/>
        </w:rPr>
        <w:t xml:space="preserve">Each of the internally influenced variables in </w:t>
      </w:r>
      <w:r w:rsidR="00303412">
        <w:rPr>
          <w:rFonts w:cs="Arial"/>
          <w:snapToGrid w:val="0"/>
        </w:rPr>
        <w:fldChar w:fldCharType="begin"/>
      </w:r>
      <w:r w:rsidR="00303412">
        <w:rPr>
          <w:rFonts w:cs="Arial"/>
          <w:snapToGrid w:val="0"/>
        </w:rPr>
        <w:instrText xml:space="preserve"> REF _Ref490226924 \h </w:instrText>
      </w:r>
      <w:r w:rsidR="00303412">
        <w:rPr>
          <w:rFonts w:cs="Arial"/>
          <w:snapToGrid w:val="0"/>
        </w:rPr>
      </w:r>
      <w:r w:rsidR="00303412">
        <w:rPr>
          <w:rFonts w:cs="Arial"/>
          <w:snapToGrid w:val="0"/>
        </w:rPr>
        <w:fldChar w:fldCharType="separate"/>
      </w:r>
      <w:r w:rsidR="00303412" w:rsidRPr="008F2ADE">
        <w:t xml:space="preserve">Table </w:t>
      </w:r>
      <w:r w:rsidR="00303412">
        <w:rPr>
          <w:noProof/>
        </w:rPr>
        <w:t>2</w:t>
      </w:r>
      <w:r w:rsidR="00303412">
        <w:noBreakHyphen/>
      </w:r>
      <w:r w:rsidR="00303412">
        <w:rPr>
          <w:noProof/>
        </w:rPr>
        <w:t>7</w:t>
      </w:r>
      <w:r w:rsidR="00303412">
        <w:rPr>
          <w:rFonts w:cs="Arial"/>
          <w:snapToGrid w:val="0"/>
        </w:rPr>
        <w:fldChar w:fldCharType="end"/>
      </w:r>
      <w:r w:rsidR="00303412">
        <w:rPr>
          <w:rFonts w:cs="Arial"/>
          <w:snapToGrid w:val="0"/>
        </w:rPr>
        <w:t xml:space="preserve"> </w:t>
      </w:r>
      <w:r w:rsidRPr="008F2ADE">
        <w:rPr>
          <w:rFonts w:cs="Arial"/>
          <w:snapToGrid w:val="0"/>
        </w:rPr>
        <w:t xml:space="preserve">is expected to have an impact on the forecast of energy efficiency potential. The combined impact of these </w:t>
      </w:r>
      <w:r w:rsidRPr="008F2ADE">
        <w:rPr>
          <w:rFonts w:cs="Arial"/>
          <w:snapToGrid w:val="0"/>
          <w:szCs w:val="20"/>
        </w:rPr>
        <w:t xml:space="preserve">variables represents a scenario. </w:t>
      </w:r>
    </w:p>
    <w:p w14:paraId="338B146B" w14:textId="77777777" w:rsidR="00D84DAE" w:rsidRDefault="00D84DAE" w:rsidP="00C77DD5">
      <w:pPr>
        <w:rPr>
          <w:rFonts w:cs="Arial"/>
          <w:snapToGrid w:val="0"/>
          <w:szCs w:val="20"/>
        </w:rPr>
      </w:pPr>
    </w:p>
    <w:p w14:paraId="799B139A" w14:textId="77777777" w:rsidR="00D84DAE" w:rsidRDefault="006E231E" w:rsidP="00C77DD5">
      <w:pPr>
        <w:rPr>
          <w:rFonts w:cs="Arial"/>
          <w:snapToGrid w:val="0"/>
          <w:szCs w:val="20"/>
        </w:rPr>
      </w:pPr>
      <w:r>
        <w:rPr>
          <w:rFonts w:cs="Arial"/>
          <w:snapToGrid w:val="0"/>
          <w:szCs w:val="20"/>
        </w:rPr>
        <w:t>Commission staff</w:t>
      </w:r>
      <w:r w:rsidR="00D84DAE">
        <w:rPr>
          <w:rFonts w:cs="Arial"/>
          <w:snapToGrid w:val="0"/>
          <w:szCs w:val="20"/>
        </w:rPr>
        <w:t xml:space="preserve"> took the following into consideration when </w:t>
      </w:r>
      <w:r w:rsidR="000A5A7E">
        <w:rPr>
          <w:rFonts w:cs="Arial"/>
          <w:snapToGrid w:val="0"/>
          <w:szCs w:val="20"/>
        </w:rPr>
        <w:t>directing</w:t>
      </w:r>
      <w:r w:rsidR="00D84DAE">
        <w:rPr>
          <w:rFonts w:cs="Arial"/>
          <w:snapToGrid w:val="0"/>
          <w:szCs w:val="20"/>
        </w:rPr>
        <w:t xml:space="preserve"> Navigant on the </w:t>
      </w:r>
      <w:r w:rsidR="003D00B7">
        <w:rPr>
          <w:rFonts w:cs="Arial"/>
          <w:snapToGrid w:val="0"/>
          <w:szCs w:val="20"/>
        </w:rPr>
        <w:t xml:space="preserve">final </w:t>
      </w:r>
      <w:r w:rsidR="00D84DAE">
        <w:rPr>
          <w:rFonts w:cs="Arial"/>
          <w:snapToGrid w:val="0"/>
          <w:szCs w:val="20"/>
        </w:rPr>
        <w:t>scenarios</w:t>
      </w:r>
    </w:p>
    <w:p w14:paraId="4D4BE6C4" w14:textId="77777777" w:rsidR="00D84DAE" w:rsidRDefault="00D84DAE" w:rsidP="004E4E36">
      <w:pPr>
        <w:pStyle w:val="ListParagraph"/>
        <w:numPr>
          <w:ilvl w:val="0"/>
          <w:numId w:val="21"/>
        </w:numPr>
        <w:rPr>
          <w:rFonts w:cs="Arial"/>
          <w:snapToGrid w:val="0"/>
        </w:rPr>
      </w:pPr>
      <w:r w:rsidRPr="00F036AA">
        <w:rPr>
          <w:rFonts w:cs="Arial"/>
          <w:snapToGrid w:val="0"/>
        </w:rPr>
        <w:t>Commission staff followed closely the developments in the IDER proceeding</w:t>
      </w:r>
      <w:r>
        <w:rPr>
          <w:rFonts w:cs="Arial"/>
          <w:snapToGrid w:val="0"/>
        </w:rPr>
        <w:t xml:space="preserve">. This informed the </w:t>
      </w:r>
      <w:r w:rsidRPr="00F036AA">
        <w:rPr>
          <w:rFonts w:cs="Arial"/>
          <w:snapToGrid w:val="0"/>
        </w:rPr>
        <w:t xml:space="preserve">alternative cost-effective tests to </w:t>
      </w:r>
      <w:r w:rsidR="00C12F1A">
        <w:rPr>
          <w:rFonts w:cs="Arial"/>
          <w:snapToGrid w:val="0"/>
        </w:rPr>
        <w:t>consider</w:t>
      </w:r>
      <w:r w:rsidR="003822EF">
        <w:rPr>
          <w:rFonts w:cs="Arial"/>
          <w:snapToGrid w:val="0"/>
        </w:rPr>
        <w:t>.</w:t>
      </w:r>
    </w:p>
    <w:p w14:paraId="73E0D5BA" w14:textId="77777777" w:rsidR="00D84DAE" w:rsidRPr="00F036AA" w:rsidRDefault="00D84DAE" w:rsidP="004E4E36">
      <w:pPr>
        <w:pStyle w:val="ListParagraph"/>
        <w:numPr>
          <w:ilvl w:val="0"/>
          <w:numId w:val="21"/>
        </w:numPr>
        <w:rPr>
          <w:rFonts w:cs="Arial"/>
          <w:snapToGrid w:val="0"/>
        </w:rPr>
      </w:pPr>
      <w:r>
        <w:rPr>
          <w:rFonts w:cs="Arial"/>
          <w:snapToGrid w:val="0"/>
        </w:rPr>
        <w:t xml:space="preserve">On February 2017, Commission staff released a Societal Cost Test </w:t>
      </w:r>
      <w:r w:rsidR="003822EF">
        <w:rPr>
          <w:rFonts w:cs="Arial"/>
          <w:snapToGrid w:val="0"/>
        </w:rPr>
        <w:t xml:space="preserve">(SCT) </w:t>
      </w:r>
      <w:r>
        <w:rPr>
          <w:rFonts w:cs="Arial"/>
          <w:snapToGrid w:val="0"/>
        </w:rPr>
        <w:t>white paper with recommendations for parameters to support a SCT as well as modifications to currently used TRC and PAC.</w:t>
      </w:r>
    </w:p>
    <w:p w14:paraId="13742953" w14:textId="77777777" w:rsidR="003822EF" w:rsidRDefault="00D84DAE" w:rsidP="004E4E36">
      <w:pPr>
        <w:pStyle w:val="ListParagraph"/>
        <w:numPr>
          <w:ilvl w:val="0"/>
          <w:numId w:val="21"/>
        </w:numPr>
        <w:rPr>
          <w:rFonts w:cs="Arial"/>
          <w:snapToGrid w:val="0"/>
        </w:rPr>
      </w:pPr>
      <w:r>
        <w:rPr>
          <w:rFonts w:cs="Arial"/>
          <w:snapToGrid w:val="0"/>
        </w:rPr>
        <w:t>On April 2017, Commission staff proposed a GHG adder curve as an inte</w:t>
      </w:r>
      <w:r w:rsidR="003822EF">
        <w:rPr>
          <w:rFonts w:cs="Arial"/>
          <w:snapToGrid w:val="0"/>
        </w:rPr>
        <w:t xml:space="preserve">rim value that could inform </w:t>
      </w:r>
      <w:r>
        <w:rPr>
          <w:rFonts w:cs="Arial"/>
          <w:snapToGrid w:val="0"/>
        </w:rPr>
        <w:t xml:space="preserve">goal </w:t>
      </w:r>
      <w:r w:rsidR="003822EF">
        <w:rPr>
          <w:rFonts w:cs="Arial"/>
          <w:snapToGrid w:val="0"/>
        </w:rPr>
        <w:t>setting</w:t>
      </w:r>
      <w:r>
        <w:rPr>
          <w:rFonts w:cs="Arial"/>
          <w:snapToGrid w:val="0"/>
        </w:rPr>
        <w:t>. The interim GHG adder proposal followed the methods proposed in the SCT staff white paper. The GHG adder curve was developed based</w:t>
      </w:r>
      <w:r w:rsidR="003822EF">
        <w:rPr>
          <w:rFonts w:cs="Arial"/>
          <w:snapToGrid w:val="0"/>
        </w:rPr>
        <w:t xml:space="preserve"> </w:t>
      </w:r>
      <w:r>
        <w:rPr>
          <w:rFonts w:cs="Arial"/>
          <w:snapToGrid w:val="0"/>
        </w:rPr>
        <w:t xml:space="preserve">on draft runs of the RESOLVE model in the Integrated Resources Proceeding (IRP). </w:t>
      </w:r>
    </w:p>
    <w:p w14:paraId="6A62063A" w14:textId="77777777" w:rsidR="00D84DAE" w:rsidRDefault="003822EF" w:rsidP="004E4E36">
      <w:pPr>
        <w:pStyle w:val="ListParagraph"/>
        <w:numPr>
          <w:ilvl w:val="0"/>
          <w:numId w:val="21"/>
        </w:numPr>
        <w:rPr>
          <w:rFonts w:cs="Arial"/>
          <w:snapToGrid w:val="0"/>
        </w:rPr>
      </w:pPr>
      <w:r>
        <w:rPr>
          <w:rFonts w:cs="Arial"/>
          <w:snapToGrid w:val="0"/>
        </w:rPr>
        <w:t>In the c</w:t>
      </w:r>
      <w:r w:rsidR="00D84DAE">
        <w:rPr>
          <w:rFonts w:cs="Arial"/>
          <w:snapToGrid w:val="0"/>
        </w:rPr>
        <w:t xml:space="preserve">omments to the </w:t>
      </w:r>
      <w:r>
        <w:rPr>
          <w:rFonts w:cs="Arial"/>
          <w:snapToGrid w:val="0"/>
        </w:rPr>
        <w:t>staff proposed interim GHG adder, the j</w:t>
      </w:r>
      <w:r w:rsidR="00D84DAE">
        <w:rPr>
          <w:rFonts w:cs="Arial"/>
          <w:snapToGrid w:val="0"/>
        </w:rPr>
        <w:t xml:space="preserve">oint IOUs proposed an alternative GHG adder curve based on the </w:t>
      </w:r>
      <w:r w:rsidR="00D84DAE" w:rsidRPr="003822EF">
        <w:rPr>
          <w:rFonts w:cs="Arial"/>
          <w:bCs/>
          <w:snapToGrid w:val="0"/>
        </w:rPr>
        <w:t>Allowance Price Containment Reserve</w:t>
      </w:r>
      <w:r w:rsidR="00D84DAE" w:rsidRPr="00257039">
        <w:rPr>
          <w:rFonts w:cs="Arial"/>
          <w:snapToGrid w:val="0"/>
        </w:rPr>
        <w:t> </w:t>
      </w:r>
      <w:r w:rsidR="00D84DAE">
        <w:rPr>
          <w:rFonts w:cs="Arial"/>
          <w:snapToGrid w:val="0"/>
        </w:rPr>
        <w:t>(</w:t>
      </w:r>
      <w:r w:rsidR="00D84DAE" w:rsidRPr="00257039">
        <w:rPr>
          <w:rFonts w:cs="Arial"/>
          <w:snapToGrid w:val="0"/>
        </w:rPr>
        <w:t>APCR</w:t>
      </w:r>
      <w:r w:rsidR="00D84DAE">
        <w:rPr>
          <w:rFonts w:cs="Arial"/>
          <w:snapToGrid w:val="0"/>
        </w:rPr>
        <w:t>)</w:t>
      </w:r>
      <w:r w:rsidR="00D84DAE">
        <w:rPr>
          <w:rStyle w:val="FootnoteReference"/>
          <w:rFonts w:cs="Arial"/>
          <w:snapToGrid w:val="0"/>
        </w:rPr>
        <w:footnoteReference w:id="45"/>
      </w:r>
      <w:r w:rsidR="00D84DAE">
        <w:rPr>
          <w:rFonts w:cs="Arial"/>
          <w:snapToGrid w:val="0"/>
        </w:rPr>
        <w:t>. This curve is an extrapolation of preliminary values released by the ARB during the development of the California Air Resources Board</w:t>
      </w:r>
      <w:r w:rsidR="00D84DAE" w:rsidRPr="00257039">
        <w:rPr>
          <w:rFonts w:cs="Arial"/>
          <w:snapToGrid w:val="0"/>
        </w:rPr>
        <w:t xml:space="preserve"> </w:t>
      </w:r>
      <w:r w:rsidR="00D84DAE">
        <w:rPr>
          <w:rFonts w:cs="Arial"/>
          <w:snapToGrid w:val="0"/>
        </w:rPr>
        <w:t>AB 32 Scoping Plan Update.</w:t>
      </w:r>
      <w:r w:rsidR="00D84DAE" w:rsidRPr="00257039">
        <w:rPr>
          <w:rFonts w:cs="Arial"/>
          <w:snapToGrid w:val="0"/>
        </w:rPr>
        <w:t xml:space="preserve"> </w:t>
      </w:r>
      <w:r w:rsidR="00D84DAE">
        <w:rPr>
          <w:rFonts w:cs="Arial"/>
          <w:snapToGrid w:val="0"/>
        </w:rPr>
        <w:t xml:space="preserve">Although the proposed allowance prices are not final and are subject to change, Commission staff believes they are a reasonable alternative to the staff proposal and will give stakeholders the chance to see how market potential changes when using alternative GHG adder values. </w:t>
      </w:r>
    </w:p>
    <w:p w14:paraId="4D95DE4C" w14:textId="77777777" w:rsidR="003822EF" w:rsidRDefault="003822EF" w:rsidP="003822EF">
      <w:pPr>
        <w:rPr>
          <w:rFonts w:cs="Arial"/>
          <w:snapToGrid w:val="0"/>
        </w:rPr>
      </w:pPr>
    </w:p>
    <w:p w14:paraId="097DF3C9" w14:textId="77777777" w:rsidR="003822EF" w:rsidRDefault="005260A8" w:rsidP="003822EF">
      <w:pPr>
        <w:rPr>
          <w:rFonts w:cs="Arial"/>
          <w:snapToGrid w:val="0"/>
        </w:rPr>
      </w:pPr>
      <w:r>
        <w:rPr>
          <w:rFonts w:cs="Arial"/>
          <w:snapToGrid w:val="0"/>
        </w:rPr>
        <w:t>Commission staff</w:t>
      </w:r>
      <w:r w:rsidR="003822EF">
        <w:rPr>
          <w:rFonts w:cs="Arial"/>
          <w:snapToGrid w:val="0"/>
        </w:rPr>
        <w:t>’s intent was t</w:t>
      </w:r>
      <w:r w:rsidR="003822EF" w:rsidRPr="003822EF">
        <w:rPr>
          <w:rFonts w:cs="Arial"/>
          <w:snapToGrid w:val="0"/>
        </w:rPr>
        <w:t>o</w:t>
      </w:r>
      <w:r w:rsidR="00D84DAE" w:rsidRPr="003822EF">
        <w:rPr>
          <w:rFonts w:cs="Arial"/>
          <w:snapToGrid w:val="0"/>
        </w:rPr>
        <w:t xml:space="preserve"> keep the number of scenarios manageable but still provide a range of alternatives to bound market potential</w:t>
      </w:r>
      <w:r w:rsidR="003822EF">
        <w:rPr>
          <w:rFonts w:cs="Arial"/>
          <w:snapToGrid w:val="0"/>
        </w:rPr>
        <w:t xml:space="preserve">. </w:t>
      </w:r>
      <w:r w:rsidR="002C3792">
        <w:rPr>
          <w:rFonts w:cs="Arial"/>
          <w:snapToGrid w:val="0"/>
        </w:rPr>
        <w:t>Therefore,</w:t>
      </w:r>
      <w:r w:rsidR="003822EF">
        <w:rPr>
          <w:rFonts w:cs="Arial"/>
          <w:snapToGrid w:val="0"/>
        </w:rPr>
        <w:t xml:space="preserve"> five scenarios in total were proposed and are listed </w:t>
      </w:r>
      <w:r w:rsidR="003822EF" w:rsidRPr="008F2ADE">
        <w:rPr>
          <w:rFonts w:cs="Arial"/>
          <w:snapToGrid w:val="0"/>
          <w:szCs w:val="20"/>
        </w:rPr>
        <w:t>in</w:t>
      </w:r>
      <w:r w:rsidR="00FC279C">
        <w:rPr>
          <w:rFonts w:cs="Arial"/>
          <w:snapToGrid w:val="0"/>
          <w:szCs w:val="20"/>
        </w:rPr>
        <w:t xml:space="preserve"> </w:t>
      </w:r>
      <w:r w:rsidR="00FC279C">
        <w:rPr>
          <w:rFonts w:cs="Arial"/>
          <w:snapToGrid w:val="0"/>
          <w:szCs w:val="20"/>
        </w:rPr>
        <w:fldChar w:fldCharType="begin"/>
      </w:r>
      <w:r w:rsidR="00FC279C">
        <w:rPr>
          <w:rFonts w:cs="Arial"/>
          <w:snapToGrid w:val="0"/>
          <w:szCs w:val="20"/>
        </w:rPr>
        <w:instrText xml:space="preserve"> REF _Ref490226924 \h </w:instrText>
      </w:r>
      <w:r w:rsidR="00FC279C">
        <w:rPr>
          <w:rFonts w:cs="Arial"/>
          <w:snapToGrid w:val="0"/>
          <w:szCs w:val="20"/>
        </w:rPr>
      </w:r>
      <w:r w:rsidR="00FC279C">
        <w:rPr>
          <w:rFonts w:cs="Arial"/>
          <w:snapToGrid w:val="0"/>
          <w:szCs w:val="20"/>
        </w:rPr>
        <w:fldChar w:fldCharType="separate"/>
      </w:r>
      <w:r w:rsidR="00FC279C" w:rsidRPr="008F2ADE">
        <w:t xml:space="preserve">Table </w:t>
      </w:r>
      <w:r w:rsidR="00FC279C">
        <w:rPr>
          <w:noProof/>
        </w:rPr>
        <w:t>2</w:t>
      </w:r>
      <w:r w:rsidR="00FC279C">
        <w:noBreakHyphen/>
      </w:r>
      <w:r w:rsidR="00FC279C">
        <w:rPr>
          <w:noProof/>
        </w:rPr>
        <w:t>7</w:t>
      </w:r>
      <w:r w:rsidR="00FC279C">
        <w:rPr>
          <w:rFonts w:cs="Arial"/>
          <w:snapToGrid w:val="0"/>
          <w:szCs w:val="20"/>
        </w:rPr>
        <w:fldChar w:fldCharType="end"/>
      </w:r>
      <w:r w:rsidR="003822EF" w:rsidRPr="008F2ADE">
        <w:rPr>
          <w:rFonts w:cs="Arial"/>
          <w:snapToGrid w:val="0"/>
        </w:rPr>
        <w:t>.</w:t>
      </w:r>
    </w:p>
    <w:p w14:paraId="3FFE2842" w14:textId="77777777" w:rsidR="002C3792" w:rsidRDefault="002C3792" w:rsidP="003822EF">
      <w:pPr>
        <w:rPr>
          <w:rFonts w:cs="Arial"/>
          <w:snapToGrid w:val="0"/>
        </w:rPr>
      </w:pPr>
    </w:p>
    <w:p w14:paraId="145B3556" w14:textId="77777777" w:rsidR="002C3792" w:rsidRDefault="002C3792" w:rsidP="00A330AB">
      <w:pPr>
        <w:pStyle w:val="Caption"/>
      </w:pPr>
      <w:bookmarkStart w:id="323" w:name="_Ref484166503"/>
      <w:bookmarkStart w:id="324" w:name="_Ref490226924"/>
      <w:bookmarkStart w:id="325" w:name="_Toc484436946"/>
      <w:bookmarkStart w:id="326" w:name="_Toc490560657"/>
      <w:r w:rsidRPr="008F2ADE">
        <w:t xml:space="preserve">Table </w:t>
      </w:r>
      <w:fldSimple w:instr=" STYLEREF 1 \s ">
        <w:r w:rsidR="007566B9">
          <w:rPr>
            <w:noProof/>
          </w:rPr>
          <w:t>2</w:t>
        </w:r>
      </w:fldSimple>
      <w:r w:rsidR="00C17D59">
        <w:noBreakHyphen/>
      </w:r>
      <w:bookmarkEnd w:id="323"/>
      <w:r w:rsidR="00B206D8">
        <w:fldChar w:fldCharType="begin"/>
      </w:r>
      <w:r w:rsidR="00B206D8">
        <w:instrText xml:space="preserve"> SEQ Table \* ARABIC \s 1 </w:instrText>
      </w:r>
      <w:r w:rsidR="00B206D8">
        <w:fldChar w:fldCharType="separate"/>
      </w:r>
      <w:r w:rsidR="007566B9">
        <w:rPr>
          <w:noProof/>
        </w:rPr>
        <w:t>7</w:t>
      </w:r>
      <w:r w:rsidR="00B206D8">
        <w:rPr>
          <w:noProof/>
        </w:rPr>
        <w:fldChar w:fldCharType="end"/>
      </w:r>
      <w:bookmarkEnd w:id="324"/>
      <w:r w:rsidR="00BB59F5">
        <w:t>.</w:t>
      </w:r>
      <w:r w:rsidRPr="008F2ADE">
        <w:t xml:space="preserve"> </w:t>
      </w:r>
      <w:r w:rsidR="003439A8">
        <w:t>Final</w:t>
      </w:r>
      <w:r w:rsidR="003439A8" w:rsidRPr="008F2ADE">
        <w:t xml:space="preserve"> </w:t>
      </w:r>
      <w:r w:rsidRPr="008F2ADE">
        <w:t>Scenarios for Energy Efficiency Potential – Summary</w:t>
      </w:r>
      <w:bookmarkEnd w:id="325"/>
      <w:bookmarkEnd w:id="326"/>
    </w:p>
    <w:p w14:paraId="0A19D10E" w14:textId="77777777" w:rsidR="002C3792" w:rsidRDefault="00FC279C" w:rsidP="002C3792">
      <w:pPr>
        <w:rPr>
          <w:rFonts w:cs="Arial"/>
          <w:snapToGrid w:val="0"/>
        </w:rPr>
      </w:pPr>
      <w:r>
        <w:rPr>
          <w:rFonts w:cs="Arial"/>
          <w:snapToGrid w:val="0"/>
        </w:rPr>
        <w:object w:dxaOrig="9360" w:dyaOrig="3095" w14:anchorId="72C0ABC4">
          <v:shape id="_x0000_i1026" type="#_x0000_t75" style="width:468.3pt;height:154.35pt" o:ole="">
            <v:imagedata r:id="rId17" o:title=""/>
          </v:shape>
          <o:OLEObject Type="Embed" ProgID="Word.Document.12" ShapeID="_x0000_i1026" DrawAspect="Content" ObjectID="_1565001587" r:id="rId34">
            <o:FieldCodes>\s</o:FieldCodes>
          </o:OLEObject>
        </w:object>
      </w:r>
    </w:p>
    <w:p w14:paraId="1B75AB07" w14:textId="77777777" w:rsidR="003822EF" w:rsidRDefault="003822EF" w:rsidP="003822EF">
      <w:pPr>
        <w:rPr>
          <w:rFonts w:cs="Arial"/>
          <w:snapToGrid w:val="0"/>
        </w:rPr>
      </w:pPr>
    </w:p>
    <w:p w14:paraId="0C2EF414" w14:textId="77777777" w:rsidR="00C77DD5" w:rsidRPr="008F2ADE" w:rsidRDefault="00D84DAE" w:rsidP="00C77DD5">
      <w:pPr>
        <w:rPr>
          <w:rFonts w:cs="Arial"/>
          <w:snapToGrid w:val="0"/>
        </w:rPr>
      </w:pPr>
      <w:r w:rsidRPr="001A3F0C">
        <w:rPr>
          <w:rFonts w:cs="Arial"/>
          <w:snapToGrid w:val="0"/>
        </w:rPr>
        <w:t xml:space="preserve">The TRC </w:t>
      </w:r>
      <w:r w:rsidR="002C3792" w:rsidRPr="001A3F0C">
        <w:rPr>
          <w:rFonts w:cs="Arial"/>
          <w:snapToGrid w:val="0"/>
        </w:rPr>
        <w:t xml:space="preserve">| Reference </w:t>
      </w:r>
      <w:r w:rsidR="001A3F0C" w:rsidRPr="001A3F0C">
        <w:rPr>
          <w:rFonts w:cs="Arial"/>
          <w:snapToGrid w:val="0"/>
        </w:rPr>
        <w:t>scenario</w:t>
      </w:r>
      <w:r w:rsidR="002C3792" w:rsidRPr="001A3F0C">
        <w:rPr>
          <w:rFonts w:cs="Arial"/>
          <w:snapToGrid w:val="0"/>
        </w:rPr>
        <w:t xml:space="preserve"> represent</w:t>
      </w:r>
      <w:r w:rsidR="004F2EFD">
        <w:rPr>
          <w:rFonts w:cs="Arial"/>
          <w:snapToGrid w:val="0"/>
        </w:rPr>
        <w:t>s</w:t>
      </w:r>
      <w:r w:rsidR="002C3792" w:rsidRPr="001A3F0C">
        <w:rPr>
          <w:rFonts w:cs="Arial"/>
          <w:snapToGrid w:val="0"/>
        </w:rPr>
        <w:t xml:space="preserve"> “business as usual” and</w:t>
      </w:r>
      <w:r w:rsidR="004F2EFD">
        <w:rPr>
          <w:rFonts w:cs="Arial"/>
          <w:snapToGrid w:val="0"/>
        </w:rPr>
        <w:t xml:space="preserve"> the</w:t>
      </w:r>
      <w:r w:rsidR="002C3792" w:rsidRPr="001A3F0C">
        <w:rPr>
          <w:rFonts w:cs="Arial"/>
          <w:snapToGrid w:val="0"/>
        </w:rPr>
        <w:t xml:space="preserve"> </w:t>
      </w:r>
      <w:r w:rsidRPr="001A3F0C">
        <w:rPr>
          <w:rFonts w:cs="Arial"/>
          <w:snapToGrid w:val="0"/>
        </w:rPr>
        <w:t>co</w:t>
      </w:r>
      <w:r w:rsidR="001A3F0C" w:rsidRPr="001A3F0C">
        <w:rPr>
          <w:rFonts w:cs="Arial"/>
          <w:snapToGrid w:val="0"/>
        </w:rPr>
        <w:t xml:space="preserve">ntinuation of current policies. Three of the alternate scenarios continue to assume similar program design but apply different cost effectiveness tests and avoided costs. The final scenario (PAC | Aggressive) is meant to show an upper </w:t>
      </w:r>
      <w:r w:rsidRPr="001A3F0C">
        <w:rPr>
          <w:rFonts w:cs="Arial"/>
          <w:snapToGrid w:val="0"/>
        </w:rPr>
        <w:t>bound</w:t>
      </w:r>
      <w:r w:rsidR="001A3F0C" w:rsidRPr="001A3F0C">
        <w:rPr>
          <w:rFonts w:cs="Arial"/>
          <w:snapToGrid w:val="0"/>
        </w:rPr>
        <w:t xml:space="preserve"> of the </w:t>
      </w:r>
      <w:r w:rsidRPr="001A3F0C">
        <w:rPr>
          <w:rFonts w:cs="Arial"/>
          <w:snapToGrid w:val="0"/>
        </w:rPr>
        <w:t>combination of program engagement and cost-effectiveness screen</w:t>
      </w:r>
      <w:r w:rsidR="001A3F0C" w:rsidRPr="001A3F0C">
        <w:rPr>
          <w:rFonts w:cs="Arial"/>
          <w:snapToGrid w:val="0"/>
        </w:rPr>
        <w:t>s</w:t>
      </w:r>
      <w:r w:rsidRPr="001A3F0C">
        <w:rPr>
          <w:rFonts w:cs="Arial"/>
          <w:snapToGrid w:val="0"/>
        </w:rPr>
        <w:t xml:space="preserve">. </w:t>
      </w:r>
      <w:r w:rsidR="00FC279C">
        <w:rPr>
          <w:rFonts w:cs="Arial"/>
          <w:snapToGrid w:val="0"/>
          <w:szCs w:val="20"/>
        </w:rPr>
        <w:fldChar w:fldCharType="begin"/>
      </w:r>
      <w:r w:rsidR="00FC279C">
        <w:rPr>
          <w:rFonts w:cs="Arial"/>
          <w:snapToGrid w:val="0"/>
        </w:rPr>
        <w:instrText xml:space="preserve"> REF _Ref490226943 \h </w:instrText>
      </w:r>
      <w:r w:rsidR="00FC279C">
        <w:rPr>
          <w:rFonts w:cs="Arial"/>
          <w:snapToGrid w:val="0"/>
          <w:szCs w:val="20"/>
        </w:rPr>
      </w:r>
      <w:r w:rsidR="00FC279C">
        <w:rPr>
          <w:rFonts w:cs="Arial"/>
          <w:snapToGrid w:val="0"/>
          <w:szCs w:val="20"/>
        </w:rPr>
        <w:fldChar w:fldCharType="separate"/>
      </w:r>
      <w:r w:rsidR="00FC279C">
        <w:t xml:space="preserve">Table </w:t>
      </w:r>
      <w:r w:rsidR="00FC279C">
        <w:rPr>
          <w:noProof/>
        </w:rPr>
        <w:t>2</w:t>
      </w:r>
      <w:r w:rsidR="00FC279C">
        <w:noBreakHyphen/>
      </w:r>
      <w:r w:rsidR="00FC279C">
        <w:rPr>
          <w:noProof/>
        </w:rPr>
        <w:t>8</w:t>
      </w:r>
      <w:r w:rsidR="00FC279C">
        <w:rPr>
          <w:rFonts w:cs="Arial"/>
          <w:snapToGrid w:val="0"/>
          <w:szCs w:val="20"/>
        </w:rPr>
        <w:fldChar w:fldCharType="end"/>
      </w:r>
      <w:r w:rsidR="00FC279C">
        <w:rPr>
          <w:rFonts w:cs="Arial"/>
          <w:snapToGrid w:val="0"/>
          <w:szCs w:val="20"/>
        </w:rPr>
        <w:t xml:space="preserve"> </w:t>
      </w:r>
      <w:r w:rsidR="00C77DD5" w:rsidRPr="008F2ADE">
        <w:rPr>
          <w:rFonts w:cs="Arial"/>
          <w:snapToGrid w:val="0"/>
        </w:rPr>
        <w:t xml:space="preserve">below lists </w:t>
      </w:r>
      <w:r w:rsidR="003822EF">
        <w:rPr>
          <w:rFonts w:cs="Arial"/>
          <w:snapToGrid w:val="0"/>
        </w:rPr>
        <w:t xml:space="preserve">more </w:t>
      </w:r>
      <w:r w:rsidR="00C77DD5" w:rsidRPr="008F2ADE">
        <w:rPr>
          <w:rFonts w:cs="Arial"/>
          <w:snapToGrid w:val="0"/>
        </w:rPr>
        <w:t xml:space="preserve">detail for </w:t>
      </w:r>
      <w:r w:rsidR="003822EF">
        <w:rPr>
          <w:rFonts w:cs="Arial"/>
          <w:snapToGrid w:val="0"/>
        </w:rPr>
        <w:t xml:space="preserve">regarding Program </w:t>
      </w:r>
      <w:r w:rsidR="001A3F0C">
        <w:rPr>
          <w:rFonts w:cs="Arial"/>
          <w:snapToGrid w:val="0"/>
        </w:rPr>
        <w:t>Engagement</w:t>
      </w:r>
      <w:r w:rsidR="00C77DD5" w:rsidRPr="008F2ADE">
        <w:rPr>
          <w:rFonts w:cs="Arial"/>
          <w:snapToGrid w:val="0"/>
        </w:rPr>
        <w:t xml:space="preserve">. </w:t>
      </w:r>
    </w:p>
    <w:p w14:paraId="00565027" w14:textId="77777777" w:rsidR="00C77DD5" w:rsidRPr="008F2ADE" w:rsidRDefault="00C77DD5" w:rsidP="00C77DD5">
      <w:pPr>
        <w:rPr>
          <w:rFonts w:cs="Arial"/>
          <w:snapToGrid w:val="0"/>
        </w:rPr>
      </w:pPr>
    </w:p>
    <w:p w14:paraId="0A4D9414" w14:textId="77777777" w:rsidR="00C77DD5" w:rsidRDefault="00C77DD5" w:rsidP="00F90D70">
      <w:pPr>
        <w:pStyle w:val="Caption"/>
      </w:pPr>
      <w:bookmarkStart w:id="327" w:name="_Ref471843413"/>
      <w:bookmarkStart w:id="328" w:name="_Ref490226943"/>
      <w:bookmarkStart w:id="329" w:name="_Toc482634208"/>
      <w:bookmarkStart w:id="330" w:name="_Toc484436947"/>
      <w:bookmarkStart w:id="331" w:name="_Toc490560658"/>
      <w:r>
        <w:t xml:space="preserve">Table </w:t>
      </w:r>
      <w:fldSimple w:instr=" STYLEREF 1 \s ">
        <w:r w:rsidR="007566B9">
          <w:rPr>
            <w:noProof/>
          </w:rPr>
          <w:t>2</w:t>
        </w:r>
      </w:fldSimple>
      <w:r w:rsidR="00C17D59">
        <w:noBreakHyphen/>
      </w:r>
      <w:bookmarkEnd w:id="327"/>
      <w:r w:rsidR="00B206D8">
        <w:fldChar w:fldCharType="begin"/>
      </w:r>
      <w:r w:rsidR="00B206D8">
        <w:instrText xml:space="preserve"> SEQ Table \* ARABIC \s 1 </w:instrText>
      </w:r>
      <w:r w:rsidR="00B206D8">
        <w:fldChar w:fldCharType="separate"/>
      </w:r>
      <w:r w:rsidR="007566B9">
        <w:rPr>
          <w:noProof/>
        </w:rPr>
        <w:t>8</w:t>
      </w:r>
      <w:r w:rsidR="00B206D8">
        <w:rPr>
          <w:noProof/>
        </w:rPr>
        <w:fldChar w:fldCharType="end"/>
      </w:r>
      <w:bookmarkEnd w:id="328"/>
      <w:r>
        <w:t xml:space="preserve">. </w:t>
      </w:r>
      <w:bookmarkEnd w:id="329"/>
      <w:r w:rsidR="00D84DAE">
        <w:t xml:space="preserve">Reference vs. </w:t>
      </w:r>
      <w:r w:rsidR="00B151A1">
        <w:t>Aggressive</w:t>
      </w:r>
      <w:r w:rsidR="00D84DAE">
        <w:t xml:space="preserve"> Programs</w:t>
      </w:r>
      <w:bookmarkEnd w:id="330"/>
      <w:bookmarkEnd w:id="331"/>
    </w:p>
    <w:tbl>
      <w:tblPr>
        <w:tblStyle w:val="EnergyTable1"/>
        <w:tblW w:w="7623" w:type="dxa"/>
        <w:tblLayout w:type="fixed"/>
        <w:tblLook w:val="04A0" w:firstRow="1" w:lastRow="0" w:firstColumn="1" w:lastColumn="0" w:noHBand="0" w:noVBand="1"/>
      </w:tblPr>
      <w:tblGrid>
        <w:gridCol w:w="2541"/>
        <w:gridCol w:w="2541"/>
        <w:gridCol w:w="2541"/>
      </w:tblGrid>
      <w:tr w:rsidR="0054020E" w:rsidRPr="00045431" w14:paraId="0C0054F6" w14:textId="77777777" w:rsidTr="00AF21BE">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dxa"/>
          </w:tcPr>
          <w:p w14:paraId="5D3687AD" w14:textId="77777777" w:rsidR="0054020E" w:rsidRPr="00045431" w:rsidRDefault="0054020E" w:rsidP="00F90D70">
            <w:pPr>
              <w:keepNext/>
              <w:rPr>
                <w:rFonts w:ascii="Arial Narrow" w:hAnsi="Arial Narrow" w:cs="Arial"/>
                <w:snapToGrid w:val="0"/>
                <w:color w:val="FFFFFF" w:themeColor="background1"/>
                <w:szCs w:val="20"/>
              </w:rPr>
            </w:pPr>
            <w:r w:rsidRPr="00045431">
              <w:rPr>
                <w:rFonts w:ascii="Arial Narrow" w:hAnsi="Arial Narrow" w:cs="Arial"/>
                <w:snapToGrid w:val="0"/>
                <w:color w:val="FFFFFF" w:themeColor="background1"/>
                <w:szCs w:val="20"/>
              </w:rPr>
              <w:t>Variable</w:t>
            </w:r>
          </w:p>
        </w:tc>
        <w:tc>
          <w:tcPr>
            <w:tcW w:w="0" w:type="dxa"/>
          </w:tcPr>
          <w:p w14:paraId="0FFFD9D9" w14:textId="77777777" w:rsidR="0054020E" w:rsidRPr="00045431" w:rsidRDefault="0054020E" w:rsidP="00F90D70">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napToGrid w:val="0"/>
                <w:color w:val="FFFFFF" w:themeColor="background1"/>
                <w:szCs w:val="20"/>
              </w:rPr>
            </w:pPr>
            <w:r w:rsidRPr="00045431">
              <w:rPr>
                <w:rFonts w:ascii="Arial Narrow" w:hAnsi="Arial Narrow" w:cs="Arial"/>
                <w:snapToGrid w:val="0"/>
                <w:color w:val="FFFFFF" w:themeColor="background1"/>
                <w:szCs w:val="20"/>
              </w:rPr>
              <w:t>Reference</w:t>
            </w:r>
          </w:p>
        </w:tc>
        <w:tc>
          <w:tcPr>
            <w:tcW w:w="0" w:type="dxa"/>
          </w:tcPr>
          <w:p w14:paraId="65551480" w14:textId="77777777" w:rsidR="0054020E" w:rsidRPr="00045431" w:rsidRDefault="0054020E" w:rsidP="00F90D70">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napToGrid w:val="0"/>
                <w:color w:val="FFFFFF" w:themeColor="background1"/>
                <w:szCs w:val="20"/>
              </w:rPr>
            </w:pPr>
            <w:r w:rsidRPr="00045431">
              <w:rPr>
                <w:rFonts w:ascii="Arial Narrow" w:hAnsi="Arial Narrow" w:cs="Arial"/>
                <w:snapToGrid w:val="0"/>
                <w:color w:val="FFFFFF" w:themeColor="background1"/>
                <w:szCs w:val="20"/>
              </w:rPr>
              <w:t>Aggressive</w:t>
            </w:r>
          </w:p>
        </w:tc>
      </w:tr>
      <w:tr w:rsidR="00C77DD5" w:rsidRPr="00045431" w14:paraId="3F9E69E4" w14:textId="77777777" w:rsidTr="00AF21BE">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0" w:type="dxa"/>
          </w:tcPr>
          <w:p w14:paraId="03C80869" w14:textId="77777777" w:rsidR="00C77DD5" w:rsidRPr="00045431" w:rsidRDefault="00C77DD5" w:rsidP="00F90D70">
            <w:pPr>
              <w:keepNext/>
              <w:rPr>
                <w:rFonts w:ascii="Arial Narrow" w:hAnsi="Arial Narrow" w:cs="Arial"/>
                <w:b/>
                <w:snapToGrid w:val="0"/>
                <w:szCs w:val="20"/>
              </w:rPr>
            </w:pPr>
            <w:r w:rsidRPr="00045431">
              <w:rPr>
                <w:rFonts w:ascii="Arial Narrow" w:hAnsi="Arial Narrow" w:cs="Arial"/>
                <w:b/>
                <w:snapToGrid w:val="0"/>
                <w:szCs w:val="20"/>
              </w:rPr>
              <w:t>Incentive levels</w:t>
            </w:r>
          </w:p>
        </w:tc>
        <w:tc>
          <w:tcPr>
            <w:tcW w:w="0" w:type="dxa"/>
          </w:tcPr>
          <w:p w14:paraId="2BF7499C" w14:textId="77777777" w:rsidR="00C77DD5" w:rsidRPr="00045431" w:rsidRDefault="00C77DD5" w:rsidP="00F90D70">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szCs w:val="20"/>
              </w:rPr>
            </w:pPr>
            <w:r w:rsidRPr="00045431">
              <w:rPr>
                <w:rFonts w:ascii="Arial Narrow" w:hAnsi="Arial Narrow" w:cs="Arial"/>
                <w:snapToGrid w:val="0"/>
                <w:szCs w:val="20"/>
              </w:rPr>
              <w:t>$/kWh</w:t>
            </w:r>
          </w:p>
          <w:p w14:paraId="48CFB89E" w14:textId="77777777" w:rsidR="00C77DD5" w:rsidRPr="00045431" w:rsidRDefault="00C77DD5" w:rsidP="00F90D70">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szCs w:val="20"/>
              </w:rPr>
            </w:pPr>
            <w:r w:rsidRPr="00045431">
              <w:rPr>
                <w:rFonts w:ascii="Arial Narrow" w:hAnsi="Arial Narrow" w:cs="Arial"/>
                <w:snapToGrid w:val="0"/>
                <w:szCs w:val="20"/>
              </w:rPr>
              <w:t>$/Therm</w:t>
            </w:r>
          </w:p>
          <w:p w14:paraId="63EA6228" w14:textId="77777777" w:rsidR="00C77DD5" w:rsidRPr="00045431" w:rsidRDefault="00C77DD5" w:rsidP="00F90D70">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szCs w:val="20"/>
              </w:rPr>
            </w:pPr>
            <w:r w:rsidRPr="00045431">
              <w:rPr>
                <w:rFonts w:ascii="Arial Narrow" w:hAnsi="Arial Narrow" w:cs="Arial"/>
                <w:snapToGrid w:val="0"/>
                <w:szCs w:val="20"/>
              </w:rPr>
              <w:t>Capped at 50% of incremental Cost</w:t>
            </w:r>
          </w:p>
        </w:tc>
        <w:tc>
          <w:tcPr>
            <w:tcW w:w="0" w:type="dxa"/>
          </w:tcPr>
          <w:p w14:paraId="31C493CA" w14:textId="77777777" w:rsidR="00C77DD5" w:rsidRPr="00045431" w:rsidRDefault="00C77DD5" w:rsidP="00F90D70">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szCs w:val="20"/>
              </w:rPr>
            </w:pPr>
            <w:r w:rsidRPr="00045431">
              <w:rPr>
                <w:rFonts w:ascii="Arial Narrow" w:hAnsi="Arial Narrow" w:cs="Arial"/>
                <w:snapToGrid w:val="0"/>
                <w:szCs w:val="20"/>
              </w:rPr>
              <w:t>$/kWh</w:t>
            </w:r>
          </w:p>
          <w:p w14:paraId="5D667E81" w14:textId="77777777" w:rsidR="00C77DD5" w:rsidRPr="00045431" w:rsidRDefault="00C77DD5" w:rsidP="00F90D70">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szCs w:val="20"/>
              </w:rPr>
            </w:pPr>
            <w:r w:rsidRPr="00045431">
              <w:rPr>
                <w:rFonts w:ascii="Arial Narrow" w:hAnsi="Arial Narrow" w:cs="Arial"/>
                <w:snapToGrid w:val="0"/>
                <w:szCs w:val="20"/>
              </w:rPr>
              <w:t>$/Therm</w:t>
            </w:r>
          </w:p>
          <w:p w14:paraId="400FF7B3" w14:textId="77777777" w:rsidR="00C77DD5" w:rsidRPr="00045431" w:rsidRDefault="00C77DD5" w:rsidP="00F90D70">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szCs w:val="20"/>
              </w:rPr>
            </w:pPr>
            <w:r w:rsidRPr="00045431">
              <w:rPr>
                <w:rFonts w:ascii="Arial Narrow" w:hAnsi="Arial Narrow" w:cs="Arial"/>
                <w:snapToGrid w:val="0"/>
                <w:szCs w:val="20"/>
              </w:rPr>
              <w:t>Capped at 75% of incremental Cost</w:t>
            </w:r>
          </w:p>
        </w:tc>
      </w:tr>
      <w:tr w:rsidR="00C77DD5" w:rsidRPr="00045431" w14:paraId="3A2823E7" w14:textId="77777777" w:rsidTr="00AF21BE">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0" w:type="dxa"/>
          </w:tcPr>
          <w:p w14:paraId="3B511DD4" w14:textId="77777777" w:rsidR="00C77DD5" w:rsidRPr="00045431" w:rsidRDefault="00C77DD5" w:rsidP="00F90D70">
            <w:pPr>
              <w:keepNext/>
              <w:rPr>
                <w:rFonts w:ascii="Arial Narrow" w:hAnsi="Arial Narrow" w:cs="Arial"/>
                <w:b/>
                <w:snapToGrid w:val="0"/>
                <w:szCs w:val="20"/>
              </w:rPr>
            </w:pPr>
            <w:r w:rsidRPr="00045431">
              <w:rPr>
                <w:rFonts w:ascii="Arial Narrow" w:hAnsi="Arial Narrow" w:cs="Arial"/>
                <w:b/>
                <w:snapToGrid w:val="0"/>
                <w:szCs w:val="20"/>
              </w:rPr>
              <w:t>Marketing &amp; Outreach</w:t>
            </w:r>
          </w:p>
        </w:tc>
        <w:tc>
          <w:tcPr>
            <w:tcW w:w="0" w:type="dxa"/>
          </w:tcPr>
          <w:p w14:paraId="31F22B3A" w14:textId="77777777" w:rsidR="00C77DD5" w:rsidRPr="00045431" w:rsidRDefault="00C77DD5" w:rsidP="00F90D70">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20"/>
              </w:rPr>
            </w:pPr>
            <w:r w:rsidRPr="00045431">
              <w:rPr>
                <w:rFonts w:ascii="Arial Narrow" w:hAnsi="Arial Narrow" w:cs="Arial"/>
                <w:snapToGrid w:val="0"/>
                <w:szCs w:val="20"/>
              </w:rPr>
              <w:t>(default calibrated value)</w:t>
            </w:r>
          </w:p>
        </w:tc>
        <w:tc>
          <w:tcPr>
            <w:tcW w:w="0" w:type="dxa"/>
          </w:tcPr>
          <w:p w14:paraId="32712869" w14:textId="77777777" w:rsidR="00C77DD5" w:rsidRPr="00045431" w:rsidRDefault="00C77DD5" w:rsidP="00F90D70">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20"/>
              </w:rPr>
            </w:pPr>
            <w:r w:rsidRPr="00045431">
              <w:rPr>
                <w:rFonts w:ascii="Arial Narrow" w:hAnsi="Arial Narrow" w:cs="Arial"/>
                <w:snapToGrid w:val="0"/>
                <w:szCs w:val="20"/>
              </w:rPr>
              <w:t xml:space="preserve">Increased marketing strength </w:t>
            </w:r>
          </w:p>
        </w:tc>
      </w:tr>
      <w:tr w:rsidR="00C77DD5" w:rsidRPr="00045431" w14:paraId="2847A3A9" w14:textId="77777777" w:rsidTr="00AF21BE">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0" w:type="dxa"/>
          </w:tcPr>
          <w:p w14:paraId="30F63401" w14:textId="77777777" w:rsidR="00C77DD5" w:rsidRPr="00045431" w:rsidRDefault="00D84DAE" w:rsidP="00F90D70">
            <w:pPr>
              <w:keepNext/>
              <w:rPr>
                <w:rFonts w:ascii="Arial Narrow" w:hAnsi="Arial Narrow" w:cs="Arial"/>
                <w:b/>
                <w:snapToGrid w:val="0"/>
                <w:szCs w:val="20"/>
              </w:rPr>
            </w:pPr>
            <w:r w:rsidRPr="00045431">
              <w:rPr>
                <w:rFonts w:ascii="Arial Narrow" w:hAnsi="Arial Narrow" w:cs="Arial"/>
                <w:b/>
                <w:snapToGrid w:val="0"/>
                <w:szCs w:val="20"/>
              </w:rPr>
              <w:t xml:space="preserve">BROs </w:t>
            </w:r>
          </w:p>
        </w:tc>
        <w:tc>
          <w:tcPr>
            <w:tcW w:w="0" w:type="dxa"/>
          </w:tcPr>
          <w:p w14:paraId="7035D118" w14:textId="77777777" w:rsidR="00C77DD5" w:rsidRPr="00045431" w:rsidRDefault="00D84DAE" w:rsidP="00F90D70">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szCs w:val="20"/>
              </w:rPr>
            </w:pPr>
            <w:r>
              <w:rPr>
                <w:rFonts w:ascii="Arial Narrow" w:hAnsi="Arial Narrow" w:cs="Arial"/>
                <w:snapToGrid w:val="0"/>
                <w:szCs w:val="20"/>
              </w:rPr>
              <w:t xml:space="preserve">Continued offering of existing BROs interventions and planned new interventions based on policy directions </w:t>
            </w:r>
          </w:p>
        </w:tc>
        <w:tc>
          <w:tcPr>
            <w:tcW w:w="0" w:type="dxa"/>
          </w:tcPr>
          <w:p w14:paraId="5BA3718A" w14:textId="77777777" w:rsidR="00C77DD5" w:rsidRPr="00045431" w:rsidRDefault="00D84DAE" w:rsidP="00F90D70">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szCs w:val="20"/>
              </w:rPr>
            </w:pPr>
            <w:r>
              <w:rPr>
                <w:rFonts w:ascii="Arial Narrow" w:hAnsi="Arial Narrow" w:cs="Arial"/>
                <w:snapToGrid w:val="0"/>
                <w:szCs w:val="20"/>
              </w:rPr>
              <w:t xml:space="preserve">Additional BROs interventions that had limited verified data though show promise for possible savings </w:t>
            </w:r>
          </w:p>
        </w:tc>
      </w:tr>
      <w:tr w:rsidR="00C77DD5" w:rsidRPr="00045431" w14:paraId="567A014E" w14:textId="77777777" w:rsidTr="00AF21BE">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0" w:type="dxa"/>
          </w:tcPr>
          <w:p w14:paraId="5F5E4CC8" w14:textId="77777777" w:rsidR="00C77DD5" w:rsidRPr="00045431" w:rsidRDefault="00C77DD5" w:rsidP="001E31E0">
            <w:pPr>
              <w:rPr>
                <w:rFonts w:ascii="Arial Narrow" w:hAnsi="Arial Narrow"/>
                <w:b/>
                <w:szCs w:val="20"/>
              </w:rPr>
            </w:pPr>
            <w:r w:rsidRPr="00045431">
              <w:rPr>
                <w:rFonts w:ascii="Arial Narrow" w:hAnsi="Arial Narrow" w:cs="Arial"/>
                <w:b/>
                <w:snapToGrid w:val="0"/>
                <w:szCs w:val="20"/>
              </w:rPr>
              <w:t>IOU financing programs</w:t>
            </w:r>
          </w:p>
        </w:tc>
        <w:tc>
          <w:tcPr>
            <w:tcW w:w="0" w:type="dxa"/>
          </w:tcPr>
          <w:p w14:paraId="3FB46BF3" w14:textId="77777777" w:rsidR="00C77DD5" w:rsidRPr="00045431" w:rsidRDefault="00C77DD5" w:rsidP="001E31E0">
            <w:pPr>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20"/>
              </w:rPr>
            </w:pPr>
            <w:r w:rsidRPr="00045431">
              <w:rPr>
                <w:rFonts w:ascii="Arial Narrow" w:hAnsi="Arial Narrow" w:cs="Arial"/>
                <w:snapToGrid w:val="0"/>
                <w:szCs w:val="20"/>
              </w:rPr>
              <w:t>No savings claimed from financing programs</w:t>
            </w:r>
            <w:r w:rsidRPr="00045431">
              <w:rPr>
                <w:rStyle w:val="FootnoteReference"/>
                <w:rFonts w:ascii="Arial Narrow" w:hAnsi="Arial Narrow" w:cs="Arial"/>
                <w:snapToGrid w:val="0"/>
                <w:szCs w:val="20"/>
              </w:rPr>
              <w:footnoteReference w:id="46"/>
            </w:r>
          </w:p>
        </w:tc>
        <w:tc>
          <w:tcPr>
            <w:tcW w:w="0" w:type="dxa"/>
          </w:tcPr>
          <w:p w14:paraId="079E1436" w14:textId="77777777" w:rsidR="00C77DD5" w:rsidRPr="00045431" w:rsidRDefault="00C77DD5" w:rsidP="001E31E0">
            <w:pPr>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20"/>
              </w:rPr>
            </w:pPr>
            <w:r w:rsidRPr="00045431">
              <w:rPr>
                <w:rFonts w:ascii="Arial Narrow" w:hAnsi="Arial Narrow" w:cs="Arial"/>
                <w:snapToGrid w:val="0"/>
                <w:szCs w:val="20"/>
              </w:rPr>
              <w:t>IOU financing programs broadly available to Residential and Commercial customers</w:t>
            </w:r>
          </w:p>
        </w:tc>
      </w:tr>
    </w:tbl>
    <w:p w14:paraId="2190F530" w14:textId="77777777" w:rsidR="00C77DD5" w:rsidRDefault="00C77DD5" w:rsidP="00E05744"/>
    <w:p w14:paraId="511B02D6" w14:textId="77777777" w:rsidR="00E05744" w:rsidRDefault="00E05744" w:rsidP="00E05744">
      <w:pPr>
        <w:pStyle w:val="Heading1"/>
      </w:pPr>
      <w:bookmarkStart w:id="332" w:name="_Toc478990503"/>
      <w:bookmarkStart w:id="333" w:name="_Toc479768576"/>
      <w:bookmarkStart w:id="334" w:name="_Toc482357303"/>
      <w:bookmarkStart w:id="335" w:name="_Toc482634279"/>
      <w:bookmarkStart w:id="336" w:name="_Toc482626411"/>
      <w:bookmarkStart w:id="337" w:name="_Toc484092482"/>
      <w:bookmarkStart w:id="338" w:name="_Toc484172686"/>
      <w:bookmarkStart w:id="339" w:name="_Toc484183022"/>
      <w:bookmarkStart w:id="340" w:name="_Toc490225779"/>
      <w:r>
        <w:lastRenderedPageBreak/>
        <w:t>Data Sources</w:t>
      </w:r>
      <w:bookmarkEnd w:id="332"/>
      <w:bookmarkEnd w:id="333"/>
      <w:bookmarkEnd w:id="334"/>
      <w:bookmarkEnd w:id="335"/>
      <w:bookmarkEnd w:id="336"/>
      <w:bookmarkEnd w:id="337"/>
      <w:bookmarkEnd w:id="338"/>
      <w:bookmarkEnd w:id="339"/>
      <w:bookmarkEnd w:id="340"/>
    </w:p>
    <w:p w14:paraId="1448A1C3" w14:textId="77777777" w:rsidR="00E05744" w:rsidRDefault="00E05744" w:rsidP="00E05744">
      <w:r w:rsidRPr="00FC2902">
        <w:t xml:space="preserve">The data sources relied upon in </w:t>
      </w:r>
      <w:r w:rsidR="00584D27" w:rsidRPr="00FC2902">
        <w:t>the 201</w:t>
      </w:r>
      <w:r w:rsidR="00A26D05">
        <w:t>8</w:t>
      </w:r>
      <w:r w:rsidR="00584D27" w:rsidRPr="00FC2902">
        <w:t xml:space="preserve"> PG study are</w:t>
      </w:r>
      <w:r w:rsidRPr="00FC2902">
        <w:t xml:space="preserve"> vast and varied. Throughout the </w:t>
      </w:r>
      <w:r w:rsidR="00584D27" w:rsidRPr="00FC2902">
        <w:t>study</w:t>
      </w:r>
      <w:r w:rsidR="006D20BB">
        <w:t>,</w:t>
      </w:r>
      <w:r w:rsidR="00584D27" w:rsidRPr="00FC2902">
        <w:t xml:space="preserve"> </w:t>
      </w:r>
      <w:r w:rsidRPr="00FC2902">
        <w:t xml:space="preserve">the Navigant team sought to rely upon </w:t>
      </w:r>
      <w:r w:rsidR="005F62BE" w:rsidRPr="00FC2902">
        <w:t>CPUC-</w:t>
      </w:r>
      <w:r w:rsidRPr="00FC2902">
        <w:t xml:space="preserve">vetted products as much as possible. However, in several cases, the team needed to seek alternate data sources where CPUC </w:t>
      </w:r>
      <w:r w:rsidR="005F62BE" w:rsidRPr="00FC2902">
        <w:t xml:space="preserve">resources </w:t>
      </w:r>
      <w:r w:rsidRPr="00FC2902">
        <w:t xml:space="preserve">did not provide the necessary information.  This chapter describes the data update process and sources for key topic areas. </w:t>
      </w:r>
    </w:p>
    <w:p w14:paraId="41727D66" w14:textId="77777777" w:rsidR="00E05744" w:rsidRDefault="00E05744" w:rsidP="00E05744">
      <w:pPr>
        <w:pStyle w:val="Heading2"/>
      </w:pPr>
      <w:bookmarkStart w:id="341" w:name="_Toc478990504"/>
      <w:bookmarkStart w:id="342" w:name="_Toc479768577"/>
      <w:bookmarkStart w:id="343" w:name="_Toc482357304"/>
      <w:bookmarkStart w:id="344" w:name="_Toc482634280"/>
      <w:bookmarkStart w:id="345" w:name="_Toc482626412"/>
      <w:bookmarkStart w:id="346" w:name="_Toc484092483"/>
      <w:bookmarkStart w:id="347" w:name="_Toc484172687"/>
      <w:bookmarkStart w:id="348" w:name="_Toc484183023"/>
      <w:bookmarkStart w:id="349" w:name="_Toc490225780"/>
      <w:r>
        <w:t>Global Inputs</w:t>
      </w:r>
      <w:bookmarkEnd w:id="341"/>
      <w:bookmarkEnd w:id="342"/>
      <w:bookmarkEnd w:id="343"/>
      <w:bookmarkEnd w:id="344"/>
      <w:bookmarkEnd w:id="345"/>
      <w:bookmarkEnd w:id="346"/>
      <w:bookmarkEnd w:id="347"/>
      <w:bookmarkEnd w:id="348"/>
      <w:bookmarkEnd w:id="349"/>
    </w:p>
    <w:p w14:paraId="60417770" w14:textId="77777777" w:rsidR="00E05744" w:rsidRDefault="00E05744" w:rsidP="00E05744">
      <w:r>
        <w:t xml:space="preserve">Global inputs are macro-level model inputs that are not specific to any measure, but rather apply to market segments or sectors. Navigant reviewed the data source for each of these inputs to ensure that the most recent data is utilized for the </w:t>
      </w:r>
      <w:r w:rsidR="00BB59F5">
        <w:t>2018</w:t>
      </w:r>
      <w:r>
        <w:t xml:space="preserve"> PG Model update. </w:t>
      </w:r>
      <w:r>
        <w:rPr>
          <w:highlight w:val="yellow"/>
        </w:rPr>
        <w:fldChar w:fldCharType="begin"/>
      </w:r>
      <w:r>
        <w:instrText xml:space="preserve"> REF _Ref474518029 \h </w:instrText>
      </w:r>
      <w:r>
        <w:rPr>
          <w:highlight w:val="yellow"/>
        </w:rPr>
      </w:r>
      <w:r>
        <w:rPr>
          <w:highlight w:val="yellow"/>
        </w:rPr>
        <w:fldChar w:fldCharType="separate"/>
      </w:r>
      <w:r w:rsidR="007566B9">
        <w:t xml:space="preserve">Table </w:t>
      </w:r>
      <w:r>
        <w:rPr>
          <w:highlight w:val="yellow"/>
        </w:rPr>
        <w:fldChar w:fldCharType="end"/>
      </w:r>
      <w:r>
        <w:t xml:space="preserve">provides an overview of all the global inputs within the </w:t>
      </w:r>
      <w:r w:rsidR="00BB59F5">
        <w:t>2018</w:t>
      </w:r>
      <w:r>
        <w:t xml:space="preserve"> model</w:t>
      </w:r>
      <w:r w:rsidR="00BD438E">
        <w:t xml:space="preserve"> and their </w:t>
      </w:r>
      <w:r>
        <w:t xml:space="preserve">data source. </w:t>
      </w:r>
      <w:r w:rsidR="00DD2E3C">
        <w:t xml:space="preserve">This </w:t>
      </w:r>
      <w:r w:rsidR="00BD438E">
        <w:t>section</w:t>
      </w:r>
      <w:r w:rsidR="00DD2E3C">
        <w:t xml:space="preserve"> discusses each </w:t>
      </w:r>
      <w:r>
        <w:t xml:space="preserve">item in </w:t>
      </w:r>
      <w:r w:rsidR="008D63F4">
        <w:fldChar w:fldCharType="begin"/>
      </w:r>
      <w:r w:rsidR="008D63F4">
        <w:instrText xml:space="preserve"> REF _Ref490227651 \h </w:instrText>
      </w:r>
      <w:r w:rsidR="008D63F4">
        <w:fldChar w:fldCharType="separate"/>
      </w:r>
      <w:r w:rsidR="008D63F4">
        <w:t xml:space="preserve">Table </w:t>
      </w:r>
      <w:r w:rsidR="008D63F4">
        <w:rPr>
          <w:noProof/>
        </w:rPr>
        <w:t>3</w:t>
      </w:r>
      <w:r w:rsidR="008D63F4">
        <w:noBreakHyphen/>
      </w:r>
      <w:r w:rsidR="008D63F4">
        <w:rPr>
          <w:noProof/>
        </w:rPr>
        <w:t>1</w:t>
      </w:r>
      <w:r w:rsidR="008D63F4">
        <w:fldChar w:fldCharType="end"/>
      </w:r>
      <w:r w:rsidR="008D63F4">
        <w:t xml:space="preserve"> </w:t>
      </w:r>
      <w:r>
        <w:t xml:space="preserve">in further detail in the </w:t>
      </w:r>
      <w:r w:rsidR="00DD2E3C">
        <w:t>sub-</w:t>
      </w:r>
      <w:r>
        <w:t>sections that follow.</w:t>
      </w:r>
    </w:p>
    <w:p w14:paraId="4A8FE52B" w14:textId="77777777" w:rsidR="00E05744" w:rsidRDefault="00E05744" w:rsidP="00E05744"/>
    <w:p w14:paraId="0D578887" w14:textId="77777777" w:rsidR="00E05744" w:rsidRDefault="00E05744" w:rsidP="00E05744">
      <w:pPr>
        <w:pStyle w:val="Caption"/>
      </w:pPr>
      <w:bookmarkStart w:id="350" w:name="_Ref474518029"/>
      <w:bookmarkStart w:id="351" w:name="_Ref478991892"/>
      <w:bookmarkStart w:id="352" w:name="_Ref490227651"/>
      <w:bookmarkStart w:id="353" w:name="_Toc482634209"/>
      <w:bookmarkStart w:id="354" w:name="_Toc484436948"/>
      <w:bookmarkStart w:id="355" w:name="_Toc490560659"/>
      <w:r>
        <w:t xml:space="preserve">Table </w:t>
      </w:r>
      <w:bookmarkEnd w:id="350"/>
      <w:r w:rsidR="00C17D59">
        <w:fldChar w:fldCharType="begin"/>
      </w:r>
      <w:r w:rsidR="00C17D59">
        <w:instrText xml:space="preserve"> STYLEREF 1 \s </w:instrText>
      </w:r>
      <w:r w:rsidR="00C17D59">
        <w:fldChar w:fldCharType="separate"/>
      </w:r>
      <w:r w:rsidR="007566B9">
        <w:rPr>
          <w:noProof/>
        </w:rPr>
        <w:t>3</w:t>
      </w:r>
      <w:r w:rsidR="00C17D59">
        <w:fldChar w:fldCharType="end"/>
      </w:r>
      <w:r w:rsidR="00C17D59">
        <w:noBreakHyphen/>
      </w:r>
      <w:bookmarkEnd w:id="351"/>
      <w:r w:rsidR="00B206D8">
        <w:fldChar w:fldCharType="begin"/>
      </w:r>
      <w:r w:rsidR="00B206D8">
        <w:instrText xml:space="preserve"> SEQ Table \* ARABIC \s 1 </w:instrText>
      </w:r>
      <w:r w:rsidR="00B206D8">
        <w:fldChar w:fldCharType="separate"/>
      </w:r>
      <w:r w:rsidR="007566B9">
        <w:rPr>
          <w:noProof/>
        </w:rPr>
        <w:t>1</w:t>
      </w:r>
      <w:r w:rsidR="00B206D8">
        <w:rPr>
          <w:noProof/>
        </w:rPr>
        <w:fldChar w:fldCharType="end"/>
      </w:r>
      <w:bookmarkEnd w:id="352"/>
      <w:r>
        <w:t>. Overview of Global Inputs Updates and Sources</w:t>
      </w:r>
      <w:bookmarkEnd w:id="353"/>
      <w:bookmarkEnd w:id="354"/>
      <w:bookmarkEnd w:id="355"/>
    </w:p>
    <w:tbl>
      <w:tblPr>
        <w:tblStyle w:val="EnergyTable1"/>
        <w:tblW w:w="8730" w:type="dxa"/>
        <w:tblLook w:val="0620" w:firstRow="1" w:lastRow="0" w:firstColumn="0" w:lastColumn="0" w:noHBand="1" w:noVBand="1"/>
      </w:tblPr>
      <w:tblGrid>
        <w:gridCol w:w="2369"/>
        <w:gridCol w:w="6361"/>
      </w:tblGrid>
      <w:tr w:rsidR="00C624A7" w:rsidRPr="00EA31F9" w14:paraId="3CC1972F" w14:textId="77777777" w:rsidTr="00AF21BE">
        <w:trPr>
          <w:cnfStyle w:val="100000000000" w:firstRow="1" w:lastRow="0" w:firstColumn="0" w:lastColumn="0" w:oddVBand="0" w:evenVBand="0" w:oddHBand="0" w:evenHBand="0" w:firstRowFirstColumn="0" w:firstRowLastColumn="0" w:lastRowFirstColumn="0" w:lastRowLastColumn="0"/>
        </w:trPr>
        <w:tc>
          <w:tcPr>
            <w:tcW w:w="0" w:type="dxa"/>
          </w:tcPr>
          <w:p w14:paraId="721D57B7" w14:textId="77777777" w:rsidR="00C624A7" w:rsidRPr="00EA31F9" w:rsidRDefault="00C624A7" w:rsidP="00412E8E">
            <w:pPr>
              <w:rPr>
                <w:rFonts w:ascii="Arial Narrow" w:hAnsi="Arial Narrow"/>
                <w:bCs/>
                <w:szCs w:val="20"/>
              </w:rPr>
            </w:pPr>
            <w:r w:rsidRPr="00EA31F9">
              <w:rPr>
                <w:rFonts w:ascii="Arial Narrow" w:hAnsi="Arial Narrow"/>
                <w:bCs/>
                <w:szCs w:val="20"/>
              </w:rPr>
              <w:t>Global Input</w:t>
            </w:r>
          </w:p>
          <w:p w14:paraId="6ABAFBEB" w14:textId="77777777" w:rsidR="00C624A7" w:rsidRPr="00EA31F9" w:rsidRDefault="00C624A7" w:rsidP="00412E8E">
            <w:pPr>
              <w:rPr>
                <w:rFonts w:ascii="Arial Narrow" w:hAnsi="Arial Narrow"/>
                <w:bCs/>
                <w:i/>
                <w:szCs w:val="20"/>
              </w:rPr>
            </w:pPr>
            <w:r w:rsidRPr="00EA31F9">
              <w:rPr>
                <w:rFonts w:ascii="Arial Narrow" w:hAnsi="Arial Narrow"/>
                <w:bCs/>
                <w:i/>
                <w:szCs w:val="20"/>
              </w:rPr>
              <w:t>(description)</w:t>
            </w:r>
          </w:p>
        </w:tc>
        <w:tc>
          <w:tcPr>
            <w:tcW w:w="0" w:type="dxa"/>
          </w:tcPr>
          <w:p w14:paraId="225F4AB4" w14:textId="77777777" w:rsidR="00C624A7" w:rsidRPr="00EA31F9" w:rsidRDefault="00C624A7" w:rsidP="00412E8E">
            <w:pPr>
              <w:rPr>
                <w:rFonts w:ascii="Arial Narrow" w:hAnsi="Arial Narrow"/>
                <w:bCs/>
                <w:szCs w:val="20"/>
              </w:rPr>
            </w:pPr>
            <w:r w:rsidRPr="00EA31F9">
              <w:rPr>
                <w:rFonts w:ascii="Arial Narrow" w:hAnsi="Arial Narrow"/>
                <w:bCs/>
                <w:szCs w:val="20"/>
              </w:rPr>
              <w:t>Data Source for Update</w:t>
            </w:r>
          </w:p>
        </w:tc>
      </w:tr>
      <w:tr w:rsidR="00C624A7" w:rsidRPr="001E1827" w14:paraId="5E23AD12" w14:textId="77777777" w:rsidTr="00AF21BE">
        <w:tc>
          <w:tcPr>
            <w:tcW w:w="0" w:type="dxa"/>
          </w:tcPr>
          <w:p w14:paraId="69D1BDF6" w14:textId="77777777" w:rsidR="00E27C1E" w:rsidRPr="00EA31F9" w:rsidRDefault="00E27C1E" w:rsidP="00E27C1E">
            <w:pPr>
              <w:jc w:val="left"/>
              <w:rPr>
                <w:rFonts w:ascii="Arial Narrow" w:hAnsi="Arial Narrow"/>
                <w:b/>
                <w:szCs w:val="20"/>
              </w:rPr>
            </w:pPr>
            <w:r w:rsidRPr="00EA31F9">
              <w:rPr>
                <w:rFonts w:ascii="Arial Narrow" w:hAnsi="Arial Narrow"/>
                <w:b/>
                <w:szCs w:val="20"/>
              </w:rPr>
              <w:t>Retail Rates</w:t>
            </w:r>
          </w:p>
          <w:p w14:paraId="2E71890B" w14:textId="77777777" w:rsidR="00C624A7" w:rsidRPr="00EA31F9" w:rsidRDefault="00E27C1E" w:rsidP="00E27C1E">
            <w:pPr>
              <w:jc w:val="left"/>
              <w:rPr>
                <w:rFonts w:ascii="Arial Narrow" w:hAnsi="Arial Narrow"/>
                <w:bCs/>
                <w:i/>
                <w:szCs w:val="20"/>
              </w:rPr>
            </w:pPr>
            <w:r w:rsidRPr="00EA31F9">
              <w:rPr>
                <w:rFonts w:ascii="Arial Narrow" w:hAnsi="Arial Narrow"/>
                <w:i/>
                <w:szCs w:val="20"/>
              </w:rPr>
              <w:t>($/kWh, $/therm)</w:t>
            </w:r>
          </w:p>
        </w:tc>
        <w:tc>
          <w:tcPr>
            <w:tcW w:w="0" w:type="dxa"/>
            <w:vMerge w:val="restart"/>
          </w:tcPr>
          <w:p w14:paraId="54A33C71" w14:textId="77777777" w:rsidR="00C624A7" w:rsidRPr="00FC2902" w:rsidRDefault="00C624A7" w:rsidP="00361DEA">
            <w:pPr>
              <w:spacing w:after="120"/>
              <w:rPr>
                <w:rFonts w:ascii="Arial Narrow" w:hAnsi="Arial Narrow"/>
                <w:szCs w:val="20"/>
              </w:rPr>
            </w:pPr>
            <w:r w:rsidRPr="00FC2902">
              <w:rPr>
                <w:rFonts w:ascii="Arial Narrow" w:hAnsi="Arial Narrow"/>
                <w:szCs w:val="20"/>
              </w:rPr>
              <w:t xml:space="preserve">CEC - </w:t>
            </w:r>
            <w:r w:rsidR="00654884" w:rsidRPr="00FC2902">
              <w:rPr>
                <w:rFonts w:ascii="Arial Narrow" w:hAnsi="Arial Narrow"/>
                <w:i/>
                <w:iCs/>
                <w:szCs w:val="20"/>
              </w:rPr>
              <w:t xml:space="preserve">2016 </w:t>
            </w:r>
            <w:r w:rsidRPr="00FC2902">
              <w:rPr>
                <w:rFonts w:ascii="Arial Narrow" w:hAnsi="Arial Narrow"/>
                <w:i/>
                <w:szCs w:val="20"/>
              </w:rPr>
              <w:t xml:space="preserve">Integrated Energy Policy Report (IEPR) Update and Demand Forecast Forms. </w:t>
            </w:r>
            <w:r w:rsidRPr="00FC2902">
              <w:rPr>
                <w:rFonts w:ascii="Arial Narrow" w:hAnsi="Arial Narrow"/>
                <w:szCs w:val="20"/>
              </w:rPr>
              <w:t xml:space="preserve">Adopted </w:t>
            </w:r>
            <w:r w:rsidR="00654884">
              <w:rPr>
                <w:rFonts w:ascii="Arial Narrow" w:hAnsi="Arial Narrow"/>
                <w:szCs w:val="20"/>
              </w:rPr>
              <w:t>Feb</w:t>
            </w:r>
            <w:r w:rsidR="00654884" w:rsidRPr="00FC2902">
              <w:rPr>
                <w:rFonts w:ascii="Arial Narrow" w:hAnsi="Arial Narrow"/>
                <w:szCs w:val="20"/>
              </w:rPr>
              <w:t>. 2017</w:t>
            </w:r>
            <w:r w:rsidRPr="00FC2902">
              <w:rPr>
                <w:rFonts w:ascii="Arial Narrow" w:hAnsi="Arial Narrow"/>
                <w:szCs w:val="20"/>
              </w:rPr>
              <w:t>.</w:t>
            </w:r>
          </w:p>
          <w:p w14:paraId="1552A5E7" w14:textId="77777777" w:rsidR="00DD2E3C" w:rsidRDefault="00C624A7" w:rsidP="00361DEA">
            <w:pPr>
              <w:spacing w:after="200"/>
              <w:rPr>
                <w:rFonts w:ascii="Arial Narrow" w:hAnsi="Arial Narrow"/>
                <w:bCs/>
                <w:i/>
                <w:szCs w:val="20"/>
              </w:rPr>
            </w:pPr>
            <w:r w:rsidRPr="00FC2902">
              <w:rPr>
                <w:rFonts w:ascii="Arial Narrow" w:hAnsi="Arial Narrow"/>
                <w:szCs w:val="20"/>
              </w:rPr>
              <w:t xml:space="preserve">Excel Demand Forecast Forms available at: </w:t>
            </w:r>
            <w:r w:rsidRPr="00654884">
              <w:rPr>
                <w:rFonts w:ascii="Arial Narrow" w:hAnsi="Arial Narrow"/>
                <w:i/>
                <w:szCs w:val="20"/>
              </w:rPr>
              <w:t>http://www.energy.ca.gov/</w:t>
            </w:r>
            <w:r w:rsidR="00654884" w:rsidRPr="00654884">
              <w:rPr>
                <w:rFonts w:ascii="Arial Narrow" w:hAnsi="Arial Narrow"/>
                <w:bCs/>
                <w:i/>
                <w:szCs w:val="20"/>
              </w:rPr>
              <w:t>2016_energypolicy/documents/</w:t>
            </w:r>
          </w:p>
          <w:p w14:paraId="1EB34325" w14:textId="77777777" w:rsidR="00C624A7" w:rsidRPr="00FC2902" w:rsidRDefault="0052132D" w:rsidP="00361DEA">
            <w:pPr>
              <w:spacing w:after="200"/>
              <w:rPr>
                <w:rFonts w:ascii="Arial Narrow" w:hAnsi="Arial Narrow"/>
                <w:i/>
                <w:szCs w:val="20"/>
              </w:rPr>
            </w:pPr>
            <w:r w:rsidRPr="00BD438E">
              <w:rPr>
                <w:rFonts w:ascii="Arial Narrow" w:hAnsi="Arial Narrow"/>
                <w:bCs/>
                <w:szCs w:val="20"/>
              </w:rPr>
              <w:t>CPUC</w:t>
            </w:r>
            <w:r w:rsidRPr="00BD438E">
              <w:rPr>
                <w:rFonts w:ascii="Arial Narrow" w:hAnsi="Arial Narrow"/>
                <w:bCs/>
                <w:i/>
                <w:szCs w:val="20"/>
              </w:rPr>
              <w:t xml:space="preserve"> – California </w:t>
            </w:r>
            <w:r w:rsidR="00EF772A" w:rsidRPr="00BD438E">
              <w:rPr>
                <w:rFonts w:ascii="Arial Narrow" w:hAnsi="Arial Narrow"/>
                <w:bCs/>
                <w:i/>
                <w:szCs w:val="20"/>
              </w:rPr>
              <w:t xml:space="preserve">Energy Consumption </w:t>
            </w:r>
            <w:r w:rsidRPr="00BD438E">
              <w:rPr>
                <w:rFonts w:ascii="Arial Narrow" w:hAnsi="Arial Narrow"/>
                <w:bCs/>
                <w:i/>
                <w:szCs w:val="20"/>
              </w:rPr>
              <w:t xml:space="preserve">Database </w:t>
            </w:r>
            <w:r w:rsidR="00E75460">
              <w:rPr>
                <w:rFonts w:ascii="Arial Narrow" w:hAnsi="Arial Narrow"/>
                <w:bCs/>
                <w:i/>
                <w:szCs w:val="20"/>
              </w:rPr>
              <w:t>(</w:t>
            </w:r>
            <w:r w:rsidR="00DD2E3C" w:rsidRPr="0052132D">
              <w:rPr>
                <w:rFonts w:ascii="Arial Narrow" w:hAnsi="Arial Narrow"/>
                <w:bCs/>
                <w:i/>
                <w:szCs w:val="20"/>
              </w:rPr>
              <w:t>ECDMS</w:t>
            </w:r>
            <w:r w:rsidR="00E75460">
              <w:rPr>
                <w:rFonts w:ascii="Arial Narrow" w:hAnsi="Arial Narrow"/>
                <w:bCs/>
                <w:i/>
                <w:szCs w:val="20"/>
              </w:rPr>
              <w:t>)</w:t>
            </w:r>
            <w:r>
              <w:rPr>
                <w:rFonts w:ascii="Arial Narrow" w:hAnsi="Arial Narrow"/>
                <w:bCs/>
                <w:i/>
                <w:szCs w:val="20"/>
              </w:rPr>
              <w:t xml:space="preserve">.  </w:t>
            </w:r>
            <w:r w:rsidRPr="00BD438E">
              <w:rPr>
                <w:rFonts w:ascii="Arial Narrow" w:hAnsi="Arial Narrow"/>
                <w:bCs/>
                <w:szCs w:val="20"/>
              </w:rPr>
              <w:t>Accessed: Apr. 2017</w:t>
            </w:r>
          </w:p>
        </w:tc>
      </w:tr>
      <w:tr w:rsidR="00C624A7" w:rsidRPr="00EA31F9" w14:paraId="07B73594" w14:textId="77777777" w:rsidTr="00AF21BE">
        <w:tc>
          <w:tcPr>
            <w:tcW w:w="0" w:type="dxa"/>
          </w:tcPr>
          <w:p w14:paraId="19B36215" w14:textId="77777777" w:rsidR="00E27C1E" w:rsidRPr="00EA31F9" w:rsidRDefault="00E27C1E" w:rsidP="00E27C1E">
            <w:pPr>
              <w:jc w:val="left"/>
              <w:rPr>
                <w:rFonts w:ascii="Arial Narrow" w:hAnsi="Arial Narrow"/>
                <w:b/>
                <w:szCs w:val="20"/>
              </w:rPr>
            </w:pPr>
            <w:r w:rsidRPr="00EA31F9">
              <w:rPr>
                <w:rFonts w:ascii="Arial Narrow" w:hAnsi="Arial Narrow"/>
                <w:b/>
                <w:szCs w:val="20"/>
              </w:rPr>
              <w:t>Sales Forecasts</w:t>
            </w:r>
          </w:p>
          <w:p w14:paraId="11C6919B" w14:textId="77777777" w:rsidR="00C624A7" w:rsidRPr="00EA31F9" w:rsidRDefault="00E27C1E" w:rsidP="00E27C1E">
            <w:pPr>
              <w:jc w:val="left"/>
              <w:rPr>
                <w:rFonts w:ascii="Arial Narrow" w:hAnsi="Arial Narrow"/>
                <w:bCs/>
                <w:i/>
                <w:szCs w:val="20"/>
              </w:rPr>
            </w:pPr>
            <w:r w:rsidRPr="00EA31F9">
              <w:rPr>
                <w:rFonts w:ascii="Arial Narrow" w:hAnsi="Arial Narrow"/>
                <w:i/>
                <w:szCs w:val="20"/>
              </w:rPr>
              <w:t>(GWh, MW, and MM Therms)</w:t>
            </w:r>
          </w:p>
        </w:tc>
        <w:tc>
          <w:tcPr>
            <w:tcW w:w="0" w:type="dxa"/>
            <w:vMerge/>
          </w:tcPr>
          <w:p w14:paraId="09CC8FD9" w14:textId="77777777" w:rsidR="00C624A7" w:rsidRPr="00C624A7" w:rsidRDefault="00C624A7" w:rsidP="00361DEA">
            <w:pPr>
              <w:rPr>
                <w:rFonts w:ascii="Arial Narrow" w:hAnsi="Arial Narrow"/>
                <w:bCs/>
                <w:szCs w:val="20"/>
                <w:highlight w:val="yellow"/>
              </w:rPr>
            </w:pPr>
          </w:p>
        </w:tc>
      </w:tr>
      <w:tr w:rsidR="00C624A7" w:rsidRPr="00EA31F9" w14:paraId="24BEB4D3" w14:textId="77777777" w:rsidTr="00AF21BE">
        <w:tc>
          <w:tcPr>
            <w:tcW w:w="0" w:type="dxa"/>
          </w:tcPr>
          <w:p w14:paraId="1A8F15A8" w14:textId="77777777" w:rsidR="00E27C1E" w:rsidRPr="00EA31F9" w:rsidRDefault="00E27C1E" w:rsidP="00E27C1E">
            <w:pPr>
              <w:jc w:val="left"/>
              <w:rPr>
                <w:rFonts w:ascii="Arial Narrow" w:hAnsi="Arial Narrow"/>
                <w:b/>
                <w:szCs w:val="20"/>
              </w:rPr>
            </w:pPr>
            <w:r w:rsidRPr="00EA31F9">
              <w:rPr>
                <w:rFonts w:ascii="Arial Narrow" w:hAnsi="Arial Narrow"/>
                <w:b/>
                <w:szCs w:val="20"/>
              </w:rPr>
              <w:t>Building Stocks</w:t>
            </w:r>
          </w:p>
          <w:p w14:paraId="7E3E8BEB" w14:textId="77777777" w:rsidR="00C624A7" w:rsidRPr="00EA31F9" w:rsidRDefault="00E27C1E" w:rsidP="00E27C1E">
            <w:pPr>
              <w:jc w:val="left"/>
              <w:rPr>
                <w:rFonts w:ascii="Arial Narrow" w:hAnsi="Arial Narrow"/>
                <w:bCs/>
                <w:i/>
                <w:szCs w:val="20"/>
              </w:rPr>
            </w:pPr>
            <w:r w:rsidRPr="00EA31F9">
              <w:rPr>
                <w:rFonts w:ascii="Arial Narrow" w:hAnsi="Arial Narrow"/>
                <w:i/>
                <w:szCs w:val="20"/>
              </w:rPr>
              <w:t>(households, floor space, consumption)</w:t>
            </w:r>
          </w:p>
        </w:tc>
        <w:tc>
          <w:tcPr>
            <w:tcW w:w="0" w:type="dxa"/>
            <w:vMerge/>
          </w:tcPr>
          <w:p w14:paraId="408AB7EC" w14:textId="77777777" w:rsidR="00C624A7" w:rsidRPr="00C624A7" w:rsidRDefault="00C624A7" w:rsidP="00361DEA">
            <w:pPr>
              <w:rPr>
                <w:rFonts w:ascii="Arial Narrow" w:hAnsi="Arial Narrow"/>
                <w:bCs/>
                <w:szCs w:val="20"/>
                <w:highlight w:val="yellow"/>
              </w:rPr>
            </w:pPr>
          </w:p>
        </w:tc>
      </w:tr>
      <w:tr w:rsidR="00C624A7" w:rsidRPr="00EA31F9" w14:paraId="04967AC9" w14:textId="77777777" w:rsidTr="00AF21BE">
        <w:tc>
          <w:tcPr>
            <w:tcW w:w="0" w:type="dxa"/>
          </w:tcPr>
          <w:p w14:paraId="432BBF32" w14:textId="77777777" w:rsidR="00C624A7" w:rsidRPr="00EA31F9" w:rsidRDefault="00C624A7" w:rsidP="00412E8E">
            <w:pPr>
              <w:jc w:val="left"/>
              <w:rPr>
                <w:rFonts w:ascii="Arial Narrow" w:hAnsi="Arial Narrow"/>
                <w:b/>
                <w:bCs/>
                <w:szCs w:val="20"/>
              </w:rPr>
            </w:pPr>
            <w:r w:rsidRPr="00EA31F9">
              <w:rPr>
                <w:rFonts w:ascii="Arial Narrow" w:hAnsi="Arial Narrow"/>
                <w:b/>
                <w:bCs/>
                <w:szCs w:val="20"/>
              </w:rPr>
              <w:t>Avoided Costs</w:t>
            </w:r>
          </w:p>
          <w:p w14:paraId="0052B204" w14:textId="77777777" w:rsidR="00C624A7" w:rsidRPr="00EA31F9" w:rsidRDefault="00C624A7" w:rsidP="00412E8E">
            <w:pPr>
              <w:jc w:val="left"/>
              <w:rPr>
                <w:rFonts w:ascii="Arial Narrow" w:hAnsi="Arial Narrow"/>
                <w:bCs/>
                <w:i/>
                <w:szCs w:val="20"/>
              </w:rPr>
            </w:pPr>
            <w:r w:rsidRPr="00EA31F9">
              <w:rPr>
                <w:rFonts w:ascii="Arial Narrow" w:hAnsi="Arial Narrow"/>
                <w:bCs/>
                <w:i/>
                <w:szCs w:val="20"/>
              </w:rPr>
              <w:t>(Avoided energy and capacity costs)</w:t>
            </w:r>
          </w:p>
        </w:tc>
        <w:tc>
          <w:tcPr>
            <w:tcW w:w="0" w:type="dxa"/>
          </w:tcPr>
          <w:p w14:paraId="7F83F68D" w14:textId="77777777" w:rsidR="00C624A7" w:rsidRPr="00C624A7" w:rsidRDefault="00654884" w:rsidP="00361DEA">
            <w:pPr>
              <w:rPr>
                <w:rFonts w:ascii="Arial Narrow" w:hAnsi="Arial Narrow"/>
                <w:bCs/>
                <w:szCs w:val="20"/>
                <w:highlight w:val="yellow"/>
              </w:rPr>
            </w:pPr>
            <w:r w:rsidRPr="00FC2902">
              <w:rPr>
                <w:rFonts w:ascii="Arial Narrow" w:hAnsi="Arial Narrow"/>
                <w:bCs/>
                <w:szCs w:val="20"/>
              </w:rPr>
              <w:t xml:space="preserve">CPUC – </w:t>
            </w:r>
            <w:r w:rsidRPr="00FC2902">
              <w:rPr>
                <w:rFonts w:ascii="Arial Narrow" w:hAnsi="Arial Narrow"/>
                <w:bCs/>
                <w:i/>
                <w:szCs w:val="20"/>
              </w:rPr>
              <w:t xml:space="preserve">Cost Effectiveness Tool.  </w:t>
            </w:r>
            <w:r w:rsidRPr="00FC2902">
              <w:rPr>
                <w:rFonts w:ascii="Arial Narrow" w:hAnsi="Arial Narrow"/>
                <w:bCs/>
                <w:szCs w:val="20"/>
              </w:rPr>
              <w:t>Accessed: Mar. 2017</w:t>
            </w:r>
          </w:p>
        </w:tc>
      </w:tr>
      <w:tr w:rsidR="00C624A7" w:rsidRPr="00EA31F9" w14:paraId="2A2B7FF2" w14:textId="77777777" w:rsidTr="00AF21BE">
        <w:tc>
          <w:tcPr>
            <w:tcW w:w="0" w:type="dxa"/>
          </w:tcPr>
          <w:p w14:paraId="1BF120C0" w14:textId="77777777" w:rsidR="00C624A7" w:rsidRPr="00EA31F9" w:rsidRDefault="00C624A7" w:rsidP="00412E8E">
            <w:pPr>
              <w:jc w:val="left"/>
              <w:rPr>
                <w:rFonts w:ascii="Arial Narrow" w:hAnsi="Arial Narrow"/>
                <w:bCs/>
                <w:i/>
                <w:szCs w:val="20"/>
              </w:rPr>
            </w:pPr>
            <w:r w:rsidRPr="00C84217">
              <w:rPr>
                <w:rFonts w:ascii="Arial Narrow" w:hAnsi="Arial Narrow"/>
                <w:b/>
                <w:szCs w:val="20"/>
              </w:rPr>
              <w:t xml:space="preserve">Historic Program Accomplishments </w:t>
            </w:r>
            <w:r w:rsidRPr="00EA31F9">
              <w:rPr>
                <w:rFonts w:ascii="Arial Narrow" w:hAnsi="Arial Narrow"/>
                <w:i/>
                <w:szCs w:val="20"/>
              </w:rPr>
              <w:t>(</w:t>
            </w:r>
            <w:r>
              <w:rPr>
                <w:rFonts w:ascii="Arial Narrow" w:hAnsi="Arial Narrow"/>
                <w:i/>
                <w:szCs w:val="20"/>
              </w:rPr>
              <w:t>Used for calibration</w:t>
            </w:r>
            <w:r w:rsidRPr="00EA31F9">
              <w:rPr>
                <w:rFonts w:ascii="Arial Narrow" w:hAnsi="Arial Narrow"/>
                <w:i/>
                <w:szCs w:val="20"/>
              </w:rPr>
              <w:t>)</w:t>
            </w:r>
          </w:p>
        </w:tc>
        <w:tc>
          <w:tcPr>
            <w:tcW w:w="0" w:type="dxa"/>
            <w:vMerge w:val="restart"/>
          </w:tcPr>
          <w:p w14:paraId="0C823447" w14:textId="77777777" w:rsidR="00654884" w:rsidRPr="00C624A7" w:rsidRDefault="00654884" w:rsidP="00361DEA">
            <w:pPr>
              <w:pStyle w:val="Default"/>
              <w:spacing w:before="3"/>
              <w:rPr>
                <w:rFonts w:ascii="Arial Narrow" w:hAnsi="Arial Narrow"/>
                <w:bCs/>
                <w:sz w:val="20"/>
                <w:szCs w:val="20"/>
                <w:highlight w:val="yellow"/>
              </w:rPr>
            </w:pPr>
          </w:p>
          <w:p w14:paraId="7A1C490D" w14:textId="77777777" w:rsidR="00C624A7" w:rsidRPr="00C624A7" w:rsidRDefault="00654884" w:rsidP="00361DEA">
            <w:pPr>
              <w:pStyle w:val="Default"/>
              <w:spacing w:before="3"/>
              <w:rPr>
                <w:rFonts w:ascii="Arial Narrow" w:hAnsi="Arial Narrow"/>
                <w:bCs/>
                <w:sz w:val="20"/>
                <w:szCs w:val="20"/>
                <w:highlight w:val="yellow"/>
              </w:rPr>
            </w:pPr>
            <w:r w:rsidRPr="00FC2902">
              <w:rPr>
                <w:rFonts w:ascii="Arial Narrow" w:hAnsi="Arial Narrow"/>
                <w:sz w:val="20"/>
                <w:szCs w:val="20"/>
              </w:rPr>
              <w:t>CPUC – Energy Efficiency Full Program Cycle (2013-2015)</w:t>
            </w:r>
            <w:r w:rsidR="00361DEA">
              <w:rPr>
                <w:rFonts w:ascii="Arial Narrow" w:hAnsi="Arial Narrow"/>
                <w:sz w:val="20"/>
                <w:szCs w:val="20"/>
              </w:rPr>
              <w:t xml:space="preserve"> Data.</w:t>
            </w:r>
            <w:r w:rsidRPr="00FC2902">
              <w:rPr>
                <w:rFonts w:ascii="Arial Narrow" w:hAnsi="Arial Narrow"/>
                <w:sz w:val="20"/>
                <w:szCs w:val="20"/>
              </w:rPr>
              <w:t xml:space="preserve"> </w:t>
            </w:r>
            <w:r w:rsidR="00361DEA">
              <w:rPr>
                <w:rFonts w:ascii="Arial Narrow" w:hAnsi="Arial Narrow"/>
                <w:sz w:val="20"/>
                <w:szCs w:val="20"/>
              </w:rPr>
              <w:t>Download at:</w:t>
            </w:r>
            <w:r w:rsidRPr="00FC2902">
              <w:rPr>
                <w:rFonts w:ascii="Arial Narrow" w:hAnsi="Arial Narrow"/>
                <w:sz w:val="20"/>
                <w:szCs w:val="20"/>
              </w:rPr>
              <w:t xml:space="preserve"> </w:t>
            </w:r>
            <w:r w:rsidRPr="00361DEA">
              <w:rPr>
                <w:rFonts w:ascii="Arial Narrow" w:hAnsi="Arial Narrow"/>
                <w:i/>
                <w:sz w:val="20"/>
                <w:szCs w:val="20"/>
              </w:rPr>
              <w:t>http://eestats.cpuc.ca.gov/Views/EEDataShelf.aspx</w:t>
            </w:r>
          </w:p>
        </w:tc>
      </w:tr>
      <w:tr w:rsidR="00C624A7" w:rsidRPr="00EA31F9" w14:paraId="508114B5" w14:textId="77777777" w:rsidTr="00AF21BE">
        <w:tc>
          <w:tcPr>
            <w:tcW w:w="0" w:type="dxa"/>
          </w:tcPr>
          <w:p w14:paraId="61D82314" w14:textId="77777777" w:rsidR="00C624A7" w:rsidRPr="00EA31F9" w:rsidRDefault="00E27C1E" w:rsidP="00C624A7">
            <w:pPr>
              <w:jc w:val="left"/>
              <w:rPr>
                <w:rFonts w:ascii="Arial Narrow" w:hAnsi="Arial Narrow"/>
                <w:bCs/>
                <w:szCs w:val="20"/>
              </w:rPr>
            </w:pPr>
            <w:r>
              <w:rPr>
                <w:rFonts w:ascii="Arial Narrow" w:hAnsi="Arial Narrow"/>
                <w:b/>
                <w:szCs w:val="20"/>
              </w:rPr>
              <w:t xml:space="preserve">Non-Incentive Program Costs </w:t>
            </w:r>
          </w:p>
        </w:tc>
        <w:tc>
          <w:tcPr>
            <w:tcW w:w="0" w:type="dxa"/>
            <w:vMerge/>
          </w:tcPr>
          <w:p w14:paraId="3BC6B100" w14:textId="77777777" w:rsidR="00C624A7" w:rsidRPr="00C624A7" w:rsidRDefault="00C624A7" w:rsidP="00412E8E">
            <w:pPr>
              <w:pStyle w:val="Default"/>
              <w:spacing w:before="3"/>
              <w:jc w:val="left"/>
              <w:rPr>
                <w:rFonts w:ascii="Arial Narrow" w:hAnsi="Arial Narrow"/>
                <w:i/>
                <w:iCs/>
                <w:sz w:val="20"/>
                <w:szCs w:val="20"/>
                <w:highlight w:val="yellow"/>
              </w:rPr>
            </w:pPr>
          </w:p>
        </w:tc>
      </w:tr>
    </w:tbl>
    <w:p w14:paraId="03043714" w14:textId="77777777" w:rsidR="00CC010C" w:rsidRDefault="00CC010C" w:rsidP="00CC010C">
      <w:pPr>
        <w:pStyle w:val="Heading3"/>
      </w:pPr>
      <w:bookmarkStart w:id="356" w:name="_Toc478990506"/>
      <w:bookmarkStart w:id="357" w:name="_Toc479768578"/>
      <w:bookmarkStart w:id="358" w:name="_Toc482357305"/>
      <w:bookmarkStart w:id="359" w:name="_Toc482634281"/>
      <w:bookmarkStart w:id="360" w:name="_Toc482626413"/>
      <w:bookmarkStart w:id="361" w:name="_Toc484092484"/>
      <w:bookmarkStart w:id="362" w:name="_Toc484172688"/>
      <w:bookmarkStart w:id="363" w:name="_Toc484183024"/>
      <w:bookmarkStart w:id="364" w:name="_Toc490225781"/>
      <w:r>
        <w:t>Retail Rates and Sales Forecasts</w:t>
      </w:r>
      <w:bookmarkEnd w:id="356"/>
      <w:bookmarkEnd w:id="357"/>
      <w:bookmarkEnd w:id="358"/>
      <w:bookmarkEnd w:id="359"/>
      <w:bookmarkEnd w:id="360"/>
      <w:bookmarkEnd w:id="361"/>
      <w:bookmarkEnd w:id="362"/>
      <w:bookmarkEnd w:id="363"/>
      <w:bookmarkEnd w:id="364"/>
    </w:p>
    <w:p w14:paraId="53C1AD24" w14:textId="77777777" w:rsidR="00245FFD" w:rsidRDefault="00E27C1E" w:rsidP="00CC010C">
      <w:r>
        <w:t xml:space="preserve">The </w:t>
      </w:r>
      <w:r w:rsidR="00245FFD">
        <w:t>CEC’s Integrated Energy Policy Report</w:t>
      </w:r>
      <w:r w:rsidR="00757D2B">
        <w:t xml:space="preserve"> (IEPR)</w:t>
      </w:r>
      <w:r w:rsidR="00CC010C" w:rsidRPr="00CC010C">
        <w:t xml:space="preserve">, </w:t>
      </w:r>
      <w:r w:rsidR="00245FFD">
        <w:t>which includes a forecast that is updated annually</w:t>
      </w:r>
      <w:r>
        <w:t>, is the</w:t>
      </w:r>
      <w:r w:rsidRPr="00CC010C">
        <w:t xml:space="preserve"> source for retail rates and sales forecasts </w:t>
      </w:r>
      <w:r>
        <w:t xml:space="preserve">in </w:t>
      </w:r>
      <w:r w:rsidRPr="00CC010C">
        <w:t>the 201</w:t>
      </w:r>
      <w:r w:rsidR="00A26D05">
        <w:t>8</w:t>
      </w:r>
      <w:r w:rsidRPr="00CC010C">
        <w:t xml:space="preserve"> Study</w:t>
      </w:r>
      <w:r w:rsidR="00245FFD">
        <w:t xml:space="preserve">. </w:t>
      </w:r>
      <w:r>
        <w:t>The team use</w:t>
      </w:r>
      <w:r w:rsidR="00857F44">
        <w:t>d</w:t>
      </w:r>
      <w:r>
        <w:t xml:space="preserve"> </w:t>
      </w:r>
      <w:r w:rsidR="0063601A" w:rsidRPr="00861EB3">
        <w:t>the 2016</w:t>
      </w:r>
      <w:r w:rsidR="00CC010C" w:rsidRPr="00861EB3">
        <w:t xml:space="preserve"> IEPR for electric rates and forecasts and </w:t>
      </w:r>
      <w:r w:rsidR="0063601A" w:rsidRPr="00861EB3">
        <w:t>the 2015</w:t>
      </w:r>
      <w:r w:rsidR="00CC010C" w:rsidRPr="00861EB3">
        <w:t xml:space="preserve"> IEPR for gas rates and forecasts</w:t>
      </w:r>
      <w:r>
        <w:t>.</w:t>
      </w:r>
      <w:r w:rsidR="00CC010C" w:rsidRPr="00861EB3">
        <w:t xml:space="preserve"> This was because only electric rates and forecasts were updated in the </w:t>
      </w:r>
      <w:r w:rsidR="00857F44" w:rsidRPr="00861EB3">
        <w:t>201</w:t>
      </w:r>
      <w:r w:rsidR="00857F44">
        <w:t>6</w:t>
      </w:r>
      <w:r w:rsidR="00857F44" w:rsidRPr="00861EB3">
        <w:t xml:space="preserve"> </w:t>
      </w:r>
      <w:r w:rsidR="00CC010C" w:rsidRPr="00861EB3">
        <w:t xml:space="preserve">IEPR. </w:t>
      </w:r>
      <w:r w:rsidR="00861EB3" w:rsidRPr="00861EB3">
        <w:t xml:space="preserve"> </w:t>
      </w:r>
    </w:p>
    <w:p w14:paraId="481C24BB" w14:textId="77777777" w:rsidR="00245FFD" w:rsidRDefault="00245FFD" w:rsidP="00CC010C"/>
    <w:p w14:paraId="7ABA04EE" w14:textId="77777777" w:rsidR="00CC010C" w:rsidRDefault="00245FFD" w:rsidP="00CC010C">
      <w:r w:rsidRPr="00E11395">
        <w:t xml:space="preserve">Navigant </w:t>
      </w:r>
      <w:r>
        <w:t>revised</w:t>
      </w:r>
      <w:r w:rsidRPr="00E11395" w:rsidDel="0052132D">
        <w:t xml:space="preserve"> </w:t>
      </w:r>
      <w:r w:rsidRPr="00E11395">
        <w:t xml:space="preserve">the </w:t>
      </w:r>
      <w:r>
        <w:t>retail rates and sales forecast</w:t>
      </w:r>
      <w:r w:rsidRPr="00E11395">
        <w:t xml:space="preserve"> </w:t>
      </w:r>
      <w:r>
        <w:t>based on information from</w:t>
      </w:r>
      <w:r w:rsidRPr="00E11395">
        <w:t xml:space="preserve"> the recently released IEPR 2016, </w:t>
      </w:r>
      <w:r w:rsidR="008B64DE">
        <w:t>published</w:t>
      </w:r>
      <w:r w:rsidRPr="00E11395">
        <w:t xml:space="preserve"> by the CEC in February 2017. </w:t>
      </w:r>
      <w:r>
        <w:t xml:space="preserve"> </w:t>
      </w:r>
    </w:p>
    <w:p w14:paraId="4D5C06FC" w14:textId="77777777" w:rsidR="003A1241" w:rsidRDefault="003A1241" w:rsidP="00CC010C"/>
    <w:p w14:paraId="5E84DA5F" w14:textId="77777777" w:rsidR="003A1241" w:rsidRDefault="00245FFD" w:rsidP="003A1241">
      <w:r>
        <w:t>Sales</w:t>
      </w:r>
      <w:r w:rsidR="0063601A">
        <w:t xml:space="preserve"> forecasts in IEPR are shown by CEC</w:t>
      </w:r>
      <w:r>
        <w:t xml:space="preserve">’s </w:t>
      </w:r>
      <w:r w:rsidR="00E27C1E">
        <w:t xml:space="preserve">eight </w:t>
      </w:r>
      <w:r w:rsidR="0063601A">
        <w:t>planning area</w:t>
      </w:r>
      <w:r>
        <w:t>s</w:t>
      </w:r>
      <w:r w:rsidR="0063601A">
        <w:t xml:space="preserve">, </w:t>
      </w:r>
      <w:r>
        <w:t xml:space="preserve">which differs </w:t>
      </w:r>
      <w:r w:rsidR="00E27C1E">
        <w:t xml:space="preserve">slightly </w:t>
      </w:r>
      <w:r>
        <w:t xml:space="preserve">from the </w:t>
      </w:r>
      <w:r w:rsidR="00E27C1E">
        <w:t xml:space="preserve">IOU </w:t>
      </w:r>
      <w:r>
        <w:t xml:space="preserve">service territory area. </w:t>
      </w:r>
      <w:r w:rsidR="00E27C1E">
        <w:t>Some of the CEC</w:t>
      </w:r>
      <w:r w:rsidR="00056EC0">
        <w:t xml:space="preserve"> planning areas include the territories of small POUs in California.  </w:t>
      </w:r>
      <w:r>
        <w:t>T</w:t>
      </w:r>
      <w:r w:rsidR="00056EC0">
        <w:t xml:space="preserve">herefore, </w:t>
      </w:r>
      <w:r w:rsidR="0063601A">
        <w:t xml:space="preserve">an adjustment </w:t>
      </w:r>
      <w:r w:rsidR="00E27C1E">
        <w:t>is needed</w:t>
      </w:r>
      <w:r w:rsidR="0063601A">
        <w:t xml:space="preserve">. </w:t>
      </w:r>
      <w:r w:rsidR="003A1241">
        <w:t xml:space="preserve">Using data on service territory and planning area sales for 2015, Navigant calculated ratios to adjust the planning area consumption (found within IEPR) down to each IOU’s actual service territory consumption for both PG&amp;E and SCE. These ratios, </w:t>
      </w:r>
      <w:r w:rsidR="00002BFF">
        <w:t xml:space="preserve">with the service territory consumption </w:t>
      </w:r>
      <w:r w:rsidR="003A1241">
        <w:t xml:space="preserve">based on the </w:t>
      </w:r>
      <w:r w:rsidR="0008558D">
        <w:t>2015 QFER</w:t>
      </w:r>
      <w:r w:rsidR="003A1241">
        <w:t>, are referred to as Service Territory to Planning Area adjustment ratios and are detailed in</w:t>
      </w:r>
      <w:r w:rsidR="008D63F4">
        <w:t xml:space="preserve"> </w:t>
      </w:r>
      <w:r w:rsidR="008D63F4">
        <w:fldChar w:fldCharType="begin"/>
      </w:r>
      <w:r w:rsidR="008D63F4">
        <w:instrText xml:space="preserve"> REF _Ref490227668 \h </w:instrText>
      </w:r>
      <w:r w:rsidR="008D63F4">
        <w:fldChar w:fldCharType="separate"/>
      </w:r>
      <w:r w:rsidR="008D63F4">
        <w:t xml:space="preserve">Table </w:t>
      </w:r>
      <w:r w:rsidR="008D63F4">
        <w:rPr>
          <w:noProof/>
        </w:rPr>
        <w:t>3</w:t>
      </w:r>
      <w:r w:rsidR="008D63F4">
        <w:noBreakHyphen/>
      </w:r>
      <w:r w:rsidR="008D63F4">
        <w:rPr>
          <w:noProof/>
        </w:rPr>
        <w:t>2</w:t>
      </w:r>
      <w:r w:rsidR="008D63F4">
        <w:fldChar w:fldCharType="end"/>
      </w:r>
      <w:r w:rsidR="00857F44">
        <w:t xml:space="preserve">.  </w:t>
      </w:r>
      <w:r w:rsidR="00DD2E3C">
        <w:t xml:space="preserve">The CEC planning area for San Diego directly maps to SDG&amp;E service territory so this is no need to calculate an adjustment ratio for SDG&amp;E.  </w:t>
      </w:r>
    </w:p>
    <w:p w14:paraId="29BA4CC6" w14:textId="77777777" w:rsidR="003A1241" w:rsidRDefault="003A1241" w:rsidP="003A1241"/>
    <w:p w14:paraId="6B200EBC" w14:textId="77777777" w:rsidR="003A1241" w:rsidRDefault="008B64DE" w:rsidP="003A1241">
      <w:pPr>
        <w:pStyle w:val="Caption"/>
      </w:pPr>
      <w:bookmarkStart w:id="365" w:name="_Ref481575788"/>
      <w:bookmarkStart w:id="366" w:name="_Ref490227668"/>
      <w:bookmarkStart w:id="367" w:name="_Toc482634210"/>
      <w:bookmarkStart w:id="368" w:name="_Toc484436949"/>
      <w:bookmarkStart w:id="369" w:name="_Toc490560660"/>
      <w:r>
        <w:t xml:space="preserve">Table </w:t>
      </w:r>
      <w:fldSimple w:instr=" STYLEREF 1 \s ">
        <w:r w:rsidR="007566B9">
          <w:rPr>
            <w:noProof/>
          </w:rPr>
          <w:t>3</w:t>
        </w:r>
      </w:fldSimple>
      <w:r w:rsidR="00C17D59">
        <w:noBreakHyphen/>
      </w:r>
      <w:bookmarkEnd w:id="365"/>
      <w:r w:rsidR="00B206D8">
        <w:fldChar w:fldCharType="begin"/>
      </w:r>
      <w:r w:rsidR="00B206D8">
        <w:instrText xml:space="preserve"> SEQ Table \* ARABIC \s 1 </w:instrText>
      </w:r>
      <w:r w:rsidR="00B206D8">
        <w:fldChar w:fldCharType="separate"/>
      </w:r>
      <w:r w:rsidR="007566B9">
        <w:rPr>
          <w:noProof/>
        </w:rPr>
        <w:t>2</w:t>
      </w:r>
      <w:r w:rsidR="00B206D8">
        <w:rPr>
          <w:noProof/>
        </w:rPr>
        <w:fldChar w:fldCharType="end"/>
      </w:r>
      <w:bookmarkEnd w:id="366"/>
      <w:r>
        <w:t xml:space="preserve">.  </w:t>
      </w:r>
      <w:r w:rsidR="003A1241">
        <w:t>2016 IEPR Electric Service Territory to Planning Area Adjustment Ratios</w:t>
      </w:r>
      <w:bookmarkEnd w:id="367"/>
      <w:bookmarkEnd w:id="368"/>
      <w:bookmarkEnd w:id="369"/>
    </w:p>
    <w:tbl>
      <w:tblPr>
        <w:tblStyle w:val="EnergyTable1"/>
        <w:tblW w:w="0" w:type="auto"/>
        <w:tblLook w:val="0620" w:firstRow="1" w:lastRow="0" w:firstColumn="0" w:lastColumn="0" w:noHBand="1" w:noVBand="1"/>
      </w:tblPr>
      <w:tblGrid>
        <w:gridCol w:w="627"/>
        <w:gridCol w:w="947"/>
        <w:gridCol w:w="1004"/>
        <w:gridCol w:w="815"/>
        <w:gridCol w:w="651"/>
        <w:gridCol w:w="922"/>
        <w:gridCol w:w="955"/>
      </w:tblGrid>
      <w:tr w:rsidR="003A1241" w:rsidRPr="00957936" w14:paraId="5981B0F7" w14:textId="77777777" w:rsidTr="00AF21BE">
        <w:trPr>
          <w:cnfStyle w:val="100000000000" w:firstRow="1" w:lastRow="0" w:firstColumn="0" w:lastColumn="0" w:oddVBand="0" w:evenVBand="0" w:oddHBand="0" w:evenHBand="0" w:firstRowFirstColumn="0" w:firstRowLastColumn="0" w:lastRowFirstColumn="0" w:lastRowLastColumn="0"/>
        </w:trPr>
        <w:tc>
          <w:tcPr>
            <w:tcW w:w="0" w:type="dxa"/>
          </w:tcPr>
          <w:p w14:paraId="47E23516" w14:textId="77777777" w:rsidR="003A1241" w:rsidRPr="00957936" w:rsidRDefault="003A1241" w:rsidP="009414D2">
            <w:pPr>
              <w:keepNext/>
              <w:keepLines/>
              <w:rPr>
                <w:rFonts w:ascii="Arial Narrow" w:hAnsi="Arial Narrow"/>
                <w:sz w:val="18"/>
                <w:szCs w:val="18"/>
              </w:rPr>
            </w:pPr>
          </w:p>
        </w:tc>
        <w:tc>
          <w:tcPr>
            <w:tcW w:w="0" w:type="dxa"/>
          </w:tcPr>
          <w:p w14:paraId="4C1B7152" w14:textId="77777777" w:rsidR="003A1241" w:rsidRPr="00957936" w:rsidRDefault="003A1241" w:rsidP="009414D2">
            <w:pPr>
              <w:keepNext/>
              <w:keepLines/>
              <w:rPr>
                <w:rFonts w:ascii="Arial Narrow" w:hAnsi="Arial Narrow"/>
                <w:b w:val="0"/>
                <w:sz w:val="18"/>
                <w:szCs w:val="18"/>
              </w:rPr>
            </w:pPr>
            <w:r w:rsidRPr="00957936">
              <w:rPr>
                <w:rFonts w:ascii="Arial Narrow" w:hAnsi="Arial Narrow" w:cs="Arial"/>
                <w:b w:val="0"/>
                <w:kern w:val="24"/>
                <w:sz w:val="18"/>
                <w:szCs w:val="18"/>
              </w:rPr>
              <w:t>Residential</w:t>
            </w:r>
          </w:p>
        </w:tc>
        <w:tc>
          <w:tcPr>
            <w:tcW w:w="0" w:type="dxa"/>
          </w:tcPr>
          <w:p w14:paraId="53D738F2" w14:textId="77777777" w:rsidR="003A1241" w:rsidRPr="00957936" w:rsidRDefault="003A1241" w:rsidP="009414D2">
            <w:pPr>
              <w:keepNext/>
              <w:keepLines/>
              <w:rPr>
                <w:rFonts w:ascii="Arial Narrow" w:hAnsi="Arial Narrow"/>
                <w:b w:val="0"/>
                <w:sz w:val="18"/>
                <w:szCs w:val="18"/>
              </w:rPr>
            </w:pPr>
            <w:r w:rsidRPr="00957936">
              <w:rPr>
                <w:rFonts w:ascii="Arial Narrow" w:hAnsi="Arial Narrow" w:cs="Arial"/>
                <w:b w:val="0"/>
                <w:kern w:val="24"/>
                <w:sz w:val="18"/>
                <w:szCs w:val="18"/>
              </w:rPr>
              <w:t>Commercial</w:t>
            </w:r>
          </w:p>
        </w:tc>
        <w:tc>
          <w:tcPr>
            <w:tcW w:w="0" w:type="dxa"/>
          </w:tcPr>
          <w:p w14:paraId="02B073CF" w14:textId="77777777" w:rsidR="003A1241" w:rsidRPr="00957936" w:rsidRDefault="003A1241" w:rsidP="009414D2">
            <w:pPr>
              <w:keepNext/>
              <w:keepLines/>
              <w:rPr>
                <w:rFonts w:ascii="Arial Narrow" w:hAnsi="Arial Narrow"/>
                <w:b w:val="0"/>
                <w:sz w:val="18"/>
                <w:szCs w:val="18"/>
              </w:rPr>
            </w:pPr>
            <w:r w:rsidRPr="00957936">
              <w:rPr>
                <w:rFonts w:ascii="Arial Narrow" w:hAnsi="Arial Narrow" w:cs="Arial"/>
                <w:b w:val="0"/>
                <w:kern w:val="24"/>
                <w:sz w:val="18"/>
                <w:szCs w:val="18"/>
              </w:rPr>
              <w:t>Industrial</w:t>
            </w:r>
          </w:p>
        </w:tc>
        <w:tc>
          <w:tcPr>
            <w:tcW w:w="0" w:type="dxa"/>
          </w:tcPr>
          <w:p w14:paraId="46578226" w14:textId="77777777" w:rsidR="003A1241" w:rsidRPr="00957936" w:rsidRDefault="003A1241" w:rsidP="009414D2">
            <w:pPr>
              <w:keepNext/>
              <w:keepLines/>
              <w:rPr>
                <w:rFonts w:ascii="Arial Narrow" w:hAnsi="Arial Narrow"/>
                <w:b w:val="0"/>
                <w:sz w:val="18"/>
                <w:szCs w:val="18"/>
              </w:rPr>
            </w:pPr>
            <w:r w:rsidRPr="00957936">
              <w:rPr>
                <w:rFonts w:ascii="Arial Narrow" w:hAnsi="Arial Narrow" w:cs="Arial"/>
                <w:b w:val="0"/>
                <w:kern w:val="24"/>
                <w:sz w:val="18"/>
                <w:szCs w:val="18"/>
              </w:rPr>
              <w:t>Mining</w:t>
            </w:r>
          </w:p>
        </w:tc>
        <w:tc>
          <w:tcPr>
            <w:tcW w:w="0" w:type="dxa"/>
          </w:tcPr>
          <w:p w14:paraId="2628BD42" w14:textId="77777777" w:rsidR="003A1241" w:rsidRPr="00957936" w:rsidRDefault="003A1241" w:rsidP="009414D2">
            <w:pPr>
              <w:keepNext/>
              <w:keepLines/>
              <w:rPr>
                <w:rFonts w:ascii="Arial Narrow" w:hAnsi="Arial Narrow"/>
                <w:b w:val="0"/>
                <w:sz w:val="18"/>
                <w:szCs w:val="18"/>
              </w:rPr>
            </w:pPr>
            <w:r w:rsidRPr="00957936">
              <w:rPr>
                <w:rFonts w:ascii="Arial Narrow" w:hAnsi="Arial Narrow" w:cs="Arial"/>
                <w:b w:val="0"/>
                <w:kern w:val="24"/>
                <w:sz w:val="18"/>
                <w:szCs w:val="18"/>
              </w:rPr>
              <w:t>Agriculture</w:t>
            </w:r>
          </w:p>
        </w:tc>
        <w:tc>
          <w:tcPr>
            <w:tcW w:w="0" w:type="dxa"/>
          </w:tcPr>
          <w:p w14:paraId="03F1421B" w14:textId="77777777" w:rsidR="003A1241" w:rsidRPr="00957936" w:rsidRDefault="003A1241" w:rsidP="009414D2">
            <w:pPr>
              <w:keepNext/>
              <w:keepLines/>
              <w:rPr>
                <w:rFonts w:ascii="Arial Narrow" w:hAnsi="Arial Narrow"/>
                <w:b w:val="0"/>
                <w:sz w:val="18"/>
                <w:szCs w:val="18"/>
              </w:rPr>
            </w:pPr>
            <w:r w:rsidRPr="00957936">
              <w:rPr>
                <w:rFonts w:ascii="Arial Narrow" w:hAnsi="Arial Narrow" w:cs="Arial"/>
                <w:b w:val="0"/>
                <w:kern w:val="24"/>
                <w:sz w:val="18"/>
                <w:szCs w:val="18"/>
              </w:rPr>
              <w:t>Streetlights</w:t>
            </w:r>
          </w:p>
        </w:tc>
      </w:tr>
      <w:tr w:rsidR="003A1241" w:rsidRPr="00957936" w14:paraId="5E0F3FC6" w14:textId="77777777" w:rsidTr="00AF21BE">
        <w:tc>
          <w:tcPr>
            <w:tcW w:w="0" w:type="dxa"/>
          </w:tcPr>
          <w:p w14:paraId="5F6EE58C" w14:textId="77777777" w:rsidR="003A1241" w:rsidRPr="00957936" w:rsidRDefault="003A1241" w:rsidP="009414D2">
            <w:pPr>
              <w:keepNext/>
              <w:keepLines/>
              <w:rPr>
                <w:rFonts w:ascii="Arial Narrow" w:hAnsi="Arial Narrow"/>
                <w:sz w:val="18"/>
                <w:szCs w:val="18"/>
              </w:rPr>
            </w:pPr>
            <w:r w:rsidRPr="00957936">
              <w:rPr>
                <w:rFonts w:ascii="Arial Narrow" w:hAnsi="Arial Narrow" w:cs="Arial"/>
                <w:color w:val="000000"/>
                <w:kern w:val="24"/>
                <w:sz w:val="18"/>
                <w:szCs w:val="18"/>
              </w:rPr>
              <w:t>PG&amp;E</w:t>
            </w:r>
          </w:p>
        </w:tc>
        <w:tc>
          <w:tcPr>
            <w:tcW w:w="0" w:type="dxa"/>
            <w:vAlign w:val="top"/>
          </w:tcPr>
          <w:p w14:paraId="3C690254"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97.0%</w:t>
            </w:r>
          </w:p>
        </w:tc>
        <w:tc>
          <w:tcPr>
            <w:tcW w:w="0" w:type="dxa"/>
            <w:vAlign w:val="top"/>
          </w:tcPr>
          <w:p w14:paraId="238B1B85"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89.4%</w:t>
            </w:r>
          </w:p>
        </w:tc>
        <w:tc>
          <w:tcPr>
            <w:tcW w:w="0" w:type="dxa"/>
            <w:vAlign w:val="top"/>
          </w:tcPr>
          <w:p w14:paraId="2AAB9057"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88.4%</w:t>
            </w:r>
          </w:p>
        </w:tc>
        <w:tc>
          <w:tcPr>
            <w:tcW w:w="0" w:type="dxa"/>
            <w:vAlign w:val="top"/>
          </w:tcPr>
          <w:p w14:paraId="12CD16FA"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96.2%</w:t>
            </w:r>
          </w:p>
        </w:tc>
        <w:tc>
          <w:tcPr>
            <w:tcW w:w="0" w:type="dxa"/>
            <w:vAlign w:val="top"/>
          </w:tcPr>
          <w:p w14:paraId="60F71F3A"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97.0%</w:t>
            </w:r>
          </w:p>
        </w:tc>
        <w:tc>
          <w:tcPr>
            <w:tcW w:w="0" w:type="dxa"/>
            <w:vAlign w:val="top"/>
          </w:tcPr>
          <w:p w14:paraId="0375ECEF"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87.7%</w:t>
            </w:r>
          </w:p>
        </w:tc>
      </w:tr>
      <w:tr w:rsidR="003A1241" w:rsidRPr="00957936" w14:paraId="7723A401" w14:textId="77777777" w:rsidTr="00AF21BE">
        <w:tc>
          <w:tcPr>
            <w:tcW w:w="0" w:type="dxa"/>
          </w:tcPr>
          <w:p w14:paraId="0A0E7C8E" w14:textId="77777777" w:rsidR="003A1241" w:rsidRPr="00957936" w:rsidRDefault="003A1241" w:rsidP="009414D2">
            <w:pPr>
              <w:keepNext/>
              <w:keepLines/>
              <w:rPr>
                <w:rFonts w:ascii="Arial Narrow" w:hAnsi="Arial Narrow"/>
                <w:sz w:val="18"/>
                <w:szCs w:val="18"/>
              </w:rPr>
            </w:pPr>
            <w:r w:rsidRPr="00957936">
              <w:rPr>
                <w:rFonts w:ascii="Arial Narrow" w:hAnsi="Arial Narrow" w:cs="Arial"/>
                <w:color w:val="000000"/>
                <w:kern w:val="24"/>
                <w:sz w:val="18"/>
                <w:szCs w:val="18"/>
              </w:rPr>
              <w:t>SCE</w:t>
            </w:r>
          </w:p>
        </w:tc>
        <w:tc>
          <w:tcPr>
            <w:tcW w:w="0" w:type="dxa"/>
            <w:vAlign w:val="top"/>
          </w:tcPr>
          <w:p w14:paraId="68CCFD18"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92.6%</w:t>
            </w:r>
          </w:p>
        </w:tc>
        <w:tc>
          <w:tcPr>
            <w:tcW w:w="0" w:type="dxa"/>
            <w:vAlign w:val="top"/>
          </w:tcPr>
          <w:p w14:paraId="1B1673B0"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90.2%</w:t>
            </w:r>
          </w:p>
        </w:tc>
        <w:tc>
          <w:tcPr>
            <w:tcW w:w="0" w:type="dxa"/>
            <w:vAlign w:val="top"/>
          </w:tcPr>
          <w:p w14:paraId="4760E4FA"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89.2%</w:t>
            </w:r>
          </w:p>
        </w:tc>
        <w:tc>
          <w:tcPr>
            <w:tcW w:w="0" w:type="dxa"/>
            <w:vAlign w:val="top"/>
          </w:tcPr>
          <w:p w14:paraId="6B3D33F1"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94.1%</w:t>
            </w:r>
          </w:p>
        </w:tc>
        <w:tc>
          <w:tcPr>
            <w:tcW w:w="0" w:type="dxa"/>
            <w:vAlign w:val="top"/>
          </w:tcPr>
          <w:p w14:paraId="25FE9EB0"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58.8%</w:t>
            </w:r>
          </w:p>
        </w:tc>
        <w:tc>
          <w:tcPr>
            <w:tcW w:w="0" w:type="dxa"/>
            <w:vAlign w:val="top"/>
          </w:tcPr>
          <w:p w14:paraId="341A7C69" w14:textId="77777777" w:rsidR="003A1241" w:rsidRPr="00957936" w:rsidRDefault="003A1241" w:rsidP="009414D2">
            <w:pPr>
              <w:keepNext/>
              <w:keepLines/>
              <w:rPr>
                <w:rFonts w:ascii="Arial Narrow" w:hAnsi="Arial Narrow"/>
                <w:sz w:val="18"/>
                <w:szCs w:val="18"/>
              </w:rPr>
            </w:pPr>
            <w:r w:rsidRPr="00957936">
              <w:rPr>
                <w:rFonts w:ascii="Arial Narrow" w:hAnsi="Arial Narrow"/>
                <w:sz w:val="18"/>
                <w:szCs w:val="18"/>
              </w:rPr>
              <w:t>90.3%</w:t>
            </w:r>
          </w:p>
        </w:tc>
      </w:tr>
    </w:tbl>
    <w:p w14:paraId="2D57AEBA" w14:textId="77777777" w:rsidR="003A1241" w:rsidRDefault="003A1241" w:rsidP="00957936">
      <w:pPr>
        <w:pStyle w:val="Source"/>
        <w:jc w:val="center"/>
      </w:pPr>
      <w:r>
        <w:t>Source: California Energy Commission, 2017.</w:t>
      </w:r>
    </w:p>
    <w:p w14:paraId="17D6F2DC" w14:textId="77777777" w:rsidR="00DD2E3C" w:rsidRDefault="00DD2E3C" w:rsidP="00CC010C">
      <w:r w:rsidRPr="00CC010C">
        <w:t>Most POUs in C</w:t>
      </w:r>
      <w:r w:rsidR="00056EC0">
        <w:t>alifornia</w:t>
      </w:r>
      <w:r w:rsidRPr="00CC010C">
        <w:t xml:space="preserve"> do not offer any gas service (currently only the City of Palo Alto and Island Energy offer natural gas service). </w:t>
      </w:r>
      <w:r>
        <w:t xml:space="preserve"> It is estimated that California IOUs sell approximately 99% of the state’s natural gas.  However, there are some exceptions, notably SMUD in PG&amp;E</w:t>
      </w:r>
      <w:r w:rsidR="00490F81">
        <w:t xml:space="preserve"> territory</w:t>
      </w:r>
      <w:r>
        <w:t xml:space="preserve">.  </w:t>
      </w:r>
      <w:r w:rsidR="00002BFF">
        <w:t xml:space="preserve">To obtain service territory consumption values, </w:t>
      </w:r>
      <w:r>
        <w:t xml:space="preserve">Navigant staff used </w:t>
      </w:r>
      <w:r w:rsidR="002118E3">
        <w:t xml:space="preserve">2013-2014 data from </w:t>
      </w:r>
      <w:r w:rsidR="00002BFF">
        <w:t>the CEC’s Energy Consumption Database (ECDMS)</w:t>
      </w:r>
      <w:r w:rsidR="00056EC0">
        <w:t>, shown in</w:t>
      </w:r>
      <w:r w:rsidR="008D63F4">
        <w:t xml:space="preserve"> </w:t>
      </w:r>
      <w:r w:rsidR="008D63F4">
        <w:fldChar w:fldCharType="begin"/>
      </w:r>
      <w:r w:rsidR="008D63F4">
        <w:instrText xml:space="preserve"> REF _Ref490227683 \h </w:instrText>
      </w:r>
      <w:r w:rsidR="008D63F4">
        <w:fldChar w:fldCharType="separate"/>
      </w:r>
      <w:r w:rsidR="008D63F4">
        <w:t xml:space="preserve">Table </w:t>
      </w:r>
      <w:r w:rsidR="008D63F4">
        <w:rPr>
          <w:noProof/>
        </w:rPr>
        <w:t>3</w:t>
      </w:r>
      <w:r w:rsidR="008D63F4">
        <w:noBreakHyphen/>
      </w:r>
      <w:r w:rsidR="008D63F4">
        <w:rPr>
          <w:noProof/>
        </w:rPr>
        <w:t>3</w:t>
      </w:r>
      <w:r w:rsidR="008D63F4">
        <w:fldChar w:fldCharType="end"/>
      </w:r>
      <w:r w:rsidR="00857F44">
        <w:t>.</w:t>
      </w:r>
      <w:r w:rsidR="00E75460">
        <w:rPr>
          <w:rStyle w:val="FootnoteReference"/>
        </w:rPr>
        <w:footnoteReference w:id="47"/>
      </w:r>
    </w:p>
    <w:p w14:paraId="2C2F9ADE" w14:textId="77777777" w:rsidR="00DD2E3C" w:rsidRDefault="00DD2E3C" w:rsidP="00CC010C"/>
    <w:p w14:paraId="39551249" w14:textId="77777777" w:rsidR="00DD2E3C" w:rsidRDefault="008B64DE" w:rsidP="00DD2E3C">
      <w:pPr>
        <w:pStyle w:val="Caption"/>
      </w:pPr>
      <w:bookmarkStart w:id="370" w:name="_Ref481575893"/>
      <w:bookmarkStart w:id="371" w:name="_Ref490227683"/>
      <w:bookmarkStart w:id="372" w:name="_Toc482634211"/>
      <w:bookmarkStart w:id="373" w:name="_Toc484436950"/>
      <w:bookmarkStart w:id="374" w:name="_Toc490560661"/>
      <w:r>
        <w:t xml:space="preserve">Table </w:t>
      </w:r>
      <w:fldSimple w:instr=" STYLEREF 1 \s ">
        <w:r w:rsidR="007566B9">
          <w:rPr>
            <w:noProof/>
          </w:rPr>
          <w:t>3</w:t>
        </w:r>
      </w:fldSimple>
      <w:r w:rsidR="00C17D59">
        <w:noBreakHyphen/>
      </w:r>
      <w:bookmarkEnd w:id="370"/>
      <w:r w:rsidR="00B206D8">
        <w:fldChar w:fldCharType="begin"/>
      </w:r>
      <w:r w:rsidR="00B206D8">
        <w:instrText xml:space="preserve"> SEQ Table \* ARABIC \s 1 </w:instrText>
      </w:r>
      <w:r w:rsidR="00B206D8">
        <w:fldChar w:fldCharType="separate"/>
      </w:r>
      <w:r w:rsidR="007566B9">
        <w:rPr>
          <w:noProof/>
        </w:rPr>
        <w:t>3</w:t>
      </w:r>
      <w:r w:rsidR="00B206D8">
        <w:rPr>
          <w:noProof/>
        </w:rPr>
        <w:fldChar w:fldCharType="end"/>
      </w:r>
      <w:bookmarkEnd w:id="371"/>
      <w:r>
        <w:t xml:space="preserve">.  </w:t>
      </w:r>
      <w:r w:rsidR="00DD2E3C">
        <w:t>2016 IEPR Gas Service Territory to Planning Area Adjustment Ratios</w:t>
      </w:r>
      <w:bookmarkEnd w:id="372"/>
      <w:bookmarkEnd w:id="373"/>
      <w:bookmarkEnd w:id="374"/>
    </w:p>
    <w:tbl>
      <w:tblPr>
        <w:tblStyle w:val="EnergyTable1"/>
        <w:tblW w:w="0" w:type="auto"/>
        <w:tblLook w:val="0620" w:firstRow="1" w:lastRow="0" w:firstColumn="0" w:lastColumn="0" w:noHBand="1" w:noVBand="1"/>
      </w:tblPr>
      <w:tblGrid>
        <w:gridCol w:w="627"/>
        <w:gridCol w:w="947"/>
        <w:gridCol w:w="1004"/>
        <w:gridCol w:w="815"/>
        <w:gridCol w:w="651"/>
        <w:gridCol w:w="922"/>
        <w:gridCol w:w="955"/>
      </w:tblGrid>
      <w:tr w:rsidR="00DD2E3C" w:rsidRPr="00957936" w14:paraId="699E262F" w14:textId="77777777" w:rsidTr="00AF21BE">
        <w:trPr>
          <w:cnfStyle w:val="100000000000" w:firstRow="1" w:lastRow="0" w:firstColumn="0" w:lastColumn="0" w:oddVBand="0" w:evenVBand="0" w:oddHBand="0" w:evenHBand="0" w:firstRowFirstColumn="0" w:firstRowLastColumn="0" w:lastRowFirstColumn="0" w:lastRowLastColumn="0"/>
        </w:trPr>
        <w:tc>
          <w:tcPr>
            <w:tcW w:w="0" w:type="dxa"/>
          </w:tcPr>
          <w:p w14:paraId="0FAB59FB" w14:textId="77777777" w:rsidR="00DD2E3C" w:rsidRPr="00957936" w:rsidRDefault="00DD2E3C" w:rsidP="00002BFF">
            <w:pPr>
              <w:keepNext/>
              <w:keepLines/>
              <w:rPr>
                <w:rFonts w:ascii="Arial Narrow" w:hAnsi="Arial Narrow"/>
                <w:sz w:val="18"/>
                <w:szCs w:val="18"/>
              </w:rPr>
            </w:pPr>
          </w:p>
        </w:tc>
        <w:tc>
          <w:tcPr>
            <w:tcW w:w="0" w:type="dxa"/>
          </w:tcPr>
          <w:p w14:paraId="3BA7B565" w14:textId="77777777" w:rsidR="00DD2E3C" w:rsidRPr="00957936" w:rsidRDefault="00DD2E3C" w:rsidP="00002BFF">
            <w:pPr>
              <w:keepNext/>
              <w:keepLines/>
              <w:rPr>
                <w:rFonts w:ascii="Arial Narrow" w:hAnsi="Arial Narrow"/>
                <w:b w:val="0"/>
                <w:sz w:val="18"/>
                <w:szCs w:val="18"/>
              </w:rPr>
            </w:pPr>
            <w:r w:rsidRPr="00957936">
              <w:rPr>
                <w:rFonts w:ascii="Arial Narrow" w:hAnsi="Arial Narrow" w:cs="Arial"/>
                <w:b w:val="0"/>
                <w:kern w:val="24"/>
                <w:sz w:val="18"/>
                <w:szCs w:val="18"/>
              </w:rPr>
              <w:t>Residential</w:t>
            </w:r>
          </w:p>
        </w:tc>
        <w:tc>
          <w:tcPr>
            <w:tcW w:w="0" w:type="dxa"/>
          </w:tcPr>
          <w:p w14:paraId="2BE6BAE9" w14:textId="77777777" w:rsidR="00DD2E3C" w:rsidRPr="00957936" w:rsidRDefault="00DD2E3C" w:rsidP="00002BFF">
            <w:pPr>
              <w:keepNext/>
              <w:keepLines/>
              <w:rPr>
                <w:rFonts w:ascii="Arial Narrow" w:hAnsi="Arial Narrow"/>
                <w:b w:val="0"/>
                <w:sz w:val="18"/>
                <w:szCs w:val="18"/>
              </w:rPr>
            </w:pPr>
            <w:r w:rsidRPr="00957936">
              <w:rPr>
                <w:rFonts w:ascii="Arial Narrow" w:hAnsi="Arial Narrow" w:cs="Arial"/>
                <w:b w:val="0"/>
                <w:kern w:val="24"/>
                <w:sz w:val="18"/>
                <w:szCs w:val="18"/>
              </w:rPr>
              <w:t>Commercial</w:t>
            </w:r>
          </w:p>
        </w:tc>
        <w:tc>
          <w:tcPr>
            <w:tcW w:w="0" w:type="dxa"/>
          </w:tcPr>
          <w:p w14:paraId="4D9D409B" w14:textId="77777777" w:rsidR="00DD2E3C" w:rsidRPr="00957936" w:rsidRDefault="00DD2E3C" w:rsidP="00002BFF">
            <w:pPr>
              <w:keepNext/>
              <w:keepLines/>
              <w:rPr>
                <w:rFonts w:ascii="Arial Narrow" w:hAnsi="Arial Narrow"/>
                <w:b w:val="0"/>
                <w:sz w:val="18"/>
                <w:szCs w:val="18"/>
              </w:rPr>
            </w:pPr>
            <w:r w:rsidRPr="00957936">
              <w:rPr>
                <w:rFonts w:ascii="Arial Narrow" w:hAnsi="Arial Narrow" w:cs="Arial"/>
                <w:b w:val="0"/>
                <w:kern w:val="24"/>
                <w:sz w:val="18"/>
                <w:szCs w:val="18"/>
              </w:rPr>
              <w:t>Industrial</w:t>
            </w:r>
          </w:p>
        </w:tc>
        <w:tc>
          <w:tcPr>
            <w:tcW w:w="0" w:type="dxa"/>
          </w:tcPr>
          <w:p w14:paraId="24C44A7C" w14:textId="77777777" w:rsidR="00DD2E3C" w:rsidRPr="00957936" w:rsidRDefault="00DD2E3C" w:rsidP="00002BFF">
            <w:pPr>
              <w:keepNext/>
              <w:keepLines/>
              <w:rPr>
                <w:rFonts w:ascii="Arial Narrow" w:hAnsi="Arial Narrow"/>
                <w:b w:val="0"/>
                <w:sz w:val="18"/>
                <w:szCs w:val="18"/>
              </w:rPr>
            </w:pPr>
            <w:r w:rsidRPr="00957936">
              <w:rPr>
                <w:rFonts w:ascii="Arial Narrow" w:hAnsi="Arial Narrow" w:cs="Arial"/>
                <w:b w:val="0"/>
                <w:kern w:val="24"/>
                <w:sz w:val="18"/>
                <w:szCs w:val="18"/>
              </w:rPr>
              <w:t>Mining</w:t>
            </w:r>
          </w:p>
        </w:tc>
        <w:tc>
          <w:tcPr>
            <w:tcW w:w="0" w:type="dxa"/>
          </w:tcPr>
          <w:p w14:paraId="196A382A" w14:textId="77777777" w:rsidR="00DD2E3C" w:rsidRPr="00957936" w:rsidRDefault="00DD2E3C" w:rsidP="00002BFF">
            <w:pPr>
              <w:keepNext/>
              <w:keepLines/>
              <w:rPr>
                <w:rFonts w:ascii="Arial Narrow" w:hAnsi="Arial Narrow"/>
                <w:b w:val="0"/>
                <w:sz w:val="18"/>
                <w:szCs w:val="18"/>
              </w:rPr>
            </w:pPr>
            <w:r w:rsidRPr="00957936">
              <w:rPr>
                <w:rFonts w:ascii="Arial Narrow" w:hAnsi="Arial Narrow" w:cs="Arial"/>
                <w:b w:val="0"/>
                <w:kern w:val="24"/>
                <w:sz w:val="18"/>
                <w:szCs w:val="18"/>
              </w:rPr>
              <w:t>Agriculture</w:t>
            </w:r>
          </w:p>
        </w:tc>
        <w:tc>
          <w:tcPr>
            <w:tcW w:w="0" w:type="dxa"/>
          </w:tcPr>
          <w:p w14:paraId="1AF950D1" w14:textId="77777777" w:rsidR="00DD2E3C" w:rsidRPr="00957936" w:rsidRDefault="00DD2E3C" w:rsidP="00002BFF">
            <w:pPr>
              <w:keepNext/>
              <w:keepLines/>
              <w:rPr>
                <w:rFonts w:ascii="Arial Narrow" w:hAnsi="Arial Narrow"/>
                <w:b w:val="0"/>
                <w:sz w:val="18"/>
                <w:szCs w:val="18"/>
              </w:rPr>
            </w:pPr>
            <w:r w:rsidRPr="00957936">
              <w:rPr>
                <w:rFonts w:ascii="Arial Narrow" w:hAnsi="Arial Narrow" w:cs="Arial"/>
                <w:b w:val="0"/>
                <w:kern w:val="24"/>
                <w:sz w:val="18"/>
                <w:szCs w:val="18"/>
              </w:rPr>
              <w:t>Streetlights</w:t>
            </w:r>
          </w:p>
        </w:tc>
      </w:tr>
      <w:tr w:rsidR="00DD2E3C" w:rsidRPr="00957936" w14:paraId="46A44F31" w14:textId="77777777" w:rsidTr="00AF21BE">
        <w:tc>
          <w:tcPr>
            <w:tcW w:w="0" w:type="dxa"/>
          </w:tcPr>
          <w:p w14:paraId="732BC51E" w14:textId="77777777" w:rsidR="00DD2E3C" w:rsidRPr="00957936" w:rsidRDefault="00DD2E3C" w:rsidP="00002BFF">
            <w:pPr>
              <w:keepNext/>
              <w:keepLines/>
              <w:rPr>
                <w:rFonts w:ascii="Arial Narrow" w:hAnsi="Arial Narrow"/>
                <w:sz w:val="18"/>
                <w:szCs w:val="18"/>
              </w:rPr>
            </w:pPr>
            <w:r w:rsidRPr="00957936">
              <w:rPr>
                <w:rFonts w:ascii="Arial Narrow" w:hAnsi="Arial Narrow" w:cs="Arial"/>
                <w:color w:val="000000"/>
                <w:kern w:val="24"/>
                <w:sz w:val="18"/>
                <w:szCs w:val="18"/>
              </w:rPr>
              <w:t>PG&amp;E</w:t>
            </w:r>
          </w:p>
        </w:tc>
        <w:tc>
          <w:tcPr>
            <w:tcW w:w="0" w:type="dxa"/>
            <w:vAlign w:val="top"/>
          </w:tcPr>
          <w:p w14:paraId="71360D40" w14:textId="77777777" w:rsidR="00DD2E3C" w:rsidRPr="00957936" w:rsidRDefault="00002BFF" w:rsidP="00002BFF">
            <w:pPr>
              <w:keepNext/>
              <w:keepLines/>
              <w:rPr>
                <w:rFonts w:ascii="Arial Narrow" w:hAnsi="Arial Narrow"/>
                <w:sz w:val="18"/>
                <w:szCs w:val="18"/>
              </w:rPr>
            </w:pPr>
            <w:r w:rsidRPr="00957936">
              <w:rPr>
                <w:rFonts w:ascii="Arial Narrow" w:hAnsi="Arial Narrow"/>
                <w:sz w:val="18"/>
                <w:szCs w:val="18"/>
              </w:rPr>
              <w:t>100.0%</w:t>
            </w:r>
          </w:p>
        </w:tc>
        <w:tc>
          <w:tcPr>
            <w:tcW w:w="0" w:type="dxa"/>
            <w:vAlign w:val="top"/>
          </w:tcPr>
          <w:p w14:paraId="41A74C1B" w14:textId="77777777" w:rsidR="00DD2E3C" w:rsidRPr="00957936" w:rsidRDefault="00002BFF" w:rsidP="00002BFF">
            <w:pPr>
              <w:keepNext/>
              <w:keepLines/>
              <w:rPr>
                <w:rFonts w:ascii="Arial Narrow" w:hAnsi="Arial Narrow"/>
                <w:sz w:val="18"/>
                <w:szCs w:val="18"/>
              </w:rPr>
            </w:pPr>
            <w:r w:rsidRPr="00957936">
              <w:rPr>
                <w:rFonts w:ascii="Arial Narrow" w:hAnsi="Arial Narrow"/>
                <w:sz w:val="18"/>
                <w:szCs w:val="18"/>
              </w:rPr>
              <w:t>98.1%</w:t>
            </w:r>
          </w:p>
        </w:tc>
        <w:tc>
          <w:tcPr>
            <w:tcW w:w="0" w:type="dxa"/>
            <w:vAlign w:val="top"/>
          </w:tcPr>
          <w:p w14:paraId="4A1F8B63" w14:textId="77777777" w:rsidR="00DD2E3C" w:rsidRPr="00957936" w:rsidRDefault="00002BFF" w:rsidP="00002BFF">
            <w:pPr>
              <w:keepNext/>
              <w:keepLines/>
              <w:rPr>
                <w:rFonts w:ascii="Arial Narrow" w:hAnsi="Arial Narrow"/>
                <w:sz w:val="18"/>
                <w:szCs w:val="18"/>
              </w:rPr>
            </w:pPr>
            <w:r w:rsidRPr="00957936">
              <w:rPr>
                <w:rFonts w:ascii="Arial Narrow" w:hAnsi="Arial Narrow"/>
                <w:sz w:val="18"/>
                <w:szCs w:val="18"/>
              </w:rPr>
              <w:t>99.3%</w:t>
            </w:r>
          </w:p>
        </w:tc>
        <w:tc>
          <w:tcPr>
            <w:tcW w:w="0" w:type="dxa"/>
            <w:vAlign w:val="top"/>
          </w:tcPr>
          <w:p w14:paraId="37333E2A" w14:textId="77777777" w:rsidR="00DD2E3C" w:rsidRPr="00957936" w:rsidRDefault="00002BFF" w:rsidP="00002BFF">
            <w:pPr>
              <w:keepNext/>
              <w:keepLines/>
              <w:rPr>
                <w:rFonts w:ascii="Arial Narrow" w:hAnsi="Arial Narrow"/>
                <w:sz w:val="18"/>
                <w:szCs w:val="18"/>
              </w:rPr>
            </w:pPr>
            <w:r w:rsidRPr="00957936">
              <w:rPr>
                <w:rFonts w:ascii="Arial Narrow" w:hAnsi="Arial Narrow"/>
                <w:sz w:val="18"/>
                <w:szCs w:val="18"/>
              </w:rPr>
              <w:t>99.3%</w:t>
            </w:r>
          </w:p>
        </w:tc>
        <w:tc>
          <w:tcPr>
            <w:tcW w:w="0" w:type="dxa"/>
            <w:vAlign w:val="top"/>
          </w:tcPr>
          <w:p w14:paraId="43E4ABFF" w14:textId="77777777" w:rsidR="00DD2E3C" w:rsidRPr="00957936" w:rsidRDefault="00002BFF" w:rsidP="00002BFF">
            <w:pPr>
              <w:keepNext/>
              <w:keepLines/>
              <w:rPr>
                <w:rFonts w:ascii="Arial Narrow" w:hAnsi="Arial Narrow"/>
                <w:sz w:val="18"/>
                <w:szCs w:val="18"/>
              </w:rPr>
            </w:pPr>
            <w:r w:rsidRPr="00957936">
              <w:rPr>
                <w:rFonts w:ascii="Arial Narrow" w:hAnsi="Arial Narrow"/>
                <w:sz w:val="18"/>
                <w:szCs w:val="18"/>
              </w:rPr>
              <w:t>99.5%</w:t>
            </w:r>
          </w:p>
        </w:tc>
        <w:tc>
          <w:tcPr>
            <w:tcW w:w="0" w:type="dxa"/>
            <w:vAlign w:val="top"/>
          </w:tcPr>
          <w:p w14:paraId="36A72E34" w14:textId="77777777" w:rsidR="00DD2E3C" w:rsidRPr="00957936" w:rsidRDefault="00002BFF" w:rsidP="00002BFF">
            <w:pPr>
              <w:keepNext/>
              <w:keepLines/>
              <w:rPr>
                <w:rFonts w:ascii="Arial Narrow" w:hAnsi="Arial Narrow"/>
                <w:sz w:val="18"/>
                <w:szCs w:val="18"/>
              </w:rPr>
            </w:pPr>
            <w:r w:rsidRPr="00957936">
              <w:rPr>
                <w:rFonts w:ascii="Arial Narrow" w:hAnsi="Arial Narrow"/>
                <w:sz w:val="18"/>
                <w:szCs w:val="18"/>
              </w:rPr>
              <w:t>NA</w:t>
            </w:r>
          </w:p>
        </w:tc>
      </w:tr>
      <w:tr w:rsidR="00DD2E3C" w:rsidRPr="00957936" w14:paraId="10165F2B" w14:textId="77777777" w:rsidTr="00AF21BE">
        <w:tc>
          <w:tcPr>
            <w:tcW w:w="0" w:type="dxa"/>
          </w:tcPr>
          <w:p w14:paraId="287EDD86" w14:textId="77777777" w:rsidR="00DD2E3C" w:rsidRPr="00957936" w:rsidRDefault="00DD2E3C" w:rsidP="00957936">
            <w:pPr>
              <w:keepNext/>
              <w:keepLines/>
              <w:rPr>
                <w:rFonts w:ascii="Arial Narrow" w:hAnsi="Arial Narrow"/>
                <w:sz w:val="18"/>
                <w:szCs w:val="18"/>
              </w:rPr>
            </w:pPr>
            <w:r w:rsidRPr="00957936">
              <w:rPr>
                <w:rFonts w:ascii="Arial Narrow" w:hAnsi="Arial Narrow" w:cs="Arial"/>
                <w:color w:val="000000"/>
                <w:kern w:val="24"/>
                <w:sz w:val="18"/>
                <w:szCs w:val="18"/>
              </w:rPr>
              <w:t>SC</w:t>
            </w:r>
            <w:r w:rsidR="00002BFF" w:rsidRPr="00957936">
              <w:rPr>
                <w:rFonts w:ascii="Arial Narrow" w:hAnsi="Arial Narrow" w:cs="Arial"/>
                <w:color w:val="000000"/>
                <w:kern w:val="24"/>
                <w:sz w:val="18"/>
                <w:szCs w:val="18"/>
              </w:rPr>
              <w:t>G</w:t>
            </w:r>
          </w:p>
        </w:tc>
        <w:tc>
          <w:tcPr>
            <w:tcW w:w="0" w:type="dxa"/>
            <w:vAlign w:val="top"/>
          </w:tcPr>
          <w:p w14:paraId="2605258A" w14:textId="77777777" w:rsidR="00DD2E3C" w:rsidRPr="00957936" w:rsidRDefault="00002BFF" w:rsidP="00957936">
            <w:pPr>
              <w:keepNext/>
              <w:keepLines/>
              <w:rPr>
                <w:rFonts w:ascii="Arial Narrow" w:hAnsi="Arial Narrow"/>
                <w:sz w:val="18"/>
                <w:szCs w:val="18"/>
              </w:rPr>
            </w:pPr>
            <w:r w:rsidRPr="00957936">
              <w:rPr>
                <w:rFonts w:ascii="Arial Narrow" w:hAnsi="Arial Narrow"/>
                <w:sz w:val="18"/>
                <w:szCs w:val="18"/>
              </w:rPr>
              <w:t>100.0%</w:t>
            </w:r>
          </w:p>
        </w:tc>
        <w:tc>
          <w:tcPr>
            <w:tcW w:w="0" w:type="dxa"/>
            <w:vAlign w:val="top"/>
          </w:tcPr>
          <w:p w14:paraId="2E7DDA07" w14:textId="77777777" w:rsidR="00DD2E3C" w:rsidRPr="00957936" w:rsidRDefault="00002BFF" w:rsidP="00957936">
            <w:pPr>
              <w:keepNext/>
              <w:keepLines/>
              <w:rPr>
                <w:rFonts w:ascii="Arial Narrow" w:hAnsi="Arial Narrow"/>
                <w:sz w:val="18"/>
                <w:szCs w:val="18"/>
              </w:rPr>
            </w:pPr>
            <w:r w:rsidRPr="00957936">
              <w:rPr>
                <w:rFonts w:ascii="Arial Narrow" w:hAnsi="Arial Narrow"/>
                <w:sz w:val="18"/>
                <w:szCs w:val="18"/>
              </w:rPr>
              <w:t>97.0%</w:t>
            </w:r>
          </w:p>
        </w:tc>
        <w:tc>
          <w:tcPr>
            <w:tcW w:w="0" w:type="dxa"/>
            <w:vAlign w:val="top"/>
          </w:tcPr>
          <w:p w14:paraId="2D220F8B" w14:textId="77777777" w:rsidR="00DD2E3C" w:rsidRPr="00957936" w:rsidRDefault="00002BFF" w:rsidP="00957936">
            <w:pPr>
              <w:keepNext/>
              <w:keepLines/>
              <w:rPr>
                <w:rFonts w:ascii="Arial Narrow" w:hAnsi="Arial Narrow"/>
                <w:sz w:val="18"/>
                <w:szCs w:val="18"/>
              </w:rPr>
            </w:pPr>
            <w:r w:rsidRPr="00957936">
              <w:rPr>
                <w:rFonts w:ascii="Arial Narrow" w:hAnsi="Arial Narrow"/>
                <w:sz w:val="18"/>
                <w:szCs w:val="18"/>
              </w:rPr>
              <w:t>100.0%</w:t>
            </w:r>
          </w:p>
        </w:tc>
        <w:tc>
          <w:tcPr>
            <w:tcW w:w="0" w:type="dxa"/>
            <w:vAlign w:val="top"/>
          </w:tcPr>
          <w:p w14:paraId="0EBB088A" w14:textId="77777777" w:rsidR="00DD2E3C" w:rsidRPr="00957936" w:rsidRDefault="00002BFF" w:rsidP="00957936">
            <w:pPr>
              <w:keepNext/>
              <w:keepLines/>
              <w:rPr>
                <w:rFonts w:ascii="Arial Narrow" w:hAnsi="Arial Narrow"/>
                <w:sz w:val="18"/>
                <w:szCs w:val="18"/>
              </w:rPr>
            </w:pPr>
            <w:r w:rsidRPr="00957936">
              <w:rPr>
                <w:rFonts w:ascii="Arial Narrow" w:hAnsi="Arial Narrow"/>
                <w:sz w:val="18"/>
                <w:szCs w:val="18"/>
              </w:rPr>
              <w:t>10.3%</w:t>
            </w:r>
          </w:p>
        </w:tc>
        <w:tc>
          <w:tcPr>
            <w:tcW w:w="0" w:type="dxa"/>
            <w:vAlign w:val="top"/>
          </w:tcPr>
          <w:p w14:paraId="38433CB9" w14:textId="77777777" w:rsidR="00DD2E3C" w:rsidRPr="00957936" w:rsidRDefault="00002BFF" w:rsidP="00957936">
            <w:pPr>
              <w:keepNext/>
              <w:keepLines/>
              <w:rPr>
                <w:rFonts w:ascii="Arial Narrow" w:hAnsi="Arial Narrow"/>
                <w:sz w:val="18"/>
                <w:szCs w:val="18"/>
              </w:rPr>
            </w:pPr>
            <w:r w:rsidRPr="00957936">
              <w:rPr>
                <w:rFonts w:ascii="Arial Narrow" w:hAnsi="Arial Narrow"/>
                <w:sz w:val="18"/>
                <w:szCs w:val="18"/>
              </w:rPr>
              <w:t>97.9%</w:t>
            </w:r>
          </w:p>
        </w:tc>
        <w:tc>
          <w:tcPr>
            <w:tcW w:w="0" w:type="dxa"/>
            <w:vAlign w:val="top"/>
          </w:tcPr>
          <w:p w14:paraId="067D4D97" w14:textId="77777777" w:rsidR="00DD2E3C" w:rsidRPr="00957936" w:rsidRDefault="00002BFF" w:rsidP="00957936">
            <w:pPr>
              <w:keepNext/>
              <w:keepLines/>
              <w:rPr>
                <w:rFonts w:ascii="Arial Narrow" w:hAnsi="Arial Narrow"/>
                <w:sz w:val="18"/>
                <w:szCs w:val="18"/>
              </w:rPr>
            </w:pPr>
            <w:r w:rsidRPr="00957936">
              <w:rPr>
                <w:rFonts w:ascii="Arial Narrow" w:hAnsi="Arial Narrow"/>
                <w:sz w:val="18"/>
                <w:szCs w:val="18"/>
              </w:rPr>
              <w:t>NA</w:t>
            </w:r>
          </w:p>
        </w:tc>
      </w:tr>
    </w:tbl>
    <w:p w14:paraId="454DA8C5" w14:textId="77777777" w:rsidR="00DD2E3C" w:rsidRDefault="00DD2E3C" w:rsidP="00957936">
      <w:pPr>
        <w:pStyle w:val="Source"/>
        <w:jc w:val="center"/>
      </w:pPr>
      <w:r>
        <w:t>Source: California Energy Commission, 2017.</w:t>
      </w:r>
    </w:p>
    <w:p w14:paraId="4F507797" w14:textId="77777777" w:rsidR="00E7005E" w:rsidRPr="00367C1A" w:rsidRDefault="001070A8" w:rsidP="00E44733">
      <w:r w:rsidRPr="00367C1A">
        <w:t xml:space="preserve">While most of the adjustment ratios are close to or at 100%, </w:t>
      </w:r>
      <w:r w:rsidR="00002BFF" w:rsidRPr="00367C1A">
        <w:t>SCG mining is 10.3% b</w:t>
      </w:r>
      <w:r w:rsidR="00797E9C" w:rsidRPr="00367C1A">
        <w:t>a</w:t>
      </w:r>
      <w:r w:rsidRPr="00367C1A">
        <w:t xml:space="preserve">sed on </w:t>
      </w:r>
      <w:r w:rsidR="008506EB" w:rsidRPr="00367C1A">
        <w:t xml:space="preserve">service territory sales found in </w:t>
      </w:r>
      <w:r w:rsidRPr="00367C1A">
        <w:t>ECDMS</w:t>
      </w:r>
      <w:r w:rsidR="008506EB" w:rsidRPr="00367C1A">
        <w:t xml:space="preserve">.  Many of the largest oil and gas extraction companies in SCG’s planning area purchase gas directly from the pipeline companies.  The service territory to planning area adjustment calculation additionally </w:t>
      </w:r>
      <w:r w:rsidR="00E75460" w:rsidRPr="00367C1A">
        <w:t>must</w:t>
      </w:r>
      <w:r w:rsidR="008506EB" w:rsidRPr="00367C1A">
        <w:t xml:space="preserve"> remove the gas sales that are attributed to those large oil and gas companies.</w:t>
      </w:r>
    </w:p>
    <w:p w14:paraId="5D08B684" w14:textId="77777777" w:rsidR="008B64DE" w:rsidRDefault="008B64DE" w:rsidP="00E44733">
      <w:pPr>
        <w:rPr>
          <w:highlight w:val="yellow"/>
        </w:rPr>
      </w:pPr>
    </w:p>
    <w:p w14:paraId="324EDDEA" w14:textId="77777777" w:rsidR="00E7005E" w:rsidRDefault="008B64DE" w:rsidP="00E44733">
      <w:r>
        <w:t xml:space="preserve">These ratios were applied to both the sales forecast and the building stocks for electric and gas impacts. </w:t>
      </w:r>
    </w:p>
    <w:p w14:paraId="16A42C6F" w14:textId="77777777" w:rsidR="00A035E0" w:rsidRDefault="008B64DE" w:rsidP="00757D2B">
      <w:pPr>
        <w:pStyle w:val="Heading3"/>
      </w:pPr>
      <w:bookmarkStart w:id="375" w:name="_Toc479766636"/>
      <w:bookmarkStart w:id="376" w:name="_Toc479768579"/>
      <w:bookmarkStart w:id="377" w:name="_Toc482357306"/>
      <w:bookmarkStart w:id="378" w:name="_Toc482634282"/>
      <w:bookmarkStart w:id="379" w:name="_Toc482626414"/>
      <w:bookmarkStart w:id="380" w:name="_Toc484092485"/>
      <w:bookmarkStart w:id="381" w:name="_Toc484172689"/>
      <w:bookmarkStart w:id="382" w:name="_Toc484183025"/>
      <w:bookmarkStart w:id="383" w:name="_Toc490225782"/>
      <w:bookmarkStart w:id="384" w:name="_Toc478990507"/>
      <w:bookmarkEnd w:id="375"/>
      <w:r>
        <w:t>Building Stocks</w:t>
      </w:r>
      <w:bookmarkEnd w:id="376"/>
      <w:bookmarkEnd w:id="377"/>
      <w:bookmarkEnd w:id="378"/>
      <w:bookmarkEnd w:id="379"/>
      <w:bookmarkEnd w:id="380"/>
      <w:bookmarkEnd w:id="381"/>
      <w:bookmarkEnd w:id="382"/>
      <w:bookmarkEnd w:id="383"/>
    </w:p>
    <w:p w14:paraId="33494A4F" w14:textId="77777777" w:rsidR="00245FFD" w:rsidRDefault="00245FFD" w:rsidP="00245FFD">
      <w:r>
        <w:t xml:space="preserve">Building stocks are the total “population” metrics of a given sector, though represented by different metrics for most sectors. Residential building stocks are based on number of households in an IOU’s service territory. Commercial building stocks are represented by total floor space for each commercial building type. Industrial and agricultural building stocks are represented by energy consumption. Mining and streetlighting stocks are the number of pumps and streetlights respectively. The residential, commercial, industrial and agriculture building stock metrics are derived from the CEC’s IEPR. </w:t>
      </w:r>
    </w:p>
    <w:p w14:paraId="1DB48414" w14:textId="77777777" w:rsidR="00245FFD" w:rsidRDefault="00245FFD" w:rsidP="00245FFD"/>
    <w:p w14:paraId="313BC2C4" w14:textId="77777777" w:rsidR="002118E3" w:rsidRDefault="002118E3" w:rsidP="002118E3">
      <w:r>
        <w:t>The model requires building stocks by sector, scenario, and utility for the time frame 2013-</w:t>
      </w:r>
      <w:r w:rsidR="00E27C1E">
        <w:t>2030</w:t>
      </w:r>
      <w:r>
        <w:t>.</w:t>
      </w:r>
    </w:p>
    <w:p w14:paraId="5CABA853" w14:textId="77777777" w:rsidR="00E27C1E" w:rsidRDefault="00245FFD" w:rsidP="00245FFD">
      <w:r>
        <w:t xml:space="preserve">IEPR 2016 organizes building stock data into the 8 electric planning areas determined by the CEC.  </w:t>
      </w:r>
      <w:r w:rsidR="007B0459">
        <w:t>To</w:t>
      </w:r>
      <w:r>
        <w:t xml:space="preserve"> translate these IEPR results to the PG model and split them by utility, Navigant worked with CEC to map CEC planning areas to the IOU service territories in</w:t>
      </w:r>
      <w:r w:rsidR="008D63F4">
        <w:t xml:space="preserve"> </w:t>
      </w:r>
      <w:r w:rsidR="008D63F4">
        <w:fldChar w:fldCharType="begin"/>
      </w:r>
      <w:r w:rsidR="008D63F4">
        <w:instrText xml:space="preserve"> REF _Ref490227701 \h </w:instrText>
      </w:r>
      <w:r w:rsidR="008D63F4">
        <w:fldChar w:fldCharType="separate"/>
      </w:r>
      <w:r w:rsidR="008D63F4">
        <w:t xml:space="preserve">Table </w:t>
      </w:r>
      <w:r w:rsidR="008D63F4">
        <w:rPr>
          <w:noProof/>
        </w:rPr>
        <w:t>3</w:t>
      </w:r>
      <w:r w:rsidR="008D63F4">
        <w:noBreakHyphen/>
      </w:r>
      <w:r w:rsidR="008D63F4">
        <w:rPr>
          <w:noProof/>
        </w:rPr>
        <w:t>4</w:t>
      </w:r>
      <w:r w:rsidR="008D63F4">
        <w:fldChar w:fldCharType="end"/>
      </w:r>
      <w:r w:rsidR="00857F44">
        <w:t>.</w:t>
      </w:r>
    </w:p>
    <w:p w14:paraId="40657129" w14:textId="77777777" w:rsidR="00245FFD" w:rsidRDefault="00245FFD" w:rsidP="00245FFD"/>
    <w:p w14:paraId="0EB31926" w14:textId="77777777" w:rsidR="00245FFD" w:rsidRDefault="00245FFD" w:rsidP="00245FFD">
      <w:pPr>
        <w:pStyle w:val="Caption"/>
      </w:pPr>
      <w:bookmarkStart w:id="385" w:name="_Ref481575878"/>
      <w:bookmarkStart w:id="386" w:name="_Ref490227701"/>
      <w:bookmarkStart w:id="387" w:name="_Toc482634212"/>
      <w:bookmarkStart w:id="388" w:name="_Toc484436951"/>
      <w:bookmarkStart w:id="389" w:name="_Toc490560662"/>
      <w:r>
        <w:t xml:space="preserve">Table </w:t>
      </w:r>
      <w:fldSimple w:instr=" STYLEREF 1 \s ">
        <w:r w:rsidR="007566B9">
          <w:rPr>
            <w:noProof/>
          </w:rPr>
          <w:t>3</w:t>
        </w:r>
      </w:fldSimple>
      <w:r w:rsidR="00C17D59">
        <w:noBreakHyphen/>
      </w:r>
      <w:bookmarkEnd w:id="385"/>
      <w:r w:rsidR="00B206D8">
        <w:fldChar w:fldCharType="begin"/>
      </w:r>
      <w:r w:rsidR="00B206D8">
        <w:instrText xml:space="preserve"> SEQ Table \* ARABIC \s 1 </w:instrText>
      </w:r>
      <w:r w:rsidR="00B206D8">
        <w:fldChar w:fldCharType="separate"/>
      </w:r>
      <w:r w:rsidR="007566B9">
        <w:rPr>
          <w:noProof/>
        </w:rPr>
        <w:t>4</w:t>
      </w:r>
      <w:r w:rsidR="00B206D8">
        <w:rPr>
          <w:noProof/>
        </w:rPr>
        <w:fldChar w:fldCharType="end"/>
      </w:r>
      <w:bookmarkEnd w:id="386"/>
      <w:r>
        <w:t>.  Mapping CEC Planning Areas to IOU Service Territories</w:t>
      </w:r>
      <w:bookmarkEnd w:id="387"/>
      <w:bookmarkEnd w:id="388"/>
      <w:bookmarkEnd w:id="389"/>
    </w:p>
    <w:tbl>
      <w:tblPr>
        <w:tblW w:w="7682" w:type="dxa"/>
        <w:tblInd w:w="530" w:type="dxa"/>
        <w:tblCellMar>
          <w:left w:w="0" w:type="dxa"/>
          <w:right w:w="0" w:type="dxa"/>
        </w:tblCellMar>
        <w:tblLook w:val="0600" w:firstRow="0" w:lastRow="0" w:firstColumn="0" w:lastColumn="0" w:noHBand="1" w:noVBand="1"/>
      </w:tblPr>
      <w:tblGrid>
        <w:gridCol w:w="1982"/>
        <w:gridCol w:w="1839"/>
        <w:gridCol w:w="2029"/>
        <w:gridCol w:w="1832"/>
      </w:tblGrid>
      <w:tr w:rsidR="00245FFD" w:rsidRPr="00957936" w14:paraId="189299EA" w14:textId="77777777" w:rsidTr="00AF21BE">
        <w:trPr>
          <w:trHeight w:val="294"/>
        </w:trPr>
        <w:tc>
          <w:tcPr>
            <w:tcW w:w="7682" w:type="dxa"/>
            <w:gridSpan w:val="4"/>
            <w:tcBorders>
              <w:top w:val="single" w:sz="8" w:space="0" w:color="FFFFFF"/>
              <w:left w:val="single" w:sz="8" w:space="0" w:color="FFFFFF"/>
              <w:bottom w:val="single" w:sz="8" w:space="0" w:color="FFFFFF"/>
              <w:right w:val="single" w:sz="8" w:space="0" w:color="FFFFFF"/>
            </w:tcBorders>
            <w:shd w:val="clear" w:color="auto" w:fill="555759"/>
            <w:tcMar>
              <w:top w:w="12" w:type="dxa"/>
              <w:left w:w="12" w:type="dxa"/>
              <w:bottom w:w="0" w:type="dxa"/>
              <w:right w:w="12" w:type="dxa"/>
            </w:tcMar>
            <w:vAlign w:val="center"/>
            <w:hideMark/>
          </w:tcPr>
          <w:p w14:paraId="07D885D3" w14:textId="77777777" w:rsidR="00245FFD" w:rsidRPr="00957936" w:rsidRDefault="00245FFD" w:rsidP="002118E3">
            <w:pPr>
              <w:jc w:val="center"/>
              <w:rPr>
                <w:rFonts w:ascii="Arial Narrow" w:hAnsi="Arial Narrow"/>
                <w:color w:val="F2F2F2" w:themeColor="background2"/>
                <w:sz w:val="18"/>
                <w:szCs w:val="18"/>
              </w:rPr>
            </w:pPr>
            <w:r w:rsidRPr="00957936">
              <w:rPr>
                <w:rFonts w:ascii="Arial Narrow" w:hAnsi="Arial Narrow"/>
                <w:b/>
                <w:bCs/>
                <w:color w:val="F2F2F2" w:themeColor="background2"/>
                <w:sz w:val="18"/>
                <w:szCs w:val="18"/>
              </w:rPr>
              <w:t>CEC Electric and Gas Planning Areas to Utilities</w:t>
            </w:r>
          </w:p>
        </w:tc>
      </w:tr>
      <w:tr w:rsidR="002544A3" w:rsidRPr="00957936" w14:paraId="45351110" w14:textId="77777777" w:rsidTr="00110120">
        <w:trPr>
          <w:trHeight w:val="634"/>
        </w:trPr>
        <w:tc>
          <w:tcPr>
            <w:tcW w:w="1982" w:type="dxa"/>
            <w:tcBorders>
              <w:top w:val="single" w:sz="8" w:space="0" w:color="FFFFFF"/>
              <w:left w:val="single" w:sz="8" w:space="0" w:color="FFFFFF"/>
              <w:bottom w:val="single" w:sz="12" w:space="0" w:color="95D600" w:themeColor="accent1"/>
              <w:right w:val="single" w:sz="8" w:space="0" w:color="FFFFFF"/>
            </w:tcBorders>
            <w:shd w:val="clear" w:color="auto" w:fill="555759"/>
            <w:tcMar>
              <w:top w:w="12" w:type="dxa"/>
              <w:left w:w="12" w:type="dxa"/>
              <w:bottom w:w="0" w:type="dxa"/>
              <w:right w:w="12" w:type="dxa"/>
            </w:tcMar>
            <w:vAlign w:val="center"/>
            <w:hideMark/>
          </w:tcPr>
          <w:p w14:paraId="4B276A91" w14:textId="77777777" w:rsidR="00245FFD" w:rsidRPr="00957936" w:rsidRDefault="00245FFD" w:rsidP="008B64DE">
            <w:pPr>
              <w:jc w:val="center"/>
              <w:rPr>
                <w:rFonts w:ascii="Arial Narrow" w:hAnsi="Arial Narrow"/>
                <w:color w:val="F2F2F2" w:themeColor="background2"/>
                <w:sz w:val="18"/>
                <w:szCs w:val="18"/>
              </w:rPr>
            </w:pPr>
            <w:r w:rsidRPr="00957936">
              <w:rPr>
                <w:rFonts w:ascii="Arial Narrow" w:hAnsi="Arial Narrow"/>
                <w:b/>
                <w:bCs/>
                <w:color w:val="F2F2F2" w:themeColor="background2"/>
                <w:sz w:val="18"/>
                <w:szCs w:val="18"/>
              </w:rPr>
              <w:t xml:space="preserve">CEC Forecasting Climate Zones </w:t>
            </w:r>
          </w:p>
        </w:tc>
        <w:tc>
          <w:tcPr>
            <w:tcW w:w="1839" w:type="dxa"/>
            <w:tcBorders>
              <w:top w:val="single" w:sz="8" w:space="0" w:color="FFFFFF"/>
              <w:left w:val="single" w:sz="8" w:space="0" w:color="FFFFFF"/>
              <w:bottom w:val="single" w:sz="12" w:space="0" w:color="95D600" w:themeColor="accent1"/>
              <w:right w:val="single" w:sz="8" w:space="0" w:color="FFFFFF"/>
            </w:tcBorders>
            <w:shd w:val="clear" w:color="auto" w:fill="555759"/>
            <w:tcMar>
              <w:top w:w="12" w:type="dxa"/>
              <w:left w:w="12" w:type="dxa"/>
              <w:bottom w:w="0" w:type="dxa"/>
              <w:right w:w="12" w:type="dxa"/>
            </w:tcMar>
            <w:vAlign w:val="center"/>
            <w:hideMark/>
          </w:tcPr>
          <w:p w14:paraId="42301E3C" w14:textId="77777777" w:rsidR="00245FFD" w:rsidRPr="00957936" w:rsidRDefault="00245FFD" w:rsidP="008B64DE">
            <w:pPr>
              <w:jc w:val="center"/>
              <w:rPr>
                <w:rFonts w:ascii="Arial Narrow" w:hAnsi="Arial Narrow"/>
                <w:color w:val="F2F2F2" w:themeColor="background2"/>
                <w:sz w:val="18"/>
                <w:szCs w:val="18"/>
              </w:rPr>
            </w:pPr>
            <w:r w:rsidRPr="00957936">
              <w:rPr>
                <w:rFonts w:ascii="Arial Narrow" w:hAnsi="Arial Narrow"/>
                <w:b/>
                <w:bCs/>
                <w:color w:val="F2F2F2" w:themeColor="background2"/>
                <w:sz w:val="18"/>
                <w:szCs w:val="18"/>
              </w:rPr>
              <w:t xml:space="preserve">Electric Planning Area Number </w:t>
            </w:r>
          </w:p>
        </w:tc>
        <w:tc>
          <w:tcPr>
            <w:tcW w:w="2029" w:type="dxa"/>
            <w:tcBorders>
              <w:top w:val="single" w:sz="8" w:space="0" w:color="FFFFFF"/>
              <w:left w:val="single" w:sz="8" w:space="0" w:color="FFFFFF"/>
              <w:bottom w:val="single" w:sz="12" w:space="0" w:color="95D600" w:themeColor="accent1"/>
              <w:right w:val="single" w:sz="8" w:space="0" w:color="FFFFFF"/>
            </w:tcBorders>
            <w:shd w:val="clear" w:color="auto" w:fill="555759"/>
            <w:tcMar>
              <w:top w:w="12" w:type="dxa"/>
              <w:left w:w="12" w:type="dxa"/>
              <w:bottom w:w="0" w:type="dxa"/>
              <w:right w:w="12" w:type="dxa"/>
            </w:tcMar>
            <w:vAlign w:val="center"/>
            <w:hideMark/>
          </w:tcPr>
          <w:p w14:paraId="4B04AA4E" w14:textId="77777777" w:rsidR="00245FFD" w:rsidRPr="00957936" w:rsidRDefault="00245FFD" w:rsidP="008B64DE">
            <w:pPr>
              <w:jc w:val="center"/>
              <w:rPr>
                <w:rFonts w:ascii="Arial Narrow" w:hAnsi="Arial Narrow"/>
                <w:color w:val="F2F2F2" w:themeColor="background2"/>
                <w:sz w:val="18"/>
                <w:szCs w:val="18"/>
              </w:rPr>
            </w:pPr>
            <w:r w:rsidRPr="00957936">
              <w:rPr>
                <w:rFonts w:ascii="Arial Narrow" w:hAnsi="Arial Narrow"/>
                <w:b/>
                <w:bCs/>
                <w:color w:val="F2F2F2" w:themeColor="background2"/>
                <w:sz w:val="18"/>
                <w:szCs w:val="18"/>
              </w:rPr>
              <w:t xml:space="preserve">Electric Planning Area Utilities </w:t>
            </w:r>
          </w:p>
        </w:tc>
        <w:tc>
          <w:tcPr>
            <w:tcW w:w="1832" w:type="dxa"/>
            <w:tcBorders>
              <w:top w:val="single" w:sz="8" w:space="0" w:color="FFFFFF"/>
              <w:left w:val="single" w:sz="8" w:space="0" w:color="FFFFFF"/>
              <w:bottom w:val="single" w:sz="12" w:space="0" w:color="95D600" w:themeColor="accent1"/>
              <w:right w:val="single" w:sz="8" w:space="0" w:color="FFFFFF"/>
            </w:tcBorders>
            <w:shd w:val="clear" w:color="auto" w:fill="555759"/>
            <w:tcMar>
              <w:top w:w="12" w:type="dxa"/>
              <w:left w:w="12" w:type="dxa"/>
              <w:bottom w:w="0" w:type="dxa"/>
              <w:right w:w="12" w:type="dxa"/>
            </w:tcMar>
            <w:vAlign w:val="center"/>
            <w:hideMark/>
          </w:tcPr>
          <w:p w14:paraId="0D064942" w14:textId="77777777" w:rsidR="00245FFD" w:rsidRPr="00957936" w:rsidRDefault="00245FFD" w:rsidP="008B64DE">
            <w:pPr>
              <w:jc w:val="center"/>
              <w:rPr>
                <w:rFonts w:ascii="Arial Narrow" w:hAnsi="Arial Narrow"/>
                <w:color w:val="F2F2F2" w:themeColor="background2"/>
                <w:sz w:val="18"/>
                <w:szCs w:val="18"/>
              </w:rPr>
            </w:pPr>
            <w:r w:rsidRPr="00957936">
              <w:rPr>
                <w:rFonts w:ascii="Arial Narrow" w:hAnsi="Arial Narrow"/>
                <w:b/>
                <w:bCs/>
                <w:color w:val="F2F2F2" w:themeColor="background2"/>
                <w:sz w:val="18"/>
                <w:szCs w:val="18"/>
              </w:rPr>
              <w:t xml:space="preserve">Natural Gas Planning Area Utilities </w:t>
            </w:r>
          </w:p>
        </w:tc>
      </w:tr>
      <w:tr w:rsidR="002544A3" w:rsidRPr="00957936" w14:paraId="3E8CC29E" w14:textId="77777777" w:rsidTr="00110120">
        <w:trPr>
          <w:trHeight w:val="294"/>
        </w:trPr>
        <w:tc>
          <w:tcPr>
            <w:tcW w:w="1982" w:type="dxa"/>
            <w:tcBorders>
              <w:top w:val="single" w:sz="12" w:space="0" w:color="95D600" w:themeColor="accent1"/>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1FDC7379"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1</w:t>
            </w:r>
          </w:p>
        </w:tc>
        <w:tc>
          <w:tcPr>
            <w:tcW w:w="1839" w:type="dxa"/>
            <w:vMerge w:val="restart"/>
            <w:tcBorders>
              <w:top w:val="single" w:sz="12" w:space="0" w:color="95D600" w:themeColor="accent1"/>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6746A892"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1 - PG&amp;E</w:t>
            </w:r>
          </w:p>
        </w:tc>
        <w:tc>
          <w:tcPr>
            <w:tcW w:w="2029" w:type="dxa"/>
            <w:vMerge w:val="restart"/>
            <w:tcBorders>
              <w:top w:val="single" w:sz="12" w:space="0" w:color="95D600" w:themeColor="accent1"/>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C1EEFF" w:themeFill="accent3" w:themeFillTint="33"/>
            <w:tcMar>
              <w:top w:w="12" w:type="dxa"/>
              <w:left w:w="12" w:type="dxa"/>
              <w:bottom w:w="0" w:type="dxa"/>
              <w:right w:w="12" w:type="dxa"/>
            </w:tcMar>
            <w:vAlign w:val="center"/>
            <w:hideMark/>
          </w:tcPr>
          <w:p w14:paraId="1CBDCB0C"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PG&amp;E</w:t>
            </w:r>
          </w:p>
        </w:tc>
        <w:tc>
          <w:tcPr>
            <w:tcW w:w="1832" w:type="dxa"/>
            <w:vMerge w:val="restart"/>
            <w:tcBorders>
              <w:top w:val="single" w:sz="12" w:space="0" w:color="95D600" w:themeColor="accent1"/>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C1EEFF" w:themeFill="accent3" w:themeFillTint="33"/>
            <w:tcMar>
              <w:top w:w="12" w:type="dxa"/>
              <w:left w:w="12" w:type="dxa"/>
              <w:bottom w:w="0" w:type="dxa"/>
              <w:right w:w="12" w:type="dxa"/>
            </w:tcMar>
            <w:vAlign w:val="center"/>
            <w:hideMark/>
          </w:tcPr>
          <w:p w14:paraId="38235550"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PG&amp;E</w:t>
            </w:r>
          </w:p>
        </w:tc>
      </w:tr>
      <w:tr w:rsidR="002544A3" w:rsidRPr="00957936" w14:paraId="33D1397B"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3912F819"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2</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27C4A29D" w14:textId="77777777" w:rsidR="00245FFD" w:rsidRPr="00957936" w:rsidRDefault="00245FFD" w:rsidP="002118E3">
            <w:pPr>
              <w:jc w:val="center"/>
              <w:rPr>
                <w:rFonts w:ascii="Arial Narrow" w:hAnsi="Arial Narrow"/>
                <w:sz w:val="18"/>
                <w:szCs w:val="18"/>
              </w:rPr>
            </w:pPr>
          </w:p>
        </w:tc>
        <w:tc>
          <w:tcPr>
            <w:tcW w:w="2029" w:type="dxa"/>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C1EEFF" w:themeFill="accent3" w:themeFillTint="33"/>
            <w:vAlign w:val="center"/>
            <w:hideMark/>
          </w:tcPr>
          <w:p w14:paraId="3D9F181C" w14:textId="77777777" w:rsidR="00245FFD" w:rsidRPr="00957936" w:rsidRDefault="00245FFD" w:rsidP="002118E3">
            <w:pPr>
              <w:jc w:val="center"/>
              <w:rPr>
                <w:rFonts w:ascii="Arial Narrow" w:hAnsi="Arial Narrow"/>
                <w:sz w:val="18"/>
                <w:szCs w:val="18"/>
              </w:rPr>
            </w:pPr>
          </w:p>
        </w:tc>
        <w:tc>
          <w:tcPr>
            <w:tcW w:w="1832" w:type="dxa"/>
            <w:vMerge/>
            <w:tcBorders>
              <w:top w:val="single" w:sz="2" w:space="0" w:color="DADADA" w:themeColor="background2" w:themeShade="E6"/>
              <w:left w:val="single" w:sz="2" w:space="0" w:color="DADADA" w:themeColor="background2" w:themeShade="E6"/>
            </w:tcBorders>
            <w:shd w:val="clear" w:color="auto" w:fill="C1EEFF" w:themeFill="accent3" w:themeFillTint="33"/>
            <w:vAlign w:val="center"/>
            <w:hideMark/>
          </w:tcPr>
          <w:p w14:paraId="1B6CB10E" w14:textId="77777777" w:rsidR="00245FFD" w:rsidRPr="00957936" w:rsidRDefault="00245FFD" w:rsidP="002118E3">
            <w:pPr>
              <w:jc w:val="center"/>
              <w:rPr>
                <w:rFonts w:ascii="Arial Narrow" w:hAnsi="Arial Narrow"/>
                <w:sz w:val="18"/>
                <w:szCs w:val="18"/>
              </w:rPr>
            </w:pPr>
          </w:p>
        </w:tc>
      </w:tr>
      <w:tr w:rsidR="002544A3" w:rsidRPr="00957936" w14:paraId="3D081F5A"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7C9703E3"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3</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487D245C" w14:textId="77777777" w:rsidR="00245FFD" w:rsidRPr="00957936" w:rsidRDefault="00245FFD" w:rsidP="002118E3">
            <w:pPr>
              <w:jc w:val="center"/>
              <w:rPr>
                <w:rFonts w:ascii="Arial Narrow" w:hAnsi="Arial Narrow"/>
                <w:sz w:val="18"/>
                <w:szCs w:val="18"/>
              </w:rPr>
            </w:pPr>
          </w:p>
        </w:tc>
        <w:tc>
          <w:tcPr>
            <w:tcW w:w="2029" w:type="dxa"/>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C1EEFF" w:themeFill="accent3" w:themeFillTint="33"/>
            <w:vAlign w:val="center"/>
            <w:hideMark/>
          </w:tcPr>
          <w:p w14:paraId="03E8B1DF" w14:textId="77777777" w:rsidR="00245FFD" w:rsidRPr="00957936" w:rsidRDefault="00245FFD" w:rsidP="002118E3">
            <w:pPr>
              <w:jc w:val="center"/>
              <w:rPr>
                <w:rFonts w:ascii="Arial Narrow" w:hAnsi="Arial Narrow"/>
                <w:sz w:val="18"/>
                <w:szCs w:val="18"/>
              </w:rPr>
            </w:pPr>
          </w:p>
        </w:tc>
        <w:tc>
          <w:tcPr>
            <w:tcW w:w="1832" w:type="dxa"/>
            <w:vMerge/>
            <w:tcBorders>
              <w:left w:val="single" w:sz="2" w:space="0" w:color="DADADA" w:themeColor="background2" w:themeShade="E6"/>
            </w:tcBorders>
            <w:shd w:val="clear" w:color="auto" w:fill="C1EEFF" w:themeFill="accent3" w:themeFillTint="33"/>
            <w:vAlign w:val="center"/>
            <w:hideMark/>
          </w:tcPr>
          <w:p w14:paraId="10FC6054" w14:textId="77777777" w:rsidR="00245FFD" w:rsidRPr="00957936" w:rsidRDefault="00245FFD" w:rsidP="002118E3">
            <w:pPr>
              <w:jc w:val="center"/>
              <w:rPr>
                <w:rFonts w:ascii="Arial Narrow" w:hAnsi="Arial Narrow"/>
                <w:sz w:val="18"/>
                <w:szCs w:val="18"/>
              </w:rPr>
            </w:pPr>
          </w:p>
        </w:tc>
      </w:tr>
      <w:tr w:rsidR="002544A3" w:rsidRPr="00957936" w14:paraId="2AF2AA55"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7BA7994E"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4</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67B14ED4" w14:textId="77777777" w:rsidR="00245FFD" w:rsidRPr="00957936" w:rsidRDefault="00245FFD" w:rsidP="002118E3">
            <w:pPr>
              <w:jc w:val="center"/>
              <w:rPr>
                <w:rFonts w:ascii="Arial Narrow" w:hAnsi="Arial Narrow"/>
                <w:sz w:val="18"/>
                <w:szCs w:val="18"/>
              </w:rPr>
            </w:pPr>
          </w:p>
        </w:tc>
        <w:tc>
          <w:tcPr>
            <w:tcW w:w="2029" w:type="dxa"/>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C1EEFF" w:themeFill="accent3" w:themeFillTint="33"/>
            <w:vAlign w:val="center"/>
            <w:hideMark/>
          </w:tcPr>
          <w:p w14:paraId="182A00D9" w14:textId="77777777" w:rsidR="00245FFD" w:rsidRPr="00957936" w:rsidRDefault="00245FFD" w:rsidP="002118E3">
            <w:pPr>
              <w:jc w:val="center"/>
              <w:rPr>
                <w:rFonts w:ascii="Arial Narrow" w:hAnsi="Arial Narrow"/>
                <w:sz w:val="18"/>
                <w:szCs w:val="18"/>
              </w:rPr>
            </w:pPr>
          </w:p>
        </w:tc>
        <w:tc>
          <w:tcPr>
            <w:tcW w:w="1832" w:type="dxa"/>
            <w:vMerge/>
            <w:tcBorders>
              <w:left w:val="single" w:sz="2" w:space="0" w:color="DADADA" w:themeColor="background2" w:themeShade="E6"/>
            </w:tcBorders>
            <w:shd w:val="clear" w:color="auto" w:fill="C1EEFF" w:themeFill="accent3" w:themeFillTint="33"/>
            <w:vAlign w:val="center"/>
            <w:hideMark/>
          </w:tcPr>
          <w:p w14:paraId="1E6F328A" w14:textId="77777777" w:rsidR="00245FFD" w:rsidRPr="00957936" w:rsidRDefault="00245FFD" w:rsidP="002118E3">
            <w:pPr>
              <w:jc w:val="center"/>
              <w:rPr>
                <w:rFonts w:ascii="Arial Narrow" w:hAnsi="Arial Narrow"/>
                <w:sz w:val="18"/>
                <w:szCs w:val="18"/>
              </w:rPr>
            </w:pPr>
          </w:p>
        </w:tc>
      </w:tr>
      <w:tr w:rsidR="002544A3" w:rsidRPr="00957936" w14:paraId="3242ABCF"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3A7D3C52"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5</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717FED87" w14:textId="77777777" w:rsidR="00245FFD" w:rsidRPr="00957936" w:rsidRDefault="00245FFD" w:rsidP="002118E3">
            <w:pPr>
              <w:jc w:val="center"/>
              <w:rPr>
                <w:rFonts w:ascii="Arial Narrow" w:hAnsi="Arial Narrow"/>
                <w:sz w:val="18"/>
                <w:szCs w:val="18"/>
              </w:rPr>
            </w:pPr>
          </w:p>
        </w:tc>
        <w:tc>
          <w:tcPr>
            <w:tcW w:w="2029" w:type="dxa"/>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C1EEFF" w:themeFill="accent3" w:themeFillTint="33"/>
            <w:vAlign w:val="center"/>
            <w:hideMark/>
          </w:tcPr>
          <w:p w14:paraId="53C848C8" w14:textId="77777777" w:rsidR="00245FFD" w:rsidRPr="00957936" w:rsidRDefault="00245FFD" w:rsidP="002118E3">
            <w:pPr>
              <w:jc w:val="center"/>
              <w:rPr>
                <w:rFonts w:ascii="Arial Narrow" w:hAnsi="Arial Narrow"/>
                <w:sz w:val="18"/>
                <w:szCs w:val="18"/>
              </w:rPr>
            </w:pPr>
          </w:p>
        </w:tc>
        <w:tc>
          <w:tcPr>
            <w:tcW w:w="1832" w:type="dxa"/>
            <w:vMerge/>
            <w:tcBorders>
              <w:left w:val="single" w:sz="2" w:space="0" w:color="DADADA" w:themeColor="background2" w:themeShade="E6"/>
            </w:tcBorders>
            <w:shd w:val="clear" w:color="auto" w:fill="C1EEFF" w:themeFill="accent3" w:themeFillTint="33"/>
            <w:vAlign w:val="center"/>
            <w:hideMark/>
          </w:tcPr>
          <w:p w14:paraId="459CFA7F" w14:textId="77777777" w:rsidR="00245FFD" w:rsidRPr="00957936" w:rsidRDefault="00245FFD" w:rsidP="002118E3">
            <w:pPr>
              <w:jc w:val="center"/>
              <w:rPr>
                <w:rFonts w:ascii="Arial Narrow" w:hAnsi="Arial Narrow"/>
                <w:sz w:val="18"/>
                <w:szCs w:val="18"/>
              </w:rPr>
            </w:pPr>
          </w:p>
        </w:tc>
      </w:tr>
      <w:tr w:rsidR="002544A3" w:rsidRPr="00957936" w14:paraId="5BA9AEA6"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42C5FD97"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6</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409E5815" w14:textId="77777777" w:rsidR="00245FFD" w:rsidRPr="00957936" w:rsidRDefault="00245FFD" w:rsidP="002118E3">
            <w:pPr>
              <w:jc w:val="center"/>
              <w:rPr>
                <w:rFonts w:ascii="Arial Narrow" w:hAnsi="Arial Narrow"/>
                <w:sz w:val="18"/>
                <w:szCs w:val="18"/>
              </w:rPr>
            </w:pPr>
          </w:p>
        </w:tc>
        <w:tc>
          <w:tcPr>
            <w:tcW w:w="2029" w:type="dxa"/>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C1EEFF" w:themeFill="accent3" w:themeFillTint="33"/>
            <w:vAlign w:val="center"/>
            <w:hideMark/>
          </w:tcPr>
          <w:p w14:paraId="15A5E962" w14:textId="77777777" w:rsidR="00245FFD" w:rsidRPr="00957936" w:rsidRDefault="00245FFD" w:rsidP="002118E3">
            <w:pPr>
              <w:jc w:val="center"/>
              <w:rPr>
                <w:rFonts w:ascii="Arial Narrow" w:hAnsi="Arial Narrow"/>
                <w:sz w:val="18"/>
                <w:szCs w:val="18"/>
              </w:rPr>
            </w:pPr>
          </w:p>
        </w:tc>
        <w:tc>
          <w:tcPr>
            <w:tcW w:w="1832" w:type="dxa"/>
            <w:vMerge/>
            <w:tcBorders>
              <w:left w:val="single" w:sz="2" w:space="0" w:color="DADADA" w:themeColor="background2" w:themeShade="E6"/>
            </w:tcBorders>
            <w:shd w:val="clear" w:color="auto" w:fill="C1EEFF" w:themeFill="accent3" w:themeFillTint="33"/>
            <w:vAlign w:val="center"/>
            <w:hideMark/>
          </w:tcPr>
          <w:p w14:paraId="18F72095" w14:textId="77777777" w:rsidR="00245FFD" w:rsidRPr="00957936" w:rsidRDefault="00245FFD" w:rsidP="002118E3">
            <w:pPr>
              <w:jc w:val="center"/>
              <w:rPr>
                <w:rFonts w:ascii="Arial Narrow" w:hAnsi="Arial Narrow"/>
                <w:sz w:val="18"/>
                <w:szCs w:val="18"/>
              </w:rPr>
            </w:pPr>
          </w:p>
        </w:tc>
      </w:tr>
      <w:tr w:rsidR="002544A3" w:rsidRPr="00957936" w14:paraId="2C6884B5"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179DEAD4"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7</w:t>
            </w:r>
          </w:p>
        </w:tc>
        <w:tc>
          <w:tcPr>
            <w:tcW w:w="1839" w:type="dxa"/>
            <w:vMerge w:val="restart"/>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2046764C"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2- SCE</w:t>
            </w:r>
          </w:p>
        </w:tc>
        <w:tc>
          <w:tcPr>
            <w:tcW w:w="2029" w:type="dxa"/>
            <w:vMerge w:val="restart"/>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E3F4C4" w:themeFill="accent2" w:themeFillTint="33"/>
            <w:tcMar>
              <w:top w:w="12" w:type="dxa"/>
              <w:left w:w="12" w:type="dxa"/>
              <w:bottom w:w="0" w:type="dxa"/>
              <w:right w:w="12" w:type="dxa"/>
            </w:tcMar>
            <w:vAlign w:val="center"/>
            <w:hideMark/>
          </w:tcPr>
          <w:p w14:paraId="4A350CB0"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SCE</w:t>
            </w:r>
          </w:p>
        </w:tc>
        <w:tc>
          <w:tcPr>
            <w:tcW w:w="1832" w:type="dxa"/>
            <w:vMerge w:val="restart"/>
            <w:tcBorders>
              <w:left w:val="single" w:sz="2" w:space="0" w:color="DADADA" w:themeColor="background2" w:themeShade="E6"/>
            </w:tcBorders>
            <w:shd w:val="clear" w:color="auto" w:fill="FFBBD4" w:themeFill="accent6" w:themeFillTint="33"/>
            <w:tcMar>
              <w:top w:w="12" w:type="dxa"/>
              <w:left w:w="12" w:type="dxa"/>
              <w:bottom w:w="0" w:type="dxa"/>
              <w:right w:w="12" w:type="dxa"/>
            </w:tcMar>
            <w:vAlign w:val="center"/>
            <w:hideMark/>
          </w:tcPr>
          <w:p w14:paraId="703495EC"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SCG</w:t>
            </w:r>
          </w:p>
        </w:tc>
      </w:tr>
      <w:tr w:rsidR="002544A3" w:rsidRPr="00957936" w14:paraId="3533D8FD"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40B7E4E7"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8</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69D540E4" w14:textId="77777777" w:rsidR="00245FFD" w:rsidRPr="00957936" w:rsidRDefault="00245FFD" w:rsidP="002118E3">
            <w:pPr>
              <w:jc w:val="center"/>
              <w:rPr>
                <w:rFonts w:ascii="Arial Narrow" w:hAnsi="Arial Narrow"/>
                <w:sz w:val="18"/>
                <w:szCs w:val="18"/>
              </w:rPr>
            </w:pPr>
          </w:p>
        </w:tc>
        <w:tc>
          <w:tcPr>
            <w:tcW w:w="2029" w:type="dxa"/>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E3F4C4" w:themeFill="accent2" w:themeFillTint="33"/>
            <w:vAlign w:val="center"/>
            <w:hideMark/>
          </w:tcPr>
          <w:p w14:paraId="352755E7" w14:textId="77777777" w:rsidR="00245FFD" w:rsidRPr="00957936" w:rsidRDefault="00245FFD" w:rsidP="002118E3">
            <w:pPr>
              <w:jc w:val="center"/>
              <w:rPr>
                <w:rFonts w:ascii="Arial Narrow" w:hAnsi="Arial Narrow"/>
                <w:sz w:val="18"/>
                <w:szCs w:val="18"/>
              </w:rPr>
            </w:pPr>
          </w:p>
        </w:tc>
        <w:tc>
          <w:tcPr>
            <w:tcW w:w="1832" w:type="dxa"/>
            <w:vMerge/>
            <w:tcBorders>
              <w:left w:val="single" w:sz="2" w:space="0" w:color="DADADA" w:themeColor="background2" w:themeShade="E6"/>
            </w:tcBorders>
            <w:shd w:val="clear" w:color="auto" w:fill="FFBBD4" w:themeFill="accent6" w:themeFillTint="33"/>
            <w:vAlign w:val="center"/>
            <w:hideMark/>
          </w:tcPr>
          <w:p w14:paraId="4117480C" w14:textId="77777777" w:rsidR="00245FFD" w:rsidRPr="00957936" w:rsidRDefault="00245FFD" w:rsidP="002118E3">
            <w:pPr>
              <w:jc w:val="center"/>
              <w:rPr>
                <w:rFonts w:ascii="Arial Narrow" w:hAnsi="Arial Narrow"/>
                <w:sz w:val="18"/>
                <w:szCs w:val="18"/>
              </w:rPr>
            </w:pPr>
          </w:p>
        </w:tc>
      </w:tr>
      <w:tr w:rsidR="002544A3" w:rsidRPr="00957936" w14:paraId="7CEEF0BE"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21183994"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9</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3965AA2C" w14:textId="77777777" w:rsidR="00245FFD" w:rsidRPr="00957936" w:rsidRDefault="00245FFD" w:rsidP="002118E3">
            <w:pPr>
              <w:jc w:val="center"/>
              <w:rPr>
                <w:rFonts w:ascii="Arial Narrow" w:hAnsi="Arial Narrow"/>
                <w:sz w:val="18"/>
                <w:szCs w:val="18"/>
              </w:rPr>
            </w:pPr>
          </w:p>
        </w:tc>
        <w:tc>
          <w:tcPr>
            <w:tcW w:w="2029" w:type="dxa"/>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E3F4C4" w:themeFill="accent2" w:themeFillTint="33"/>
            <w:vAlign w:val="center"/>
            <w:hideMark/>
          </w:tcPr>
          <w:p w14:paraId="0C3E37CC" w14:textId="77777777" w:rsidR="00245FFD" w:rsidRPr="00957936" w:rsidRDefault="00245FFD" w:rsidP="002118E3">
            <w:pPr>
              <w:jc w:val="center"/>
              <w:rPr>
                <w:rFonts w:ascii="Arial Narrow" w:hAnsi="Arial Narrow"/>
                <w:sz w:val="18"/>
                <w:szCs w:val="18"/>
              </w:rPr>
            </w:pPr>
          </w:p>
        </w:tc>
        <w:tc>
          <w:tcPr>
            <w:tcW w:w="1832" w:type="dxa"/>
            <w:vMerge/>
            <w:tcBorders>
              <w:left w:val="single" w:sz="2" w:space="0" w:color="DADADA" w:themeColor="background2" w:themeShade="E6"/>
            </w:tcBorders>
            <w:shd w:val="clear" w:color="auto" w:fill="FFBBD4" w:themeFill="accent6" w:themeFillTint="33"/>
            <w:vAlign w:val="center"/>
            <w:hideMark/>
          </w:tcPr>
          <w:p w14:paraId="49EF5078" w14:textId="77777777" w:rsidR="00245FFD" w:rsidRPr="00957936" w:rsidRDefault="00245FFD" w:rsidP="002118E3">
            <w:pPr>
              <w:jc w:val="center"/>
              <w:rPr>
                <w:rFonts w:ascii="Arial Narrow" w:hAnsi="Arial Narrow"/>
                <w:sz w:val="18"/>
                <w:szCs w:val="18"/>
              </w:rPr>
            </w:pPr>
          </w:p>
        </w:tc>
      </w:tr>
      <w:tr w:rsidR="002544A3" w:rsidRPr="00957936" w14:paraId="3D5A11BC"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7596B177"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10</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31231998" w14:textId="77777777" w:rsidR="00245FFD" w:rsidRPr="00957936" w:rsidRDefault="00245FFD" w:rsidP="002118E3">
            <w:pPr>
              <w:jc w:val="center"/>
              <w:rPr>
                <w:rFonts w:ascii="Arial Narrow" w:hAnsi="Arial Narrow"/>
                <w:sz w:val="18"/>
                <w:szCs w:val="18"/>
              </w:rPr>
            </w:pPr>
          </w:p>
        </w:tc>
        <w:tc>
          <w:tcPr>
            <w:tcW w:w="2029" w:type="dxa"/>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E3F4C4" w:themeFill="accent2" w:themeFillTint="33"/>
            <w:vAlign w:val="center"/>
            <w:hideMark/>
          </w:tcPr>
          <w:p w14:paraId="2A999D55" w14:textId="77777777" w:rsidR="00245FFD" w:rsidRPr="00957936" w:rsidRDefault="00245FFD" w:rsidP="002118E3">
            <w:pPr>
              <w:jc w:val="center"/>
              <w:rPr>
                <w:rFonts w:ascii="Arial Narrow" w:hAnsi="Arial Narrow"/>
                <w:sz w:val="18"/>
                <w:szCs w:val="18"/>
              </w:rPr>
            </w:pPr>
          </w:p>
        </w:tc>
        <w:tc>
          <w:tcPr>
            <w:tcW w:w="1832" w:type="dxa"/>
            <w:vMerge/>
            <w:tcBorders>
              <w:left w:val="single" w:sz="2" w:space="0" w:color="DADADA" w:themeColor="background2" w:themeShade="E6"/>
            </w:tcBorders>
            <w:shd w:val="clear" w:color="auto" w:fill="FFBBD4" w:themeFill="accent6" w:themeFillTint="33"/>
            <w:vAlign w:val="center"/>
            <w:hideMark/>
          </w:tcPr>
          <w:p w14:paraId="623599CC" w14:textId="77777777" w:rsidR="00245FFD" w:rsidRPr="00957936" w:rsidRDefault="00245FFD" w:rsidP="002118E3">
            <w:pPr>
              <w:jc w:val="center"/>
              <w:rPr>
                <w:rFonts w:ascii="Arial Narrow" w:hAnsi="Arial Narrow"/>
                <w:sz w:val="18"/>
                <w:szCs w:val="18"/>
              </w:rPr>
            </w:pPr>
          </w:p>
        </w:tc>
      </w:tr>
      <w:tr w:rsidR="002544A3" w:rsidRPr="00957936" w14:paraId="7405D502"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43671EFB"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11</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661C5A2C" w14:textId="77777777" w:rsidR="00245FFD" w:rsidRPr="00957936" w:rsidRDefault="00245FFD" w:rsidP="002118E3">
            <w:pPr>
              <w:jc w:val="center"/>
              <w:rPr>
                <w:rFonts w:ascii="Arial Narrow" w:hAnsi="Arial Narrow"/>
                <w:sz w:val="18"/>
                <w:szCs w:val="18"/>
              </w:rPr>
            </w:pPr>
          </w:p>
        </w:tc>
        <w:tc>
          <w:tcPr>
            <w:tcW w:w="2029" w:type="dxa"/>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E3F4C4" w:themeFill="accent2" w:themeFillTint="33"/>
            <w:vAlign w:val="center"/>
            <w:hideMark/>
          </w:tcPr>
          <w:p w14:paraId="68BC45C4" w14:textId="77777777" w:rsidR="00245FFD" w:rsidRPr="00957936" w:rsidRDefault="00245FFD" w:rsidP="002118E3">
            <w:pPr>
              <w:jc w:val="center"/>
              <w:rPr>
                <w:rFonts w:ascii="Arial Narrow" w:hAnsi="Arial Narrow"/>
                <w:sz w:val="18"/>
                <w:szCs w:val="18"/>
              </w:rPr>
            </w:pPr>
          </w:p>
        </w:tc>
        <w:tc>
          <w:tcPr>
            <w:tcW w:w="1832" w:type="dxa"/>
            <w:vMerge/>
            <w:tcBorders>
              <w:left w:val="single" w:sz="2" w:space="0" w:color="DADADA" w:themeColor="background2" w:themeShade="E6"/>
            </w:tcBorders>
            <w:shd w:val="clear" w:color="auto" w:fill="FFBBD4" w:themeFill="accent6" w:themeFillTint="33"/>
            <w:vAlign w:val="center"/>
            <w:hideMark/>
          </w:tcPr>
          <w:p w14:paraId="19CD4CBE" w14:textId="77777777" w:rsidR="00245FFD" w:rsidRPr="00957936" w:rsidRDefault="00245FFD" w:rsidP="002118E3">
            <w:pPr>
              <w:jc w:val="center"/>
              <w:rPr>
                <w:rFonts w:ascii="Arial Narrow" w:hAnsi="Arial Narrow"/>
                <w:sz w:val="18"/>
                <w:szCs w:val="18"/>
              </w:rPr>
            </w:pPr>
          </w:p>
        </w:tc>
      </w:tr>
      <w:tr w:rsidR="002544A3" w:rsidRPr="00957936" w14:paraId="0AF68916"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1EC9B294"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12</w:t>
            </w:r>
          </w:p>
        </w:tc>
        <w:tc>
          <w:tcPr>
            <w:tcW w:w="1839"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3AD48D31"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3 - SDG&amp;E</w:t>
            </w:r>
          </w:p>
        </w:tc>
        <w:tc>
          <w:tcPr>
            <w:tcW w:w="2029"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FFF0D0" w:themeFill="accent4" w:themeFillTint="33"/>
            <w:tcMar>
              <w:top w:w="12" w:type="dxa"/>
              <w:left w:w="12" w:type="dxa"/>
              <w:bottom w:w="0" w:type="dxa"/>
              <w:right w:w="12" w:type="dxa"/>
            </w:tcMar>
            <w:vAlign w:val="center"/>
            <w:hideMark/>
          </w:tcPr>
          <w:p w14:paraId="073957D6"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SDGE</w:t>
            </w:r>
          </w:p>
        </w:tc>
        <w:tc>
          <w:tcPr>
            <w:tcW w:w="1832" w:type="dxa"/>
            <w:tcBorders>
              <w:left w:val="single" w:sz="2" w:space="0" w:color="DADADA" w:themeColor="background2" w:themeShade="E6"/>
            </w:tcBorders>
            <w:shd w:val="clear" w:color="auto" w:fill="FFF0D0" w:themeFill="accent4" w:themeFillTint="33"/>
            <w:tcMar>
              <w:top w:w="12" w:type="dxa"/>
              <w:left w:w="12" w:type="dxa"/>
              <w:bottom w:w="0" w:type="dxa"/>
              <w:right w:w="12" w:type="dxa"/>
            </w:tcMar>
            <w:vAlign w:val="center"/>
            <w:hideMark/>
          </w:tcPr>
          <w:p w14:paraId="3DEB67B6"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SDGE</w:t>
            </w:r>
          </w:p>
        </w:tc>
      </w:tr>
      <w:tr w:rsidR="002544A3" w:rsidRPr="00957936" w14:paraId="272FFD29"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2EF5CDE9"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13</w:t>
            </w:r>
          </w:p>
        </w:tc>
        <w:tc>
          <w:tcPr>
            <w:tcW w:w="1839" w:type="dxa"/>
            <w:vMerge w:val="restart"/>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26E930F9"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4 - NCNC</w:t>
            </w:r>
          </w:p>
        </w:tc>
        <w:tc>
          <w:tcPr>
            <w:tcW w:w="2029"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5B088551"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SMUD</w:t>
            </w:r>
          </w:p>
        </w:tc>
        <w:tc>
          <w:tcPr>
            <w:tcW w:w="1832" w:type="dxa"/>
            <w:vMerge w:val="restart"/>
            <w:tcBorders>
              <w:left w:val="single" w:sz="2" w:space="0" w:color="DADADA" w:themeColor="background2" w:themeShade="E6"/>
            </w:tcBorders>
            <w:shd w:val="clear" w:color="auto" w:fill="C1EEFF" w:themeFill="accent3" w:themeFillTint="33"/>
            <w:tcMar>
              <w:top w:w="12" w:type="dxa"/>
              <w:left w:w="12" w:type="dxa"/>
              <w:bottom w:w="0" w:type="dxa"/>
              <w:right w:w="12" w:type="dxa"/>
            </w:tcMar>
            <w:vAlign w:val="center"/>
            <w:hideMark/>
          </w:tcPr>
          <w:p w14:paraId="70EF4B7D"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PG&amp;E</w:t>
            </w:r>
          </w:p>
        </w:tc>
      </w:tr>
      <w:tr w:rsidR="002544A3" w:rsidRPr="00957936" w14:paraId="38BDFE8B"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770FE662"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14</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38062B4C" w14:textId="77777777" w:rsidR="00245FFD" w:rsidRPr="00957936" w:rsidRDefault="00245FFD" w:rsidP="002118E3">
            <w:pPr>
              <w:jc w:val="center"/>
              <w:rPr>
                <w:rFonts w:ascii="Arial Narrow" w:hAnsi="Arial Narrow"/>
                <w:sz w:val="18"/>
                <w:szCs w:val="18"/>
              </w:rPr>
            </w:pPr>
          </w:p>
        </w:tc>
        <w:tc>
          <w:tcPr>
            <w:tcW w:w="2029"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5FB7D973"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TID</w:t>
            </w:r>
          </w:p>
        </w:tc>
        <w:tc>
          <w:tcPr>
            <w:tcW w:w="1832" w:type="dxa"/>
            <w:vMerge/>
            <w:tcBorders>
              <w:left w:val="single" w:sz="2" w:space="0" w:color="DADADA" w:themeColor="background2" w:themeShade="E6"/>
            </w:tcBorders>
            <w:shd w:val="clear" w:color="auto" w:fill="C1EEFF" w:themeFill="accent3" w:themeFillTint="33"/>
            <w:vAlign w:val="center"/>
            <w:hideMark/>
          </w:tcPr>
          <w:p w14:paraId="2B1DFEA0" w14:textId="77777777" w:rsidR="00245FFD" w:rsidRPr="00957936" w:rsidRDefault="00245FFD" w:rsidP="002118E3">
            <w:pPr>
              <w:jc w:val="center"/>
              <w:rPr>
                <w:rFonts w:ascii="Arial Narrow" w:hAnsi="Arial Narrow"/>
                <w:sz w:val="18"/>
                <w:szCs w:val="18"/>
              </w:rPr>
            </w:pPr>
          </w:p>
        </w:tc>
      </w:tr>
      <w:tr w:rsidR="002544A3" w:rsidRPr="00957936" w14:paraId="496024CE" w14:textId="77777777" w:rsidTr="00110120">
        <w:trPr>
          <w:trHeight w:val="822"/>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6BDAD9BC"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15</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45DFE6D3" w14:textId="77777777" w:rsidR="00245FFD" w:rsidRPr="00957936" w:rsidRDefault="00245FFD" w:rsidP="002118E3">
            <w:pPr>
              <w:jc w:val="center"/>
              <w:rPr>
                <w:rFonts w:ascii="Arial Narrow" w:hAnsi="Arial Narrow"/>
                <w:sz w:val="18"/>
                <w:szCs w:val="18"/>
              </w:rPr>
            </w:pPr>
          </w:p>
        </w:tc>
        <w:tc>
          <w:tcPr>
            <w:tcW w:w="2029"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39A70B4A"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Other (Modesto, Redding, Roseville, Trinity, and Shasta Lake)</w:t>
            </w:r>
          </w:p>
        </w:tc>
        <w:tc>
          <w:tcPr>
            <w:tcW w:w="1832" w:type="dxa"/>
            <w:vMerge/>
            <w:tcBorders>
              <w:left w:val="single" w:sz="2" w:space="0" w:color="DADADA" w:themeColor="background2" w:themeShade="E6"/>
            </w:tcBorders>
            <w:shd w:val="clear" w:color="auto" w:fill="C1EEFF" w:themeFill="accent3" w:themeFillTint="33"/>
            <w:vAlign w:val="center"/>
            <w:hideMark/>
          </w:tcPr>
          <w:p w14:paraId="5868D92B" w14:textId="77777777" w:rsidR="00245FFD" w:rsidRPr="00957936" w:rsidRDefault="00245FFD" w:rsidP="002118E3">
            <w:pPr>
              <w:jc w:val="center"/>
              <w:rPr>
                <w:rFonts w:ascii="Arial Narrow" w:hAnsi="Arial Narrow"/>
                <w:sz w:val="18"/>
                <w:szCs w:val="18"/>
              </w:rPr>
            </w:pPr>
          </w:p>
        </w:tc>
      </w:tr>
      <w:tr w:rsidR="002544A3" w:rsidRPr="00957936" w14:paraId="50959290"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0870D90B"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16</w:t>
            </w:r>
          </w:p>
        </w:tc>
        <w:tc>
          <w:tcPr>
            <w:tcW w:w="1839" w:type="dxa"/>
            <w:vMerge w:val="restart"/>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6C43252E"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5 - LADWP</w:t>
            </w:r>
          </w:p>
        </w:tc>
        <w:tc>
          <w:tcPr>
            <w:tcW w:w="2029" w:type="dxa"/>
            <w:vMerge w:val="restart"/>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66F639AA"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LADWP</w:t>
            </w:r>
          </w:p>
        </w:tc>
        <w:tc>
          <w:tcPr>
            <w:tcW w:w="1832" w:type="dxa"/>
            <w:vMerge w:val="restart"/>
            <w:tcBorders>
              <w:left w:val="single" w:sz="2" w:space="0" w:color="DADADA" w:themeColor="background2" w:themeShade="E6"/>
            </w:tcBorders>
            <w:shd w:val="clear" w:color="auto" w:fill="FFBBD4" w:themeFill="accent6" w:themeFillTint="33"/>
            <w:tcMar>
              <w:top w:w="12" w:type="dxa"/>
              <w:left w:w="12" w:type="dxa"/>
              <w:bottom w:w="0" w:type="dxa"/>
              <w:right w:w="12" w:type="dxa"/>
            </w:tcMar>
            <w:vAlign w:val="center"/>
            <w:hideMark/>
          </w:tcPr>
          <w:p w14:paraId="0F0F1497"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SCG</w:t>
            </w:r>
          </w:p>
        </w:tc>
      </w:tr>
      <w:tr w:rsidR="002544A3" w:rsidRPr="00957936" w14:paraId="2BBC47E7"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15247083"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17</w:t>
            </w:r>
          </w:p>
        </w:tc>
        <w:tc>
          <w:tcPr>
            <w:tcW w:w="0" w:type="auto"/>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31FD0F08" w14:textId="77777777" w:rsidR="00245FFD" w:rsidRPr="00957936" w:rsidRDefault="00245FFD" w:rsidP="002118E3">
            <w:pPr>
              <w:jc w:val="center"/>
              <w:rPr>
                <w:rFonts w:ascii="Arial Narrow" w:hAnsi="Arial Narrow"/>
                <w:sz w:val="18"/>
                <w:szCs w:val="18"/>
              </w:rPr>
            </w:pPr>
          </w:p>
        </w:tc>
        <w:tc>
          <w:tcPr>
            <w:tcW w:w="2029" w:type="dxa"/>
            <w:vMerge/>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vAlign w:val="center"/>
            <w:hideMark/>
          </w:tcPr>
          <w:p w14:paraId="54367DA5" w14:textId="77777777" w:rsidR="00245FFD" w:rsidRPr="00957936" w:rsidRDefault="00245FFD" w:rsidP="002118E3">
            <w:pPr>
              <w:jc w:val="center"/>
              <w:rPr>
                <w:rFonts w:ascii="Arial Narrow" w:hAnsi="Arial Narrow"/>
                <w:sz w:val="18"/>
                <w:szCs w:val="18"/>
              </w:rPr>
            </w:pPr>
          </w:p>
        </w:tc>
        <w:tc>
          <w:tcPr>
            <w:tcW w:w="1832" w:type="dxa"/>
            <w:vMerge/>
            <w:tcBorders>
              <w:left w:val="single" w:sz="2" w:space="0" w:color="DADADA" w:themeColor="background2" w:themeShade="E6"/>
            </w:tcBorders>
            <w:shd w:val="clear" w:color="auto" w:fill="FFBBD4" w:themeFill="accent6" w:themeFillTint="33"/>
            <w:vAlign w:val="center"/>
            <w:hideMark/>
          </w:tcPr>
          <w:p w14:paraId="497F17AE" w14:textId="77777777" w:rsidR="00245FFD" w:rsidRPr="00957936" w:rsidRDefault="00245FFD" w:rsidP="002118E3">
            <w:pPr>
              <w:jc w:val="center"/>
              <w:rPr>
                <w:rFonts w:ascii="Arial Narrow" w:hAnsi="Arial Narrow"/>
                <w:sz w:val="18"/>
                <w:szCs w:val="18"/>
              </w:rPr>
            </w:pPr>
          </w:p>
        </w:tc>
      </w:tr>
      <w:tr w:rsidR="002544A3" w:rsidRPr="00957936" w14:paraId="42E4191E"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711F2CA7"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18</w:t>
            </w:r>
          </w:p>
        </w:tc>
        <w:tc>
          <w:tcPr>
            <w:tcW w:w="1839"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5400E44C"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6 - Burbank/Glendale</w:t>
            </w:r>
          </w:p>
        </w:tc>
        <w:tc>
          <w:tcPr>
            <w:tcW w:w="2029"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41432B86"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Burbank/Glendale</w:t>
            </w:r>
          </w:p>
        </w:tc>
        <w:tc>
          <w:tcPr>
            <w:tcW w:w="1832" w:type="dxa"/>
            <w:vMerge/>
            <w:tcBorders>
              <w:left w:val="single" w:sz="2" w:space="0" w:color="DADADA" w:themeColor="background2" w:themeShade="E6"/>
            </w:tcBorders>
            <w:shd w:val="clear" w:color="auto" w:fill="FFBBD4" w:themeFill="accent6" w:themeFillTint="33"/>
            <w:vAlign w:val="center"/>
            <w:hideMark/>
          </w:tcPr>
          <w:p w14:paraId="48E98D72" w14:textId="77777777" w:rsidR="00245FFD" w:rsidRPr="00957936" w:rsidRDefault="00245FFD" w:rsidP="002118E3">
            <w:pPr>
              <w:jc w:val="center"/>
              <w:rPr>
                <w:rFonts w:ascii="Arial Narrow" w:hAnsi="Arial Narrow"/>
                <w:sz w:val="18"/>
                <w:szCs w:val="18"/>
              </w:rPr>
            </w:pPr>
          </w:p>
        </w:tc>
      </w:tr>
      <w:tr w:rsidR="002544A3" w:rsidRPr="00957936" w14:paraId="14A22A15"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43A47169"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19</w:t>
            </w:r>
          </w:p>
        </w:tc>
        <w:tc>
          <w:tcPr>
            <w:tcW w:w="1839"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169F96FF"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7 - IID</w:t>
            </w:r>
          </w:p>
        </w:tc>
        <w:tc>
          <w:tcPr>
            <w:tcW w:w="2029"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037083EA"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 xml:space="preserve">IID </w:t>
            </w:r>
          </w:p>
        </w:tc>
        <w:tc>
          <w:tcPr>
            <w:tcW w:w="1832" w:type="dxa"/>
            <w:vMerge/>
            <w:tcBorders>
              <w:left w:val="single" w:sz="2" w:space="0" w:color="DADADA" w:themeColor="background2" w:themeShade="E6"/>
            </w:tcBorders>
            <w:shd w:val="clear" w:color="auto" w:fill="FFBBD4" w:themeFill="accent6" w:themeFillTint="33"/>
            <w:vAlign w:val="center"/>
            <w:hideMark/>
          </w:tcPr>
          <w:p w14:paraId="0E81623B" w14:textId="77777777" w:rsidR="00245FFD" w:rsidRPr="00957936" w:rsidRDefault="00245FFD" w:rsidP="002118E3">
            <w:pPr>
              <w:jc w:val="center"/>
              <w:rPr>
                <w:rFonts w:ascii="Arial Narrow" w:hAnsi="Arial Narrow"/>
                <w:sz w:val="18"/>
                <w:szCs w:val="18"/>
              </w:rPr>
            </w:pPr>
          </w:p>
        </w:tc>
      </w:tr>
      <w:tr w:rsidR="002544A3" w:rsidRPr="00957936" w14:paraId="4D814541" w14:textId="77777777" w:rsidTr="00110120">
        <w:trPr>
          <w:trHeight w:val="294"/>
        </w:trPr>
        <w:tc>
          <w:tcPr>
            <w:tcW w:w="1982"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2C352765"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Climate Zone 20</w:t>
            </w:r>
          </w:p>
        </w:tc>
        <w:tc>
          <w:tcPr>
            <w:tcW w:w="1839"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0E351746"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8 - Valley Electric</w:t>
            </w:r>
          </w:p>
        </w:tc>
        <w:tc>
          <w:tcPr>
            <w:tcW w:w="2029" w:type="dxa"/>
            <w:tcBorders>
              <w:top w:val="single" w:sz="2" w:space="0" w:color="DADADA" w:themeColor="background2" w:themeShade="E6"/>
              <w:left w:val="single" w:sz="2" w:space="0" w:color="DADADA" w:themeColor="background2" w:themeShade="E6"/>
              <w:bottom w:val="single" w:sz="2" w:space="0" w:color="DADADA" w:themeColor="background2" w:themeShade="E6"/>
              <w:right w:val="single" w:sz="2" w:space="0" w:color="DADADA" w:themeColor="background2" w:themeShade="E6"/>
            </w:tcBorders>
            <w:shd w:val="clear" w:color="auto" w:fill="auto"/>
            <w:tcMar>
              <w:top w:w="12" w:type="dxa"/>
              <w:left w:w="12" w:type="dxa"/>
              <w:bottom w:w="0" w:type="dxa"/>
              <w:right w:w="12" w:type="dxa"/>
            </w:tcMar>
            <w:vAlign w:val="center"/>
            <w:hideMark/>
          </w:tcPr>
          <w:p w14:paraId="25CA9A25" w14:textId="77777777" w:rsidR="00245FFD" w:rsidRPr="00957936" w:rsidRDefault="00245FFD" w:rsidP="002118E3">
            <w:pPr>
              <w:jc w:val="center"/>
              <w:rPr>
                <w:rFonts w:ascii="Arial Narrow" w:hAnsi="Arial Narrow"/>
                <w:sz w:val="18"/>
                <w:szCs w:val="18"/>
              </w:rPr>
            </w:pPr>
            <w:r w:rsidRPr="00957936">
              <w:rPr>
                <w:rFonts w:ascii="Arial Narrow" w:hAnsi="Arial Narrow"/>
                <w:sz w:val="18"/>
                <w:szCs w:val="18"/>
              </w:rPr>
              <w:t>Valley Electric</w:t>
            </w:r>
          </w:p>
        </w:tc>
        <w:tc>
          <w:tcPr>
            <w:tcW w:w="1832" w:type="dxa"/>
            <w:vMerge/>
            <w:tcBorders>
              <w:left w:val="single" w:sz="2" w:space="0" w:color="DADADA" w:themeColor="background2" w:themeShade="E6"/>
            </w:tcBorders>
            <w:shd w:val="clear" w:color="auto" w:fill="FFBBD4" w:themeFill="accent6" w:themeFillTint="33"/>
            <w:vAlign w:val="center"/>
            <w:hideMark/>
          </w:tcPr>
          <w:p w14:paraId="68883C61" w14:textId="77777777" w:rsidR="00245FFD" w:rsidRPr="00957936" w:rsidRDefault="00245FFD" w:rsidP="002118E3">
            <w:pPr>
              <w:jc w:val="center"/>
              <w:rPr>
                <w:rFonts w:ascii="Arial Narrow" w:hAnsi="Arial Narrow"/>
                <w:sz w:val="18"/>
                <w:szCs w:val="18"/>
              </w:rPr>
            </w:pPr>
          </w:p>
        </w:tc>
      </w:tr>
    </w:tbl>
    <w:p w14:paraId="734ABDA7" w14:textId="77777777" w:rsidR="00245FFD" w:rsidRDefault="00245FFD" w:rsidP="00D3474E">
      <w:pPr>
        <w:pStyle w:val="Source"/>
        <w:jc w:val="center"/>
      </w:pPr>
      <w:r>
        <w:t>Source: California Energy Commission, 2017.</w:t>
      </w:r>
    </w:p>
    <w:p w14:paraId="155AB737" w14:textId="77777777" w:rsidR="00CC010C" w:rsidRDefault="00CC010C" w:rsidP="00CC010C">
      <w:pPr>
        <w:pStyle w:val="Heading3"/>
      </w:pPr>
      <w:bookmarkStart w:id="390" w:name="_Toc479768580"/>
      <w:bookmarkStart w:id="391" w:name="_Toc482357307"/>
      <w:bookmarkStart w:id="392" w:name="_Toc482634283"/>
      <w:bookmarkStart w:id="393" w:name="_Toc482626415"/>
      <w:bookmarkStart w:id="394" w:name="_Toc484092486"/>
      <w:bookmarkStart w:id="395" w:name="_Toc484172690"/>
      <w:bookmarkStart w:id="396" w:name="_Toc484183026"/>
      <w:bookmarkStart w:id="397" w:name="_Toc490225783"/>
      <w:r>
        <w:t xml:space="preserve">Historic Rebate Program </w:t>
      </w:r>
      <w:bookmarkEnd w:id="390"/>
      <w:r w:rsidR="00D807CD">
        <w:t>Activity</w:t>
      </w:r>
      <w:bookmarkEnd w:id="391"/>
      <w:bookmarkEnd w:id="392"/>
      <w:bookmarkEnd w:id="393"/>
      <w:bookmarkEnd w:id="394"/>
      <w:bookmarkEnd w:id="395"/>
      <w:bookmarkEnd w:id="396"/>
      <w:bookmarkEnd w:id="397"/>
    </w:p>
    <w:bookmarkEnd w:id="384"/>
    <w:p w14:paraId="54338315" w14:textId="77777777" w:rsidR="00FD60A9" w:rsidRDefault="00D807CD" w:rsidP="00CC010C">
      <w:r>
        <w:t xml:space="preserve">The historic rebate program achievements for each of the IOUs are important </w:t>
      </w:r>
      <w:r w:rsidR="00CC010C">
        <w:t>inputs for calibrat</w:t>
      </w:r>
      <w:r>
        <w:t>ing our forecast of rebate programs.</w:t>
      </w:r>
    </w:p>
    <w:p w14:paraId="5738AF1E" w14:textId="77777777" w:rsidR="00FD60A9" w:rsidRDefault="00FD60A9" w:rsidP="00CC010C"/>
    <w:p w14:paraId="34A300B8" w14:textId="77777777" w:rsidR="00FD60A9" w:rsidRDefault="008B64DE" w:rsidP="00CC010C">
      <w:r>
        <w:t xml:space="preserve">The CPUC maintains </w:t>
      </w:r>
      <w:r w:rsidR="00FD60A9">
        <w:t>the Energy Efficiency Statistics</w:t>
      </w:r>
      <w:r w:rsidR="0088798E">
        <w:t xml:space="preserve"> (EEStats)</w:t>
      </w:r>
      <w:r w:rsidR="00FD60A9">
        <w:t xml:space="preserve"> portal, an online resource that collects program achievement data, for public use</w:t>
      </w:r>
      <w:r w:rsidR="007722CB">
        <w:t>.</w:t>
      </w:r>
      <w:r w:rsidR="00FD60A9">
        <w:t xml:space="preserve">  A spreadsheet of </w:t>
      </w:r>
      <w:r w:rsidR="007722CB">
        <w:t>2013-2015</w:t>
      </w:r>
      <w:r w:rsidR="00FD60A9">
        <w:t xml:space="preserve"> program achievement data is available for download on this website.  </w:t>
      </w:r>
      <w:r w:rsidR="0088798E">
        <w:t xml:space="preserve">This data set includes ex ante and evaluated program savings, </w:t>
      </w:r>
      <w:r w:rsidR="0088798E">
        <w:lastRenderedPageBreak/>
        <w:t xml:space="preserve">expenditures, cost-effectiveness, and emissions for energy efficiency programs statewide.  For the 2017 </w:t>
      </w:r>
      <w:r>
        <w:t xml:space="preserve">PG study, </w:t>
      </w:r>
      <w:r w:rsidR="0088798E">
        <w:t xml:space="preserve">Navigant used this data set to compute portfolio net and gross savings for each sector and utility.  </w:t>
      </w:r>
    </w:p>
    <w:p w14:paraId="6C5F5F1E" w14:textId="77777777" w:rsidR="00C57A60" w:rsidRDefault="00C57A60" w:rsidP="00CC010C"/>
    <w:p w14:paraId="21D0FEA8" w14:textId="77777777" w:rsidR="00CC010C" w:rsidRPr="008337C9" w:rsidRDefault="008D63F4" w:rsidP="00CC010C">
      <w:r>
        <w:fldChar w:fldCharType="begin"/>
      </w:r>
      <w:r>
        <w:instrText xml:space="preserve"> REF _Ref490227712 \h </w:instrText>
      </w:r>
      <w:r>
        <w:fldChar w:fldCharType="separate"/>
      </w:r>
      <w:r w:rsidRPr="008337C9">
        <w:t xml:space="preserve">Table </w:t>
      </w:r>
      <w:r>
        <w:rPr>
          <w:noProof/>
        </w:rPr>
        <w:t>3</w:t>
      </w:r>
      <w:r>
        <w:noBreakHyphen/>
      </w:r>
      <w:r>
        <w:rPr>
          <w:noProof/>
        </w:rPr>
        <w:t>5</w:t>
      </w:r>
      <w:r>
        <w:fldChar w:fldCharType="end"/>
      </w:r>
      <w:r>
        <w:t xml:space="preserve"> </w:t>
      </w:r>
      <w:r w:rsidR="00CC010C" w:rsidRPr="008337C9">
        <w:t>provides the 201</w:t>
      </w:r>
      <w:r w:rsidR="0088798E" w:rsidRPr="008337C9">
        <w:t>3</w:t>
      </w:r>
      <w:r w:rsidR="00CC010C" w:rsidRPr="008337C9">
        <w:t>-201</w:t>
      </w:r>
      <w:r w:rsidR="0088798E" w:rsidRPr="008337C9">
        <w:t>5</w:t>
      </w:r>
      <w:r w:rsidR="00CC010C" w:rsidRPr="008337C9">
        <w:t xml:space="preserve"> gross ex-post savings.</w:t>
      </w:r>
      <w:r w:rsidR="00490F81" w:rsidRPr="008337C9">
        <w:t xml:space="preserve">  Some program savings were not modeled as a rebate program and those savings are excluded from this analysis. For example, residential home energy reports and retro-commissioning fall under the definition of the BROs subtask and were removed to prevent double-counting savings.  Savings labeled “Other” were also removed.</w:t>
      </w:r>
    </w:p>
    <w:p w14:paraId="69C63724" w14:textId="77777777" w:rsidR="00A85DBA" w:rsidRPr="008337C9" w:rsidRDefault="00A85DBA" w:rsidP="00CC010C"/>
    <w:p w14:paraId="743E3E2F" w14:textId="77777777" w:rsidR="00A85DBA" w:rsidRPr="008337C9" w:rsidRDefault="00A85DBA" w:rsidP="00A85DBA">
      <w:pPr>
        <w:pStyle w:val="Caption"/>
      </w:pPr>
      <w:bookmarkStart w:id="398" w:name="_Ref479066448"/>
      <w:bookmarkStart w:id="399" w:name="_Ref490227712"/>
      <w:bookmarkStart w:id="400" w:name="_Toc482634213"/>
      <w:bookmarkStart w:id="401" w:name="_Toc484436952"/>
      <w:bookmarkStart w:id="402" w:name="_Toc490560663"/>
      <w:r w:rsidRPr="008337C9">
        <w:t xml:space="preserve">Table </w:t>
      </w:r>
      <w:fldSimple w:instr=" STYLEREF 1 \s ">
        <w:r w:rsidR="007566B9">
          <w:rPr>
            <w:noProof/>
          </w:rPr>
          <w:t>3</w:t>
        </w:r>
      </w:fldSimple>
      <w:r w:rsidR="00C17D59">
        <w:noBreakHyphen/>
      </w:r>
      <w:bookmarkEnd w:id="398"/>
      <w:r w:rsidR="00B206D8">
        <w:fldChar w:fldCharType="begin"/>
      </w:r>
      <w:r w:rsidR="00B206D8">
        <w:instrText xml:space="preserve"> SEQ Table \* ARABIC \s 1 </w:instrText>
      </w:r>
      <w:r w:rsidR="00B206D8">
        <w:fldChar w:fldCharType="separate"/>
      </w:r>
      <w:r w:rsidR="007566B9">
        <w:rPr>
          <w:noProof/>
        </w:rPr>
        <w:t>5</w:t>
      </w:r>
      <w:r w:rsidR="00B206D8">
        <w:rPr>
          <w:noProof/>
        </w:rPr>
        <w:fldChar w:fldCharType="end"/>
      </w:r>
      <w:bookmarkEnd w:id="399"/>
      <w:r w:rsidRPr="008337C9">
        <w:t>. 201</w:t>
      </w:r>
      <w:r w:rsidR="00326F13" w:rsidRPr="008337C9">
        <w:t>3</w:t>
      </w:r>
      <w:r w:rsidRPr="008337C9">
        <w:t>-201</w:t>
      </w:r>
      <w:r w:rsidR="00326F13" w:rsidRPr="008337C9">
        <w:t>5</w:t>
      </w:r>
      <w:r w:rsidRPr="008337C9">
        <w:t xml:space="preserve"> IOU</w:t>
      </w:r>
      <w:r w:rsidR="009A7BF0" w:rsidRPr="008337C9">
        <w:t>-reported</w:t>
      </w:r>
      <w:r w:rsidRPr="008337C9">
        <w:t xml:space="preserve"> Portfolio Gross Program Savings</w:t>
      </w:r>
      <w:bookmarkEnd w:id="400"/>
      <w:bookmarkEnd w:id="401"/>
      <w:bookmarkEnd w:id="402"/>
    </w:p>
    <w:tbl>
      <w:tblPr>
        <w:tblStyle w:val="EnergyTable1"/>
        <w:tblW w:w="9360" w:type="dxa"/>
        <w:tblLook w:val="0620" w:firstRow="1" w:lastRow="0" w:firstColumn="0" w:lastColumn="0" w:noHBand="1" w:noVBand="1"/>
      </w:tblPr>
      <w:tblGrid>
        <w:gridCol w:w="773"/>
        <w:gridCol w:w="1346"/>
        <w:gridCol w:w="1346"/>
        <w:gridCol w:w="1481"/>
        <w:gridCol w:w="1513"/>
        <w:gridCol w:w="1445"/>
        <w:gridCol w:w="1456"/>
      </w:tblGrid>
      <w:tr w:rsidR="00086A35" w:rsidRPr="00957936" w14:paraId="584B5D6F" w14:textId="77777777" w:rsidTr="00AF21BE">
        <w:trPr>
          <w:cnfStyle w:val="100000000000" w:firstRow="1" w:lastRow="0" w:firstColumn="0" w:lastColumn="0" w:oddVBand="0" w:evenVBand="0" w:oddHBand="0" w:evenHBand="0" w:firstRowFirstColumn="0" w:firstRowLastColumn="0" w:lastRowFirstColumn="0" w:lastRowLastColumn="0"/>
          <w:trHeight w:val="150"/>
        </w:trPr>
        <w:tc>
          <w:tcPr>
            <w:tcW w:w="0" w:type="dxa"/>
            <w:vMerge w:val="restart"/>
            <w:hideMark/>
          </w:tcPr>
          <w:p w14:paraId="12E496AD" w14:textId="77777777" w:rsidR="00086A35" w:rsidRPr="00957936" w:rsidRDefault="00086A35" w:rsidP="00412E8E">
            <w:pPr>
              <w:rPr>
                <w:rFonts w:ascii="Arial Narrow" w:hAnsi="Arial Narrow"/>
                <w:sz w:val="18"/>
                <w:szCs w:val="18"/>
              </w:rPr>
            </w:pPr>
            <w:r w:rsidRPr="00957936">
              <w:rPr>
                <w:rFonts w:ascii="Arial Narrow" w:hAnsi="Arial Narrow"/>
                <w:sz w:val="18"/>
                <w:szCs w:val="18"/>
              </w:rPr>
              <w:t>IOU</w:t>
            </w:r>
          </w:p>
        </w:tc>
        <w:tc>
          <w:tcPr>
            <w:tcW w:w="0" w:type="dxa"/>
            <w:gridSpan w:val="2"/>
          </w:tcPr>
          <w:p w14:paraId="6675193A" w14:textId="77777777" w:rsidR="00086A35" w:rsidRPr="00957936" w:rsidRDefault="00086A35" w:rsidP="00412E8E">
            <w:pPr>
              <w:rPr>
                <w:rFonts w:ascii="Arial Narrow" w:hAnsi="Arial Narrow"/>
                <w:sz w:val="18"/>
                <w:szCs w:val="18"/>
              </w:rPr>
            </w:pPr>
            <w:r w:rsidRPr="00957936">
              <w:rPr>
                <w:rFonts w:ascii="Arial Narrow" w:hAnsi="Arial Narrow"/>
                <w:sz w:val="18"/>
                <w:szCs w:val="18"/>
              </w:rPr>
              <w:t>Spending ($MM)</w:t>
            </w:r>
          </w:p>
        </w:tc>
        <w:tc>
          <w:tcPr>
            <w:tcW w:w="0" w:type="dxa"/>
            <w:gridSpan w:val="2"/>
            <w:hideMark/>
          </w:tcPr>
          <w:p w14:paraId="3555B09F" w14:textId="77777777" w:rsidR="00086A35" w:rsidRPr="00957936" w:rsidRDefault="00086A35" w:rsidP="00412E8E">
            <w:pPr>
              <w:rPr>
                <w:rFonts w:ascii="Arial Narrow" w:hAnsi="Arial Narrow"/>
                <w:sz w:val="18"/>
                <w:szCs w:val="18"/>
              </w:rPr>
            </w:pPr>
            <w:r w:rsidRPr="00957936">
              <w:rPr>
                <w:rFonts w:ascii="Arial Narrow" w:hAnsi="Arial Narrow"/>
                <w:sz w:val="18"/>
                <w:szCs w:val="18"/>
              </w:rPr>
              <w:t>Energy Savings (GWh)</w:t>
            </w:r>
          </w:p>
        </w:tc>
        <w:tc>
          <w:tcPr>
            <w:tcW w:w="0" w:type="dxa"/>
            <w:gridSpan w:val="2"/>
            <w:hideMark/>
          </w:tcPr>
          <w:p w14:paraId="3365827A" w14:textId="77777777" w:rsidR="00086A35" w:rsidRPr="00957936" w:rsidRDefault="00086A35" w:rsidP="00412E8E">
            <w:pPr>
              <w:rPr>
                <w:rFonts w:ascii="Arial Narrow" w:hAnsi="Arial Narrow"/>
                <w:sz w:val="18"/>
                <w:szCs w:val="18"/>
              </w:rPr>
            </w:pPr>
            <w:r w:rsidRPr="00957936">
              <w:rPr>
                <w:rFonts w:ascii="Arial Narrow" w:hAnsi="Arial Narrow"/>
                <w:sz w:val="18"/>
                <w:szCs w:val="18"/>
              </w:rPr>
              <w:t>Gas Savings (MM Therms)</w:t>
            </w:r>
          </w:p>
        </w:tc>
      </w:tr>
      <w:tr w:rsidR="002544A3" w:rsidRPr="00957936" w14:paraId="2A9E94C6" w14:textId="77777777" w:rsidTr="00600559">
        <w:trPr>
          <w:trHeight w:val="149"/>
        </w:trPr>
        <w:tc>
          <w:tcPr>
            <w:tcW w:w="1226" w:type="dxa"/>
            <w:vMerge/>
            <w:shd w:val="clear" w:color="auto" w:fill="555759"/>
          </w:tcPr>
          <w:p w14:paraId="5E4C405E" w14:textId="77777777" w:rsidR="00086A35" w:rsidRPr="00957936" w:rsidRDefault="00086A35" w:rsidP="00412E8E">
            <w:pPr>
              <w:rPr>
                <w:rFonts w:ascii="Arial Narrow" w:hAnsi="Arial Narrow"/>
                <w:sz w:val="18"/>
                <w:szCs w:val="18"/>
              </w:rPr>
            </w:pPr>
          </w:p>
        </w:tc>
        <w:tc>
          <w:tcPr>
            <w:tcW w:w="1275" w:type="dxa"/>
            <w:tcBorders>
              <w:tl2br w:val="nil"/>
              <w:tr2bl w:val="nil"/>
            </w:tcBorders>
            <w:shd w:val="clear" w:color="auto" w:fill="555759"/>
          </w:tcPr>
          <w:p w14:paraId="2E4E3635" w14:textId="77777777" w:rsidR="00086A35" w:rsidRPr="00957936" w:rsidRDefault="00086A35" w:rsidP="00412E8E">
            <w:pPr>
              <w:rPr>
                <w:rFonts w:ascii="Arial Narrow" w:hAnsi="Arial Narrow"/>
                <w:color w:val="FFFFFF" w:themeColor="background1"/>
                <w:sz w:val="18"/>
                <w:szCs w:val="18"/>
              </w:rPr>
            </w:pPr>
            <w:r w:rsidRPr="00957936">
              <w:rPr>
                <w:rFonts w:ascii="Arial Narrow" w:hAnsi="Arial Narrow"/>
                <w:color w:val="FFFFFF" w:themeColor="background1"/>
                <w:sz w:val="18"/>
                <w:szCs w:val="18"/>
              </w:rPr>
              <w:t>RES</w:t>
            </w:r>
          </w:p>
        </w:tc>
        <w:tc>
          <w:tcPr>
            <w:tcW w:w="1275" w:type="dxa"/>
            <w:tcBorders>
              <w:tl2br w:val="nil"/>
              <w:tr2bl w:val="nil"/>
            </w:tcBorders>
            <w:shd w:val="clear" w:color="auto" w:fill="555759"/>
          </w:tcPr>
          <w:p w14:paraId="098263DA" w14:textId="77777777" w:rsidR="00086A35" w:rsidRPr="00957936" w:rsidRDefault="00086A35" w:rsidP="00412E8E">
            <w:pPr>
              <w:rPr>
                <w:rFonts w:ascii="Arial Narrow" w:hAnsi="Arial Narrow"/>
                <w:color w:val="FFFFFF" w:themeColor="background1"/>
                <w:sz w:val="18"/>
                <w:szCs w:val="18"/>
              </w:rPr>
            </w:pPr>
            <w:r w:rsidRPr="00957936">
              <w:rPr>
                <w:rFonts w:ascii="Arial Narrow" w:hAnsi="Arial Narrow"/>
                <w:color w:val="FFFFFF" w:themeColor="background1"/>
                <w:sz w:val="18"/>
                <w:szCs w:val="18"/>
              </w:rPr>
              <w:t>COM</w:t>
            </w:r>
          </w:p>
        </w:tc>
        <w:tc>
          <w:tcPr>
            <w:tcW w:w="1403" w:type="dxa"/>
            <w:tcBorders>
              <w:top w:val="nil"/>
              <w:bottom w:val="single" w:sz="12" w:space="0" w:color="95D600"/>
              <w:right w:val="nil"/>
              <w:tl2br w:val="nil"/>
              <w:tr2bl w:val="nil"/>
            </w:tcBorders>
            <w:shd w:val="clear" w:color="auto" w:fill="555759"/>
          </w:tcPr>
          <w:p w14:paraId="6A3D5871" w14:textId="77777777" w:rsidR="00086A35" w:rsidRPr="00957936" w:rsidRDefault="00086A35" w:rsidP="00412E8E">
            <w:pPr>
              <w:rPr>
                <w:rFonts w:ascii="Arial Narrow" w:hAnsi="Arial Narrow"/>
                <w:color w:val="FFFFFF" w:themeColor="background1"/>
                <w:sz w:val="18"/>
                <w:szCs w:val="18"/>
              </w:rPr>
            </w:pPr>
            <w:r w:rsidRPr="00957936">
              <w:rPr>
                <w:rFonts w:ascii="Arial Narrow" w:hAnsi="Arial Narrow"/>
                <w:color w:val="FFFFFF" w:themeColor="background1"/>
                <w:sz w:val="18"/>
                <w:szCs w:val="18"/>
              </w:rPr>
              <w:t>RES</w:t>
            </w:r>
          </w:p>
        </w:tc>
        <w:tc>
          <w:tcPr>
            <w:tcW w:w="1433" w:type="dxa"/>
            <w:tcBorders>
              <w:top w:val="nil"/>
              <w:bottom w:val="single" w:sz="12" w:space="0" w:color="95D600"/>
              <w:right w:val="nil"/>
              <w:tl2br w:val="nil"/>
              <w:tr2bl w:val="nil"/>
            </w:tcBorders>
            <w:shd w:val="clear" w:color="auto" w:fill="555759"/>
          </w:tcPr>
          <w:p w14:paraId="4E76D45F" w14:textId="77777777" w:rsidR="00086A35" w:rsidRPr="00957936" w:rsidRDefault="00086A35" w:rsidP="00412E8E">
            <w:pPr>
              <w:rPr>
                <w:rFonts w:ascii="Arial Narrow" w:hAnsi="Arial Narrow"/>
                <w:color w:val="FFFFFF" w:themeColor="background1"/>
                <w:sz w:val="18"/>
                <w:szCs w:val="18"/>
              </w:rPr>
            </w:pPr>
            <w:r w:rsidRPr="00957936">
              <w:rPr>
                <w:rFonts w:ascii="Arial Narrow" w:hAnsi="Arial Narrow"/>
                <w:color w:val="FFFFFF" w:themeColor="background1"/>
                <w:sz w:val="18"/>
                <w:szCs w:val="18"/>
              </w:rPr>
              <w:t>COM</w:t>
            </w:r>
          </w:p>
        </w:tc>
        <w:tc>
          <w:tcPr>
            <w:tcW w:w="1369" w:type="dxa"/>
            <w:tcBorders>
              <w:top w:val="nil"/>
              <w:left w:val="nil"/>
              <w:bottom w:val="single" w:sz="12" w:space="0" w:color="95D600"/>
              <w:right w:val="nil"/>
              <w:tl2br w:val="nil"/>
              <w:tr2bl w:val="nil"/>
            </w:tcBorders>
            <w:shd w:val="clear" w:color="auto" w:fill="555759"/>
          </w:tcPr>
          <w:p w14:paraId="3FBE1AE0" w14:textId="77777777" w:rsidR="00086A35" w:rsidRPr="00957936" w:rsidRDefault="00086A35" w:rsidP="00412E8E">
            <w:pPr>
              <w:rPr>
                <w:rFonts w:ascii="Arial Narrow" w:hAnsi="Arial Narrow"/>
                <w:color w:val="FFFFFF" w:themeColor="background1"/>
                <w:sz w:val="18"/>
                <w:szCs w:val="18"/>
              </w:rPr>
            </w:pPr>
            <w:r w:rsidRPr="00957936">
              <w:rPr>
                <w:rFonts w:ascii="Arial Narrow" w:hAnsi="Arial Narrow"/>
                <w:color w:val="FFFFFF" w:themeColor="background1"/>
                <w:sz w:val="18"/>
                <w:szCs w:val="18"/>
              </w:rPr>
              <w:t>RES</w:t>
            </w:r>
          </w:p>
        </w:tc>
        <w:tc>
          <w:tcPr>
            <w:tcW w:w="1379" w:type="dxa"/>
            <w:tcBorders>
              <w:top w:val="nil"/>
              <w:left w:val="nil"/>
              <w:bottom w:val="single" w:sz="12" w:space="0" w:color="95D600"/>
              <w:right w:val="nil"/>
              <w:tl2br w:val="nil"/>
              <w:tr2bl w:val="nil"/>
            </w:tcBorders>
            <w:shd w:val="clear" w:color="auto" w:fill="555759"/>
          </w:tcPr>
          <w:p w14:paraId="7B19DF75" w14:textId="77777777" w:rsidR="00086A35" w:rsidRPr="00957936" w:rsidRDefault="00086A35" w:rsidP="00412E8E">
            <w:pPr>
              <w:rPr>
                <w:rFonts w:ascii="Arial Narrow" w:hAnsi="Arial Narrow"/>
                <w:color w:val="FFFFFF" w:themeColor="background1"/>
                <w:sz w:val="18"/>
                <w:szCs w:val="18"/>
              </w:rPr>
            </w:pPr>
            <w:r w:rsidRPr="00957936">
              <w:rPr>
                <w:rFonts w:ascii="Arial Narrow" w:hAnsi="Arial Narrow"/>
                <w:color w:val="FFFFFF" w:themeColor="background1"/>
                <w:sz w:val="18"/>
                <w:szCs w:val="18"/>
              </w:rPr>
              <w:t>COM</w:t>
            </w:r>
          </w:p>
        </w:tc>
      </w:tr>
      <w:tr w:rsidR="00836233" w:rsidRPr="00957936" w14:paraId="0276F6CC" w14:textId="77777777" w:rsidTr="00AF21BE">
        <w:trPr>
          <w:trHeight w:val="537"/>
        </w:trPr>
        <w:tc>
          <w:tcPr>
            <w:tcW w:w="0" w:type="dxa"/>
            <w:hideMark/>
          </w:tcPr>
          <w:p w14:paraId="20BE40C8" w14:textId="77777777" w:rsidR="00836233" w:rsidRPr="00957936" w:rsidRDefault="00836233" w:rsidP="00412E8E">
            <w:pPr>
              <w:rPr>
                <w:rFonts w:ascii="Arial Narrow" w:hAnsi="Arial Narrow"/>
                <w:sz w:val="18"/>
                <w:szCs w:val="18"/>
              </w:rPr>
            </w:pPr>
            <w:r w:rsidRPr="00957936">
              <w:rPr>
                <w:rFonts w:ascii="Arial Narrow" w:hAnsi="Arial Narrow"/>
                <w:sz w:val="18"/>
                <w:szCs w:val="18"/>
              </w:rPr>
              <w:t>PG&amp;E</w:t>
            </w:r>
          </w:p>
        </w:tc>
        <w:tc>
          <w:tcPr>
            <w:tcW w:w="0" w:type="dxa"/>
          </w:tcPr>
          <w:p w14:paraId="3DC7EBC2" w14:textId="77777777" w:rsidR="00836233" w:rsidRPr="00957936" w:rsidRDefault="00836233" w:rsidP="00836233">
            <w:pPr>
              <w:rPr>
                <w:rFonts w:ascii="Arial Narrow" w:hAnsi="Arial Narrow"/>
                <w:color w:val="000000"/>
                <w:sz w:val="18"/>
                <w:szCs w:val="18"/>
              </w:rPr>
            </w:pPr>
            <w:r w:rsidRPr="00957936">
              <w:rPr>
                <w:rFonts w:ascii="Arial Narrow" w:hAnsi="Arial Narrow"/>
                <w:color w:val="000000"/>
                <w:sz w:val="18"/>
                <w:szCs w:val="18"/>
              </w:rPr>
              <w:t>282.50</w:t>
            </w:r>
          </w:p>
        </w:tc>
        <w:tc>
          <w:tcPr>
            <w:tcW w:w="0" w:type="dxa"/>
          </w:tcPr>
          <w:p w14:paraId="39AC46AC" w14:textId="77777777" w:rsidR="00836233" w:rsidRPr="00957936" w:rsidRDefault="00836233" w:rsidP="00600559">
            <w:pPr>
              <w:rPr>
                <w:rFonts w:ascii="Arial Narrow" w:hAnsi="Arial Narrow"/>
                <w:color w:val="000000"/>
                <w:sz w:val="18"/>
                <w:szCs w:val="18"/>
              </w:rPr>
            </w:pPr>
            <w:r w:rsidRPr="00957936">
              <w:rPr>
                <w:rFonts w:ascii="Arial Narrow" w:hAnsi="Arial Narrow"/>
                <w:color w:val="000000"/>
                <w:sz w:val="18"/>
                <w:szCs w:val="18"/>
              </w:rPr>
              <w:t>520.96</w:t>
            </w:r>
          </w:p>
        </w:tc>
        <w:tc>
          <w:tcPr>
            <w:tcW w:w="0" w:type="dxa"/>
            <w:hideMark/>
          </w:tcPr>
          <w:p w14:paraId="211FFC1E"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758.46</w:t>
            </w:r>
          </w:p>
        </w:tc>
        <w:tc>
          <w:tcPr>
            <w:tcW w:w="0" w:type="dxa"/>
            <w:hideMark/>
          </w:tcPr>
          <w:p w14:paraId="6317D740"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1,120.47</w:t>
            </w:r>
          </w:p>
        </w:tc>
        <w:tc>
          <w:tcPr>
            <w:tcW w:w="0" w:type="dxa"/>
            <w:hideMark/>
          </w:tcPr>
          <w:p w14:paraId="24A98F9D"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8.8</w:t>
            </w:r>
          </w:p>
        </w:tc>
        <w:tc>
          <w:tcPr>
            <w:tcW w:w="0" w:type="dxa"/>
            <w:hideMark/>
          </w:tcPr>
          <w:p w14:paraId="17F739F4"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27.6</w:t>
            </w:r>
          </w:p>
        </w:tc>
      </w:tr>
      <w:tr w:rsidR="00836233" w:rsidRPr="00957936" w14:paraId="79E208C7" w14:textId="77777777" w:rsidTr="00AF21BE">
        <w:trPr>
          <w:trHeight w:val="404"/>
        </w:trPr>
        <w:tc>
          <w:tcPr>
            <w:tcW w:w="0" w:type="dxa"/>
            <w:hideMark/>
          </w:tcPr>
          <w:p w14:paraId="28E6A995" w14:textId="77777777" w:rsidR="00836233" w:rsidRPr="00957936" w:rsidRDefault="00836233" w:rsidP="00412E8E">
            <w:pPr>
              <w:rPr>
                <w:rFonts w:ascii="Arial Narrow" w:hAnsi="Arial Narrow"/>
                <w:sz w:val="18"/>
                <w:szCs w:val="18"/>
              </w:rPr>
            </w:pPr>
            <w:r w:rsidRPr="00957936">
              <w:rPr>
                <w:rFonts w:ascii="Arial Narrow" w:hAnsi="Arial Narrow"/>
                <w:sz w:val="18"/>
                <w:szCs w:val="18"/>
              </w:rPr>
              <w:t>SCE</w:t>
            </w:r>
          </w:p>
        </w:tc>
        <w:tc>
          <w:tcPr>
            <w:tcW w:w="0" w:type="dxa"/>
          </w:tcPr>
          <w:p w14:paraId="340478D2" w14:textId="77777777" w:rsidR="00836233" w:rsidRPr="00957936" w:rsidRDefault="00836233" w:rsidP="00600559">
            <w:pPr>
              <w:rPr>
                <w:rFonts w:ascii="Arial Narrow" w:hAnsi="Arial Narrow"/>
                <w:color w:val="000000"/>
                <w:sz w:val="18"/>
                <w:szCs w:val="18"/>
              </w:rPr>
            </w:pPr>
            <w:r w:rsidRPr="00957936">
              <w:rPr>
                <w:rFonts w:ascii="Arial Narrow" w:hAnsi="Arial Narrow"/>
                <w:color w:val="000000"/>
                <w:sz w:val="18"/>
                <w:szCs w:val="18"/>
              </w:rPr>
              <w:t>299.59</w:t>
            </w:r>
          </w:p>
        </w:tc>
        <w:tc>
          <w:tcPr>
            <w:tcW w:w="0" w:type="dxa"/>
          </w:tcPr>
          <w:p w14:paraId="2A9BE9E8" w14:textId="77777777" w:rsidR="00836233" w:rsidRPr="00957936" w:rsidRDefault="00836233" w:rsidP="00600559">
            <w:pPr>
              <w:rPr>
                <w:rFonts w:ascii="Arial Narrow" w:hAnsi="Arial Narrow"/>
                <w:color w:val="000000"/>
                <w:sz w:val="18"/>
                <w:szCs w:val="18"/>
              </w:rPr>
            </w:pPr>
            <w:r w:rsidRPr="00957936">
              <w:rPr>
                <w:rFonts w:ascii="Arial Narrow" w:hAnsi="Arial Narrow"/>
                <w:color w:val="000000"/>
                <w:sz w:val="18"/>
                <w:szCs w:val="18"/>
              </w:rPr>
              <w:t>503.66</w:t>
            </w:r>
          </w:p>
        </w:tc>
        <w:tc>
          <w:tcPr>
            <w:tcW w:w="0" w:type="dxa"/>
            <w:hideMark/>
          </w:tcPr>
          <w:p w14:paraId="3A69260C"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892.17</w:t>
            </w:r>
          </w:p>
        </w:tc>
        <w:tc>
          <w:tcPr>
            <w:tcW w:w="0" w:type="dxa"/>
            <w:hideMark/>
          </w:tcPr>
          <w:p w14:paraId="6EE5801C"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1,291.51</w:t>
            </w:r>
          </w:p>
        </w:tc>
        <w:tc>
          <w:tcPr>
            <w:tcW w:w="0" w:type="dxa"/>
            <w:hideMark/>
          </w:tcPr>
          <w:p w14:paraId="7570A5A2"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NA</w:t>
            </w:r>
          </w:p>
        </w:tc>
        <w:tc>
          <w:tcPr>
            <w:tcW w:w="0" w:type="dxa"/>
            <w:hideMark/>
          </w:tcPr>
          <w:p w14:paraId="7D8F349B"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NA</w:t>
            </w:r>
          </w:p>
        </w:tc>
      </w:tr>
      <w:tr w:rsidR="00836233" w:rsidRPr="00957936" w14:paraId="4CD7DB80" w14:textId="77777777" w:rsidTr="00AF21BE">
        <w:trPr>
          <w:trHeight w:val="404"/>
        </w:trPr>
        <w:tc>
          <w:tcPr>
            <w:tcW w:w="0" w:type="dxa"/>
            <w:hideMark/>
          </w:tcPr>
          <w:p w14:paraId="6F77BED7" w14:textId="77777777" w:rsidR="00836233" w:rsidRPr="00957936" w:rsidRDefault="00836233" w:rsidP="00412E8E">
            <w:pPr>
              <w:rPr>
                <w:rFonts w:ascii="Arial Narrow" w:hAnsi="Arial Narrow"/>
                <w:sz w:val="18"/>
                <w:szCs w:val="18"/>
              </w:rPr>
            </w:pPr>
            <w:r w:rsidRPr="00957936">
              <w:rPr>
                <w:rFonts w:ascii="Arial Narrow" w:hAnsi="Arial Narrow"/>
                <w:sz w:val="18"/>
                <w:szCs w:val="18"/>
              </w:rPr>
              <w:t>SCG</w:t>
            </w:r>
          </w:p>
        </w:tc>
        <w:tc>
          <w:tcPr>
            <w:tcW w:w="0" w:type="dxa"/>
          </w:tcPr>
          <w:p w14:paraId="5FE12462" w14:textId="77777777" w:rsidR="00836233" w:rsidRPr="00957936" w:rsidRDefault="00836233" w:rsidP="00600559">
            <w:pPr>
              <w:rPr>
                <w:rFonts w:ascii="Arial Narrow" w:hAnsi="Arial Narrow"/>
                <w:color w:val="000000"/>
                <w:sz w:val="18"/>
                <w:szCs w:val="18"/>
              </w:rPr>
            </w:pPr>
            <w:r w:rsidRPr="00957936">
              <w:rPr>
                <w:rFonts w:ascii="Arial Narrow" w:hAnsi="Arial Narrow"/>
                <w:color w:val="000000"/>
                <w:sz w:val="18"/>
                <w:szCs w:val="18"/>
              </w:rPr>
              <w:t>77.08</w:t>
            </w:r>
          </w:p>
        </w:tc>
        <w:tc>
          <w:tcPr>
            <w:tcW w:w="0" w:type="dxa"/>
          </w:tcPr>
          <w:p w14:paraId="5B3D9B31" w14:textId="77777777" w:rsidR="00836233" w:rsidRPr="00957936" w:rsidRDefault="00836233" w:rsidP="00600559">
            <w:pPr>
              <w:rPr>
                <w:rFonts w:ascii="Arial Narrow" w:hAnsi="Arial Narrow"/>
                <w:color w:val="000000"/>
                <w:sz w:val="18"/>
                <w:szCs w:val="18"/>
              </w:rPr>
            </w:pPr>
            <w:r w:rsidRPr="00957936">
              <w:rPr>
                <w:rFonts w:ascii="Arial Narrow" w:hAnsi="Arial Narrow"/>
                <w:color w:val="000000"/>
                <w:sz w:val="18"/>
                <w:szCs w:val="18"/>
              </w:rPr>
              <w:t>36.16</w:t>
            </w:r>
          </w:p>
        </w:tc>
        <w:tc>
          <w:tcPr>
            <w:tcW w:w="0" w:type="dxa"/>
            <w:hideMark/>
          </w:tcPr>
          <w:p w14:paraId="65778D9A"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NA</w:t>
            </w:r>
          </w:p>
        </w:tc>
        <w:tc>
          <w:tcPr>
            <w:tcW w:w="0" w:type="dxa"/>
            <w:hideMark/>
          </w:tcPr>
          <w:p w14:paraId="36802EE1"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NA</w:t>
            </w:r>
          </w:p>
        </w:tc>
        <w:tc>
          <w:tcPr>
            <w:tcW w:w="0" w:type="dxa"/>
            <w:hideMark/>
          </w:tcPr>
          <w:p w14:paraId="6E9330B9"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12.7</w:t>
            </w:r>
          </w:p>
        </w:tc>
        <w:tc>
          <w:tcPr>
            <w:tcW w:w="0" w:type="dxa"/>
            <w:hideMark/>
          </w:tcPr>
          <w:p w14:paraId="1FC111E2"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17.5</w:t>
            </w:r>
          </w:p>
        </w:tc>
      </w:tr>
      <w:tr w:rsidR="00836233" w:rsidRPr="00957936" w14:paraId="340CFD9D" w14:textId="77777777" w:rsidTr="00AF21BE">
        <w:trPr>
          <w:trHeight w:val="404"/>
        </w:trPr>
        <w:tc>
          <w:tcPr>
            <w:tcW w:w="0" w:type="dxa"/>
            <w:hideMark/>
          </w:tcPr>
          <w:p w14:paraId="100C9385" w14:textId="77777777" w:rsidR="00836233" w:rsidRPr="00957936" w:rsidRDefault="00836233" w:rsidP="00412E8E">
            <w:pPr>
              <w:rPr>
                <w:rFonts w:ascii="Arial Narrow" w:hAnsi="Arial Narrow"/>
                <w:sz w:val="18"/>
                <w:szCs w:val="18"/>
              </w:rPr>
            </w:pPr>
            <w:r w:rsidRPr="00957936">
              <w:rPr>
                <w:rFonts w:ascii="Arial Narrow" w:hAnsi="Arial Narrow"/>
                <w:sz w:val="18"/>
                <w:szCs w:val="18"/>
              </w:rPr>
              <w:t>SDG&amp;E</w:t>
            </w:r>
          </w:p>
        </w:tc>
        <w:tc>
          <w:tcPr>
            <w:tcW w:w="0" w:type="dxa"/>
          </w:tcPr>
          <w:p w14:paraId="4D841CDF" w14:textId="77777777" w:rsidR="00836233" w:rsidRPr="00957936" w:rsidRDefault="00836233">
            <w:pPr>
              <w:rPr>
                <w:rFonts w:ascii="Arial Narrow" w:hAnsi="Arial Narrow"/>
                <w:color w:val="000000"/>
                <w:sz w:val="18"/>
                <w:szCs w:val="18"/>
              </w:rPr>
            </w:pPr>
            <w:r w:rsidRPr="00957936">
              <w:rPr>
                <w:rFonts w:ascii="Arial Narrow" w:hAnsi="Arial Narrow"/>
                <w:color w:val="000000"/>
                <w:sz w:val="18"/>
                <w:szCs w:val="18"/>
              </w:rPr>
              <w:t>70.69</w:t>
            </w:r>
          </w:p>
        </w:tc>
        <w:tc>
          <w:tcPr>
            <w:tcW w:w="0" w:type="dxa"/>
          </w:tcPr>
          <w:p w14:paraId="605482C2" w14:textId="77777777" w:rsidR="00836233" w:rsidRPr="00957936" w:rsidRDefault="00836233">
            <w:pPr>
              <w:rPr>
                <w:rFonts w:ascii="Arial Narrow" w:hAnsi="Arial Narrow"/>
                <w:color w:val="000000"/>
                <w:sz w:val="18"/>
                <w:szCs w:val="18"/>
              </w:rPr>
            </w:pPr>
            <w:r w:rsidRPr="00957936">
              <w:rPr>
                <w:rFonts w:ascii="Arial Narrow" w:hAnsi="Arial Narrow"/>
                <w:color w:val="000000"/>
                <w:sz w:val="18"/>
                <w:szCs w:val="18"/>
              </w:rPr>
              <w:t>110.08</w:t>
            </w:r>
          </w:p>
        </w:tc>
        <w:tc>
          <w:tcPr>
            <w:tcW w:w="0" w:type="dxa"/>
            <w:hideMark/>
          </w:tcPr>
          <w:p w14:paraId="25292DF6" w14:textId="77777777" w:rsidR="00836233" w:rsidRPr="00957936" w:rsidRDefault="00836233">
            <w:pPr>
              <w:rPr>
                <w:rFonts w:ascii="Arial Narrow" w:hAnsi="Arial Narrow"/>
                <w:sz w:val="18"/>
                <w:szCs w:val="18"/>
              </w:rPr>
            </w:pPr>
            <w:r w:rsidRPr="00957936">
              <w:rPr>
                <w:rFonts w:ascii="Arial Narrow" w:hAnsi="Arial Narrow"/>
                <w:color w:val="000000"/>
                <w:sz w:val="18"/>
                <w:szCs w:val="18"/>
              </w:rPr>
              <w:t>175.57</w:t>
            </w:r>
          </w:p>
        </w:tc>
        <w:tc>
          <w:tcPr>
            <w:tcW w:w="0" w:type="dxa"/>
            <w:hideMark/>
          </w:tcPr>
          <w:p w14:paraId="37D4F5E8" w14:textId="77777777" w:rsidR="00836233" w:rsidRPr="00957936" w:rsidRDefault="00836233">
            <w:pPr>
              <w:rPr>
                <w:rFonts w:ascii="Arial Narrow" w:hAnsi="Arial Narrow"/>
                <w:sz w:val="18"/>
                <w:szCs w:val="18"/>
              </w:rPr>
            </w:pPr>
            <w:r w:rsidRPr="00957936">
              <w:rPr>
                <w:rFonts w:ascii="Arial Narrow" w:hAnsi="Arial Narrow"/>
                <w:color w:val="000000"/>
                <w:sz w:val="18"/>
                <w:szCs w:val="18"/>
              </w:rPr>
              <w:t>295.18</w:t>
            </w:r>
          </w:p>
        </w:tc>
        <w:tc>
          <w:tcPr>
            <w:tcW w:w="0" w:type="dxa"/>
            <w:hideMark/>
          </w:tcPr>
          <w:p w14:paraId="7FEAA051"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-1.0</w:t>
            </w:r>
          </w:p>
        </w:tc>
        <w:tc>
          <w:tcPr>
            <w:tcW w:w="0" w:type="dxa"/>
            <w:hideMark/>
          </w:tcPr>
          <w:p w14:paraId="671537DD" w14:textId="77777777" w:rsidR="00836233" w:rsidRPr="00957936" w:rsidRDefault="00836233" w:rsidP="00412E8E">
            <w:pPr>
              <w:rPr>
                <w:rFonts w:ascii="Arial Narrow" w:hAnsi="Arial Narrow"/>
                <w:sz w:val="18"/>
                <w:szCs w:val="18"/>
              </w:rPr>
            </w:pPr>
            <w:r w:rsidRPr="00957936">
              <w:rPr>
                <w:rFonts w:ascii="Arial Narrow" w:hAnsi="Arial Narrow"/>
                <w:color w:val="000000"/>
                <w:sz w:val="18"/>
                <w:szCs w:val="18"/>
              </w:rPr>
              <w:t>3.5</w:t>
            </w:r>
          </w:p>
        </w:tc>
      </w:tr>
    </w:tbl>
    <w:p w14:paraId="716A5230" w14:textId="77777777" w:rsidR="0088798E" w:rsidRPr="008337C9" w:rsidRDefault="00A85DBA" w:rsidP="00957936">
      <w:pPr>
        <w:pStyle w:val="Source"/>
        <w:jc w:val="center"/>
      </w:pPr>
      <w:r w:rsidRPr="008337C9">
        <w:t xml:space="preserve">Source: </w:t>
      </w:r>
      <w:r w:rsidR="00C20636" w:rsidRPr="008337C9">
        <w:t>CPUC – Energy Efficiency Full Program Cycle (2013-2015) Data</w:t>
      </w:r>
    </w:p>
    <w:p w14:paraId="16DFF9B2" w14:textId="77777777" w:rsidR="0088798E" w:rsidRDefault="0088798E" w:rsidP="00732A7B">
      <w:r w:rsidRPr="008337C9">
        <w:t xml:space="preserve">Additional discussion of the calibration process can be found in </w:t>
      </w:r>
      <w:r w:rsidR="00490F81" w:rsidRPr="008337C9">
        <w:fldChar w:fldCharType="begin"/>
      </w:r>
      <w:r w:rsidR="00490F81" w:rsidRPr="008337C9">
        <w:instrText xml:space="preserve"> REF _Ref477255194 \r \h </w:instrText>
      </w:r>
      <w:r w:rsidR="008337C9">
        <w:instrText xml:space="preserve"> \* MERGEFORMAT </w:instrText>
      </w:r>
      <w:r w:rsidR="00490F81" w:rsidRPr="008337C9">
        <w:fldChar w:fldCharType="separate"/>
      </w:r>
      <w:r w:rsidR="007566B9">
        <w:t>Appendix A</w:t>
      </w:r>
      <w:r w:rsidR="00490F81" w:rsidRPr="008337C9">
        <w:fldChar w:fldCharType="end"/>
      </w:r>
      <w:r w:rsidRPr="008337C9">
        <w:t xml:space="preserve">. </w:t>
      </w:r>
    </w:p>
    <w:p w14:paraId="297AD7B0" w14:textId="77777777" w:rsidR="00732A7B" w:rsidRDefault="00732A7B" w:rsidP="00732A7B">
      <w:pPr>
        <w:pStyle w:val="Heading3"/>
      </w:pPr>
      <w:bookmarkStart w:id="403" w:name="_Toc478990508"/>
      <w:bookmarkStart w:id="404" w:name="_Toc479768581"/>
      <w:bookmarkStart w:id="405" w:name="_Toc482357308"/>
      <w:bookmarkStart w:id="406" w:name="_Toc482634284"/>
      <w:bookmarkStart w:id="407" w:name="_Toc482626416"/>
      <w:bookmarkStart w:id="408" w:name="_Toc484092487"/>
      <w:bookmarkStart w:id="409" w:name="_Toc484172691"/>
      <w:bookmarkStart w:id="410" w:name="_Toc484183027"/>
      <w:bookmarkStart w:id="411" w:name="_Toc490225784"/>
      <w:r>
        <w:t>Non-Incentive Program Costs</w:t>
      </w:r>
      <w:bookmarkEnd w:id="403"/>
      <w:bookmarkEnd w:id="404"/>
      <w:bookmarkEnd w:id="405"/>
      <w:bookmarkEnd w:id="406"/>
      <w:bookmarkEnd w:id="407"/>
      <w:bookmarkEnd w:id="408"/>
      <w:bookmarkEnd w:id="409"/>
      <w:bookmarkEnd w:id="410"/>
      <w:bookmarkEnd w:id="411"/>
    </w:p>
    <w:p w14:paraId="68B1535A" w14:textId="77777777" w:rsidR="00EF6103" w:rsidRPr="008337C9" w:rsidRDefault="00EF6103" w:rsidP="00732A7B">
      <w:r w:rsidRPr="00EE491F">
        <w:t>Non-incentive program costs also come from the 2013-2015 Full Program Cycle Data on the CPUC’s EEStats portal.</w:t>
      </w:r>
      <w:r w:rsidR="00EE491F" w:rsidRPr="00EE491F">
        <w:t xml:space="preserve">  For the PG Model, Navigant determined program costs per unit of kWh or therm, by sector.  </w:t>
      </w:r>
      <w:r w:rsidR="00EF772A">
        <w:t xml:space="preserve">This is facilitated by the EEStats data, where program costs for each program and measure line are already listed. </w:t>
      </w:r>
      <w:r w:rsidR="00EE491F" w:rsidRPr="00EE491F">
        <w:t>In EEStats, program costs combine administrative costs, marketing costs, implementation (customer service) costs, overhead, and EM&amp;V costs.  Note that interactive effects are excluded prior to calculating these costs.</w:t>
      </w:r>
    </w:p>
    <w:p w14:paraId="75D78A6B" w14:textId="77777777" w:rsidR="007B3F91" w:rsidRDefault="007B3F91" w:rsidP="00732A7B"/>
    <w:p w14:paraId="68E62C32" w14:textId="77777777" w:rsidR="00732A7B" w:rsidRDefault="008D63F4" w:rsidP="00732A7B">
      <w:r>
        <w:fldChar w:fldCharType="begin"/>
      </w:r>
      <w:r>
        <w:instrText xml:space="preserve"> REF _Ref490227758 \h </w:instrText>
      </w:r>
      <w:r>
        <w:fldChar w:fldCharType="separate"/>
      </w:r>
      <w:r w:rsidRPr="008B64DE">
        <w:t xml:space="preserve">Table </w:t>
      </w:r>
      <w:r>
        <w:rPr>
          <w:noProof/>
        </w:rPr>
        <w:t>3</w:t>
      </w:r>
      <w:r>
        <w:noBreakHyphen/>
      </w:r>
      <w:r>
        <w:rPr>
          <w:noProof/>
        </w:rPr>
        <w:t>6</w:t>
      </w:r>
      <w:r>
        <w:fldChar w:fldCharType="end"/>
      </w:r>
      <w:r>
        <w:t xml:space="preserve"> </w:t>
      </w:r>
      <w:r w:rsidR="00732A7B" w:rsidRPr="008337C9">
        <w:t>provides an overview of the Non-Incentive Program Costs</w:t>
      </w:r>
      <w:r w:rsidR="00C20636" w:rsidRPr="008337C9">
        <w:t>, based on gross reported savings</w:t>
      </w:r>
      <w:r w:rsidR="00732A7B" w:rsidRPr="008337C9">
        <w:t>.</w:t>
      </w:r>
      <w:r w:rsidR="00A235A9" w:rsidRPr="008337C9">
        <w:t xml:space="preserve">  The displayed AIMS program cost is an average of the individual agriculture, industrial, mining, and streetlighting costs calculated.</w:t>
      </w:r>
    </w:p>
    <w:p w14:paraId="613A67C8" w14:textId="77777777" w:rsidR="00732A7B" w:rsidRDefault="00732A7B" w:rsidP="00732A7B"/>
    <w:p w14:paraId="18AC59E5" w14:textId="77777777" w:rsidR="00732A7B" w:rsidRPr="008B64DE" w:rsidRDefault="00732A7B" w:rsidP="00A330AB">
      <w:pPr>
        <w:pStyle w:val="Caption"/>
      </w:pPr>
      <w:bookmarkStart w:id="412" w:name="_Ref479684822"/>
      <w:bookmarkStart w:id="413" w:name="_Ref490227758"/>
      <w:bookmarkStart w:id="414" w:name="_Toc482634214"/>
      <w:bookmarkStart w:id="415" w:name="_Toc484436953"/>
      <w:bookmarkStart w:id="416" w:name="_Toc490560664"/>
      <w:r w:rsidRPr="008B64DE">
        <w:t xml:space="preserve">Table </w:t>
      </w:r>
      <w:fldSimple w:instr=" STYLEREF 1 \s ">
        <w:r w:rsidR="007566B9">
          <w:rPr>
            <w:noProof/>
          </w:rPr>
          <w:t>3</w:t>
        </w:r>
      </w:fldSimple>
      <w:r w:rsidR="00C17D59">
        <w:noBreakHyphen/>
      </w:r>
      <w:bookmarkEnd w:id="412"/>
      <w:r w:rsidR="00B206D8">
        <w:fldChar w:fldCharType="begin"/>
      </w:r>
      <w:r w:rsidR="00B206D8">
        <w:instrText xml:space="preserve"> SEQ Table \* ARABIC \s 1 </w:instrText>
      </w:r>
      <w:r w:rsidR="00B206D8">
        <w:fldChar w:fldCharType="separate"/>
      </w:r>
      <w:r w:rsidR="007566B9">
        <w:rPr>
          <w:noProof/>
        </w:rPr>
        <w:t>6</w:t>
      </w:r>
      <w:r w:rsidR="00B206D8">
        <w:rPr>
          <w:noProof/>
        </w:rPr>
        <w:fldChar w:fldCharType="end"/>
      </w:r>
      <w:bookmarkEnd w:id="413"/>
      <w:r w:rsidRPr="008B64DE">
        <w:t>. Non-Incentive Program Costs Summary</w:t>
      </w:r>
      <w:bookmarkEnd w:id="414"/>
      <w:bookmarkEnd w:id="415"/>
      <w:bookmarkEnd w:id="416"/>
    </w:p>
    <w:tbl>
      <w:tblPr>
        <w:tblStyle w:val="EnergyTable1"/>
        <w:tblW w:w="8402" w:type="dxa"/>
        <w:tblLook w:val="0620" w:firstRow="1" w:lastRow="0" w:firstColumn="0" w:lastColumn="0" w:noHBand="1" w:noVBand="1"/>
      </w:tblPr>
      <w:tblGrid>
        <w:gridCol w:w="777"/>
        <w:gridCol w:w="1266"/>
        <w:gridCol w:w="1266"/>
        <w:gridCol w:w="1266"/>
        <w:gridCol w:w="1266"/>
        <w:gridCol w:w="1266"/>
        <w:gridCol w:w="1295"/>
      </w:tblGrid>
      <w:tr w:rsidR="00732A7B" w:rsidRPr="00957936" w14:paraId="392F754E" w14:textId="77777777" w:rsidTr="00AF21BE">
        <w:trPr>
          <w:cnfStyle w:val="100000000000" w:firstRow="1" w:lastRow="0" w:firstColumn="0" w:lastColumn="0" w:oddVBand="0" w:evenVBand="0" w:oddHBand="0" w:evenHBand="0" w:firstRowFirstColumn="0" w:firstRowLastColumn="0" w:lastRowFirstColumn="0" w:lastRowLastColumn="0"/>
          <w:trHeight w:val="150"/>
        </w:trPr>
        <w:tc>
          <w:tcPr>
            <w:tcW w:w="0" w:type="dxa"/>
            <w:vMerge w:val="restart"/>
            <w:hideMark/>
          </w:tcPr>
          <w:p w14:paraId="270171CC" w14:textId="77777777" w:rsidR="00732A7B" w:rsidRPr="00957936" w:rsidRDefault="00732A7B" w:rsidP="00A330AB">
            <w:pPr>
              <w:keepNext/>
              <w:rPr>
                <w:rFonts w:ascii="Arial Narrow" w:hAnsi="Arial Narrow"/>
                <w:sz w:val="18"/>
                <w:szCs w:val="18"/>
              </w:rPr>
            </w:pPr>
            <w:r w:rsidRPr="00957936">
              <w:rPr>
                <w:rFonts w:ascii="Arial Narrow" w:hAnsi="Arial Narrow"/>
                <w:sz w:val="18"/>
                <w:szCs w:val="18"/>
              </w:rPr>
              <w:t>IOU</w:t>
            </w:r>
          </w:p>
        </w:tc>
        <w:tc>
          <w:tcPr>
            <w:tcW w:w="0" w:type="dxa"/>
            <w:gridSpan w:val="3"/>
            <w:hideMark/>
          </w:tcPr>
          <w:p w14:paraId="7D775D26" w14:textId="77777777" w:rsidR="00732A7B" w:rsidRPr="00957936" w:rsidRDefault="00EF772A" w:rsidP="00A330AB">
            <w:pPr>
              <w:keepNext/>
              <w:rPr>
                <w:rFonts w:ascii="Arial Narrow" w:hAnsi="Arial Narrow"/>
                <w:sz w:val="18"/>
                <w:szCs w:val="18"/>
              </w:rPr>
            </w:pPr>
            <w:r w:rsidRPr="00957936">
              <w:rPr>
                <w:rFonts w:ascii="Arial Narrow" w:hAnsi="Arial Narrow"/>
                <w:sz w:val="18"/>
                <w:szCs w:val="18"/>
              </w:rPr>
              <w:t xml:space="preserve">Electric </w:t>
            </w:r>
            <w:r w:rsidR="00732A7B" w:rsidRPr="00957936">
              <w:rPr>
                <w:rFonts w:ascii="Arial Narrow" w:hAnsi="Arial Narrow"/>
                <w:sz w:val="18"/>
                <w:szCs w:val="18"/>
              </w:rPr>
              <w:t>Savings (</w:t>
            </w:r>
            <w:r w:rsidR="00C20636" w:rsidRPr="00957936">
              <w:rPr>
                <w:rFonts w:ascii="Arial Narrow" w:hAnsi="Arial Narrow"/>
                <w:sz w:val="18"/>
                <w:szCs w:val="18"/>
              </w:rPr>
              <w:t>$/</w:t>
            </w:r>
            <w:r w:rsidR="00D807CD" w:rsidRPr="00957936">
              <w:rPr>
                <w:rFonts w:ascii="Arial Narrow" w:hAnsi="Arial Narrow"/>
                <w:sz w:val="18"/>
                <w:szCs w:val="18"/>
              </w:rPr>
              <w:t xml:space="preserve">Gross </w:t>
            </w:r>
            <w:r w:rsidR="00C20636" w:rsidRPr="00957936">
              <w:rPr>
                <w:rFonts w:ascii="Arial Narrow" w:hAnsi="Arial Narrow"/>
                <w:sz w:val="18"/>
                <w:szCs w:val="18"/>
              </w:rPr>
              <w:t>kWh</w:t>
            </w:r>
            <w:r w:rsidR="00732A7B" w:rsidRPr="00957936">
              <w:rPr>
                <w:rFonts w:ascii="Arial Narrow" w:hAnsi="Arial Narrow"/>
                <w:sz w:val="18"/>
                <w:szCs w:val="18"/>
              </w:rPr>
              <w:t>)</w:t>
            </w:r>
          </w:p>
        </w:tc>
        <w:tc>
          <w:tcPr>
            <w:tcW w:w="0" w:type="dxa"/>
            <w:gridSpan w:val="3"/>
            <w:hideMark/>
          </w:tcPr>
          <w:p w14:paraId="673D63ED" w14:textId="77777777" w:rsidR="00732A7B" w:rsidRPr="00957936" w:rsidRDefault="00732A7B" w:rsidP="00A330AB">
            <w:pPr>
              <w:keepNext/>
              <w:rPr>
                <w:rFonts w:ascii="Arial Narrow" w:hAnsi="Arial Narrow"/>
                <w:sz w:val="18"/>
                <w:szCs w:val="18"/>
              </w:rPr>
            </w:pPr>
            <w:r w:rsidRPr="00957936">
              <w:rPr>
                <w:rFonts w:ascii="Arial Narrow" w:hAnsi="Arial Narrow"/>
                <w:sz w:val="18"/>
                <w:szCs w:val="18"/>
              </w:rPr>
              <w:t>Gas Savings (</w:t>
            </w:r>
            <w:r w:rsidR="00C20636" w:rsidRPr="00957936">
              <w:rPr>
                <w:rFonts w:ascii="Arial Narrow" w:hAnsi="Arial Narrow"/>
                <w:sz w:val="18"/>
                <w:szCs w:val="18"/>
              </w:rPr>
              <w:t>$/</w:t>
            </w:r>
            <w:r w:rsidR="00D807CD" w:rsidRPr="00957936">
              <w:rPr>
                <w:rFonts w:ascii="Arial Narrow" w:hAnsi="Arial Narrow"/>
                <w:sz w:val="18"/>
                <w:szCs w:val="18"/>
              </w:rPr>
              <w:t xml:space="preserve">Gross </w:t>
            </w:r>
            <w:r w:rsidR="00C20636" w:rsidRPr="00957936">
              <w:rPr>
                <w:rFonts w:ascii="Arial Narrow" w:hAnsi="Arial Narrow"/>
                <w:sz w:val="18"/>
                <w:szCs w:val="18"/>
              </w:rPr>
              <w:t>therm</w:t>
            </w:r>
            <w:r w:rsidRPr="00957936">
              <w:rPr>
                <w:rFonts w:ascii="Arial Narrow" w:hAnsi="Arial Narrow"/>
                <w:sz w:val="18"/>
                <w:szCs w:val="18"/>
              </w:rPr>
              <w:t>)</w:t>
            </w:r>
          </w:p>
        </w:tc>
      </w:tr>
      <w:tr w:rsidR="002544A3" w:rsidRPr="00957936" w14:paraId="5113BAEE" w14:textId="77777777" w:rsidTr="00EF772A">
        <w:trPr>
          <w:trHeight w:val="149"/>
        </w:trPr>
        <w:tc>
          <w:tcPr>
            <w:tcW w:w="1222" w:type="dxa"/>
            <w:vMerge/>
            <w:shd w:val="clear" w:color="auto" w:fill="555759"/>
          </w:tcPr>
          <w:p w14:paraId="6CB414FD" w14:textId="77777777" w:rsidR="00732A7B" w:rsidRPr="00957936" w:rsidRDefault="00732A7B" w:rsidP="00A330AB">
            <w:pPr>
              <w:keepNext/>
              <w:rPr>
                <w:rFonts w:ascii="Arial Narrow" w:hAnsi="Arial Narrow"/>
                <w:sz w:val="18"/>
                <w:szCs w:val="18"/>
              </w:rPr>
            </w:pPr>
          </w:p>
        </w:tc>
        <w:tc>
          <w:tcPr>
            <w:tcW w:w="1192" w:type="dxa"/>
            <w:tcBorders>
              <w:top w:val="nil"/>
              <w:bottom w:val="single" w:sz="12" w:space="0" w:color="95D600"/>
              <w:right w:val="nil"/>
              <w:tl2br w:val="nil"/>
              <w:tr2bl w:val="nil"/>
            </w:tcBorders>
            <w:shd w:val="clear" w:color="auto" w:fill="555759"/>
          </w:tcPr>
          <w:p w14:paraId="53961E14" w14:textId="77777777" w:rsidR="00732A7B" w:rsidRPr="00957936" w:rsidRDefault="00732A7B" w:rsidP="00A330AB">
            <w:pPr>
              <w:keepNext/>
              <w:rPr>
                <w:rFonts w:ascii="Arial Narrow" w:hAnsi="Arial Narrow"/>
                <w:color w:val="FFFFFF" w:themeColor="background1"/>
                <w:sz w:val="18"/>
                <w:szCs w:val="18"/>
              </w:rPr>
            </w:pPr>
            <w:r w:rsidRPr="00957936">
              <w:rPr>
                <w:rFonts w:ascii="Arial Narrow" w:hAnsi="Arial Narrow"/>
                <w:color w:val="FFFFFF" w:themeColor="background1"/>
                <w:sz w:val="18"/>
                <w:szCs w:val="18"/>
              </w:rPr>
              <w:t>RES</w:t>
            </w:r>
          </w:p>
        </w:tc>
        <w:tc>
          <w:tcPr>
            <w:tcW w:w="1192" w:type="dxa"/>
            <w:tcBorders>
              <w:top w:val="nil"/>
              <w:bottom w:val="single" w:sz="12" w:space="0" w:color="95D600"/>
              <w:right w:val="nil"/>
              <w:tl2br w:val="nil"/>
              <w:tr2bl w:val="nil"/>
            </w:tcBorders>
            <w:shd w:val="clear" w:color="auto" w:fill="555759"/>
          </w:tcPr>
          <w:p w14:paraId="410CBBF5" w14:textId="77777777" w:rsidR="00732A7B" w:rsidRPr="00957936" w:rsidRDefault="00732A7B" w:rsidP="00A330AB">
            <w:pPr>
              <w:keepNext/>
              <w:rPr>
                <w:rFonts w:ascii="Arial Narrow" w:hAnsi="Arial Narrow"/>
                <w:color w:val="FFFFFF" w:themeColor="background1"/>
                <w:sz w:val="18"/>
                <w:szCs w:val="18"/>
              </w:rPr>
            </w:pPr>
            <w:r w:rsidRPr="00957936">
              <w:rPr>
                <w:rFonts w:ascii="Arial Narrow" w:hAnsi="Arial Narrow"/>
                <w:color w:val="FFFFFF" w:themeColor="background1"/>
                <w:sz w:val="18"/>
                <w:szCs w:val="18"/>
              </w:rPr>
              <w:t>COM</w:t>
            </w:r>
          </w:p>
        </w:tc>
        <w:tc>
          <w:tcPr>
            <w:tcW w:w="1192" w:type="dxa"/>
            <w:tcBorders>
              <w:top w:val="nil"/>
              <w:bottom w:val="single" w:sz="12" w:space="0" w:color="95D600"/>
              <w:right w:val="nil"/>
              <w:tl2br w:val="nil"/>
              <w:tr2bl w:val="nil"/>
            </w:tcBorders>
            <w:shd w:val="clear" w:color="auto" w:fill="555759"/>
          </w:tcPr>
          <w:p w14:paraId="209385EA" w14:textId="77777777" w:rsidR="00732A7B" w:rsidRPr="00957936" w:rsidRDefault="00732A7B" w:rsidP="00A330AB">
            <w:pPr>
              <w:keepNext/>
              <w:rPr>
                <w:rFonts w:ascii="Arial Narrow" w:hAnsi="Arial Narrow"/>
                <w:color w:val="FFFFFF" w:themeColor="background1"/>
                <w:sz w:val="18"/>
                <w:szCs w:val="18"/>
              </w:rPr>
            </w:pPr>
            <w:r w:rsidRPr="00957936">
              <w:rPr>
                <w:rFonts w:ascii="Arial Narrow" w:hAnsi="Arial Narrow"/>
                <w:color w:val="FFFFFF" w:themeColor="background1"/>
                <w:sz w:val="18"/>
                <w:szCs w:val="18"/>
              </w:rPr>
              <w:t>AIMS</w:t>
            </w:r>
          </w:p>
        </w:tc>
        <w:tc>
          <w:tcPr>
            <w:tcW w:w="1192" w:type="dxa"/>
            <w:tcBorders>
              <w:top w:val="nil"/>
              <w:left w:val="nil"/>
              <w:bottom w:val="single" w:sz="12" w:space="0" w:color="95D600"/>
              <w:right w:val="nil"/>
              <w:tl2br w:val="nil"/>
              <w:tr2bl w:val="nil"/>
            </w:tcBorders>
            <w:shd w:val="clear" w:color="auto" w:fill="555759"/>
          </w:tcPr>
          <w:p w14:paraId="568528AA" w14:textId="77777777" w:rsidR="00732A7B" w:rsidRPr="00957936" w:rsidRDefault="001127B8" w:rsidP="00A330AB">
            <w:pPr>
              <w:keepNext/>
              <w:rPr>
                <w:rFonts w:ascii="Arial Narrow" w:hAnsi="Arial Narrow"/>
                <w:color w:val="FFFFFF" w:themeColor="background1"/>
                <w:sz w:val="18"/>
                <w:szCs w:val="18"/>
              </w:rPr>
            </w:pPr>
            <w:r>
              <w:rPr>
                <w:rFonts w:ascii="Arial Narrow" w:hAnsi="Arial Narrow"/>
                <w:color w:val="FFFFFF" w:themeColor="background1"/>
                <w:sz w:val="18"/>
                <w:szCs w:val="18"/>
              </w:rPr>
              <w:t xml:space="preserve"> </w:t>
            </w:r>
            <w:r w:rsidR="00732A7B" w:rsidRPr="00957936">
              <w:rPr>
                <w:rFonts w:ascii="Arial Narrow" w:hAnsi="Arial Narrow"/>
                <w:color w:val="FFFFFF" w:themeColor="background1"/>
                <w:sz w:val="18"/>
                <w:szCs w:val="18"/>
              </w:rPr>
              <w:t>RES</w:t>
            </w:r>
          </w:p>
        </w:tc>
        <w:tc>
          <w:tcPr>
            <w:tcW w:w="1192" w:type="dxa"/>
            <w:tcBorders>
              <w:top w:val="nil"/>
              <w:left w:val="nil"/>
              <w:bottom w:val="single" w:sz="12" w:space="0" w:color="95D600"/>
              <w:right w:val="nil"/>
              <w:tl2br w:val="nil"/>
              <w:tr2bl w:val="nil"/>
            </w:tcBorders>
            <w:shd w:val="clear" w:color="auto" w:fill="555759"/>
          </w:tcPr>
          <w:p w14:paraId="4D75E69C" w14:textId="77777777" w:rsidR="00732A7B" w:rsidRPr="00957936" w:rsidRDefault="00732A7B" w:rsidP="00A330AB">
            <w:pPr>
              <w:keepNext/>
              <w:rPr>
                <w:rFonts w:ascii="Arial Narrow" w:hAnsi="Arial Narrow"/>
                <w:color w:val="FFFFFF" w:themeColor="background1"/>
                <w:sz w:val="18"/>
                <w:szCs w:val="18"/>
              </w:rPr>
            </w:pPr>
            <w:r w:rsidRPr="00957936">
              <w:rPr>
                <w:rFonts w:ascii="Arial Narrow" w:hAnsi="Arial Narrow"/>
                <w:color w:val="FFFFFF" w:themeColor="background1"/>
                <w:sz w:val="18"/>
                <w:szCs w:val="18"/>
              </w:rPr>
              <w:t>COM</w:t>
            </w:r>
          </w:p>
        </w:tc>
        <w:tc>
          <w:tcPr>
            <w:tcW w:w="1220" w:type="dxa"/>
            <w:tcBorders>
              <w:top w:val="nil"/>
              <w:left w:val="nil"/>
              <w:bottom w:val="single" w:sz="12" w:space="0" w:color="95D600"/>
              <w:right w:val="nil"/>
              <w:tl2br w:val="nil"/>
              <w:tr2bl w:val="nil"/>
            </w:tcBorders>
            <w:shd w:val="clear" w:color="auto" w:fill="555759"/>
          </w:tcPr>
          <w:p w14:paraId="3F1CDB3E" w14:textId="77777777" w:rsidR="00732A7B" w:rsidRPr="00957936" w:rsidRDefault="00732A7B" w:rsidP="00A330AB">
            <w:pPr>
              <w:keepNext/>
              <w:rPr>
                <w:rFonts w:ascii="Arial Narrow" w:hAnsi="Arial Narrow"/>
                <w:color w:val="FFFFFF" w:themeColor="background1"/>
                <w:sz w:val="18"/>
                <w:szCs w:val="18"/>
              </w:rPr>
            </w:pPr>
            <w:r w:rsidRPr="00957936">
              <w:rPr>
                <w:rFonts w:ascii="Arial Narrow" w:hAnsi="Arial Narrow"/>
                <w:color w:val="FFFFFF" w:themeColor="background1"/>
                <w:sz w:val="18"/>
                <w:szCs w:val="18"/>
              </w:rPr>
              <w:t>AIMS</w:t>
            </w:r>
          </w:p>
        </w:tc>
      </w:tr>
      <w:tr w:rsidR="00732A7B" w:rsidRPr="00957936" w14:paraId="568D3961" w14:textId="77777777" w:rsidTr="00AF21BE">
        <w:trPr>
          <w:trHeight w:val="397"/>
        </w:trPr>
        <w:tc>
          <w:tcPr>
            <w:tcW w:w="0" w:type="dxa"/>
            <w:hideMark/>
          </w:tcPr>
          <w:p w14:paraId="7CF71B64" w14:textId="77777777" w:rsidR="00732A7B" w:rsidRPr="00957936" w:rsidRDefault="00732A7B" w:rsidP="00A330AB">
            <w:pPr>
              <w:keepNext/>
              <w:rPr>
                <w:rFonts w:ascii="Arial Narrow" w:hAnsi="Arial Narrow"/>
                <w:sz w:val="18"/>
                <w:szCs w:val="18"/>
              </w:rPr>
            </w:pPr>
            <w:r w:rsidRPr="00957936">
              <w:rPr>
                <w:rFonts w:ascii="Arial Narrow" w:hAnsi="Arial Narrow"/>
                <w:sz w:val="18"/>
                <w:szCs w:val="18"/>
              </w:rPr>
              <w:t>PG&amp;E</w:t>
            </w:r>
          </w:p>
        </w:tc>
        <w:tc>
          <w:tcPr>
            <w:tcW w:w="0" w:type="dxa"/>
          </w:tcPr>
          <w:p w14:paraId="2EE2D0DA" w14:textId="77777777" w:rsidR="00732A7B" w:rsidRPr="00957936" w:rsidRDefault="00C20636" w:rsidP="00A330AB">
            <w:pPr>
              <w:keepNext/>
              <w:rPr>
                <w:rFonts w:ascii="Arial Narrow" w:hAnsi="Arial Narrow"/>
                <w:sz w:val="18"/>
                <w:szCs w:val="18"/>
              </w:rPr>
            </w:pPr>
            <w:r w:rsidRPr="00957936">
              <w:rPr>
                <w:rFonts w:ascii="Arial Narrow" w:hAnsi="Arial Narrow"/>
                <w:sz w:val="18"/>
                <w:szCs w:val="18"/>
              </w:rPr>
              <w:t>$0.12</w:t>
            </w:r>
          </w:p>
        </w:tc>
        <w:tc>
          <w:tcPr>
            <w:tcW w:w="0" w:type="dxa"/>
          </w:tcPr>
          <w:p w14:paraId="4E73090C" w14:textId="77777777" w:rsidR="00732A7B" w:rsidRPr="00957936" w:rsidRDefault="00C20636" w:rsidP="00A330AB">
            <w:pPr>
              <w:keepNext/>
              <w:rPr>
                <w:rFonts w:ascii="Arial Narrow" w:hAnsi="Arial Narrow"/>
                <w:sz w:val="18"/>
                <w:szCs w:val="18"/>
              </w:rPr>
            </w:pPr>
            <w:r w:rsidRPr="00957936">
              <w:rPr>
                <w:rFonts w:ascii="Arial Narrow" w:hAnsi="Arial Narrow"/>
                <w:sz w:val="18"/>
                <w:szCs w:val="18"/>
              </w:rPr>
              <w:t>$0.15</w:t>
            </w:r>
          </w:p>
        </w:tc>
        <w:tc>
          <w:tcPr>
            <w:tcW w:w="0" w:type="dxa"/>
          </w:tcPr>
          <w:p w14:paraId="2E2EE0A3" w14:textId="77777777" w:rsidR="00732A7B" w:rsidRPr="00957936" w:rsidRDefault="00C20636" w:rsidP="00A330AB">
            <w:pPr>
              <w:keepNext/>
              <w:rPr>
                <w:rFonts w:ascii="Arial Narrow" w:hAnsi="Arial Narrow"/>
                <w:sz w:val="18"/>
                <w:szCs w:val="18"/>
              </w:rPr>
            </w:pPr>
            <w:r w:rsidRPr="00957936">
              <w:rPr>
                <w:rFonts w:ascii="Arial Narrow" w:hAnsi="Arial Narrow"/>
                <w:sz w:val="18"/>
                <w:szCs w:val="18"/>
              </w:rPr>
              <w:t>$0.</w:t>
            </w:r>
            <w:r w:rsidR="00A235A9" w:rsidRPr="00957936">
              <w:rPr>
                <w:rFonts w:ascii="Arial Narrow" w:hAnsi="Arial Narrow"/>
                <w:sz w:val="18"/>
                <w:szCs w:val="18"/>
              </w:rPr>
              <w:t>08</w:t>
            </w:r>
          </w:p>
        </w:tc>
        <w:tc>
          <w:tcPr>
            <w:tcW w:w="0" w:type="dxa"/>
          </w:tcPr>
          <w:p w14:paraId="576C876F"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$3.55</w:t>
            </w:r>
          </w:p>
        </w:tc>
        <w:tc>
          <w:tcPr>
            <w:tcW w:w="0" w:type="dxa"/>
          </w:tcPr>
          <w:p w14:paraId="79948C55"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$4.53</w:t>
            </w:r>
          </w:p>
        </w:tc>
        <w:tc>
          <w:tcPr>
            <w:tcW w:w="0" w:type="dxa"/>
          </w:tcPr>
          <w:p w14:paraId="52D87F01"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$2.38</w:t>
            </w:r>
          </w:p>
        </w:tc>
      </w:tr>
      <w:tr w:rsidR="00EF772A" w:rsidRPr="00957936" w14:paraId="19E1C292" w14:textId="77777777" w:rsidTr="00AF21BE">
        <w:trPr>
          <w:trHeight w:val="397"/>
        </w:trPr>
        <w:tc>
          <w:tcPr>
            <w:tcW w:w="0" w:type="dxa"/>
            <w:hideMark/>
          </w:tcPr>
          <w:p w14:paraId="02DF2D49" w14:textId="77777777" w:rsidR="00EF772A" w:rsidRPr="00957936" w:rsidRDefault="00EF772A" w:rsidP="00A330AB">
            <w:pPr>
              <w:keepNext/>
              <w:rPr>
                <w:rFonts w:ascii="Arial Narrow" w:hAnsi="Arial Narrow"/>
                <w:sz w:val="18"/>
                <w:szCs w:val="18"/>
              </w:rPr>
            </w:pPr>
            <w:r w:rsidRPr="00957936">
              <w:rPr>
                <w:rFonts w:ascii="Arial Narrow" w:hAnsi="Arial Narrow"/>
                <w:sz w:val="18"/>
                <w:szCs w:val="18"/>
              </w:rPr>
              <w:t>SCE</w:t>
            </w:r>
          </w:p>
        </w:tc>
        <w:tc>
          <w:tcPr>
            <w:tcW w:w="0" w:type="dxa"/>
          </w:tcPr>
          <w:p w14:paraId="46D90457" w14:textId="77777777" w:rsidR="00EF772A" w:rsidRPr="00957936" w:rsidRDefault="00EF772A" w:rsidP="00A330AB">
            <w:pPr>
              <w:keepNext/>
              <w:rPr>
                <w:rFonts w:ascii="Arial Narrow" w:hAnsi="Arial Narrow"/>
                <w:sz w:val="18"/>
                <w:szCs w:val="18"/>
              </w:rPr>
            </w:pPr>
            <w:r w:rsidRPr="00957936">
              <w:rPr>
                <w:rFonts w:ascii="Arial Narrow" w:hAnsi="Arial Narrow"/>
                <w:sz w:val="18"/>
                <w:szCs w:val="18"/>
              </w:rPr>
              <w:t>$0.16</w:t>
            </w:r>
          </w:p>
        </w:tc>
        <w:tc>
          <w:tcPr>
            <w:tcW w:w="0" w:type="dxa"/>
          </w:tcPr>
          <w:p w14:paraId="0E8847A4" w14:textId="77777777" w:rsidR="00EF772A" w:rsidRPr="00957936" w:rsidRDefault="00EF772A" w:rsidP="00A330AB">
            <w:pPr>
              <w:keepNext/>
              <w:rPr>
                <w:rFonts w:ascii="Arial Narrow" w:hAnsi="Arial Narrow"/>
                <w:sz w:val="18"/>
                <w:szCs w:val="18"/>
              </w:rPr>
            </w:pPr>
            <w:r w:rsidRPr="00957936">
              <w:rPr>
                <w:rFonts w:ascii="Arial Narrow" w:hAnsi="Arial Narrow"/>
                <w:sz w:val="18"/>
                <w:szCs w:val="18"/>
              </w:rPr>
              <w:t>$0.18</w:t>
            </w:r>
          </w:p>
        </w:tc>
        <w:tc>
          <w:tcPr>
            <w:tcW w:w="0" w:type="dxa"/>
          </w:tcPr>
          <w:p w14:paraId="1D311461" w14:textId="77777777" w:rsidR="00EF772A" w:rsidRPr="00957936" w:rsidRDefault="00EF772A" w:rsidP="00A330AB">
            <w:pPr>
              <w:keepNext/>
              <w:rPr>
                <w:rFonts w:ascii="Arial Narrow" w:hAnsi="Arial Narrow"/>
                <w:sz w:val="18"/>
                <w:szCs w:val="18"/>
              </w:rPr>
            </w:pPr>
            <w:r w:rsidRPr="00957936">
              <w:rPr>
                <w:rFonts w:ascii="Arial Narrow" w:hAnsi="Arial Narrow"/>
                <w:sz w:val="18"/>
                <w:szCs w:val="18"/>
              </w:rPr>
              <w:t>$0.18</w:t>
            </w:r>
          </w:p>
        </w:tc>
        <w:tc>
          <w:tcPr>
            <w:tcW w:w="0" w:type="dxa"/>
          </w:tcPr>
          <w:p w14:paraId="7EE790BF" w14:textId="77777777" w:rsidR="00EF772A" w:rsidRPr="00957936" w:rsidRDefault="00EF772A" w:rsidP="00A330AB">
            <w:pPr>
              <w:keepNext/>
              <w:rPr>
                <w:rFonts w:ascii="Arial Narrow" w:hAnsi="Arial Narrow"/>
                <w:sz w:val="18"/>
                <w:szCs w:val="18"/>
              </w:rPr>
            </w:pPr>
            <w:r w:rsidRPr="00957936">
              <w:rPr>
                <w:rFonts w:ascii="Arial Narrow" w:hAnsi="Arial Narrow"/>
                <w:sz w:val="18"/>
                <w:szCs w:val="18"/>
              </w:rPr>
              <w:t>NA</w:t>
            </w:r>
          </w:p>
        </w:tc>
        <w:tc>
          <w:tcPr>
            <w:tcW w:w="0" w:type="dxa"/>
          </w:tcPr>
          <w:p w14:paraId="14A8E27B" w14:textId="77777777" w:rsidR="00EF772A" w:rsidRPr="00957936" w:rsidRDefault="00EF772A" w:rsidP="00A330AB">
            <w:pPr>
              <w:keepNext/>
              <w:rPr>
                <w:rFonts w:ascii="Arial Narrow" w:hAnsi="Arial Narrow"/>
                <w:sz w:val="18"/>
                <w:szCs w:val="18"/>
              </w:rPr>
            </w:pPr>
            <w:r w:rsidRPr="00957936">
              <w:rPr>
                <w:rFonts w:ascii="Arial Narrow" w:hAnsi="Arial Narrow"/>
                <w:sz w:val="18"/>
                <w:szCs w:val="18"/>
              </w:rPr>
              <w:t>NA</w:t>
            </w:r>
          </w:p>
        </w:tc>
        <w:tc>
          <w:tcPr>
            <w:tcW w:w="0" w:type="dxa"/>
          </w:tcPr>
          <w:p w14:paraId="2E053C29" w14:textId="77777777" w:rsidR="00EF772A" w:rsidRPr="00957936" w:rsidRDefault="00EF772A" w:rsidP="00A330AB">
            <w:pPr>
              <w:keepNext/>
              <w:rPr>
                <w:rFonts w:ascii="Arial Narrow" w:hAnsi="Arial Narrow"/>
                <w:sz w:val="18"/>
                <w:szCs w:val="18"/>
              </w:rPr>
            </w:pPr>
            <w:r w:rsidRPr="00957936">
              <w:rPr>
                <w:rFonts w:ascii="Arial Narrow" w:hAnsi="Arial Narrow"/>
                <w:sz w:val="18"/>
                <w:szCs w:val="18"/>
              </w:rPr>
              <w:t>NA</w:t>
            </w:r>
          </w:p>
        </w:tc>
      </w:tr>
      <w:tr w:rsidR="00732A7B" w:rsidRPr="00957936" w14:paraId="17E80CB3" w14:textId="77777777" w:rsidTr="00AF21BE">
        <w:trPr>
          <w:trHeight w:val="397"/>
        </w:trPr>
        <w:tc>
          <w:tcPr>
            <w:tcW w:w="0" w:type="dxa"/>
            <w:hideMark/>
          </w:tcPr>
          <w:p w14:paraId="04F20E12" w14:textId="77777777" w:rsidR="00732A7B" w:rsidRPr="00957936" w:rsidRDefault="00732A7B" w:rsidP="00A330AB">
            <w:pPr>
              <w:keepNext/>
              <w:rPr>
                <w:rFonts w:ascii="Arial Narrow" w:hAnsi="Arial Narrow"/>
                <w:sz w:val="18"/>
                <w:szCs w:val="18"/>
              </w:rPr>
            </w:pPr>
            <w:r w:rsidRPr="00957936">
              <w:rPr>
                <w:rFonts w:ascii="Arial Narrow" w:hAnsi="Arial Narrow"/>
                <w:sz w:val="18"/>
                <w:szCs w:val="18"/>
              </w:rPr>
              <w:t>SCG</w:t>
            </w:r>
          </w:p>
        </w:tc>
        <w:tc>
          <w:tcPr>
            <w:tcW w:w="0" w:type="dxa"/>
          </w:tcPr>
          <w:p w14:paraId="55127066" w14:textId="77777777" w:rsidR="00732A7B" w:rsidRPr="00957936" w:rsidRDefault="00EF772A" w:rsidP="00A330AB">
            <w:pPr>
              <w:keepNext/>
              <w:rPr>
                <w:rFonts w:ascii="Arial Narrow" w:hAnsi="Arial Narrow"/>
                <w:sz w:val="18"/>
                <w:szCs w:val="18"/>
              </w:rPr>
            </w:pPr>
            <w:r w:rsidRPr="00957936">
              <w:rPr>
                <w:rFonts w:ascii="Arial Narrow" w:hAnsi="Arial Narrow"/>
                <w:sz w:val="18"/>
                <w:szCs w:val="18"/>
              </w:rPr>
              <w:t>NA</w:t>
            </w:r>
          </w:p>
        </w:tc>
        <w:tc>
          <w:tcPr>
            <w:tcW w:w="0" w:type="dxa"/>
          </w:tcPr>
          <w:p w14:paraId="3F6EEB2C" w14:textId="77777777" w:rsidR="00732A7B" w:rsidRPr="00957936" w:rsidRDefault="00EF772A" w:rsidP="00A330AB">
            <w:pPr>
              <w:keepNext/>
              <w:rPr>
                <w:rFonts w:ascii="Arial Narrow" w:hAnsi="Arial Narrow"/>
                <w:sz w:val="18"/>
                <w:szCs w:val="18"/>
              </w:rPr>
            </w:pPr>
            <w:r w:rsidRPr="00957936">
              <w:rPr>
                <w:rFonts w:ascii="Arial Narrow" w:hAnsi="Arial Narrow"/>
                <w:sz w:val="18"/>
                <w:szCs w:val="18"/>
              </w:rPr>
              <w:t>NA</w:t>
            </w:r>
          </w:p>
        </w:tc>
        <w:tc>
          <w:tcPr>
            <w:tcW w:w="0" w:type="dxa"/>
          </w:tcPr>
          <w:p w14:paraId="1D40C2F7" w14:textId="77777777" w:rsidR="00732A7B" w:rsidRPr="00957936" w:rsidRDefault="00EF772A" w:rsidP="00A330AB">
            <w:pPr>
              <w:keepNext/>
              <w:rPr>
                <w:rFonts w:ascii="Arial Narrow" w:hAnsi="Arial Narrow"/>
                <w:sz w:val="18"/>
                <w:szCs w:val="18"/>
              </w:rPr>
            </w:pPr>
            <w:r w:rsidRPr="00957936">
              <w:rPr>
                <w:rFonts w:ascii="Arial Narrow" w:hAnsi="Arial Narrow"/>
                <w:sz w:val="18"/>
                <w:szCs w:val="18"/>
              </w:rPr>
              <w:t>NA</w:t>
            </w:r>
          </w:p>
        </w:tc>
        <w:tc>
          <w:tcPr>
            <w:tcW w:w="0" w:type="dxa"/>
          </w:tcPr>
          <w:p w14:paraId="58843840"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$2.14</w:t>
            </w:r>
          </w:p>
        </w:tc>
        <w:tc>
          <w:tcPr>
            <w:tcW w:w="0" w:type="dxa"/>
          </w:tcPr>
          <w:p w14:paraId="636EC3C4"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$1.15</w:t>
            </w:r>
          </w:p>
        </w:tc>
        <w:tc>
          <w:tcPr>
            <w:tcW w:w="0" w:type="dxa"/>
          </w:tcPr>
          <w:p w14:paraId="2B593236"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$0.72</w:t>
            </w:r>
          </w:p>
        </w:tc>
      </w:tr>
      <w:tr w:rsidR="00732A7B" w:rsidRPr="00957936" w14:paraId="455EEAD6" w14:textId="77777777" w:rsidTr="00AF21BE">
        <w:trPr>
          <w:trHeight w:val="397"/>
        </w:trPr>
        <w:tc>
          <w:tcPr>
            <w:tcW w:w="0" w:type="dxa"/>
            <w:hideMark/>
          </w:tcPr>
          <w:p w14:paraId="3C3BE2A7" w14:textId="77777777" w:rsidR="00732A7B" w:rsidRPr="00957936" w:rsidRDefault="00732A7B" w:rsidP="00A330AB">
            <w:pPr>
              <w:keepNext/>
              <w:rPr>
                <w:rFonts w:ascii="Arial Narrow" w:hAnsi="Arial Narrow"/>
                <w:sz w:val="18"/>
                <w:szCs w:val="18"/>
              </w:rPr>
            </w:pPr>
            <w:r w:rsidRPr="00957936">
              <w:rPr>
                <w:rFonts w:ascii="Arial Narrow" w:hAnsi="Arial Narrow"/>
                <w:sz w:val="18"/>
                <w:szCs w:val="18"/>
              </w:rPr>
              <w:t>SDG&amp;E</w:t>
            </w:r>
          </w:p>
        </w:tc>
        <w:tc>
          <w:tcPr>
            <w:tcW w:w="0" w:type="dxa"/>
          </w:tcPr>
          <w:p w14:paraId="60730046"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$0.12</w:t>
            </w:r>
          </w:p>
        </w:tc>
        <w:tc>
          <w:tcPr>
            <w:tcW w:w="0" w:type="dxa"/>
          </w:tcPr>
          <w:p w14:paraId="36DE74F1"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$0.07</w:t>
            </w:r>
          </w:p>
        </w:tc>
        <w:tc>
          <w:tcPr>
            <w:tcW w:w="0" w:type="dxa"/>
          </w:tcPr>
          <w:p w14:paraId="0F391087"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$0.06</w:t>
            </w:r>
          </w:p>
        </w:tc>
        <w:tc>
          <w:tcPr>
            <w:tcW w:w="0" w:type="dxa"/>
          </w:tcPr>
          <w:p w14:paraId="1B3BCFC1"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$3.40</w:t>
            </w:r>
          </w:p>
        </w:tc>
        <w:tc>
          <w:tcPr>
            <w:tcW w:w="0" w:type="dxa"/>
          </w:tcPr>
          <w:p w14:paraId="609DE83E"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$1.92</w:t>
            </w:r>
          </w:p>
        </w:tc>
        <w:tc>
          <w:tcPr>
            <w:tcW w:w="0" w:type="dxa"/>
          </w:tcPr>
          <w:p w14:paraId="24E37727" w14:textId="77777777" w:rsidR="00732A7B" w:rsidRPr="00957936" w:rsidRDefault="00A235A9" w:rsidP="00A330AB">
            <w:pPr>
              <w:keepNext/>
              <w:rPr>
                <w:rFonts w:ascii="Arial Narrow" w:hAnsi="Arial Narrow"/>
                <w:sz w:val="18"/>
                <w:szCs w:val="18"/>
              </w:rPr>
            </w:pPr>
            <w:r w:rsidRPr="00957936">
              <w:rPr>
                <w:rFonts w:ascii="Arial Narrow" w:hAnsi="Arial Narrow"/>
                <w:sz w:val="18"/>
                <w:szCs w:val="18"/>
              </w:rPr>
              <w:t>$1.88</w:t>
            </w:r>
          </w:p>
        </w:tc>
      </w:tr>
    </w:tbl>
    <w:p w14:paraId="6563DB26" w14:textId="77777777" w:rsidR="00EF772A" w:rsidRDefault="00732A7B" w:rsidP="00957936">
      <w:pPr>
        <w:pStyle w:val="Source"/>
        <w:jc w:val="center"/>
      </w:pPr>
      <w:r>
        <w:t xml:space="preserve">Source: </w:t>
      </w:r>
      <w:r w:rsidR="00C20636" w:rsidRPr="00C20636">
        <w:t>CPUC – Energy Efficiency Full Program Cycle (2013-2015) Data</w:t>
      </w:r>
    </w:p>
    <w:p w14:paraId="42DB1E9D" w14:textId="77777777" w:rsidR="008820EA" w:rsidRDefault="008820EA" w:rsidP="008820EA">
      <w:pPr>
        <w:pStyle w:val="Heading3"/>
      </w:pPr>
      <w:bookmarkStart w:id="417" w:name="_Toc478990509"/>
      <w:bookmarkStart w:id="418" w:name="_Toc479768582"/>
      <w:bookmarkStart w:id="419" w:name="_Toc482357309"/>
      <w:bookmarkStart w:id="420" w:name="_Toc482634285"/>
      <w:bookmarkStart w:id="421" w:name="_Toc482626417"/>
      <w:bookmarkStart w:id="422" w:name="_Toc484092488"/>
      <w:bookmarkStart w:id="423" w:name="_Toc484172692"/>
      <w:bookmarkStart w:id="424" w:name="_Toc484183028"/>
      <w:bookmarkStart w:id="425" w:name="_Ref484533065"/>
      <w:bookmarkStart w:id="426" w:name="_Toc490225785"/>
      <w:r>
        <w:lastRenderedPageBreak/>
        <w:t>Avoided Costs</w:t>
      </w:r>
      <w:bookmarkEnd w:id="417"/>
      <w:bookmarkEnd w:id="418"/>
      <w:bookmarkEnd w:id="419"/>
      <w:bookmarkEnd w:id="420"/>
      <w:bookmarkEnd w:id="421"/>
      <w:bookmarkEnd w:id="422"/>
      <w:bookmarkEnd w:id="423"/>
      <w:bookmarkEnd w:id="424"/>
      <w:bookmarkEnd w:id="425"/>
      <w:bookmarkEnd w:id="426"/>
    </w:p>
    <w:p w14:paraId="6B3256C2" w14:textId="77777777" w:rsidR="005438AB" w:rsidRDefault="00392F1E" w:rsidP="008820EA">
      <w:r>
        <w:t>A</w:t>
      </w:r>
      <w:r w:rsidR="002118E3">
        <w:t xml:space="preserve">voided costs </w:t>
      </w:r>
      <w:r>
        <w:t xml:space="preserve">place an economic </w:t>
      </w:r>
      <w:r w:rsidR="005438AB">
        <w:t xml:space="preserve">value on the amount of energy and greenhouse gas that is saved by implementing </w:t>
      </w:r>
      <w:r w:rsidR="002118E3">
        <w:t>an energy saving</w:t>
      </w:r>
      <w:r w:rsidR="005438AB">
        <w:t xml:space="preserve"> measure. </w:t>
      </w:r>
      <w:r>
        <w:t>Avoided costs are a key input to the calculation of cost effectiveness.</w:t>
      </w:r>
    </w:p>
    <w:p w14:paraId="053735A2" w14:textId="77777777" w:rsidR="005438AB" w:rsidRDefault="005438AB" w:rsidP="008820EA"/>
    <w:p w14:paraId="321143B8" w14:textId="77777777" w:rsidR="005438AB" w:rsidRDefault="00EF6103" w:rsidP="008820EA">
      <w:r>
        <w:t>To determine avoided costs, Navigant used the</w:t>
      </w:r>
      <w:r w:rsidR="00FB6240">
        <w:t xml:space="preserve"> Cost-effectiveness Tool</w:t>
      </w:r>
      <w:r w:rsidR="00392F1E">
        <w:t xml:space="preserve"> (CET)</w:t>
      </w:r>
      <w:r w:rsidR="00FB6240">
        <w:t xml:space="preserve">, a </w:t>
      </w:r>
      <w:r w:rsidR="00EF16CC">
        <w:t xml:space="preserve">calculator </w:t>
      </w:r>
      <w:r w:rsidR="00392F1E">
        <w:t>commissioned by the CPUC</w:t>
      </w:r>
      <w:r w:rsidR="00EF16CC">
        <w:t xml:space="preserve">. </w:t>
      </w:r>
      <w:r w:rsidR="005438AB">
        <w:t xml:space="preserve">Post-processing of the CET calculator </w:t>
      </w:r>
      <w:r w:rsidR="00392F1E">
        <w:t xml:space="preserve">data </w:t>
      </w:r>
      <w:r w:rsidR="005438AB">
        <w:t>resulted in a dataset that displays total avoided costs for 2016-2046 by IOU, sector, end use category, and sub-end use category.</w:t>
      </w:r>
    </w:p>
    <w:p w14:paraId="5B5FC8B4" w14:textId="77777777" w:rsidR="005438AB" w:rsidRDefault="005438AB" w:rsidP="008820EA"/>
    <w:p w14:paraId="04A37996" w14:textId="77777777" w:rsidR="00EF16CC" w:rsidRDefault="00392F1E" w:rsidP="008820EA">
      <w:r>
        <w:t>E</w:t>
      </w:r>
      <w:r w:rsidR="005438AB">
        <w:t xml:space="preserve">lectric avoided costs for the PG model </w:t>
      </w:r>
      <w:r>
        <w:t xml:space="preserve">are </w:t>
      </w:r>
      <w:r w:rsidR="005438AB">
        <w:t>the sum of the avoided costs of generation, transmission and distribution (T&amp;D), and carbon</w:t>
      </w:r>
      <w:r>
        <w:t xml:space="preserve"> from the CET</w:t>
      </w:r>
      <w:r w:rsidR="005438AB">
        <w:t>.</w:t>
      </w:r>
      <w:r>
        <w:t xml:space="preserve"> Carbon in the CET is expressed </w:t>
      </w:r>
      <w:r w:rsidR="000E25F2">
        <w:t>in</w:t>
      </w:r>
      <w:r>
        <w:t xml:space="preserve"> Tons/</w:t>
      </w:r>
      <w:r w:rsidR="00754BA6">
        <w:t>k</w:t>
      </w:r>
      <w:r>
        <w:t>Wh so Navigant needed to multiply this data by the cost of carbon.</w:t>
      </w:r>
      <w:r w:rsidR="005438AB">
        <w:t xml:space="preserve">  Gas avoided costs are the sum of the avoided costs of generation and T&amp;D</w:t>
      </w:r>
      <w:r>
        <w:t xml:space="preserve"> as reported by the CET. The CET embeds the cost of carbon in its valuation of gas “generation” avoided cost.  </w:t>
      </w:r>
    </w:p>
    <w:p w14:paraId="0E7C1AF4" w14:textId="77777777" w:rsidR="009004EF" w:rsidRDefault="009004EF" w:rsidP="008820EA"/>
    <w:p w14:paraId="4A22C39A" w14:textId="77777777" w:rsidR="006B655B" w:rsidRDefault="002118E3" w:rsidP="008820EA">
      <w:r>
        <w:t>Using the original data obtained in the CET calculator, Navigant created a baseline projection of avoided costs</w:t>
      </w:r>
      <w:r w:rsidR="00392F1E">
        <w:t xml:space="preserve"> that is to be used for the cal</w:t>
      </w:r>
      <w:r w:rsidR="00490F81">
        <w:t>cula</w:t>
      </w:r>
      <w:r w:rsidR="00392F1E">
        <w:t>tion of the Total Resource Cost test</w:t>
      </w:r>
      <w:r>
        <w:t xml:space="preserve">.  </w:t>
      </w:r>
      <w:r w:rsidR="007B0459">
        <w:t>However,</w:t>
      </w:r>
      <w:r w:rsidR="00392F1E">
        <w:t xml:space="preserve"> in considering </w:t>
      </w:r>
      <w:r w:rsidR="006B655B">
        <w:t>the</w:t>
      </w:r>
      <w:r w:rsidR="00392F1E">
        <w:t xml:space="preserve"> modified TRC test the team needed to </w:t>
      </w:r>
      <w:r w:rsidR="005438AB">
        <w:t>update the cost per ton of carbon</w:t>
      </w:r>
      <w:r>
        <w:t xml:space="preserve">. </w:t>
      </w:r>
      <w:r w:rsidR="006B655B">
        <w:t xml:space="preserve">Two different GHG adders were used in this analysis. </w:t>
      </w:r>
    </w:p>
    <w:p w14:paraId="32B6D74B" w14:textId="77777777" w:rsidR="006B655B" w:rsidRDefault="006B655B" w:rsidP="008820EA"/>
    <w:p w14:paraId="2B6E24C0" w14:textId="77777777" w:rsidR="002118E3" w:rsidRDefault="00392F1E" w:rsidP="008820EA">
      <w:r>
        <w:t>In</w:t>
      </w:r>
      <w:r w:rsidR="002118E3">
        <w:t xml:space="preserve"> April 2017, the CPUC </w:t>
      </w:r>
      <w:r>
        <w:t xml:space="preserve">issued a draft statement on an </w:t>
      </w:r>
      <w:r w:rsidRPr="00392F1E">
        <w:t>interim greenhouse gas adder</w:t>
      </w:r>
      <w:r>
        <w:t xml:space="preserve"> for consideration in alternate cost effectiveness tests.  This adder is an incremental </w:t>
      </w:r>
      <w:r w:rsidR="002118E3">
        <w:t xml:space="preserve">cost </w:t>
      </w:r>
      <w:r>
        <w:t xml:space="preserve">of carbon </w:t>
      </w:r>
      <w:r w:rsidR="002118E3">
        <w:t>forecast that projects the cost from $0 per ton beginning in 2017 to $250 per ton in 2030.</w:t>
      </w:r>
      <w:r w:rsidR="00490F81">
        <w:rPr>
          <w:rStyle w:val="FootnoteReference"/>
        </w:rPr>
        <w:footnoteReference w:id="48"/>
      </w:r>
      <w:r w:rsidR="002118E3">
        <w:t xml:space="preserve">  Navigant </w:t>
      </w:r>
      <w:r w:rsidR="006B655B">
        <w:t>refers to this data set as GHG Adder #2 in its scenario analysis as is the larger of the two adders. I</w:t>
      </w:r>
      <w:r w:rsidR="003822EF" w:rsidRPr="003822EF">
        <w:rPr>
          <w:rFonts w:cs="Arial"/>
          <w:snapToGrid w:val="0"/>
        </w:rPr>
        <w:t xml:space="preserve">n the comments to the staff proposed interim GHG adder, the joint IOUs proposed an alternative GHG adder curve based on the </w:t>
      </w:r>
      <w:r w:rsidR="005260A8">
        <w:rPr>
          <w:rFonts w:cs="Arial"/>
          <w:snapToGrid w:val="0"/>
        </w:rPr>
        <w:t xml:space="preserve">draft </w:t>
      </w:r>
      <w:r w:rsidR="003822EF" w:rsidRPr="003822EF">
        <w:rPr>
          <w:rFonts w:cs="Arial"/>
          <w:bCs/>
          <w:snapToGrid w:val="0"/>
        </w:rPr>
        <w:t>Allowance Price Containment Reserve</w:t>
      </w:r>
      <w:r w:rsidR="003822EF" w:rsidRPr="003822EF">
        <w:rPr>
          <w:rFonts w:cs="Arial"/>
          <w:snapToGrid w:val="0"/>
        </w:rPr>
        <w:t> (APCR)</w:t>
      </w:r>
      <w:r w:rsidR="003822EF">
        <w:rPr>
          <w:rStyle w:val="FootnoteReference"/>
          <w:rFonts w:cs="Arial"/>
          <w:snapToGrid w:val="0"/>
        </w:rPr>
        <w:footnoteReference w:id="49"/>
      </w:r>
      <w:r w:rsidR="003822EF" w:rsidRPr="003822EF">
        <w:rPr>
          <w:rFonts w:cs="Arial"/>
          <w:snapToGrid w:val="0"/>
        </w:rPr>
        <w:t xml:space="preserve">. This curve is an extrapolation of preliminary values released by the ARB during the development of the California Air Resources Board AB 32 Scoping Plan Update. </w:t>
      </w:r>
      <w:r w:rsidR="006B655B">
        <w:t xml:space="preserve">Navigant refers to this data set as GHG Adder #1 as is the lower of the two adders.  </w:t>
      </w:r>
      <w:r w:rsidR="006B655B" w:rsidRPr="006B655B">
        <w:t xml:space="preserve">Both adders are </w:t>
      </w:r>
      <w:r w:rsidR="006B655B">
        <w:t>detailed i</w:t>
      </w:r>
      <w:r w:rsidR="00387763">
        <w:t>n</w:t>
      </w:r>
      <w:r w:rsidR="000E25F2">
        <w:t xml:space="preserve"> </w:t>
      </w:r>
      <w:r w:rsidR="001842E3">
        <w:fldChar w:fldCharType="begin"/>
      </w:r>
      <w:r w:rsidR="001842E3">
        <w:instrText xml:space="preserve"> REF _Ref490227898 \h </w:instrText>
      </w:r>
      <w:r w:rsidR="001842E3">
        <w:fldChar w:fldCharType="separate"/>
      </w:r>
      <w:r w:rsidR="001842E3">
        <w:t xml:space="preserve">Table </w:t>
      </w:r>
      <w:r w:rsidR="001842E3">
        <w:rPr>
          <w:noProof/>
        </w:rPr>
        <w:t>3</w:t>
      </w:r>
      <w:r w:rsidR="001842E3">
        <w:noBreakHyphen/>
      </w:r>
      <w:r w:rsidR="001842E3">
        <w:rPr>
          <w:noProof/>
        </w:rPr>
        <w:t>8</w:t>
      </w:r>
      <w:r w:rsidR="001842E3">
        <w:fldChar w:fldCharType="end"/>
      </w:r>
      <w:r w:rsidR="000E25F2">
        <w:fldChar w:fldCharType="begin"/>
      </w:r>
      <w:r w:rsidR="000E25F2">
        <w:instrText xml:space="preserve"> REF _Ref489963156 \h </w:instrText>
      </w:r>
      <w:r w:rsidR="000E25F2">
        <w:fldChar w:fldCharType="end"/>
      </w:r>
      <w:r w:rsidR="00387763">
        <w:t>.</w:t>
      </w:r>
    </w:p>
    <w:p w14:paraId="3B849EAF" w14:textId="77777777" w:rsidR="000E25F2" w:rsidRDefault="000E25F2" w:rsidP="008820EA">
      <w:bookmarkStart w:id="427" w:name="_Ref479690416"/>
      <w:bookmarkStart w:id="428" w:name="_Toc482634215"/>
      <w:bookmarkStart w:id="429" w:name="_Toc484436954"/>
    </w:p>
    <w:p w14:paraId="69C87D9B" w14:textId="4A0EE3E4" w:rsidR="000E25F2" w:rsidRDefault="000E25F2" w:rsidP="000E25F2">
      <w:r>
        <w:t>Both GHG adders must be multiplied by (1 - RPS%) to subtract any effect of the Renewables Portfolio Standard (RPS) on avoided cost of emissions.  Navigant uses the RPS percentages listed in</w:t>
      </w:r>
      <w:r w:rsidR="001842E3">
        <w:t xml:space="preserve"> </w:t>
      </w:r>
      <w:r w:rsidR="001842E3">
        <w:fldChar w:fldCharType="begin"/>
      </w:r>
      <w:r w:rsidR="001842E3">
        <w:instrText xml:space="preserve"> REF _Ref490227853 \h </w:instrText>
      </w:r>
      <w:r w:rsidR="001842E3">
        <w:fldChar w:fldCharType="separate"/>
      </w:r>
      <w:r w:rsidR="001842E3">
        <w:t xml:space="preserve">Table </w:t>
      </w:r>
      <w:r w:rsidR="001842E3">
        <w:rPr>
          <w:noProof/>
        </w:rPr>
        <w:t>3</w:t>
      </w:r>
      <w:r w:rsidR="001842E3">
        <w:noBreakHyphen/>
      </w:r>
      <w:r w:rsidR="001842E3">
        <w:rPr>
          <w:noProof/>
        </w:rPr>
        <w:t>7</w:t>
      </w:r>
      <w:r w:rsidR="001842E3">
        <w:fldChar w:fldCharType="end"/>
      </w:r>
      <w:r>
        <w:t>, up to the RPS target of 50% by 2030.</w:t>
      </w:r>
    </w:p>
    <w:p w14:paraId="37005EDC" w14:textId="77777777" w:rsidR="00572C26" w:rsidRDefault="00572C26" w:rsidP="000E25F2"/>
    <w:p w14:paraId="6005F42E" w14:textId="77777777" w:rsidR="00572C26" w:rsidRDefault="00572C26">
      <w:pPr>
        <w:spacing w:line="240" w:lineRule="auto"/>
      </w:pPr>
      <w:r>
        <w:br w:type="page"/>
      </w:r>
    </w:p>
    <w:p w14:paraId="4B87A1F0" w14:textId="77777777" w:rsidR="000E25F2" w:rsidRDefault="000E25F2" w:rsidP="008820EA"/>
    <w:p w14:paraId="2D5C4CFB" w14:textId="77777777" w:rsidR="000E25F2" w:rsidRDefault="000E25F2" w:rsidP="00AF21BE">
      <w:pPr>
        <w:pStyle w:val="Caption"/>
      </w:pPr>
      <w:bookmarkStart w:id="430" w:name="_Ref489963168"/>
      <w:bookmarkStart w:id="431" w:name="_Ref490227853"/>
      <w:bookmarkStart w:id="432" w:name="_Toc490560665"/>
      <w:r>
        <w:t xml:space="preserve">Table </w:t>
      </w:r>
      <w:fldSimple w:instr=" STYLEREF 1 \s ">
        <w:r w:rsidR="007566B9">
          <w:rPr>
            <w:noProof/>
          </w:rPr>
          <w:t>3</w:t>
        </w:r>
      </w:fldSimple>
      <w:r>
        <w:noBreakHyphen/>
      </w:r>
      <w:bookmarkEnd w:id="430"/>
      <w:r w:rsidR="00B206D8">
        <w:fldChar w:fldCharType="begin"/>
      </w:r>
      <w:r w:rsidR="00B206D8">
        <w:instrText xml:space="preserve"> SEQ Table \* ARABIC \s 1 </w:instrText>
      </w:r>
      <w:r w:rsidR="00B206D8">
        <w:fldChar w:fldCharType="separate"/>
      </w:r>
      <w:r w:rsidR="007566B9">
        <w:rPr>
          <w:noProof/>
        </w:rPr>
        <w:t>7</w:t>
      </w:r>
      <w:r w:rsidR="00B206D8">
        <w:rPr>
          <w:noProof/>
        </w:rPr>
        <w:fldChar w:fldCharType="end"/>
      </w:r>
      <w:bookmarkEnd w:id="431"/>
      <w:r>
        <w:rPr>
          <w:noProof/>
        </w:rPr>
        <w:t>. California RPS Targets, 2016-2030</w:t>
      </w:r>
      <w:bookmarkEnd w:id="432"/>
    </w:p>
    <w:tbl>
      <w:tblPr>
        <w:tblStyle w:val="EnergyTable61"/>
        <w:tblW w:w="0" w:type="auto"/>
        <w:tblLook w:val="04A0" w:firstRow="1" w:lastRow="0" w:firstColumn="1" w:lastColumn="0" w:noHBand="0" w:noVBand="1"/>
      </w:tblPr>
      <w:tblGrid>
        <w:gridCol w:w="1614"/>
        <w:gridCol w:w="1614"/>
        <w:gridCol w:w="1614"/>
      </w:tblGrid>
      <w:tr w:rsidR="001842E3" w:rsidRPr="001842E3" w14:paraId="5BA90C65" w14:textId="77777777" w:rsidTr="00FA33C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14" w:type="dxa"/>
          </w:tcPr>
          <w:p w14:paraId="4901F606" w14:textId="77777777" w:rsidR="001842E3" w:rsidRPr="001842E3" w:rsidRDefault="001842E3" w:rsidP="001842E3">
            <w:r w:rsidRPr="001842E3">
              <w:rPr>
                <w:rFonts w:ascii="Arial Narrow" w:hAnsi="Arial Narrow"/>
                <w:sz w:val="18"/>
                <w:szCs w:val="18"/>
              </w:rPr>
              <w:t>Year</w:t>
            </w:r>
          </w:p>
        </w:tc>
        <w:tc>
          <w:tcPr>
            <w:tcW w:w="1614" w:type="dxa"/>
          </w:tcPr>
          <w:p w14:paraId="6B4830E6" w14:textId="77777777" w:rsidR="001842E3" w:rsidRPr="001842E3" w:rsidRDefault="001842E3" w:rsidP="001842E3">
            <w:pPr>
              <w:cnfStyle w:val="100000000000" w:firstRow="1" w:lastRow="0" w:firstColumn="0" w:lastColumn="0" w:oddVBand="0" w:evenVBand="0" w:oddHBand="0" w:evenHBand="0" w:firstRowFirstColumn="0" w:firstRowLastColumn="0" w:lastRowFirstColumn="0" w:lastRowLastColumn="0"/>
            </w:pPr>
            <w:r w:rsidRPr="001842E3">
              <w:rPr>
                <w:rFonts w:ascii="Arial Narrow" w:hAnsi="Arial Narrow"/>
                <w:sz w:val="18"/>
                <w:szCs w:val="18"/>
              </w:rPr>
              <w:t>RPS%</w:t>
            </w:r>
          </w:p>
        </w:tc>
        <w:tc>
          <w:tcPr>
            <w:tcW w:w="1614" w:type="dxa"/>
          </w:tcPr>
          <w:p w14:paraId="4B88D6E6" w14:textId="77777777" w:rsidR="001842E3" w:rsidRPr="001842E3" w:rsidRDefault="001842E3" w:rsidP="001842E3">
            <w:pPr>
              <w:cnfStyle w:val="100000000000" w:firstRow="1" w:lastRow="0" w:firstColumn="0" w:lastColumn="0" w:oddVBand="0" w:evenVBand="0" w:oddHBand="0" w:evenHBand="0" w:firstRowFirstColumn="0" w:firstRowLastColumn="0" w:lastRowFirstColumn="0" w:lastRowLastColumn="0"/>
            </w:pPr>
            <w:r w:rsidRPr="001842E3">
              <w:rPr>
                <w:rFonts w:ascii="Arial Narrow" w:hAnsi="Arial Narrow"/>
                <w:sz w:val="18"/>
                <w:szCs w:val="18"/>
              </w:rPr>
              <w:t>1 – RPS%</w:t>
            </w:r>
          </w:p>
        </w:tc>
      </w:tr>
      <w:tr w:rsidR="001842E3" w:rsidRPr="001842E3" w14:paraId="088CBC45" w14:textId="77777777" w:rsidTr="00FA33C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614" w:type="dxa"/>
          </w:tcPr>
          <w:p w14:paraId="7F4D6C88" w14:textId="77777777" w:rsidR="001842E3" w:rsidRPr="001842E3" w:rsidRDefault="001842E3" w:rsidP="001842E3">
            <w:r w:rsidRPr="001842E3">
              <w:rPr>
                <w:rFonts w:ascii="Arial Narrow" w:hAnsi="Arial Narrow"/>
                <w:sz w:val="18"/>
                <w:szCs w:val="18"/>
              </w:rPr>
              <w:t>2016</w:t>
            </w:r>
          </w:p>
        </w:tc>
        <w:tc>
          <w:tcPr>
            <w:tcW w:w="1614" w:type="dxa"/>
            <w:vAlign w:val="top"/>
          </w:tcPr>
          <w:p w14:paraId="5849A88C"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25%</w:t>
            </w:r>
          </w:p>
        </w:tc>
        <w:tc>
          <w:tcPr>
            <w:tcW w:w="1614" w:type="dxa"/>
            <w:vAlign w:val="top"/>
          </w:tcPr>
          <w:p w14:paraId="1CD3E88A"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75%</w:t>
            </w:r>
          </w:p>
        </w:tc>
      </w:tr>
      <w:tr w:rsidR="001842E3" w:rsidRPr="001842E3" w14:paraId="475A05F0" w14:textId="77777777" w:rsidTr="00FA33C3">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614" w:type="dxa"/>
          </w:tcPr>
          <w:p w14:paraId="1A1F5725" w14:textId="77777777" w:rsidR="001842E3" w:rsidRPr="001842E3" w:rsidRDefault="001842E3" w:rsidP="001842E3">
            <w:r w:rsidRPr="001842E3">
              <w:rPr>
                <w:rFonts w:ascii="Arial Narrow" w:hAnsi="Arial Narrow"/>
                <w:sz w:val="18"/>
                <w:szCs w:val="18"/>
              </w:rPr>
              <w:t>2017</w:t>
            </w:r>
          </w:p>
        </w:tc>
        <w:tc>
          <w:tcPr>
            <w:tcW w:w="1614" w:type="dxa"/>
            <w:vAlign w:val="top"/>
          </w:tcPr>
          <w:p w14:paraId="3F5EE322"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27%</w:t>
            </w:r>
          </w:p>
        </w:tc>
        <w:tc>
          <w:tcPr>
            <w:tcW w:w="1614" w:type="dxa"/>
            <w:vAlign w:val="top"/>
          </w:tcPr>
          <w:p w14:paraId="363C6E23"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73%</w:t>
            </w:r>
          </w:p>
        </w:tc>
      </w:tr>
      <w:tr w:rsidR="001842E3" w:rsidRPr="001842E3" w14:paraId="0B349345" w14:textId="77777777" w:rsidTr="00FA33C3">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14" w:type="dxa"/>
          </w:tcPr>
          <w:p w14:paraId="63A29E21" w14:textId="77777777" w:rsidR="001842E3" w:rsidRPr="001842E3" w:rsidRDefault="001842E3" w:rsidP="001842E3">
            <w:r w:rsidRPr="001842E3">
              <w:rPr>
                <w:rFonts w:ascii="Arial Narrow" w:hAnsi="Arial Narrow"/>
                <w:sz w:val="18"/>
                <w:szCs w:val="18"/>
              </w:rPr>
              <w:t>2018</w:t>
            </w:r>
          </w:p>
        </w:tc>
        <w:tc>
          <w:tcPr>
            <w:tcW w:w="1614" w:type="dxa"/>
            <w:vAlign w:val="top"/>
          </w:tcPr>
          <w:p w14:paraId="70993EF0"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29%</w:t>
            </w:r>
          </w:p>
        </w:tc>
        <w:tc>
          <w:tcPr>
            <w:tcW w:w="1614" w:type="dxa"/>
            <w:vAlign w:val="top"/>
          </w:tcPr>
          <w:p w14:paraId="42106D0E"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71%</w:t>
            </w:r>
          </w:p>
        </w:tc>
      </w:tr>
      <w:tr w:rsidR="001842E3" w:rsidRPr="001842E3" w14:paraId="203C3838" w14:textId="77777777" w:rsidTr="00FA33C3">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614" w:type="dxa"/>
            <w:vAlign w:val="top"/>
          </w:tcPr>
          <w:p w14:paraId="7B028818" w14:textId="77777777" w:rsidR="001842E3" w:rsidRPr="001842E3" w:rsidRDefault="001842E3" w:rsidP="001842E3">
            <w:r w:rsidRPr="001842E3">
              <w:rPr>
                <w:rFonts w:ascii="Arial Narrow" w:hAnsi="Arial Narrow"/>
                <w:sz w:val="18"/>
                <w:szCs w:val="18"/>
              </w:rPr>
              <w:t>2019</w:t>
            </w:r>
          </w:p>
        </w:tc>
        <w:tc>
          <w:tcPr>
            <w:tcW w:w="1614" w:type="dxa"/>
            <w:vAlign w:val="top"/>
          </w:tcPr>
          <w:p w14:paraId="2B2BEC3E"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31%</w:t>
            </w:r>
          </w:p>
        </w:tc>
        <w:tc>
          <w:tcPr>
            <w:tcW w:w="1614" w:type="dxa"/>
            <w:vAlign w:val="top"/>
          </w:tcPr>
          <w:p w14:paraId="4F12D32D"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69%</w:t>
            </w:r>
          </w:p>
        </w:tc>
      </w:tr>
      <w:tr w:rsidR="001842E3" w:rsidRPr="001842E3" w14:paraId="4481F792" w14:textId="77777777" w:rsidTr="00FA33C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614" w:type="dxa"/>
            <w:vAlign w:val="top"/>
          </w:tcPr>
          <w:p w14:paraId="41459223" w14:textId="77777777" w:rsidR="001842E3" w:rsidRPr="001842E3" w:rsidRDefault="001842E3" w:rsidP="001842E3">
            <w:r w:rsidRPr="001842E3">
              <w:rPr>
                <w:rFonts w:ascii="Arial Narrow" w:hAnsi="Arial Narrow"/>
                <w:sz w:val="18"/>
                <w:szCs w:val="18"/>
              </w:rPr>
              <w:t>2020</w:t>
            </w:r>
          </w:p>
        </w:tc>
        <w:tc>
          <w:tcPr>
            <w:tcW w:w="1614" w:type="dxa"/>
            <w:vAlign w:val="top"/>
          </w:tcPr>
          <w:p w14:paraId="250421BB"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33%</w:t>
            </w:r>
          </w:p>
        </w:tc>
        <w:tc>
          <w:tcPr>
            <w:tcW w:w="1614" w:type="dxa"/>
            <w:vAlign w:val="top"/>
          </w:tcPr>
          <w:p w14:paraId="2A8ED4AF"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67%</w:t>
            </w:r>
          </w:p>
        </w:tc>
      </w:tr>
      <w:tr w:rsidR="001842E3" w:rsidRPr="001842E3" w14:paraId="772F8669" w14:textId="77777777" w:rsidTr="00FA33C3">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14" w:type="dxa"/>
            <w:vAlign w:val="top"/>
          </w:tcPr>
          <w:p w14:paraId="49036625" w14:textId="77777777" w:rsidR="001842E3" w:rsidRPr="001842E3" w:rsidRDefault="001842E3" w:rsidP="001842E3">
            <w:r w:rsidRPr="001842E3">
              <w:rPr>
                <w:rFonts w:ascii="Arial Narrow" w:hAnsi="Arial Narrow"/>
                <w:sz w:val="18"/>
                <w:szCs w:val="18"/>
              </w:rPr>
              <w:t>2021</w:t>
            </w:r>
          </w:p>
        </w:tc>
        <w:tc>
          <w:tcPr>
            <w:tcW w:w="1614" w:type="dxa"/>
            <w:vAlign w:val="top"/>
          </w:tcPr>
          <w:p w14:paraId="22726592"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35%</w:t>
            </w:r>
          </w:p>
        </w:tc>
        <w:tc>
          <w:tcPr>
            <w:tcW w:w="1614" w:type="dxa"/>
            <w:vAlign w:val="top"/>
          </w:tcPr>
          <w:p w14:paraId="19AF5A7F"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65%</w:t>
            </w:r>
          </w:p>
        </w:tc>
      </w:tr>
      <w:tr w:rsidR="001842E3" w:rsidRPr="001842E3" w14:paraId="3D86B7C6" w14:textId="77777777" w:rsidTr="00FA33C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614" w:type="dxa"/>
            <w:vAlign w:val="top"/>
          </w:tcPr>
          <w:p w14:paraId="754466E6" w14:textId="77777777" w:rsidR="001842E3" w:rsidRPr="001842E3" w:rsidRDefault="001842E3" w:rsidP="001842E3">
            <w:r w:rsidRPr="001842E3">
              <w:rPr>
                <w:rFonts w:ascii="Arial Narrow" w:hAnsi="Arial Narrow"/>
                <w:sz w:val="18"/>
                <w:szCs w:val="18"/>
              </w:rPr>
              <w:t>2022</w:t>
            </w:r>
          </w:p>
        </w:tc>
        <w:tc>
          <w:tcPr>
            <w:tcW w:w="1614" w:type="dxa"/>
            <w:vAlign w:val="top"/>
          </w:tcPr>
          <w:p w14:paraId="5C2C7007"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37%</w:t>
            </w:r>
          </w:p>
        </w:tc>
        <w:tc>
          <w:tcPr>
            <w:tcW w:w="1614" w:type="dxa"/>
            <w:vAlign w:val="top"/>
          </w:tcPr>
          <w:p w14:paraId="2FD29ABB"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64%</w:t>
            </w:r>
          </w:p>
        </w:tc>
      </w:tr>
      <w:tr w:rsidR="001842E3" w:rsidRPr="001842E3" w14:paraId="498E0E0C" w14:textId="77777777" w:rsidTr="00FA33C3">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14" w:type="dxa"/>
            <w:vAlign w:val="top"/>
          </w:tcPr>
          <w:p w14:paraId="7444F77A"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2023</w:t>
            </w:r>
          </w:p>
        </w:tc>
        <w:tc>
          <w:tcPr>
            <w:tcW w:w="1614" w:type="dxa"/>
            <w:vAlign w:val="top"/>
          </w:tcPr>
          <w:p w14:paraId="14D6E747"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38%</w:t>
            </w:r>
          </w:p>
        </w:tc>
        <w:tc>
          <w:tcPr>
            <w:tcW w:w="1614" w:type="dxa"/>
            <w:vAlign w:val="top"/>
          </w:tcPr>
          <w:p w14:paraId="13734E43"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62%</w:t>
            </w:r>
          </w:p>
        </w:tc>
      </w:tr>
      <w:tr w:rsidR="001842E3" w:rsidRPr="001842E3" w14:paraId="538ACBEA" w14:textId="77777777" w:rsidTr="00FA33C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614" w:type="dxa"/>
            <w:vAlign w:val="top"/>
          </w:tcPr>
          <w:p w14:paraId="69BDB48E"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2024</w:t>
            </w:r>
          </w:p>
        </w:tc>
        <w:tc>
          <w:tcPr>
            <w:tcW w:w="1614" w:type="dxa"/>
            <w:vAlign w:val="top"/>
          </w:tcPr>
          <w:p w14:paraId="2DC48F64"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40%</w:t>
            </w:r>
          </w:p>
        </w:tc>
        <w:tc>
          <w:tcPr>
            <w:tcW w:w="1614" w:type="dxa"/>
            <w:vAlign w:val="top"/>
          </w:tcPr>
          <w:p w14:paraId="68BDC711"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60%</w:t>
            </w:r>
          </w:p>
        </w:tc>
      </w:tr>
      <w:tr w:rsidR="001842E3" w:rsidRPr="001842E3" w14:paraId="6FD5746E" w14:textId="77777777" w:rsidTr="00FA33C3">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14" w:type="dxa"/>
            <w:vAlign w:val="top"/>
          </w:tcPr>
          <w:p w14:paraId="0EBDA9B3"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2025</w:t>
            </w:r>
          </w:p>
        </w:tc>
        <w:tc>
          <w:tcPr>
            <w:tcW w:w="1614" w:type="dxa"/>
            <w:vAlign w:val="top"/>
          </w:tcPr>
          <w:p w14:paraId="1D23FBC4"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42%</w:t>
            </w:r>
          </w:p>
        </w:tc>
        <w:tc>
          <w:tcPr>
            <w:tcW w:w="1614" w:type="dxa"/>
            <w:vAlign w:val="top"/>
          </w:tcPr>
          <w:p w14:paraId="087E497A"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58%</w:t>
            </w:r>
          </w:p>
        </w:tc>
      </w:tr>
      <w:tr w:rsidR="001842E3" w:rsidRPr="001842E3" w14:paraId="1C930320" w14:textId="77777777" w:rsidTr="00FA33C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614" w:type="dxa"/>
            <w:vAlign w:val="top"/>
          </w:tcPr>
          <w:p w14:paraId="6AE0991E"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2026</w:t>
            </w:r>
          </w:p>
        </w:tc>
        <w:tc>
          <w:tcPr>
            <w:tcW w:w="1614" w:type="dxa"/>
            <w:vAlign w:val="top"/>
          </w:tcPr>
          <w:p w14:paraId="455F0929"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43%</w:t>
            </w:r>
          </w:p>
        </w:tc>
        <w:tc>
          <w:tcPr>
            <w:tcW w:w="1614" w:type="dxa"/>
            <w:vAlign w:val="top"/>
          </w:tcPr>
          <w:p w14:paraId="69EF4E12"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57%</w:t>
            </w:r>
          </w:p>
        </w:tc>
      </w:tr>
      <w:tr w:rsidR="001842E3" w:rsidRPr="001842E3" w14:paraId="7283CB23" w14:textId="77777777" w:rsidTr="00FA33C3">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614" w:type="dxa"/>
            <w:vAlign w:val="top"/>
          </w:tcPr>
          <w:p w14:paraId="4EEB9C65"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2027</w:t>
            </w:r>
          </w:p>
        </w:tc>
        <w:tc>
          <w:tcPr>
            <w:tcW w:w="1614" w:type="dxa"/>
            <w:vAlign w:val="top"/>
          </w:tcPr>
          <w:p w14:paraId="3FDBAA41"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45%</w:t>
            </w:r>
          </w:p>
        </w:tc>
        <w:tc>
          <w:tcPr>
            <w:tcW w:w="1614" w:type="dxa"/>
            <w:vAlign w:val="top"/>
          </w:tcPr>
          <w:p w14:paraId="691F581A"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55%</w:t>
            </w:r>
          </w:p>
        </w:tc>
      </w:tr>
      <w:tr w:rsidR="001842E3" w:rsidRPr="001842E3" w14:paraId="4D00AAF8" w14:textId="77777777" w:rsidTr="00FA33C3">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14" w:type="dxa"/>
            <w:vAlign w:val="top"/>
          </w:tcPr>
          <w:p w14:paraId="4514FAEC"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2028</w:t>
            </w:r>
          </w:p>
        </w:tc>
        <w:tc>
          <w:tcPr>
            <w:tcW w:w="1614" w:type="dxa"/>
            <w:vAlign w:val="top"/>
          </w:tcPr>
          <w:p w14:paraId="50EAF74A"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47%</w:t>
            </w:r>
          </w:p>
        </w:tc>
        <w:tc>
          <w:tcPr>
            <w:tcW w:w="1614" w:type="dxa"/>
            <w:vAlign w:val="top"/>
          </w:tcPr>
          <w:p w14:paraId="611DBDA1"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53%</w:t>
            </w:r>
          </w:p>
        </w:tc>
      </w:tr>
      <w:tr w:rsidR="001842E3" w:rsidRPr="001842E3" w14:paraId="582641EA" w14:textId="77777777" w:rsidTr="00FA33C3">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614" w:type="dxa"/>
            <w:vAlign w:val="top"/>
          </w:tcPr>
          <w:p w14:paraId="2DABD1FF"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2029</w:t>
            </w:r>
          </w:p>
        </w:tc>
        <w:tc>
          <w:tcPr>
            <w:tcW w:w="1614" w:type="dxa"/>
            <w:vAlign w:val="top"/>
          </w:tcPr>
          <w:p w14:paraId="33A3FEAD"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48%</w:t>
            </w:r>
          </w:p>
        </w:tc>
        <w:tc>
          <w:tcPr>
            <w:tcW w:w="1614" w:type="dxa"/>
            <w:vAlign w:val="top"/>
          </w:tcPr>
          <w:p w14:paraId="356E00ED"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52%</w:t>
            </w:r>
          </w:p>
        </w:tc>
      </w:tr>
      <w:tr w:rsidR="001842E3" w:rsidRPr="001842E3" w14:paraId="0E77EBA2" w14:textId="77777777" w:rsidTr="00FA33C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614" w:type="dxa"/>
            <w:vAlign w:val="top"/>
          </w:tcPr>
          <w:p w14:paraId="4EBB823A"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2030</w:t>
            </w:r>
          </w:p>
        </w:tc>
        <w:tc>
          <w:tcPr>
            <w:tcW w:w="1614" w:type="dxa"/>
            <w:vAlign w:val="top"/>
          </w:tcPr>
          <w:p w14:paraId="0A7FCB35"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50%</w:t>
            </w:r>
          </w:p>
        </w:tc>
        <w:tc>
          <w:tcPr>
            <w:tcW w:w="1614" w:type="dxa"/>
            <w:vAlign w:val="top"/>
          </w:tcPr>
          <w:p w14:paraId="63A36573"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50%</w:t>
            </w:r>
          </w:p>
        </w:tc>
      </w:tr>
    </w:tbl>
    <w:p w14:paraId="29976D2F" w14:textId="3CA09B4E" w:rsidR="00572C26" w:rsidRDefault="00572C26" w:rsidP="008820EA"/>
    <w:p w14:paraId="7872D580" w14:textId="77777777" w:rsidR="00572C26" w:rsidRDefault="00572C26">
      <w:pPr>
        <w:spacing w:line="240" w:lineRule="auto"/>
      </w:pPr>
      <w:r>
        <w:br w:type="page"/>
      </w:r>
    </w:p>
    <w:p w14:paraId="0CD759E7" w14:textId="77777777" w:rsidR="00387763" w:rsidRDefault="00387763" w:rsidP="008820EA"/>
    <w:p w14:paraId="31447AEB" w14:textId="77777777" w:rsidR="002118E3" w:rsidRDefault="002118E3" w:rsidP="00757D2B">
      <w:pPr>
        <w:pStyle w:val="Caption"/>
      </w:pPr>
      <w:bookmarkStart w:id="433" w:name="_Ref489963156"/>
      <w:bookmarkStart w:id="434" w:name="_Ref490227898"/>
      <w:bookmarkStart w:id="435" w:name="_Toc490560666"/>
      <w:r>
        <w:t xml:space="preserve">Table </w:t>
      </w:r>
      <w:fldSimple w:instr=" STYLEREF 1 \s ">
        <w:r w:rsidR="007566B9">
          <w:rPr>
            <w:noProof/>
          </w:rPr>
          <w:t>3</w:t>
        </w:r>
      </w:fldSimple>
      <w:r w:rsidR="00C17D59">
        <w:noBreakHyphen/>
      </w:r>
      <w:bookmarkEnd w:id="427"/>
      <w:bookmarkEnd w:id="433"/>
      <w:r w:rsidR="00B206D8">
        <w:fldChar w:fldCharType="begin"/>
      </w:r>
      <w:r w:rsidR="00B206D8">
        <w:instrText xml:space="preserve"> SEQ Table \* ARABIC \s 1 </w:instrText>
      </w:r>
      <w:r w:rsidR="00B206D8">
        <w:fldChar w:fldCharType="separate"/>
      </w:r>
      <w:r w:rsidR="007566B9">
        <w:rPr>
          <w:noProof/>
        </w:rPr>
        <w:t>8</w:t>
      </w:r>
      <w:r w:rsidR="00B206D8">
        <w:rPr>
          <w:noProof/>
        </w:rPr>
        <w:fldChar w:fldCharType="end"/>
      </w:r>
      <w:bookmarkEnd w:id="434"/>
      <w:r>
        <w:t>.  Costs of Carbon, 2016-2046</w:t>
      </w:r>
      <w:r>
        <w:rPr>
          <w:rStyle w:val="FootnoteReference"/>
        </w:rPr>
        <w:footnoteReference w:id="50"/>
      </w:r>
      <w:bookmarkEnd w:id="428"/>
      <w:bookmarkEnd w:id="429"/>
      <w:bookmarkEnd w:id="435"/>
    </w:p>
    <w:tbl>
      <w:tblPr>
        <w:tblStyle w:val="EnergyTable13"/>
        <w:tblW w:w="0" w:type="auto"/>
        <w:tblLook w:val="04A0" w:firstRow="1" w:lastRow="0" w:firstColumn="1" w:lastColumn="0" w:noHBand="0" w:noVBand="1"/>
      </w:tblPr>
      <w:tblGrid>
        <w:gridCol w:w="627"/>
        <w:gridCol w:w="1825"/>
        <w:gridCol w:w="1490"/>
        <w:gridCol w:w="1839"/>
        <w:gridCol w:w="1660"/>
        <w:gridCol w:w="1660"/>
      </w:tblGrid>
      <w:tr w:rsidR="001842E3" w:rsidRPr="001842E3" w14:paraId="3BF6BE4B" w14:textId="77777777" w:rsidTr="00FA33C3">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627" w:type="dxa"/>
          </w:tcPr>
          <w:p w14:paraId="2B2C50DB"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Year</w:t>
            </w:r>
          </w:p>
        </w:tc>
        <w:tc>
          <w:tcPr>
            <w:tcW w:w="1825" w:type="dxa"/>
          </w:tcPr>
          <w:p w14:paraId="5E269FF9" w14:textId="77777777" w:rsidR="001842E3" w:rsidRPr="001842E3" w:rsidRDefault="001842E3" w:rsidP="001842E3">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Baseline Carbon Cost (nominal $/ton)</w:t>
            </w:r>
          </w:p>
        </w:tc>
        <w:tc>
          <w:tcPr>
            <w:tcW w:w="1490" w:type="dxa"/>
          </w:tcPr>
          <w:p w14:paraId="0AD3F910" w14:textId="77777777" w:rsidR="001842E3" w:rsidRPr="001842E3" w:rsidRDefault="001842E3" w:rsidP="001842E3">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GHG Adder #1 (real 2016 $/ton)</w:t>
            </w:r>
          </w:p>
        </w:tc>
        <w:tc>
          <w:tcPr>
            <w:tcW w:w="1839" w:type="dxa"/>
          </w:tcPr>
          <w:p w14:paraId="010699FB" w14:textId="77777777" w:rsidR="001842E3" w:rsidRPr="001842E3" w:rsidRDefault="001842E3" w:rsidP="001842E3">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Carbon Cost #1 (Baseline + Adder #1 * (1 – RPS%)) (nominal $/ton)</w:t>
            </w:r>
          </w:p>
        </w:tc>
        <w:tc>
          <w:tcPr>
            <w:tcW w:w="1660" w:type="dxa"/>
          </w:tcPr>
          <w:p w14:paraId="754DEA60" w14:textId="77777777" w:rsidR="001842E3" w:rsidRPr="001842E3" w:rsidRDefault="001842E3" w:rsidP="001842E3">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GHG Adder #2 (real 2016 $/ton)</w:t>
            </w:r>
          </w:p>
        </w:tc>
        <w:tc>
          <w:tcPr>
            <w:tcW w:w="1660" w:type="dxa"/>
          </w:tcPr>
          <w:p w14:paraId="49256DEB" w14:textId="77777777" w:rsidR="001842E3" w:rsidRPr="001842E3" w:rsidRDefault="001842E3" w:rsidP="001842E3">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Carbon Cost #2 (Baseline + Adder #2 * (1 – RPS%)) (nominal $/ton)</w:t>
            </w:r>
          </w:p>
        </w:tc>
      </w:tr>
      <w:tr w:rsidR="001842E3" w:rsidRPr="001842E3" w14:paraId="27623F1F" w14:textId="77777777" w:rsidTr="00FA33C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dxa"/>
          </w:tcPr>
          <w:p w14:paraId="03EF08A2"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2016</w:t>
            </w:r>
          </w:p>
        </w:tc>
        <w:tc>
          <w:tcPr>
            <w:tcW w:w="0" w:type="dxa"/>
          </w:tcPr>
          <w:p w14:paraId="042AE9F9"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$12</w:t>
            </w:r>
          </w:p>
        </w:tc>
        <w:tc>
          <w:tcPr>
            <w:tcW w:w="0" w:type="dxa"/>
            <w:vAlign w:val="top"/>
          </w:tcPr>
          <w:p w14:paraId="7D5EB4FE"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rPr>
              <w:t xml:space="preserve">$47 </w:t>
            </w:r>
          </w:p>
        </w:tc>
        <w:tc>
          <w:tcPr>
            <w:tcW w:w="0" w:type="dxa"/>
            <w:vAlign w:val="top"/>
          </w:tcPr>
          <w:p w14:paraId="355275AD"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$48 </w:t>
            </w:r>
          </w:p>
        </w:tc>
        <w:tc>
          <w:tcPr>
            <w:tcW w:w="0" w:type="dxa"/>
          </w:tcPr>
          <w:p w14:paraId="37793C00"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$0</w:t>
            </w:r>
          </w:p>
        </w:tc>
        <w:tc>
          <w:tcPr>
            <w:tcW w:w="0" w:type="dxa"/>
            <w:vAlign w:val="top"/>
          </w:tcPr>
          <w:p w14:paraId="40FF90C9"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$12 </w:t>
            </w:r>
          </w:p>
        </w:tc>
      </w:tr>
      <w:tr w:rsidR="001842E3" w:rsidRPr="001842E3" w14:paraId="7F736304" w14:textId="77777777" w:rsidTr="00FA33C3">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dxa"/>
          </w:tcPr>
          <w:p w14:paraId="7F1C4267"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2017</w:t>
            </w:r>
          </w:p>
        </w:tc>
        <w:tc>
          <w:tcPr>
            <w:tcW w:w="0" w:type="dxa"/>
          </w:tcPr>
          <w:p w14:paraId="7A2C67D2"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$13</w:t>
            </w:r>
          </w:p>
        </w:tc>
        <w:tc>
          <w:tcPr>
            <w:tcW w:w="0" w:type="dxa"/>
            <w:vAlign w:val="top"/>
          </w:tcPr>
          <w:p w14:paraId="1497CD9E"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rPr>
              <w:t xml:space="preserve">$50 </w:t>
            </w:r>
          </w:p>
        </w:tc>
        <w:tc>
          <w:tcPr>
            <w:tcW w:w="0" w:type="dxa"/>
            <w:vAlign w:val="top"/>
          </w:tcPr>
          <w:p w14:paraId="1EB7D049"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$50 </w:t>
            </w:r>
          </w:p>
        </w:tc>
        <w:tc>
          <w:tcPr>
            <w:tcW w:w="0" w:type="dxa"/>
          </w:tcPr>
          <w:p w14:paraId="0CBE489B"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$0</w:t>
            </w:r>
          </w:p>
        </w:tc>
        <w:tc>
          <w:tcPr>
            <w:tcW w:w="0" w:type="dxa"/>
            <w:vAlign w:val="top"/>
          </w:tcPr>
          <w:p w14:paraId="7AF40BBE"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$13 </w:t>
            </w:r>
          </w:p>
        </w:tc>
      </w:tr>
      <w:tr w:rsidR="001842E3" w:rsidRPr="001842E3" w14:paraId="259509D5" w14:textId="77777777" w:rsidTr="00FA33C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dxa"/>
          </w:tcPr>
          <w:p w14:paraId="08AA9F58"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2018</w:t>
            </w:r>
          </w:p>
        </w:tc>
        <w:tc>
          <w:tcPr>
            <w:tcW w:w="0" w:type="dxa"/>
          </w:tcPr>
          <w:p w14:paraId="14AFB56F"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$14</w:t>
            </w:r>
          </w:p>
        </w:tc>
        <w:tc>
          <w:tcPr>
            <w:tcW w:w="0" w:type="dxa"/>
            <w:vAlign w:val="top"/>
          </w:tcPr>
          <w:p w14:paraId="33D01B39"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rPr>
              <w:t xml:space="preserve">$55 </w:t>
            </w:r>
          </w:p>
        </w:tc>
        <w:tc>
          <w:tcPr>
            <w:tcW w:w="0" w:type="dxa"/>
            <w:vAlign w:val="top"/>
          </w:tcPr>
          <w:p w14:paraId="51B12083"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$53 </w:t>
            </w:r>
          </w:p>
        </w:tc>
        <w:tc>
          <w:tcPr>
            <w:tcW w:w="0" w:type="dxa"/>
          </w:tcPr>
          <w:p w14:paraId="13393462"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$19</w:t>
            </w:r>
          </w:p>
        </w:tc>
        <w:tc>
          <w:tcPr>
            <w:tcW w:w="0" w:type="dxa"/>
            <w:vAlign w:val="top"/>
          </w:tcPr>
          <w:p w14:paraId="149B5192"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$28 </w:t>
            </w:r>
          </w:p>
        </w:tc>
      </w:tr>
      <w:tr w:rsidR="001842E3" w:rsidRPr="001842E3" w14:paraId="5C6FE391" w14:textId="77777777" w:rsidTr="00FA33C3">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dxa"/>
          </w:tcPr>
          <w:p w14:paraId="61A70845"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2019</w:t>
            </w:r>
          </w:p>
        </w:tc>
        <w:tc>
          <w:tcPr>
            <w:tcW w:w="0" w:type="dxa"/>
          </w:tcPr>
          <w:p w14:paraId="5FF51B60"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$15</w:t>
            </w:r>
          </w:p>
        </w:tc>
        <w:tc>
          <w:tcPr>
            <w:tcW w:w="0" w:type="dxa"/>
            <w:vAlign w:val="top"/>
          </w:tcPr>
          <w:p w14:paraId="592829AF"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rPr>
              <w:t xml:space="preserve">$59 </w:t>
            </w:r>
          </w:p>
        </w:tc>
        <w:tc>
          <w:tcPr>
            <w:tcW w:w="0" w:type="dxa"/>
            <w:vAlign w:val="top"/>
          </w:tcPr>
          <w:p w14:paraId="74D4096B"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$56 </w:t>
            </w:r>
          </w:p>
        </w:tc>
        <w:tc>
          <w:tcPr>
            <w:tcW w:w="0" w:type="dxa"/>
          </w:tcPr>
          <w:p w14:paraId="057A4ED4"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$38</w:t>
            </w:r>
          </w:p>
        </w:tc>
        <w:tc>
          <w:tcPr>
            <w:tcW w:w="0" w:type="dxa"/>
            <w:vAlign w:val="top"/>
          </w:tcPr>
          <w:p w14:paraId="402EBF5B"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$43 </w:t>
            </w:r>
          </w:p>
        </w:tc>
      </w:tr>
      <w:tr w:rsidR="001842E3" w:rsidRPr="001842E3" w14:paraId="1C359E82" w14:textId="77777777" w:rsidTr="00FA33C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dxa"/>
          </w:tcPr>
          <w:p w14:paraId="4B7A25E4"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2020</w:t>
            </w:r>
          </w:p>
        </w:tc>
        <w:tc>
          <w:tcPr>
            <w:tcW w:w="0" w:type="dxa"/>
          </w:tcPr>
          <w:p w14:paraId="280C6B1B"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$25</w:t>
            </w:r>
          </w:p>
        </w:tc>
        <w:tc>
          <w:tcPr>
            <w:tcW w:w="0" w:type="dxa"/>
            <w:vAlign w:val="top"/>
          </w:tcPr>
          <w:p w14:paraId="7F75A506"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rPr>
              <w:t xml:space="preserve">$55 </w:t>
            </w:r>
          </w:p>
        </w:tc>
        <w:tc>
          <w:tcPr>
            <w:tcW w:w="0" w:type="dxa"/>
            <w:vAlign w:val="top"/>
          </w:tcPr>
          <w:p w14:paraId="5F48DC8D"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$61 </w:t>
            </w:r>
          </w:p>
        </w:tc>
        <w:tc>
          <w:tcPr>
            <w:tcW w:w="0" w:type="dxa"/>
          </w:tcPr>
          <w:p w14:paraId="0941F35B"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$58</w:t>
            </w:r>
          </w:p>
        </w:tc>
        <w:tc>
          <w:tcPr>
            <w:tcW w:w="0" w:type="dxa"/>
            <w:vAlign w:val="top"/>
          </w:tcPr>
          <w:p w14:paraId="42218D46"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$67 </w:t>
            </w:r>
          </w:p>
        </w:tc>
      </w:tr>
      <w:tr w:rsidR="001842E3" w:rsidRPr="001842E3" w14:paraId="16FCA575" w14:textId="77777777" w:rsidTr="00FA33C3">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dxa"/>
          </w:tcPr>
          <w:p w14:paraId="500EA02A"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2021</w:t>
            </w:r>
          </w:p>
        </w:tc>
        <w:tc>
          <w:tcPr>
            <w:tcW w:w="0" w:type="dxa"/>
          </w:tcPr>
          <w:p w14:paraId="5C235B46"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$27</w:t>
            </w:r>
          </w:p>
        </w:tc>
        <w:tc>
          <w:tcPr>
            <w:tcW w:w="0" w:type="dxa"/>
            <w:vAlign w:val="top"/>
          </w:tcPr>
          <w:p w14:paraId="53717B79"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rPr>
              <w:t xml:space="preserve">$59 </w:t>
            </w:r>
          </w:p>
        </w:tc>
        <w:tc>
          <w:tcPr>
            <w:tcW w:w="0" w:type="dxa"/>
            <w:vAlign w:val="top"/>
          </w:tcPr>
          <w:p w14:paraId="439AB224"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$65 </w:t>
            </w:r>
          </w:p>
        </w:tc>
        <w:tc>
          <w:tcPr>
            <w:tcW w:w="0" w:type="dxa"/>
          </w:tcPr>
          <w:p w14:paraId="20B0D91C"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$77</w:t>
            </w:r>
          </w:p>
        </w:tc>
        <w:tc>
          <w:tcPr>
            <w:tcW w:w="0" w:type="dxa"/>
            <w:vAlign w:val="top"/>
          </w:tcPr>
          <w:p w14:paraId="3B85CC55"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$82 </w:t>
            </w:r>
          </w:p>
        </w:tc>
      </w:tr>
      <w:tr w:rsidR="001842E3" w:rsidRPr="001842E3" w14:paraId="25FDEEFC" w14:textId="77777777" w:rsidTr="00FA33C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dxa"/>
          </w:tcPr>
          <w:p w14:paraId="75644567"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2022</w:t>
            </w:r>
          </w:p>
        </w:tc>
        <w:tc>
          <w:tcPr>
            <w:tcW w:w="0" w:type="dxa"/>
          </w:tcPr>
          <w:p w14:paraId="22C780B3"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$29</w:t>
            </w:r>
          </w:p>
        </w:tc>
        <w:tc>
          <w:tcPr>
            <w:tcW w:w="0" w:type="dxa"/>
            <w:vAlign w:val="top"/>
          </w:tcPr>
          <w:p w14:paraId="5AA1054E"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rPr>
              <w:t xml:space="preserve">$60 </w:t>
            </w:r>
          </w:p>
        </w:tc>
        <w:tc>
          <w:tcPr>
            <w:tcW w:w="0" w:type="dxa"/>
            <w:vAlign w:val="top"/>
          </w:tcPr>
          <w:p w14:paraId="6E55569A"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$67 </w:t>
            </w:r>
          </w:p>
        </w:tc>
        <w:tc>
          <w:tcPr>
            <w:tcW w:w="0" w:type="dxa"/>
          </w:tcPr>
          <w:p w14:paraId="5AE846E8"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$96</w:t>
            </w:r>
          </w:p>
        </w:tc>
        <w:tc>
          <w:tcPr>
            <w:tcW w:w="0" w:type="dxa"/>
            <w:vAlign w:val="top"/>
          </w:tcPr>
          <w:p w14:paraId="1BF520F4"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$98 </w:t>
            </w:r>
          </w:p>
        </w:tc>
      </w:tr>
      <w:tr w:rsidR="001842E3" w:rsidRPr="001842E3" w14:paraId="320CF797" w14:textId="77777777" w:rsidTr="00FA33C3">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dxa"/>
          </w:tcPr>
          <w:p w14:paraId="19C5F1D2"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2023</w:t>
            </w:r>
          </w:p>
        </w:tc>
        <w:tc>
          <w:tcPr>
            <w:tcW w:w="0" w:type="dxa"/>
          </w:tcPr>
          <w:p w14:paraId="59DAC893"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$31</w:t>
            </w:r>
          </w:p>
        </w:tc>
        <w:tc>
          <w:tcPr>
            <w:tcW w:w="0" w:type="dxa"/>
            <w:vAlign w:val="top"/>
          </w:tcPr>
          <w:p w14:paraId="394D8D97"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rPr>
              <w:t xml:space="preserve">$61 </w:t>
            </w:r>
          </w:p>
        </w:tc>
        <w:tc>
          <w:tcPr>
            <w:tcW w:w="0" w:type="dxa"/>
            <w:vAlign w:val="top"/>
          </w:tcPr>
          <w:p w14:paraId="6F3D99B1"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$68 </w:t>
            </w:r>
          </w:p>
        </w:tc>
        <w:tc>
          <w:tcPr>
            <w:tcW w:w="0" w:type="dxa"/>
          </w:tcPr>
          <w:p w14:paraId="293E1237"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$115</w:t>
            </w:r>
          </w:p>
        </w:tc>
        <w:tc>
          <w:tcPr>
            <w:tcW w:w="0" w:type="dxa"/>
            <w:vAlign w:val="top"/>
          </w:tcPr>
          <w:p w14:paraId="4D4D85A5"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$113 </w:t>
            </w:r>
          </w:p>
        </w:tc>
      </w:tr>
      <w:tr w:rsidR="001842E3" w:rsidRPr="001842E3" w14:paraId="73F73582" w14:textId="77777777" w:rsidTr="00FA33C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dxa"/>
          </w:tcPr>
          <w:p w14:paraId="36831DDE"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2024</w:t>
            </w:r>
          </w:p>
        </w:tc>
        <w:tc>
          <w:tcPr>
            <w:tcW w:w="0" w:type="dxa"/>
          </w:tcPr>
          <w:p w14:paraId="5F1DA876"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$33</w:t>
            </w:r>
          </w:p>
        </w:tc>
        <w:tc>
          <w:tcPr>
            <w:tcW w:w="0" w:type="dxa"/>
            <w:vAlign w:val="top"/>
          </w:tcPr>
          <w:p w14:paraId="0FD49667"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rPr>
              <w:t xml:space="preserve">$61 </w:t>
            </w:r>
          </w:p>
        </w:tc>
        <w:tc>
          <w:tcPr>
            <w:tcW w:w="0" w:type="dxa"/>
            <w:vAlign w:val="top"/>
          </w:tcPr>
          <w:p w14:paraId="699AB798"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$70 </w:t>
            </w:r>
          </w:p>
        </w:tc>
        <w:tc>
          <w:tcPr>
            <w:tcW w:w="0" w:type="dxa"/>
          </w:tcPr>
          <w:p w14:paraId="6F823BAD"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$135</w:t>
            </w:r>
          </w:p>
        </w:tc>
        <w:tc>
          <w:tcPr>
            <w:tcW w:w="0" w:type="dxa"/>
            <w:vAlign w:val="top"/>
          </w:tcPr>
          <w:p w14:paraId="7238468B"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$128 </w:t>
            </w:r>
          </w:p>
        </w:tc>
      </w:tr>
      <w:tr w:rsidR="001842E3" w:rsidRPr="001842E3" w14:paraId="5EA2DB0D" w14:textId="77777777" w:rsidTr="00FA33C3">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dxa"/>
          </w:tcPr>
          <w:p w14:paraId="6DCCB588"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2025</w:t>
            </w:r>
          </w:p>
        </w:tc>
        <w:tc>
          <w:tcPr>
            <w:tcW w:w="0" w:type="dxa"/>
          </w:tcPr>
          <w:p w14:paraId="615D259B"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$36</w:t>
            </w:r>
          </w:p>
        </w:tc>
        <w:tc>
          <w:tcPr>
            <w:tcW w:w="0" w:type="dxa"/>
            <w:vAlign w:val="top"/>
          </w:tcPr>
          <w:p w14:paraId="4D78873F"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rPr>
              <w:t xml:space="preserve">$62 </w:t>
            </w:r>
          </w:p>
        </w:tc>
        <w:tc>
          <w:tcPr>
            <w:tcW w:w="0" w:type="dxa"/>
            <w:vAlign w:val="top"/>
          </w:tcPr>
          <w:p w14:paraId="23E950DC"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$71 </w:t>
            </w:r>
          </w:p>
        </w:tc>
        <w:tc>
          <w:tcPr>
            <w:tcW w:w="0" w:type="dxa"/>
          </w:tcPr>
          <w:p w14:paraId="48CFBAA6"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$154</w:t>
            </w:r>
          </w:p>
        </w:tc>
        <w:tc>
          <w:tcPr>
            <w:tcW w:w="0" w:type="dxa"/>
            <w:vAlign w:val="top"/>
          </w:tcPr>
          <w:p w14:paraId="64384B05"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$142 </w:t>
            </w:r>
          </w:p>
        </w:tc>
      </w:tr>
      <w:tr w:rsidR="001842E3" w:rsidRPr="001842E3" w14:paraId="7C1D68B9" w14:textId="77777777" w:rsidTr="00FA33C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dxa"/>
          </w:tcPr>
          <w:p w14:paraId="28BA7291"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2026</w:t>
            </w:r>
          </w:p>
        </w:tc>
        <w:tc>
          <w:tcPr>
            <w:tcW w:w="0" w:type="dxa"/>
          </w:tcPr>
          <w:p w14:paraId="13C9ED49"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$38</w:t>
            </w:r>
          </w:p>
        </w:tc>
        <w:tc>
          <w:tcPr>
            <w:tcW w:w="0" w:type="dxa"/>
            <w:vAlign w:val="top"/>
          </w:tcPr>
          <w:p w14:paraId="44A0BD5F"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rPr>
              <w:t xml:space="preserve">$62 </w:t>
            </w:r>
          </w:p>
        </w:tc>
        <w:tc>
          <w:tcPr>
            <w:tcW w:w="0" w:type="dxa"/>
            <w:vAlign w:val="top"/>
          </w:tcPr>
          <w:p w14:paraId="658DB3A9"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$74 </w:t>
            </w:r>
          </w:p>
        </w:tc>
        <w:tc>
          <w:tcPr>
            <w:tcW w:w="0" w:type="dxa"/>
          </w:tcPr>
          <w:p w14:paraId="0832458C"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$173</w:t>
            </w:r>
          </w:p>
        </w:tc>
        <w:tc>
          <w:tcPr>
            <w:tcW w:w="0" w:type="dxa"/>
            <w:vAlign w:val="top"/>
          </w:tcPr>
          <w:p w14:paraId="0BA2B599"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$159 </w:t>
            </w:r>
          </w:p>
        </w:tc>
      </w:tr>
      <w:tr w:rsidR="001842E3" w:rsidRPr="001842E3" w14:paraId="68F53AC6" w14:textId="77777777" w:rsidTr="00FA33C3">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dxa"/>
          </w:tcPr>
          <w:p w14:paraId="0F477F9D"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2027</w:t>
            </w:r>
          </w:p>
        </w:tc>
        <w:tc>
          <w:tcPr>
            <w:tcW w:w="0" w:type="dxa"/>
          </w:tcPr>
          <w:p w14:paraId="44F76DFF"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$41</w:t>
            </w:r>
          </w:p>
        </w:tc>
        <w:tc>
          <w:tcPr>
            <w:tcW w:w="0" w:type="dxa"/>
            <w:vAlign w:val="top"/>
          </w:tcPr>
          <w:p w14:paraId="63439FCF"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rPr>
              <w:t xml:space="preserve">$62 </w:t>
            </w:r>
          </w:p>
        </w:tc>
        <w:tc>
          <w:tcPr>
            <w:tcW w:w="0" w:type="dxa"/>
            <w:vAlign w:val="top"/>
          </w:tcPr>
          <w:p w14:paraId="3456AFAD"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$76 </w:t>
            </w:r>
          </w:p>
        </w:tc>
        <w:tc>
          <w:tcPr>
            <w:tcW w:w="0" w:type="dxa"/>
          </w:tcPr>
          <w:p w14:paraId="7C9E53C4"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$192</w:t>
            </w:r>
          </w:p>
        </w:tc>
        <w:tc>
          <w:tcPr>
            <w:tcW w:w="0" w:type="dxa"/>
            <w:vAlign w:val="top"/>
          </w:tcPr>
          <w:p w14:paraId="610070D3"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$173 </w:t>
            </w:r>
          </w:p>
        </w:tc>
      </w:tr>
      <w:tr w:rsidR="001842E3" w:rsidRPr="001842E3" w14:paraId="157C32FB" w14:textId="77777777" w:rsidTr="00FA33C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dxa"/>
          </w:tcPr>
          <w:p w14:paraId="22DC9BE4"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2028</w:t>
            </w:r>
          </w:p>
        </w:tc>
        <w:tc>
          <w:tcPr>
            <w:tcW w:w="0" w:type="dxa"/>
          </w:tcPr>
          <w:p w14:paraId="04554B21"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$45</w:t>
            </w:r>
          </w:p>
        </w:tc>
        <w:tc>
          <w:tcPr>
            <w:tcW w:w="0" w:type="dxa"/>
            <w:vAlign w:val="top"/>
          </w:tcPr>
          <w:p w14:paraId="572FE789"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rPr>
              <w:t xml:space="preserve">$63 </w:t>
            </w:r>
          </w:p>
        </w:tc>
        <w:tc>
          <w:tcPr>
            <w:tcW w:w="0" w:type="dxa"/>
            <w:vAlign w:val="top"/>
          </w:tcPr>
          <w:p w14:paraId="63D25599"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$78 </w:t>
            </w:r>
          </w:p>
        </w:tc>
        <w:tc>
          <w:tcPr>
            <w:tcW w:w="0" w:type="dxa"/>
          </w:tcPr>
          <w:p w14:paraId="172ABED4"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$212</w:t>
            </w:r>
          </w:p>
        </w:tc>
        <w:tc>
          <w:tcPr>
            <w:tcW w:w="0" w:type="dxa"/>
            <w:vAlign w:val="top"/>
          </w:tcPr>
          <w:p w14:paraId="5DE7823C"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$187 </w:t>
            </w:r>
          </w:p>
        </w:tc>
      </w:tr>
      <w:tr w:rsidR="001842E3" w:rsidRPr="001842E3" w14:paraId="4D4E838F" w14:textId="77777777" w:rsidTr="00FA33C3">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dxa"/>
          </w:tcPr>
          <w:p w14:paraId="58BC9256"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2029</w:t>
            </w:r>
          </w:p>
        </w:tc>
        <w:tc>
          <w:tcPr>
            <w:tcW w:w="0" w:type="dxa"/>
          </w:tcPr>
          <w:p w14:paraId="5546CE33"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$48</w:t>
            </w:r>
          </w:p>
        </w:tc>
        <w:tc>
          <w:tcPr>
            <w:tcW w:w="0" w:type="dxa"/>
            <w:vAlign w:val="top"/>
          </w:tcPr>
          <w:p w14:paraId="18615604"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rPr>
              <w:t xml:space="preserve">$63 </w:t>
            </w:r>
          </w:p>
        </w:tc>
        <w:tc>
          <w:tcPr>
            <w:tcW w:w="0" w:type="dxa"/>
            <w:vAlign w:val="top"/>
          </w:tcPr>
          <w:p w14:paraId="692DA8F9"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$81 </w:t>
            </w:r>
          </w:p>
        </w:tc>
        <w:tc>
          <w:tcPr>
            <w:tcW w:w="0" w:type="dxa"/>
          </w:tcPr>
          <w:p w14:paraId="17B84A47"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$231</w:t>
            </w:r>
          </w:p>
        </w:tc>
        <w:tc>
          <w:tcPr>
            <w:tcW w:w="0" w:type="dxa"/>
            <w:vAlign w:val="top"/>
          </w:tcPr>
          <w:p w14:paraId="140635E6"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$203 </w:t>
            </w:r>
          </w:p>
        </w:tc>
      </w:tr>
      <w:tr w:rsidR="001842E3" w:rsidRPr="001842E3" w14:paraId="48883C52" w14:textId="77777777" w:rsidTr="00FA33C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dxa"/>
          </w:tcPr>
          <w:p w14:paraId="5819D7F8"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2030</w:t>
            </w:r>
          </w:p>
        </w:tc>
        <w:tc>
          <w:tcPr>
            <w:tcW w:w="0" w:type="dxa"/>
          </w:tcPr>
          <w:p w14:paraId="727F28D2"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$52</w:t>
            </w:r>
          </w:p>
        </w:tc>
        <w:tc>
          <w:tcPr>
            <w:tcW w:w="0" w:type="dxa"/>
            <w:vAlign w:val="top"/>
          </w:tcPr>
          <w:p w14:paraId="134DF76E"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rPr>
              <w:t xml:space="preserve">$63 </w:t>
            </w:r>
          </w:p>
        </w:tc>
        <w:tc>
          <w:tcPr>
            <w:tcW w:w="0" w:type="dxa"/>
            <w:vAlign w:val="top"/>
          </w:tcPr>
          <w:p w14:paraId="3119E33F"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$83 </w:t>
            </w:r>
          </w:p>
        </w:tc>
        <w:tc>
          <w:tcPr>
            <w:tcW w:w="0" w:type="dxa"/>
          </w:tcPr>
          <w:p w14:paraId="492FA8C6"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$250</w:t>
            </w:r>
          </w:p>
        </w:tc>
        <w:tc>
          <w:tcPr>
            <w:tcW w:w="0" w:type="dxa"/>
            <w:vAlign w:val="top"/>
          </w:tcPr>
          <w:p w14:paraId="446A994F"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$217 </w:t>
            </w:r>
          </w:p>
        </w:tc>
      </w:tr>
      <w:tr w:rsidR="001842E3" w:rsidRPr="001842E3" w14:paraId="2C57B264" w14:textId="77777777" w:rsidTr="00FA33C3">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dxa"/>
          </w:tcPr>
          <w:p w14:paraId="2D7F00B7"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2031</w:t>
            </w:r>
          </w:p>
        </w:tc>
        <w:tc>
          <w:tcPr>
            <w:tcW w:w="0" w:type="dxa"/>
          </w:tcPr>
          <w:p w14:paraId="7C4B27AC"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$55</w:t>
            </w:r>
          </w:p>
        </w:tc>
        <w:tc>
          <w:tcPr>
            <w:tcW w:w="0" w:type="dxa"/>
            <w:vAlign w:val="top"/>
          </w:tcPr>
          <w:p w14:paraId="6A3DDE5A"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rPr>
              <w:t xml:space="preserve">$64 </w:t>
            </w:r>
          </w:p>
        </w:tc>
        <w:tc>
          <w:tcPr>
            <w:tcW w:w="0" w:type="dxa"/>
            <w:vAlign w:val="top"/>
          </w:tcPr>
          <w:p w14:paraId="6288200C"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$87 </w:t>
            </w:r>
          </w:p>
        </w:tc>
        <w:tc>
          <w:tcPr>
            <w:tcW w:w="0" w:type="dxa"/>
          </w:tcPr>
          <w:p w14:paraId="1B426825"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$250</w:t>
            </w:r>
          </w:p>
        </w:tc>
        <w:tc>
          <w:tcPr>
            <w:tcW w:w="0" w:type="dxa"/>
            <w:vAlign w:val="top"/>
          </w:tcPr>
          <w:p w14:paraId="5DA2099D"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$223 </w:t>
            </w:r>
          </w:p>
        </w:tc>
      </w:tr>
      <w:tr w:rsidR="001842E3" w:rsidRPr="001842E3" w14:paraId="53D70724" w14:textId="77777777" w:rsidTr="00FA33C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dxa"/>
          </w:tcPr>
          <w:p w14:paraId="3B635E73"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2032</w:t>
            </w:r>
          </w:p>
        </w:tc>
        <w:tc>
          <w:tcPr>
            <w:tcW w:w="0" w:type="dxa"/>
          </w:tcPr>
          <w:p w14:paraId="6E2B3D7D"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$58</w:t>
            </w:r>
          </w:p>
        </w:tc>
        <w:tc>
          <w:tcPr>
            <w:tcW w:w="0" w:type="dxa"/>
            <w:vAlign w:val="top"/>
          </w:tcPr>
          <w:p w14:paraId="0BE2CAD7"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rPr>
              <w:t xml:space="preserve">$63 </w:t>
            </w:r>
          </w:p>
        </w:tc>
        <w:tc>
          <w:tcPr>
            <w:tcW w:w="0" w:type="dxa"/>
            <w:vAlign w:val="top"/>
          </w:tcPr>
          <w:p w14:paraId="168C5946"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$90 </w:t>
            </w:r>
          </w:p>
        </w:tc>
        <w:tc>
          <w:tcPr>
            <w:tcW w:w="0" w:type="dxa"/>
          </w:tcPr>
          <w:p w14:paraId="21498AA1"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$250</w:t>
            </w:r>
          </w:p>
        </w:tc>
        <w:tc>
          <w:tcPr>
            <w:tcW w:w="0" w:type="dxa"/>
            <w:vAlign w:val="top"/>
          </w:tcPr>
          <w:p w14:paraId="1D57FECF"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$230 </w:t>
            </w:r>
          </w:p>
        </w:tc>
      </w:tr>
      <w:tr w:rsidR="001842E3" w:rsidRPr="001842E3" w14:paraId="5123C7D9" w14:textId="77777777" w:rsidTr="00FA33C3">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dxa"/>
          </w:tcPr>
          <w:p w14:paraId="7B39D5E7"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2033</w:t>
            </w:r>
          </w:p>
        </w:tc>
        <w:tc>
          <w:tcPr>
            <w:tcW w:w="0" w:type="dxa"/>
          </w:tcPr>
          <w:p w14:paraId="74CFF959"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$62</w:t>
            </w:r>
          </w:p>
        </w:tc>
        <w:tc>
          <w:tcPr>
            <w:tcW w:w="0" w:type="dxa"/>
            <w:vAlign w:val="top"/>
          </w:tcPr>
          <w:p w14:paraId="699DC40A"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rPr>
              <w:t xml:space="preserve">$62 </w:t>
            </w:r>
          </w:p>
        </w:tc>
        <w:tc>
          <w:tcPr>
            <w:tcW w:w="0" w:type="dxa"/>
            <w:vAlign w:val="top"/>
          </w:tcPr>
          <w:p w14:paraId="6476A572"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$93 </w:t>
            </w:r>
          </w:p>
        </w:tc>
        <w:tc>
          <w:tcPr>
            <w:tcW w:w="0" w:type="dxa"/>
          </w:tcPr>
          <w:p w14:paraId="36B6033F"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$250</w:t>
            </w:r>
          </w:p>
        </w:tc>
        <w:tc>
          <w:tcPr>
            <w:tcW w:w="0" w:type="dxa"/>
            <w:vAlign w:val="top"/>
          </w:tcPr>
          <w:p w14:paraId="7FA752E3"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$237 </w:t>
            </w:r>
          </w:p>
        </w:tc>
      </w:tr>
      <w:tr w:rsidR="001842E3" w:rsidRPr="001842E3" w14:paraId="18946E95" w14:textId="77777777" w:rsidTr="00FA33C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dxa"/>
          </w:tcPr>
          <w:p w14:paraId="64B6B38F"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2034</w:t>
            </w:r>
          </w:p>
        </w:tc>
        <w:tc>
          <w:tcPr>
            <w:tcW w:w="0" w:type="dxa"/>
          </w:tcPr>
          <w:p w14:paraId="50136C16"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$65</w:t>
            </w:r>
          </w:p>
        </w:tc>
        <w:tc>
          <w:tcPr>
            <w:tcW w:w="0" w:type="dxa"/>
            <w:vAlign w:val="top"/>
          </w:tcPr>
          <w:p w14:paraId="14265A7E"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rPr>
              <w:t xml:space="preserve">$61 </w:t>
            </w:r>
          </w:p>
        </w:tc>
        <w:tc>
          <w:tcPr>
            <w:tcW w:w="0" w:type="dxa"/>
            <w:vAlign w:val="top"/>
          </w:tcPr>
          <w:p w14:paraId="1E6A46BA"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$96 </w:t>
            </w:r>
          </w:p>
        </w:tc>
        <w:tc>
          <w:tcPr>
            <w:tcW w:w="0" w:type="dxa"/>
          </w:tcPr>
          <w:p w14:paraId="6E2814D3"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$250</w:t>
            </w:r>
          </w:p>
        </w:tc>
        <w:tc>
          <w:tcPr>
            <w:tcW w:w="0" w:type="dxa"/>
            <w:vAlign w:val="top"/>
          </w:tcPr>
          <w:p w14:paraId="12B3D8E4"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$244 </w:t>
            </w:r>
          </w:p>
        </w:tc>
      </w:tr>
      <w:tr w:rsidR="001842E3" w:rsidRPr="001842E3" w14:paraId="49942EE4" w14:textId="77777777" w:rsidTr="00FA33C3">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dxa"/>
          </w:tcPr>
          <w:p w14:paraId="1163161C"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2035</w:t>
            </w:r>
          </w:p>
        </w:tc>
        <w:tc>
          <w:tcPr>
            <w:tcW w:w="0" w:type="dxa"/>
          </w:tcPr>
          <w:p w14:paraId="2153EAB1"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$68</w:t>
            </w:r>
          </w:p>
        </w:tc>
        <w:tc>
          <w:tcPr>
            <w:tcW w:w="0" w:type="dxa"/>
            <w:vAlign w:val="top"/>
          </w:tcPr>
          <w:p w14:paraId="2B5F5CD2"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rPr>
              <w:t xml:space="preserve">$60 </w:t>
            </w:r>
          </w:p>
        </w:tc>
        <w:tc>
          <w:tcPr>
            <w:tcW w:w="0" w:type="dxa"/>
            <w:vAlign w:val="top"/>
          </w:tcPr>
          <w:p w14:paraId="0478B9F0"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$98 </w:t>
            </w:r>
          </w:p>
        </w:tc>
        <w:tc>
          <w:tcPr>
            <w:tcW w:w="0" w:type="dxa"/>
          </w:tcPr>
          <w:p w14:paraId="2681D0E7"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$250</w:t>
            </w:r>
          </w:p>
        </w:tc>
        <w:tc>
          <w:tcPr>
            <w:tcW w:w="0" w:type="dxa"/>
            <w:vAlign w:val="top"/>
          </w:tcPr>
          <w:p w14:paraId="5D3807E8"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$251 </w:t>
            </w:r>
          </w:p>
        </w:tc>
      </w:tr>
      <w:tr w:rsidR="001842E3" w:rsidRPr="001842E3" w14:paraId="394B713B" w14:textId="77777777" w:rsidTr="00FA33C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dxa"/>
          </w:tcPr>
          <w:p w14:paraId="54D7B1F9"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2036</w:t>
            </w:r>
          </w:p>
        </w:tc>
        <w:tc>
          <w:tcPr>
            <w:tcW w:w="0" w:type="dxa"/>
          </w:tcPr>
          <w:p w14:paraId="71D392CB"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$72</w:t>
            </w:r>
          </w:p>
        </w:tc>
        <w:tc>
          <w:tcPr>
            <w:tcW w:w="0" w:type="dxa"/>
            <w:vAlign w:val="top"/>
          </w:tcPr>
          <w:p w14:paraId="5CB360D1"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rPr>
              <w:t xml:space="preserve">$59 </w:t>
            </w:r>
          </w:p>
        </w:tc>
        <w:tc>
          <w:tcPr>
            <w:tcW w:w="0" w:type="dxa"/>
            <w:vAlign w:val="top"/>
          </w:tcPr>
          <w:p w14:paraId="6896217E"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$101 </w:t>
            </w:r>
          </w:p>
        </w:tc>
        <w:tc>
          <w:tcPr>
            <w:tcW w:w="0" w:type="dxa"/>
          </w:tcPr>
          <w:p w14:paraId="628FCA5E"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$250</w:t>
            </w:r>
          </w:p>
        </w:tc>
        <w:tc>
          <w:tcPr>
            <w:tcW w:w="0" w:type="dxa"/>
            <w:vAlign w:val="top"/>
          </w:tcPr>
          <w:p w14:paraId="4153720F"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$258 </w:t>
            </w:r>
          </w:p>
        </w:tc>
      </w:tr>
      <w:tr w:rsidR="001842E3" w:rsidRPr="001842E3" w14:paraId="2FE3FE02" w14:textId="77777777" w:rsidTr="00FA33C3">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dxa"/>
          </w:tcPr>
          <w:p w14:paraId="1E43BEB9"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2037</w:t>
            </w:r>
          </w:p>
        </w:tc>
        <w:tc>
          <w:tcPr>
            <w:tcW w:w="0" w:type="dxa"/>
          </w:tcPr>
          <w:p w14:paraId="27F89454"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$75</w:t>
            </w:r>
          </w:p>
        </w:tc>
        <w:tc>
          <w:tcPr>
            <w:tcW w:w="0" w:type="dxa"/>
            <w:vAlign w:val="top"/>
          </w:tcPr>
          <w:p w14:paraId="065F1B2F"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rPr>
              <w:t xml:space="preserve">$58 </w:t>
            </w:r>
          </w:p>
        </w:tc>
        <w:tc>
          <w:tcPr>
            <w:tcW w:w="0" w:type="dxa"/>
            <w:vAlign w:val="top"/>
          </w:tcPr>
          <w:p w14:paraId="09A28430"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$104 </w:t>
            </w:r>
          </w:p>
        </w:tc>
        <w:tc>
          <w:tcPr>
            <w:tcW w:w="0" w:type="dxa"/>
          </w:tcPr>
          <w:p w14:paraId="3AB5DC10"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$250</w:t>
            </w:r>
          </w:p>
        </w:tc>
        <w:tc>
          <w:tcPr>
            <w:tcW w:w="0" w:type="dxa"/>
            <w:vAlign w:val="top"/>
          </w:tcPr>
          <w:p w14:paraId="6DC8153F"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$265 </w:t>
            </w:r>
          </w:p>
        </w:tc>
      </w:tr>
      <w:tr w:rsidR="001842E3" w:rsidRPr="001842E3" w14:paraId="4A667B0E" w14:textId="77777777" w:rsidTr="00FA33C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dxa"/>
          </w:tcPr>
          <w:p w14:paraId="589470C3"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2038</w:t>
            </w:r>
          </w:p>
        </w:tc>
        <w:tc>
          <w:tcPr>
            <w:tcW w:w="0" w:type="dxa"/>
          </w:tcPr>
          <w:p w14:paraId="51B6C11B"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$79</w:t>
            </w:r>
          </w:p>
        </w:tc>
        <w:tc>
          <w:tcPr>
            <w:tcW w:w="0" w:type="dxa"/>
            <w:vAlign w:val="top"/>
          </w:tcPr>
          <w:p w14:paraId="6B1B0199"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rPr>
              <w:t xml:space="preserve">$58 </w:t>
            </w:r>
          </w:p>
        </w:tc>
        <w:tc>
          <w:tcPr>
            <w:tcW w:w="0" w:type="dxa"/>
            <w:vAlign w:val="top"/>
          </w:tcPr>
          <w:p w14:paraId="06192DCA"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$107 </w:t>
            </w:r>
          </w:p>
        </w:tc>
        <w:tc>
          <w:tcPr>
            <w:tcW w:w="0" w:type="dxa"/>
          </w:tcPr>
          <w:p w14:paraId="0EFE64BE"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$250</w:t>
            </w:r>
          </w:p>
        </w:tc>
        <w:tc>
          <w:tcPr>
            <w:tcW w:w="0" w:type="dxa"/>
            <w:vAlign w:val="top"/>
          </w:tcPr>
          <w:p w14:paraId="506B9601"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$272 </w:t>
            </w:r>
          </w:p>
        </w:tc>
      </w:tr>
      <w:tr w:rsidR="001842E3" w:rsidRPr="001842E3" w14:paraId="1ACD7E2D" w14:textId="77777777" w:rsidTr="00FA33C3">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dxa"/>
          </w:tcPr>
          <w:p w14:paraId="588BA7FE"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2039</w:t>
            </w:r>
          </w:p>
        </w:tc>
        <w:tc>
          <w:tcPr>
            <w:tcW w:w="0" w:type="dxa"/>
          </w:tcPr>
          <w:p w14:paraId="00B8A84C"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$82</w:t>
            </w:r>
          </w:p>
        </w:tc>
        <w:tc>
          <w:tcPr>
            <w:tcW w:w="0" w:type="dxa"/>
            <w:vAlign w:val="top"/>
          </w:tcPr>
          <w:p w14:paraId="471D2A19"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rPr>
              <w:t xml:space="preserve">$57 </w:t>
            </w:r>
          </w:p>
        </w:tc>
        <w:tc>
          <w:tcPr>
            <w:tcW w:w="0" w:type="dxa"/>
            <w:vAlign w:val="top"/>
          </w:tcPr>
          <w:p w14:paraId="44E4EDA8"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$110 </w:t>
            </w:r>
          </w:p>
        </w:tc>
        <w:tc>
          <w:tcPr>
            <w:tcW w:w="0" w:type="dxa"/>
          </w:tcPr>
          <w:p w14:paraId="1D7E0C8B"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$250</w:t>
            </w:r>
          </w:p>
        </w:tc>
        <w:tc>
          <w:tcPr>
            <w:tcW w:w="0" w:type="dxa"/>
            <w:vAlign w:val="top"/>
          </w:tcPr>
          <w:p w14:paraId="07B3E10E"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$279 </w:t>
            </w:r>
          </w:p>
        </w:tc>
      </w:tr>
      <w:tr w:rsidR="001842E3" w:rsidRPr="001842E3" w14:paraId="40F139E8" w14:textId="77777777" w:rsidTr="00FA33C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dxa"/>
          </w:tcPr>
          <w:p w14:paraId="586E3EA4"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2040</w:t>
            </w:r>
          </w:p>
        </w:tc>
        <w:tc>
          <w:tcPr>
            <w:tcW w:w="0" w:type="dxa"/>
          </w:tcPr>
          <w:p w14:paraId="1865FF8F"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$85</w:t>
            </w:r>
          </w:p>
        </w:tc>
        <w:tc>
          <w:tcPr>
            <w:tcW w:w="0" w:type="dxa"/>
            <w:vAlign w:val="top"/>
          </w:tcPr>
          <w:p w14:paraId="1C09CC98"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rPr>
              <w:t xml:space="preserve">$56 </w:t>
            </w:r>
          </w:p>
        </w:tc>
        <w:tc>
          <w:tcPr>
            <w:tcW w:w="0" w:type="dxa"/>
            <w:vAlign w:val="top"/>
          </w:tcPr>
          <w:p w14:paraId="3EFAAD2C"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$114 </w:t>
            </w:r>
          </w:p>
        </w:tc>
        <w:tc>
          <w:tcPr>
            <w:tcW w:w="0" w:type="dxa"/>
          </w:tcPr>
          <w:p w14:paraId="31D2558A"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$250</w:t>
            </w:r>
          </w:p>
        </w:tc>
        <w:tc>
          <w:tcPr>
            <w:tcW w:w="0" w:type="dxa"/>
            <w:vAlign w:val="top"/>
          </w:tcPr>
          <w:p w14:paraId="6D285FD4"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$286 </w:t>
            </w:r>
          </w:p>
        </w:tc>
      </w:tr>
      <w:tr w:rsidR="001842E3" w:rsidRPr="001842E3" w14:paraId="39713FF1" w14:textId="77777777" w:rsidTr="00FA33C3">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dxa"/>
          </w:tcPr>
          <w:p w14:paraId="014756B9"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2041</w:t>
            </w:r>
          </w:p>
        </w:tc>
        <w:tc>
          <w:tcPr>
            <w:tcW w:w="0" w:type="dxa"/>
          </w:tcPr>
          <w:p w14:paraId="28D697BA"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$89</w:t>
            </w:r>
          </w:p>
        </w:tc>
        <w:tc>
          <w:tcPr>
            <w:tcW w:w="0" w:type="dxa"/>
            <w:vAlign w:val="top"/>
          </w:tcPr>
          <w:p w14:paraId="4B878DF7"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rPr>
              <w:t xml:space="preserve">$56 </w:t>
            </w:r>
          </w:p>
        </w:tc>
        <w:tc>
          <w:tcPr>
            <w:tcW w:w="0" w:type="dxa"/>
            <w:vAlign w:val="top"/>
          </w:tcPr>
          <w:p w14:paraId="2A5E2871"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$117 </w:t>
            </w:r>
          </w:p>
        </w:tc>
        <w:tc>
          <w:tcPr>
            <w:tcW w:w="0" w:type="dxa"/>
          </w:tcPr>
          <w:p w14:paraId="794241D3"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$250</w:t>
            </w:r>
          </w:p>
        </w:tc>
        <w:tc>
          <w:tcPr>
            <w:tcW w:w="0" w:type="dxa"/>
            <w:vAlign w:val="top"/>
          </w:tcPr>
          <w:p w14:paraId="7DE4467E"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$294 </w:t>
            </w:r>
          </w:p>
        </w:tc>
      </w:tr>
      <w:tr w:rsidR="001842E3" w:rsidRPr="001842E3" w14:paraId="4E307CBB" w14:textId="77777777" w:rsidTr="00FA33C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dxa"/>
          </w:tcPr>
          <w:p w14:paraId="48AED73E"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2042</w:t>
            </w:r>
          </w:p>
        </w:tc>
        <w:tc>
          <w:tcPr>
            <w:tcW w:w="0" w:type="dxa"/>
          </w:tcPr>
          <w:p w14:paraId="7684456E"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$92</w:t>
            </w:r>
          </w:p>
        </w:tc>
        <w:tc>
          <w:tcPr>
            <w:tcW w:w="0" w:type="dxa"/>
            <w:vAlign w:val="top"/>
          </w:tcPr>
          <w:p w14:paraId="4B6879FB"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rPr>
              <w:t xml:space="preserve">$55 </w:t>
            </w:r>
          </w:p>
        </w:tc>
        <w:tc>
          <w:tcPr>
            <w:tcW w:w="0" w:type="dxa"/>
            <w:vAlign w:val="top"/>
          </w:tcPr>
          <w:p w14:paraId="021C771E"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$120 </w:t>
            </w:r>
          </w:p>
        </w:tc>
        <w:tc>
          <w:tcPr>
            <w:tcW w:w="0" w:type="dxa"/>
          </w:tcPr>
          <w:p w14:paraId="191260B7"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$250</w:t>
            </w:r>
          </w:p>
        </w:tc>
        <w:tc>
          <w:tcPr>
            <w:tcW w:w="0" w:type="dxa"/>
            <w:vAlign w:val="top"/>
          </w:tcPr>
          <w:p w14:paraId="71150367"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$301 </w:t>
            </w:r>
          </w:p>
        </w:tc>
      </w:tr>
      <w:tr w:rsidR="001842E3" w:rsidRPr="001842E3" w14:paraId="4AF5DFE7" w14:textId="77777777" w:rsidTr="00FA33C3">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dxa"/>
          </w:tcPr>
          <w:p w14:paraId="352DE495"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2043</w:t>
            </w:r>
          </w:p>
        </w:tc>
        <w:tc>
          <w:tcPr>
            <w:tcW w:w="0" w:type="dxa"/>
          </w:tcPr>
          <w:p w14:paraId="3CA6E904"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$96</w:t>
            </w:r>
          </w:p>
        </w:tc>
        <w:tc>
          <w:tcPr>
            <w:tcW w:w="0" w:type="dxa"/>
            <w:vAlign w:val="top"/>
          </w:tcPr>
          <w:p w14:paraId="6A4623D4"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rPr>
              <w:t xml:space="preserve">$55 </w:t>
            </w:r>
          </w:p>
        </w:tc>
        <w:tc>
          <w:tcPr>
            <w:tcW w:w="0" w:type="dxa"/>
            <w:vAlign w:val="top"/>
          </w:tcPr>
          <w:p w14:paraId="1FD97301"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$123 </w:t>
            </w:r>
          </w:p>
        </w:tc>
        <w:tc>
          <w:tcPr>
            <w:tcW w:w="0" w:type="dxa"/>
          </w:tcPr>
          <w:p w14:paraId="741DB1EB"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$250</w:t>
            </w:r>
          </w:p>
        </w:tc>
        <w:tc>
          <w:tcPr>
            <w:tcW w:w="0" w:type="dxa"/>
            <w:vAlign w:val="top"/>
          </w:tcPr>
          <w:p w14:paraId="323F8C4B"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$309 </w:t>
            </w:r>
          </w:p>
        </w:tc>
      </w:tr>
      <w:tr w:rsidR="001842E3" w:rsidRPr="001842E3" w14:paraId="6773FBE5" w14:textId="77777777" w:rsidTr="00FA33C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dxa"/>
          </w:tcPr>
          <w:p w14:paraId="559B85C5"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2044</w:t>
            </w:r>
          </w:p>
        </w:tc>
        <w:tc>
          <w:tcPr>
            <w:tcW w:w="0" w:type="dxa"/>
          </w:tcPr>
          <w:p w14:paraId="4A67C323"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$99</w:t>
            </w:r>
          </w:p>
        </w:tc>
        <w:tc>
          <w:tcPr>
            <w:tcW w:w="0" w:type="dxa"/>
            <w:vAlign w:val="top"/>
          </w:tcPr>
          <w:p w14:paraId="09B5F720"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rPr>
              <w:t xml:space="preserve">$55 </w:t>
            </w:r>
          </w:p>
        </w:tc>
        <w:tc>
          <w:tcPr>
            <w:tcW w:w="0" w:type="dxa"/>
            <w:vAlign w:val="top"/>
          </w:tcPr>
          <w:p w14:paraId="24D63F33"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$126 </w:t>
            </w:r>
          </w:p>
        </w:tc>
        <w:tc>
          <w:tcPr>
            <w:tcW w:w="0" w:type="dxa"/>
          </w:tcPr>
          <w:p w14:paraId="4A434053"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$250</w:t>
            </w:r>
          </w:p>
        </w:tc>
        <w:tc>
          <w:tcPr>
            <w:tcW w:w="0" w:type="dxa"/>
            <w:vAlign w:val="top"/>
          </w:tcPr>
          <w:p w14:paraId="11077DDB"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$317 </w:t>
            </w:r>
          </w:p>
        </w:tc>
      </w:tr>
      <w:tr w:rsidR="001842E3" w:rsidRPr="001842E3" w14:paraId="50BB71EB" w14:textId="77777777" w:rsidTr="00FA33C3">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dxa"/>
          </w:tcPr>
          <w:p w14:paraId="67936904"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2045</w:t>
            </w:r>
          </w:p>
        </w:tc>
        <w:tc>
          <w:tcPr>
            <w:tcW w:w="0" w:type="dxa"/>
          </w:tcPr>
          <w:p w14:paraId="1D309CB7"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$102</w:t>
            </w:r>
          </w:p>
        </w:tc>
        <w:tc>
          <w:tcPr>
            <w:tcW w:w="0" w:type="dxa"/>
            <w:vAlign w:val="top"/>
          </w:tcPr>
          <w:p w14:paraId="6CF8DF49"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rPr>
              <w:t xml:space="preserve">$54 </w:t>
            </w:r>
          </w:p>
        </w:tc>
        <w:tc>
          <w:tcPr>
            <w:tcW w:w="0" w:type="dxa"/>
            <w:vAlign w:val="top"/>
          </w:tcPr>
          <w:p w14:paraId="229AE650"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$129 </w:t>
            </w:r>
          </w:p>
        </w:tc>
        <w:tc>
          <w:tcPr>
            <w:tcW w:w="0" w:type="dxa"/>
          </w:tcPr>
          <w:p w14:paraId="2B824908"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$250</w:t>
            </w:r>
          </w:p>
        </w:tc>
        <w:tc>
          <w:tcPr>
            <w:tcW w:w="0" w:type="dxa"/>
            <w:vAlign w:val="top"/>
          </w:tcPr>
          <w:p w14:paraId="403873B3" w14:textId="77777777" w:rsidR="001842E3" w:rsidRPr="001842E3" w:rsidRDefault="001842E3" w:rsidP="001842E3">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$324 </w:t>
            </w:r>
          </w:p>
        </w:tc>
      </w:tr>
      <w:tr w:rsidR="001842E3" w:rsidRPr="001842E3" w14:paraId="1DC10A82" w14:textId="77777777" w:rsidTr="00FA33C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dxa"/>
          </w:tcPr>
          <w:p w14:paraId="420E20AF" w14:textId="77777777" w:rsidR="001842E3" w:rsidRPr="001842E3" w:rsidRDefault="001842E3" w:rsidP="001842E3">
            <w:pPr>
              <w:rPr>
                <w:rFonts w:ascii="Arial Narrow" w:hAnsi="Arial Narrow"/>
                <w:sz w:val="18"/>
                <w:szCs w:val="18"/>
              </w:rPr>
            </w:pPr>
            <w:r w:rsidRPr="001842E3">
              <w:rPr>
                <w:rFonts w:ascii="Arial Narrow" w:hAnsi="Arial Narrow"/>
                <w:sz w:val="18"/>
                <w:szCs w:val="18"/>
              </w:rPr>
              <w:t>2046</w:t>
            </w:r>
          </w:p>
        </w:tc>
        <w:tc>
          <w:tcPr>
            <w:tcW w:w="0" w:type="dxa"/>
          </w:tcPr>
          <w:p w14:paraId="3308AB06"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$106</w:t>
            </w:r>
          </w:p>
        </w:tc>
        <w:tc>
          <w:tcPr>
            <w:tcW w:w="0" w:type="dxa"/>
            <w:vAlign w:val="top"/>
          </w:tcPr>
          <w:p w14:paraId="6E95C9A9"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rPr>
              <w:t xml:space="preserve">$54 </w:t>
            </w:r>
          </w:p>
        </w:tc>
        <w:tc>
          <w:tcPr>
            <w:tcW w:w="0" w:type="dxa"/>
            <w:vAlign w:val="top"/>
          </w:tcPr>
          <w:p w14:paraId="0366595A"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$133 </w:t>
            </w:r>
          </w:p>
        </w:tc>
        <w:tc>
          <w:tcPr>
            <w:tcW w:w="0" w:type="dxa"/>
          </w:tcPr>
          <w:p w14:paraId="087E760A"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$250</w:t>
            </w:r>
          </w:p>
        </w:tc>
        <w:tc>
          <w:tcPr>
            <w:tcW w:w="0" w:type="dxa"/>
            <w:vAlign w:val="top"/>
          </w:tcPr>
          <w:p w14:paraId="768314C7" w14:textId="77777777" w:rsidR="001842E3" w:rsidRPr="001842E3" w:rsidRDefault="001842E3" w:rsidP="001842E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842E3">
              <w:rPr>
                <w:rFonts w:ascii="Arial Narrow" w:hAnsi="Arial Narrow"/>
                <w:sz w:val="18"/>
                <w:szCs w:val="18"/>
              </w:rPr>
              <w:t xml:space="preserve">$332 </w:t>
            </w:r>
          </w:p>
        </w:tc>
      </w:tr>
    </w:tbl>
    <w:p w14:paraId="11BCEC94" w14:textId="77777777" w:rsidR="001842E3" w:rsidRPr="001842E3" w:rsidRDefault="001842E3" w:rsidP="001842E3"/>
    <w:p w14:paraId="17CCAAF5" w14:textId="77777777" w:rsidR="001326E6" w:rsidRPr="001326E6" w:rsidRDefault="001326E6" w:rsidP="001326E6">
      <w:pPr>
        <w:pStyle w:val="Heading2"/>
      </w:pPr>
      <w:bookmarkStart w:id="436" w:name="_Toc482357310"/>
      <w:bookmarkStart w:id="437" w:name="_Toc482634286"/>
      <w:bookmarkStart w:id="438" w:name="_Toc482626418"/>
      <w:bookmarkStart w:id="439" w:name="_Toc484092489"/>
      <w:bookmarkStart w:id="440" w:name="_Toc484172693"/>
      <w:bookmarkStart w:id="441" w:name="_Toc484183029"/>
      <w:bookmarkStart w:id="442" w:name="_Toc490225786"/>
      <w:r w:rsidRPr="001326E6">
        <w:lastRenderedPageBreak/>
        <w:t>Residential and Commercial Technology Characterization</w:t>
      </w:r>
      <w:bookmarkEnd w:id="436"/>
      <w:bookmarkEnd w:id="437"/>
      <w:bookmarkEnd w:id="438"/>
      <w:bookmarkEnd w:id="439"/>
      <w:bookmarkEnd w:id="440"/>
      <w:bookmarkEnd w:id="441"/>
      <w:bookmarkEnd w:id="442"/>
      <w:r w:rsidRPr="001326E6">
        <w:t xml:space="preserve"> </w:t>
      </w:r>
    </w:p>
    <w:p w14:paraId="21C72D88" w14:textId="77777777" w:rsidR="001326E6" w:rsidRDefault="001326E6" w:rsidP="001326E6">
      <w:r w:rsidRPr="001326E6">
        <w:t xml:space="preserve">The technology characterization step in the potential study develops the essential inputs that are used in the </w:t>
      </w:r>
      <w:r w:rsidR="004271B9">
        <w:t>PG</w:t>
      </w:r>
      <w:r w:rsidRPr="001326E6">
        <w:t xml:space="preserve"> model to calculate potential. This section provides an overview of the technology selection process for residential and commercial sectors, describes the fields along which technologies are characterized, lists the data sources and describes how these sources are used for characterization, and directs the reader to the complete database of characterized technologies. </w:t>
      </w:r>
    </w:p>
    <w:p w14:paraId="712A7A8B" w14:textId="77777777" w:rsidR="007405AA" w:rsidRDefault="007405AA" w:rsidP="001326E6"/>
    <w:p w14:paraId="05AC12EC" w14:textId="77777777" w:rsidR="007405AA" w:rsidRPr="001326E6" w:rsidRDefault="007405AA" w:rsidP="001326E6">
      <w:r>
        <w:t xml:space="preserve">The 2018 study departs from the 2015 Study in terms of measure characterization. The 2015 study classified measures defined by a base technology upgrading to an efficient level technology (e.g. SEER 13 to SEER 15 and SEER 13 to SEER 18 are </w:t>
      </w:r>
      <w:r w:rsidRPr="007405AA">
        <w:rPr>
          <w:b/>
          <w:u w:val="single"/>
        </w:rPr>
        <w:t>two</w:t>
      </w:r>
      <w:r>
        <w:t xml:space="preserve"> different measures).  The 2018 study uses a technology-based characterization, which characterizes the individual technologies (e.</w:t>
      </w:r>
      <w:r w:rsidR="00754BA6">
        <w:t>g</w:t>
      </w:r>
      <w:r>
        <w:t xml:space="preserve">. SEER 13, 15 and 18 are </w:t>
      </w:r>
      <w:r w:rsidRPr="007405AA">
        <w:rPr>
          <w:b/>
          <w:u w:val="single"/>
        </w:rPr>
        <w:t>three</w:t>
      </w:r>
      <w:r>
        <w:t xml:space="preserve"> different technologies).  This new method allows the model to better track stock flow between technology levels (as discussed earlier in </w:t>
      </w:r>
      <w:r>
        <w:fldChar w:fldCharType="begin"/>
      </w:r>
      <w:r>
        <w:instrText xml:space="preserve"> REF _Ref477347831 \n \h </w:instrText>
      </w:r>
      <w:r>
        <w:fldChar w:fldCharType="separate"/>
      </w:r>
      <w:r w:rsidR="007566B9">
        <w:t>2.1.1.2</w:t>
      </w:r>
      <w:r>
        <w:fldChar w:fldCharType="end"/>
      </w:r>
      <w:r>
        <w:t>.</w:t>
      </w:r>
    </w:p>
    <w:p w14:paraId="355E94EB" w14:textId="77777777" w:rsidR="001326E6" w:rsidRPr="001326E6" w:rsidRDefault="001326E6" w:rsidP="00A330AB">
      <w:pPr>
        <w:pStyle w:val="Heading3"/>
      </w:pPr>
      <w:bookmarkStart w:id="443" w:name="_Toc490225787"/>
      <w:r w:rsidRPr="001326E6">
        <w:t>Technology Selection Process</w:t>
      </w:r>
      <w:bookmarkEnd w:id="443"/>
    </w:p>
    <w:p w14:paraId="0883C328" w14:textId="77777777" w:rsidR="001326E6" w:rsidRPr="001326E6" w:rsidRDefault="001326E6" w:rsidP="001326E6">
      <w:r w:rsidRPr="001326E6">
        <w:t xml:space="preserve">The first step under technology characterization is to select and develop a list of representative technologies. The selection process is necessary to identify high impact technologies with significant savings opportunities across multiple end uses, referred to as “representative” technologies. As part of this, the Navigant team reviewed multiple databases and information sources and followed a systematic process for selection of the “representative” technologies, briefly described below, and represented in </w:t>
      </w:r>
      <w:r w:rsidR="00857F44" w:rsidRPr="003745E5">
        <w:fldChar w:fldCharType="begin"/>
      </w:r>
      <w:r w:rsidR="00857F44" w:rsidRPr="00857F44">
        <w:instrText xml:space="preserve"> REF _Ref481576126 \h </w:instrText>
      </w:r>
      <w:r w:rsidR="00857F44">
        <w:instrText xml:space="preserve"> \* MERGEFORMAT </w:instrText>
      </w:r>
      <w:r w:rsidR="00857F44" w:rsidRPr="003745E5">
        <w:fldChar w:fldCharType="separate"/>
      </w:r>
      <w:r w:rsidR="007566B9" w:rsidRPr="000D7F55">
        <w:t xml:space="preserve">Figure </w:t>
      </w:r>
      <w:r w:rsidR="007566B9">
        <w:t>3</w:t>
      </w:r>
      <w:r w:rsidR="007566B9">
        <w:noBreakHyphen/>
        <w:t>1</w:t>
      </w:r>
      <w:r w:rsidR="00857F44" w:rsidRPr="003745E5">
        <w:fldChar w:fldCharType="end"/>
      </w:r>
      <w:r w:rsidRPr="001326E6">
        <w:t xml:space="preserve"> below.</w:t>
      </w:r>
    </w:p>
    <w:p w14:paraId="41E28975" w14:textId="77777777" w:rsidR="001326E6" w:rsidRPr="001326E6" w:rsidRDefault="001326E6" w:rsidP="001326E6"/>
    <w:p w14:paraId="2AC022A0" w14:textId="77777777" w:rsidR="001326E6" w:rsidRPr="001326E6" w:rsidRDefault="001326E6" w:rsidP="001326E6"/>
    <w:p w14:paraId="27FD14CA" w14:textId="77777777" w:rsidR="001326E6" w:rsidRPr="000D7F55" w:rsidRDefault="001326E6" w:rsidP="000D7F55">
      <w:pPr>
        <w:pStyle w:val="Caption"/>
      </w:pPr>
      <w:bookmarkStart w:id="444" w:name="_Ref481576126"/>
      <w:bookmarkStart w:id="445" w:name="_Toc482634247"/>
      <w:bookmarkStart w:id="446" w:name="_Toc482626455"/>
      <w:bookmarkStart w:id="447" w:name="_Toc484436999"/>
      <w:bookmarkStart w:id="448" w:name="_Toc490491725"/>
      <w:r w:rsidRPr="000D7F55">
        <w:t xml:space="preserve">Figure </w:t>
      </w:r>
      <w:fldSimple w:instr=" STYLEREF 1 \s ">
        <w:r w:rsidR="007566B9">
          <w:rPr>
            <w:noProof/>
          </w:rPr>
          <w:t>3</w:t>
        </w:r>
      </w:fldSimple>
      <w:r w:rsidR="00CE124F">
        <w:noBreakHyphen/>
      </w:r>
      <w:fldSimple w:instr=" SEQ Figure \* ARABIC \s 1 ">
        <w:r w:rsidR="007566B9">
          <w:rPr>
            <w:noProof/>
          </w:rPr>
          <w:t>1</w:t>
        </w:r>
      </w:fldSimple>
      <w:bookmarkEnd w:id="444"/>
      <w:r w:rsidRPr="000D7F55">
        <w:t>. Res/Com Technology Selection Process</w:t>
      </w:r>
      <w:bookmarkEnd w:id="445"/>
      <w:bookmarkEnd w:id="446"/>
      <w:bookmarkEnd w:id="447"/>
      <w:bookmarkEnd w:id="448"/>
    </w:p>
    <w:p w14:paraId="331359DB" w14:textId="77777777" w:rsidR="001326E6" w:rsidRPr="001326E6" w:rsidRDefault="001326E6" w:rsidP="001326E6">
      <w:pPr>
        <w:jc w:val="center"/>
        <w:rPr>
          <w:highlight w:val="yellow"/>
        </w:rPr>
      </w:pPr>
      <w:r w:rsidRPr="001326E6">
        <w:rPr>
          <w:noProof/>
        </w:rPr>
        <w:drawing>
          <wp:inline distT="0" distB="0" distL="0" distR="0" wp14:anchorId="648A7E67" wp14:editId="30202D88">
            <wp:extent cx="5943600" cy="2370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370455"/>
                    </a:xfrm>
                    <a:prstGeom prst="rect">
                      <a:avLst/>
                    </a:prstGeom>
                  </pic:spPr>
                </pic:pic>
              </a:graphicData>
            </a:graphic>
          </wp:inline>
        </w:drawing>
      </w:r>
    </w:p>
    <w:p w14:paraId="086B038C" w14:textId="77777777" w:rsidR="001326E6" w:rsidRPr="001326E6" w:rsidRDefault="001326E6" w:rsidP="001326E6"/>
    <w:p w14:paraId="0C73D54C" w14:textId="77777777" w:rsidR="001326E6" w:rsidRDefault="001326E6" w:rsidP="001326E6">
      <w:r w:rsidRPr="001326E6">
        <w:t xml:space="preserve">As depicted in </w:t>
      </w:r>
      <w:r w:rsidR="00857F44" w:rsidRPr="003745E5">
        <w:fldChar w:fldCharType="begin"/>
      </w:r>
      <w:r w:rsidR="00857F44" w:rsidRPr="00857F44">
        <w:instrText xml:space="preserve"> REF _Ref481576126 \h </w:instrText>
      </w:r>
      <w:r w:rsidR="00857F44">
        <w:instrText xml:space="preserve"> \* MERGEFORMAT </w:instrText>
      </w:r>
      <w:r w:rsidR="00857F44" w:rsidRPr="003745E5">
        <w:fldChar w:fldCharType="separate"/>
      </w:r>
      <w:r w:rsidR="007566B9" w:rsidRPr="000D7F55">
        <w:t xml:space="preserve">Figure </w:t>
      </w:r>
      <w:r w:rsidR="007566B9">
        <w:t>3</w:t>
      </w:r>
      <w:r w:rsidR="007566B9">
        <w:noBreakHyphen/>
        <w:t>1</w:t>
      </w:r>
      <w:r w:rsidR="00857F44" w:rsidRPr="003745E5">
        <w:fldChar w:fldCharType="end"/>
      </w:r>
      <w:r w:rsidR="00857F44">
        <w:t xml:space="preserve">, </w:t>
      </w:r>
      <w:r w:rsidRPr="001326E6">
        <w:t xml:space="preserve">the technology selection process involved multiple steps to arrive at the list of selected technologies. It involved review and inclusion of technologies from the California IOUs recent program databases (2014 to Q1.2016) and approved utility workpapers, consideration of technologies that provide below-code savings opportunities not considered previously, review and consideration of emerging technologies, and inclusion of technologies from Navigant’s internal technology databases used for other utility studies. Navigant presented an initial list of compiled technologies for stakeholder review </w:t>
      </w:r>
      <w:r w:rsidRPr="001326E6">
        <w:lastRenderedPageBreak/>
        <w:t>and feedback</w:t>
      </w:r>
      <w:r w:rsidR="004271B9">
        <w:t xml:space="preserve"> (in August 2016)</w:t>
      </w:r>
      <w:r w:rsidRPr="001326E6">
        <w:t xml:space="preserve">, addressed stakeholder comments and developed a final list of selected technologies for characterization. </w:t>
      </w:r>
    </w:p>
    <w:p w14:paraId="52CA8A5E" w14:textId="77777777" w:rsidR="004271B9" w:rsidRPr="001326E6" w:rsidRDefault="004271B9" w:rsidP="001326E6"/>
    <w:p w14:paraId="3F2B161C" w14:textId="77777777" w:rsidR="001326E6" w:rsidRPr="001326E6" w:rsidRDefault="00857F44" w:rsidP="001326E6">
      <w:r w:rsidRPr="003745E5">
        <w:rPr>
          <w:highlight w:val="yellow"/>
        </w:rPr>
        <w:fldChar w:fldCharType="begin"/>
      </w:r>
      <w:r w:rsidRPr="00857F44">
        <w:rPr>
          <w:highlight w:val="yellow"/>
        </w:rPr>
        <w:instrText xml:space="preserve"> REF _Ref481576161 \h </w:instrText>
      </w:r>
      <w:r>
        <w:rPr>
          <w:highlight w:val="yellow"/>
        </w:rPr>
        <w:instrText xml:space="preserve"> \* MERGEFORMAT </w:instrText>
      </w:r>
      <w:r w:rsidRPr="003745E5">
        <w:rPr>
          <w:highlight w:val="yellow"/>
        </w:rPr>
      </w:r>
      <w:r w:rsidRPr="003745E5">
        <w:rPr>
          <w:highlight w:val="yellow"/>
        </w:rPr>
        <w:fldChar w:fldCharType="separate"/>
      </w:r>
      <w:r w:rsidR="007566B9" w:rsidRPr="000D7F55">
        <w:t xml:space="preserve">Figure </w:t>
      </w:r>
      <w:r w:rsidR="007566B9">
        <w:t>3</w:t>
      </w:r>
      <w:r w:rsidR="007566B9">
        <w:noBreakHyphen/>
        <w:t>2</w:t>
      </w:r>
      <w:r w:rsidRPr="003745E5">
        <w:rPr>
          <w:highlight w:val="yellow"/>
        </w:rPr>
        <w:fldChar w:fldCharType="end"/>
      </w:r>
      <w:r w:rsidR="001326E6" w:rsidRPr="001326E6">
        <w:t xml:space="preserve"> below presents additional details associated with these steps. </w:t>
      </w:r>
    </w:p>
    <w:p w14:paraId="72FC0177" w14:textId="77777777" w:rsidR="001326E6" w:rsidRPr="001326E6" w:rsidRDefault="001326E6" w:rsidP="001326E6">
      <w:pPr>
        <w:keepNext/>
        <w:spacing w:after="120"/>
        <w:jc w:val="center"/>
        <w:rPr>
          <w:b/>
          <w:bCs/>
          <w:color w:val="3F4042"/>
          <w:szCs w:val="20"/>
        </w:rPr>
      </w:pPr>
    </w:p>
    <w:p w14:paraId="48D13581" w14:textId="77777777" w:rsidR="001326E6" w:rsidRPr="000D7F55" w:rsidRDefault="001326E6" w:rsidP="000D7F55">
      <w:pPr>
        <w:pStyle w:val="Caption"/>
      </w:pPr>
      <w:bookmarkStart w:id="449" w:name="_Ref481576161"/>
      <w:bookmarkStart w:id="450" w:name="_Toc482634248"/>
      <w:bookmarkStart w:id="451" w:name="_Toc482626456"/>
      <w:bookmarkStart w:id="452" w:name="_Toc484437000"/>
      <w:bookmarkStart w:id="453" w:name="_Toc490491726"/>
      <w:r w:rsidRPr="000D7F55">
        <w:t xml:space="preserve">Figure </w:t>
      </w:r>
      <w:fldSimple w:instr=" STYLEREF 1 \s ">
        <w:r w:rsidR="007566B9">
          <w:rPr>
            <w:noProof/>
          </w:rPr>
          <w:t>3</w:t>
        </w:r>
      </w:fldSimple>
      <w:r w:rsidR="00CE124F">
        <w:noBreakHyphen/>
      </w:r>
      <w:fldSimple w:instr=" SEQ Figure \* ARABIC \s 1 ">
        <w:r w:rsidR="007566B9">
          <w:rPr>
            <w:noProof/>
          </w:rPr>
          <w:t>2</w:t>
        </w:r>
      </w:fldSimple>
      <w:bookmarkEnd w:id="449"/>
      <w:r w:rsidRPr="000D7F55">
        <w:t>. Res/Com Technology List Development Process</w:t>
      </w:r>
      <w:bookmarkEnd w:id="450"/>
      <w:bookmarkEnd w:id="451"/>
      <w:bookmarkEnd w:id="452"/>
      <w:bookmarkEnd w:id="453"/>
    </w:p>
    <w:p w14:paraId="1CFE78B2" w14:textId="77777777" w:rsidR="001326E6" w:rsidRPr="001326E6" w:rsidRDefault="001326E6" w:rsidP="001326E6">
      <w:r w:rsidRPr="001326E6">
        <w:rPr>
          <w:noProof/>
          <w:lang w:eastAsia="zh-CN"/>
        </w:rPr>
        <w:t xml:space="preserve"> </w:t>
      </w:r>
      <w:r w:rsidR="00D12F86">
        <w:rPr>
          <w:noProof/>
        </w:rPr>
        <w:drawing>
          <wp:inline distT="0" distB="0" distL="0" distR="0" wp14:anchorId="5D7F7466" wp14:editId="7DA15D85">
            <wp:extent cx="5943600" cy="23888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388870"/>
                    </a:xfrm>
                    <a:prstGeom prst="rect">
                      <a:avLst/>
                    </a:prstGeom>
                  </pic:spPr>
                </pic:pic>
              </a:graphicData>
            </a:graphic>
          </wp:inline>
        </w:drawing>
      </w:r>
      <w:r w:rsidRPr="001326E6">
        <w:rPr>
          <w:noProof/>
          <w:lang w:eastAsia="zh-CN"/>
        </w:rPr>
        <w:t xml:space="preserve"> </w:t>
      </w:r>
    </w:p>
    <w:p w14:paraId="69690E8B" w14:textId="77777777" w:rsidR="001326E6" w:rsidRPr="001326E6" w:rsidRDefault="001326E6" w:rsidP="001326E6"/>
    <w:p w14:paraId="7E5FC814" w14:textId="77777777" w:rsidR="001326E6" w:rsidRPr="001326E6" w:rsidRDefault="001326E6" w:rsidP="001326E6"/>
    <w:p w14:paraId="3B8BA273" w14:textId="77777777" w:rsidR="001326E6" w:rsidRPr="001326E6" w:rsidRDefault="001326E6" w:rsidP="001326E6">
      <w:r w:rsidRPr="001326E6">
        <w:t xml:space="preserve">The first step in the technology selection process included a review of multiple information/data sources, described earlier, to develop a comprehensive and universal list of technology groups for consideration in the study (referred to as the “Full” list in </w:t>
      </w:r>
      <w:r w:rsidR="00857F44" w:rsidRPr="003745E5">
        <w:fldChar w:fldCharType="begin"/>
      </w:r>
      <w:r w:rsidR="00857F44" w:rsidRPr="00857F44">
        <w:instrText xml:space="preserve"> REF _Ref481576161 \h </w:instrText>
      </w:r>
      <w:r w:rsidR="00857F44">
        <w:instrText xml:space="preserve"> \* MERGEFORMAT </w:instrText>
      </w:r>
      <w:r w:rsidR="00857F44" w:rsidRPr="003745E5">
        <w:fldChar w:fldCharType="separate"/>
      </w:r>
      <w:r w:rsidR="007566B9" w:rsidRPr="000D7F55">
        <w:t xml:space="preserve">Figure </w:t>
      </w:r>
      <w:r w:rsidR="007566B9">
        <w:t>3</w:t>
      </w:r>
      <w:r w:rsidR="007566B9">
        <w:noBreakHyphen/>
        <w:t>2</w:t>
      </w:r>
      <w:r w:rsidR="00857F44" w:rsidRPr="003745E5">
        <w:fldChar w:fldCharType="end"/>
      </w:r>
      <w:r w:rsidRPr="001326E6">
        <w:t xml:space="preserve">). Note that a </w:t>
      </w:r>
      <w:r w:rsidRPr="001326E6">
        <w:rPr>
          <w:i/>
        </w:rPr>
        <w:t>“technology group”,</w:t>
      </w:r>
      <w:r w:rsidRPr="001326E6">
        <w:t xml:space="preserve"> defined and referred to earlier in Section 2.1 of the report, includes multiple technologies with different efficiency levels that compete for stock replacement under a</w:t>
      </w:r>
      <w:r w:rsidR="00857F44">
        <w:t>n</w:t>
      </w:r>
      <w:r w:rsidRPr="001326E6">
        <w:t xml:space="preserve"> end</w:t>
      </w:r>
      <w:r w:rsidR="00857F44">
        <w:t xml:space="preserve"> </w:t>
      </w:r>
      <w:r w:rsidRPr="001326E6">
        <w:t>use. “Technology group” is also commonly referred to as “competition group”. For e.g., residential ACs with different efficiency levels (ranging from SEER 10 to SEER 21) are considered a single technology group termed “Residential Air Conditioners” under residential HVAC. The “full” list was developed based on a review of different sources, which primarily include available databases in EEstats</w:t>
      </w:r>
      <w:r w:rsidRPr="001326E6">
        <w:rPr>
          <w:vertAlign w:val="superscript"/>
        </w:rPr>
        <w:footnoteReference w:id="51"/>
      </w:r>
      <w:r w:rsidRPr="001326E6">
        <w:t>, program savings data from California IOUs</w:t>
      </w:r>
      <w:r w:rsidRPr="001326E6">
        <w:rPr>
          <w:vertAlign w:val="superscript"/>
        </w:rPr>
        <w:footnoteReference w:id="52"/>
      </w:r>
      <w:r w:rsidRPr="001326E6">
        <w:t xml:space="preserve">, utility work papers, emerging technology databases, and Navigant’s internal technology database of energy efficient technologies outside of this study. </w:t>
      </w:r>
    </w:p>
    <w:p w14:paraId="76E3E0ED" w14:textId="77777777" w:rsidR="001326E6" w:rsidRPr="001326E6" w:rsidRDefault="001326E6" w:rsidP="001326E6"/>
    <w:p w14:paraId="1F38EB6C" w14:textId="77777777" w:rsidR="001326E6" w:rsidRPr="001326E6" w:rsidRDefault="001326E6" w:rsidP="001326E6">
      <w:r w:rsidRPr="001326E6">
        <w:t xml:space="preserve">The next step after developing the “full” list of technology groups was to parse it into two sets, a “selected” list and an “other reviewed” list, as depicted in </w:t>
      </w:r>
      <w:r w:rsidR="00857F44" w:rsidRPr="003745E5">
        <w:fldChar w:fldCharType="begin"/>
      </w:r>
      <w:r w:rsidR="00857F44" w:rsidRPr="00857F44">
        <w:instrText xml:space="preserve"> REF _Ref481576161 \h </w:instrText>
      </w:r>
      <w:r w:rsidR="00857F44">
        <w:instrText xml:space="preserve"> \* MERGEFORMAT </w:instrText>
      </w:r>
      <w:r w:rsidR="00857F44" w:rsidRPr="003745E5">
        <w:fldChar w:fldCharType="separate"/>
      </w:r>
      <w:r w:rsidR="007566B9" w:rsidRPr="000D7F55">
        <w:t xml:space="preserve">Figure </w:t>
      </w:r>
      <w:r w:rsidR="007566B9">
        <w:t>3</w:t>
      </w:r>
      <w:r w:rsidR="007566B9">
        <w:noBreakHyphen/>
        <w:t>2</w:t>
      </w:r>
      <w:r w:rsidR="00857F44" w:rsidRPr="003745E5">
        <w:fldChar w:fldCharType="end"/>
      </w:r>
      <w:r w:rsidRPr="001326E6">
        <w:t>. The “selected” list at this stage included representative technology groups from the California IOUs’ program portfolios that provide bulk of the savings</w:t>
      </w:r>
      <w:r w:rsidRPr="001326E6">
        <w:rPr>
          <w:vertAlign w:val="superscript"/>
        </w:rPr>
        <w:footnoteReference w:id="53"/>
      </w:r>
      <w:r w:rsidRPr="001326E6">
        <w:t xml:space="preserve">, new below-code technologies not considered previously, refreshed list of emerging </w:t>
      </w:r>
      <w:r w:rsidRPr="001326E6">
        <w:lastRenderedPageBreak/>
        <w:t xml:space="preserve">technologies, and relevant technologies included through Navigant’s benchmarking with other similar potential studies. Technology groups not included in the “selected” list were in the “other Reviewed” list. </w:t>
      </w:r>
    </w:p>
    <w:p w14:paraId="65AC4382" w14:textId="77777777" w:rsidR="001326E6" w:rsidRPr="001326E6" w:rsidRDefault="001326E6" w:rsidP="001326E6"/>
    <w:p w14:paraId="1CA6B1B0" w14:textId="77777777" w:rsidR="001326E6" w:rsidRPr="001326E6" w:rsidRDefault="001326E6" w:rsidP="001326E6">
      <w:r w:rsidRPr="001326E6">
        <w:t>Navigant presented this list of “selected” and “other reviewed” technology groups for stakeholder review and feedback</w:t>
      </w:r>
      <w:r w:rsidR="00D12F86">
        <w:t>.</w:t>
      </w:r>
      <w:r w:rsidRPr="001326E6">
        <w:rPr>
          <w:vertAlign w:val="superscript"/>
        </w:rPr>
        <w:footnoteReference w:id="54"/>
      </w:r>
      <w:r w:rsidRPr="001326E6">
        <w:t xml:space="preserve"> </w:t>
      </w:r>
      <w:r w:rsidR="00D12F86">
        <w:t xml:space="preserve"> From stakeholder comments, the team </w:t>
      </w:r>
      <w:r w:rsidRPr="001326E6">
        <w:t xml:space="preserve">developed a </w:t>
      </w:r>
      <w:r w:rsidRPr="001326E6">
        <w:rPr>
          <w:b/>
        </w:rPr>
        <w:t>“</w:t>
      </w:r>
      <w:r w:rsidRPr="008337C9">
        <w:t>final</w:t>
      </w:r>
      <w:r w:rsidRPr="001326E6">
        <w:rPr>
          <w:b/>
        </w:rPr>
        <w:t>”</w:t>
      </w:r>
      <w:r w:rsidRPr="001326E6">
        <w:t xml:space="preserve"> list of technology groups that addressed stakeholder comments. This final list served as the starting point for developing the full list of individual technologies under each technology group. As discussed earlier</w:t>
      </w:r>
      <w:r w:rsidR="008F2AD6">
        <w:t xml:space="preserve"> in section </w:t>
      </w:r>
      <w:r w:rsidR="008F2AD6">
        <w:fldChar w:fldCharType="begin"/>
      </w:r>
      <w:r w:rsidR="008F2AD6">
        <w:instrText xml:space="preserve"> REF _Ref477347831 \n \h </w:instrText>
      </w:r>
      <w:r w:rsidR="008F2AD6">
        <w:fldChar w:fldCharType="separate"/>
      </w:r>
      <w:r w:rsidR="007566B9">
        <w:t>2.1.1.2</w:t>
      </w:r>
      <w:r w:rsidR="008F2AD6">
        <w:fldChar w:fldCharType="end"/>
      </w:r>
      <w:r w:rsidRPr="001326E6">
        <w:t xml:space="preserve">, the individual technologies in each technology group represent “average </w:t>
      </w:r>
      <w:r w:rsidR="006807F5">
        <w:t>below code</w:t>
      </w:r>
      <w:r w:rsidRPr="001326E6">
        <w:t xml:space="preserve">”, “code” and “efficient” technologies that compete for stock replacement. </w:t>
      </w:r>
      <w:r w:rsidR="00D12F86" w:rsidRPr="00D12F86">
        <w:rPr>
          <w:highlight w:val="yellow"/>
        </w:rPr>
        <w:fldChar w:fldCharType="begin"/>
      </w:r>
      <w:r w:rsidR="00D12F86" w:rsidRPr="00D12F86">
        <w:instrText xml:space="preserve"> REF _Ref481651572 \h </w:instrText>
      </w:r>
      <w:r w:rsidR="00D12F86">
        <w:rPr>
          <w:highlight w:val="yellow"/>
        </w:rPr>
        <w:instrText xml:space="preserve"> \* MERGEFORMAT </w:instrText>
      </w:r>
      <w:r w:rsidR="00D12F86" w:rsidRPr="00D12F86">
        <w:rPr>
          <w:highlight w:val="yellow"/>
        </w:rPr>
      </w:r>
      <w:r w:rsidR="00D12F86" w:rsidRPr="00D12F86">
        <w:rPr>
          <w:highlight w:val="yellow"/>
        </w:rPr>
        <w:fldChar w:fldCharType="separate"/>
      </w:r>
      <w:r w:rsidR="007566B9" w:rsidRPr="00D063E4">
        <w:t xml:space="preserve">Table </w:t>
      </w:r>
      <w:r w:rsidR="007566B9">
        <w:t>3</w:t>
      </w:r>
      <w:r w:rsidR="007566B9" w:rsidRPr="00D063E4">
        <w:noBreakHyphen/>
      </w:r>
      <w:r w:rsidR="007566B9">
        <w:t>9</w:t>
      </w:r>
      <w:r w:rsidR="00D12F86" w:rsidRPr="00D12F86">
        <w:rPr>
          <w:highlight w:val="yellow"/>
        </w:rPr>
        <w:fldChar w:fldCharType="end"/>
      </w:r>
      <w:r w:rsidRPr="001326E6">
        <w:t xml:space="preserve"> below shows the number of technology groups and individual technologies characterized in the study, by end use for residential and commercial sectors. This includes technologies included under both fuel types, electric and gas.</w:t>
      </w:r>
      <w:r w:rsidRPr="001326E6">
        <w:rPr>
          <w:vertAlign w:val="superscript"/>
        </w:rPr>
        <w:footnoteReference w:id="55"/>
      </w:r>
      <w:r w:rsidRPr="001326E6">
        <w:t xml:space="preserve"> </w:t>
      </w:r>
    </w:p>
    <w:p w14:paraId="41FB7026" w14:textId="77777777" w:rsidR="001326E6" w:rsidRPr="001326E6" w:rsidRDefault="001326E6" w:rsidP="001326E6"/>
    <w:p w14:paraId="660A3905" w14:textId="77777777" w:rsidR="001326E6" w:rsidRPr="00D063E4" w:rsidRDefault="001326E6" w:rsidP="00D063E4">
      <w:pPr>
        <w:pStyle w:val="Caption"/>
      </w:pPr>
      <w:bookmarkStart w:id="454" w:name="_Ref481651572"/>
      <w:bookmarkStart w:id="455" w:name="_Toc482634216"/>
      <w:bookmarkStart w:id="456" w:name="_Toc484436955"/>
      <w:bookmarkStart w:id="457" w:name="_Toc490560667"/>
      <w:r w:rsidRPr="00D063E4">
        <w:lastRenderedPageBreak/>
        <w:t xml:space="preserve">Table </w:t>
      </w:r>
      <w:fldSimple w:instr=" STYLEREF 1 \s ">
        <w:r w:rsidR="007566B9">
          <w:rPr>
            <w:noProof/>
          </w:rPr>
          <w:t>3</w:t>
        </w:r>
      </w:fldSimple>
      <w:r w:rsidR="00C17D59" w:rsidRPr="00D063E4">
        <w:noBreakHyphen/>
      </w:r>
      <w:fldSimple w:instr=" SEQ Table \* ARABIC \s 1 ">
        <w:r w:rsidR="007566B9">
          <w:rPr>
            <w:noProof/>
          </w:rPr>
          <w:t>9</w:t>
        </w:r>
      </w:fldSimple>
      <w:bookmarkEnd w:id="454"/>
      <w:r w:rsidRPr="00D063E4">
        <w:t>.  Final List of Technology Groups (with Examples) and Individual Technologies</w:t>
      </w:r>
      <w:bookmarkEnd w:id="455"/>
      <w:bookmarkEnd w:id="456"/>
      <w:bookmarkEnd w:id="457"/>
    </w:p>
    <w:tbl>
      <w:tblPr>
        <w:tblStyle w:val="EnergyTable1"/>
        <w:tblW w:w="5000" w:type="pct"/>
        <w:tblLook w:val="04A0" w:firstRow="1" w:lastRow="0" w:firstColumn="1" w:lastColumn="0" w:noHBand="0" w:noVBand="1"/>
      </w:tblPr>
      <w:tblGrid>
        <w:gridCol w:w="1753"/>
        <w:gridCol w:w="1967"/>
        <w:gridCol w:w="1934"/>
        <w:gridCol w:w="1737"/>
        <w:gridCol w:w="1969"/>
      </w:tblGrid>
      <w:tr w:rsidR="001326E6" w:rsidRPr="00957936" w14:paraId="182BA5F5" w14:textId="77777777" w:rsidTr="00AF21BE">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pct"/>
          </w:tcPr>
          <w:p w14:paraId="313A5F24" w14:textId="77777777" w:rsidR="001326E6" w:rsidRPr="00957936" w:rsidRDefault="001326E6" w:rsidP="00A330AB">
            <w:pPr>
              <w:keepNext/>
              <w:rPr>
                <w:rFonts w:ascii="Arial Narrow" w:hAnsi="Arial Narrow" w:cs="Arial"/>
                <w:sz w:val="18"/>
                <w:szCs w:val="18"/>
              </w:rPr>
            </w:pPr>
            <w:r w:rsidRPr="00957936">
              <w:rPr>
                <w:rFonts w:ascii="Arial Narrow" w:hAnsi="Arial Narrow" w:cs="Arial"/>
                <w:sz w:val="18"/>
                <w:szCs w:val="18"/>
              </w:rPr>
              <w:t>Sector</w:t>
            </w:r>
          </w:p>
        </w:tc>
        <w:tc>
          <w:tcPr>
            <w:tcW w:w="0" w:type="pct"/>
          </w:tcPr>
          <w:p w14:paraId="2760B841" w14:textId="77777777" w:rsidR="001326E6" w:rsidRPr="00957936" w:rsidRDefault="001326E6" w:rsidP="00A330AB">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End Use</w:t>
            </w:r>
          </w:p>
        </w:tc>
        <w:tc>
          <w:tcPr>
            <w:tcW w:w="0" w:type="pct"/>
          </w:tcPr>
          <w:p w14:paraId="448956BA" w14:textId="77777777" w:rsidR="001326E6" w:rsidRPr="00957936" w:rsidRDefault="001326E6" w:rsidP="00A330AB">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Technology Group Examples</w:t>
            </w:r>
            <w:r w:rsidRPr="00957936">
              <w:rPr>
                <w:rFonts w:ascii="Arial Narrow" w:hAnsi="Arial Narrow" w:cs="Arial"/>
                <w:sz w:val="18"/>
                <w:szCs w:val="18"/>
                <w:vertAlign w:val="superscript"/>
              </w:rPr>
              <w:footnoteReference w:id="56"/>
            </w:r>
          </w:p>
        </w:tc>
        <w:tc>
          <w:tcPr>
            <w:tcW w:w="0" w:type="pct"/>
          </w:tcPr>
          <w:p w14:paraId="63D0F17D" w14:textId="77777777" w:rsidR="001326E6" w:rsidRPr="00957936" w:rsidRDefault="001326E6" w:rsidP="00A330AB">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 xml:space="preserve">Number of Technology Groups </w:t>
            </w:r>
          </w:p>
        </w:tc>
        <w:tc>
          <w:tcPr>
            <w:tcW w:w="0" w:type="pct"/>
          </w:tcPr>
          <w:p w14:paraId="61CD3308" w14:textId="77777777" w:rsidR="001326E6" w:rsidRPr="00957936" w:rsidRDefault="001326E6" w:rsidP="00A330AB">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Number of Individual Technologies</w:t>
            </w:r>
            <w:r w:rsidRPr="00957936">
              <w:rPr>
                <w:rFonts w:ascii="Arial Narrow" w:hAnsi="Arial Narrow" w:cs="Arial"/>
                <w:sz w:val="18"/>
                <w:szCs w:val="18"/>
                <w:vertAlign w:val="superscript"/>
              </w:rPr>
              <w:footnoteReference w:id="57"/>
            </w:r>
          </w:p>
        </w:tc>
      </w:tr>
      <w:tr w:rsidR="001326E6" w:rsidRPr="00957936" w14:paraId="3B0D0B82" w14:textId="77777777" w:rsidTr="00AF21BE">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pct"/>
            <w:vMerge w:val="restart"/>
          </w:tcPr>
          <w:p w14:paraId="5D8A58A2" w14:textId="77777777" w:rsidR="001326E6" w:rsidRPr="00957936" w:rsidRDefault="001326E6" w:rsidP="00A330AB">
            <w:pPr>
              <w:keepNext/>
              <w:rPr>
                <w:rFonts w:ascii="Arial Narrow" w:hAnsi="Arial Narrow" w:cs="Arial"/>
                <w:b/>
                <w:sz w:val="18"/>
                <w:szCs w:val="18"/>
              </w:rPr>
            </w:pPr>
            <w:r w:rsidRPr="00957936">
              <w:rPr>
                <w:rFonts w:ascii="Arial Narrow" w:hAnsi="Arial Narrow" w:cs="Arial"/>
                <w:b/>
                <w:sz w:val="18"/>
                <w:szCs w:val="18"/>
              </w:rPr>
              <w:t>Residential</w:t>
            </w:r>
          </w:p>
        </w:tc>
        <w:tc>
          <w:tcPr>
            <w:tcW w:w="0" w:type="pct"/>
          </w:tcPr>
          <w:p w14:paraId="1F771446"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Appliances/Plug Loads</w:t>
            </w:r>
          </w:p>
        </w:tc>
        <w:tc>
          <w:tcPr>
            <w:tcW w:w="0" w:type="pct"/>
          </w:tcPr>
          <w:p w14:paraId="3651779B"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Refrigerators, Pool Pumps, Clothes Dryers.</w:t>
            </w:r>
          </w:p>
        </w:tc>
        <w:tc>
          <w:tcPr>
            <w:tcW w:w="0" w:type="pct"/>
          </w:tcPr>
          <w:p w14:paraId="6E66354B"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13</w:t>
            </w:r>
          </w:p>
        </w:tc>
        <w:tc>
          <w:tcPr>
            <w:tcW w:w="0" w:type="pct"/>
          </w:tcPr>
          <w:p w14:paraId="62178318" w14:textId="77777777" w:rsidR="001326E6" w:rsidRPr="00957936" w:rsidRDefault="00057D8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42</w:t>
            </w:r>
          </w:p>
        </w:tc>
      </w:tr>
      <w:tr w:rsidR="001326E6" w:rsidRPr="00957936" w14:paraId="64D66551" w14:textId="77777777" w:rsidTr="00AF21BE">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pct"/>
            <w:vMerge/>
          </w:tcPr>
          <w:p w14:paraId="7E7F4141" w14:textId="77777777" w:rsidR="001326E6" w:rsidRPr="00957936" w:rsidRDefault="001326E6" w:rsidP="00A330AB">
            <w:pPr>
              <w:keepNext/>
              <w:rPr>
                <w:rFonts w:ascii="Arial Narrow" w:hAnsi="Arial Narrow" w:cs="Arial"/>
                <w:sz w:val="18"/>
                <w:szCs w:val="18"/>
              </w:rPr>
            </w:pPr>
          </w:p>
        </w:tc>
        <w:tc>
          <w:tcPr>
            <w:tcW w:w="0" w:type="pct"/>
          </w:tcPr>
          <w:p w14:paraId="72F7624E"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Building Envelope</w:t>
            </w:r>
          </w:p>
        </w:tc>
        <w:tc>
          <w:tcPr>
            <w:tcW w:w="0" w:type="pct"/>
          </w:tcPr>
          <w:p w14:paraId="178348BE"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Weatherization, Attic Duct Insulation, Windows.</w:t>
            </w:r>
          </w:p>
        </w:tc>
        <w:tc>
          <w:tcPr>
            <w:tcW w:w="0" w:type="pct"/>
          </w:tcPr>
          <w:p w14:paraId="228A64FC"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w:t>
            </w:r>
            <w:r w:rsidR="00D351A6">
              <w:rPr>
                <w:rFonts w:ascii="Arial Narrow" w:hAnsi="Arial Narrow" w:cs="Arial"/>
                <w:sz w:val="18"/>
                <w:szCs w:val="18"/>
              </w:rPr>
              <w:t>3</w:t>
            </w:r>
          </w:p>
        </w:tc>
        <w:tc>
          <w:tcPr>
            <w:tcW w:w="0" w:type="pct"/>
          </w:tcPr>
          <w:p w14:paraId="3250E7B9" w14:textId="77777777" w:rsidR="001326E6" w:rsidRPr="00957936" w:rsidRDefault="00D351A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39</w:t>
            </w:r>
          </w:p>
        </w:tc>
      </w:tr>
      <w:tr w:rsidR="001326E6" w:rsidRPr="00957936" w14:paraId="0B38383B" w14:textId="77777777" w:rsidTr="00AF21BE">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0" w:type="pct"/>
            <w:vMerge/>
          </w:tcPr>
          <w:p w14:paraId="0FF9CEB6" w14:textId="77777777" w:rsidR="001326E6" w:rsidRPr="00957936" w:rsidRDefault="001326E6" w:rsidP="00A330AB">
            <w:pPr>
              <w:keepNext/>
              <w:rPr>
                <w:rFonts w:ascii="Arial Narrow" w:hAnsi="Arial Narrow" w:cs="Arial"/>
                <w:sz w:val="18"/>
                <w:szCs w:val="18"/>
              </w:rPr>
            </w:pPr>
          </w:p>
        </w:tc>
        <w:tc>
          <w:tcPr>
            <w:tcW w:w="0" w:type="pct"/>
          </w:tcPr>
          <w:p w14:paraId="7D7BE060"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HVAC</w:t>
            </w:r>
          </w:p>
        </w:tc>
        <w:tc>
          <w:tcPr>
            <w:tcW w:w="0" w:type="pct"/>
          </w:tcPr>
          <w:p w14:paraId="145BAEED"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 xml:space="preserve">Air Conditioners, Heat Pumps, Ceiling Fans. </w:t>
            </w:r>
          </w:p>
        </w:tc>
        <w:tc>
          <w:tcPr>
            <w:tcW w:w="0" w:type="pct"/>
          </w:tcPr>
          <w:p w14:paraId="1C526AE1"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16</w:t>
            </w:r>
          </w:p>
        </w:tc>
        <w:tc>
          <w:tcPr>
            <w:tcW w:w="0" w:type="pct"/>
          </w:tcPr>
          <w:p w14:paraId="20DAF6BB" w14:textId="77777777" w:rsidR="001326E6" w:rsidRPr="00957936" w:rsidRDefault="00D351A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47</w:t>
            </w:r>
          </w:p>
        </w:tc>
      </w:tr>
      <w:tr w:rsidR="001326E6" w:rsidRPr="00957936" w14:paraId="42606527" w14:textId="77777777" w:rsidTr="00AF21BE">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pct"/>
            <w:vMerge/>
          </w:tcPr>
          <w:p w14:paraId="06D1F02D" w14:textId="77777777" w:rsidR="001326E6" w:rsidRPr="00957936" w:rsidRDefault="001326E6" w:rsidP="00A330AB">
            <w:pPr>
              <w:keepNext/>
              <w:rPr>
                <w:rFonts w:ascii="Arial Narrow" w:hAnsi="Arial Narrow" w:cs="Arial"/>
                <w:sz w:val="18"/>
                <w:szCs w:val="18"/>
              </w:rPr>
            </w:pPr>
          </w:p>
        </w:tc>
        <w:tc>
          <w:tcPr>
            <w:tcW w:w="0" w:type="pct"/>
          </w:tcPr>
          <w:p w14:paraId="3EF79F6D"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Lighting</w:t>
            </w:r>
          </w:p>
        </w:tc>
        <w:tc>
          <w:tcPr>
            <w:tcW w:w="0" w:type="pct"/>
          </w:tcPr>
          <w:p w14:paraId="3CABF177"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 xml:space="preserve">Indoor Screw-in Lamps, Specialty Lamps, Linear Fixtures. </w:t>
            </w:r>
          </w:p>
        </w:tc>
        <w:tc>
          <w:tcPr>
            <w:tcW w:w="0" w:type="pct"/>
          </w:tcPr>
          <w:p w14:paraId="2B5B260B"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w:t>
            </w:r>
            <w:r w:rsidR="00D351A6">
              <w:rPr>
                <w:rFonts w:ascii="Arial Narrow" w:hAnsi="Arial Narrow" w:cs="Arial"/>
                <w:sz w:val="18"/>
                <w:szCs w:val="18"/>
              </w:rPr>
              <w:t>3</w:t>
            </w:r>
          </w:p>
        </w:tc>
        <w:tc>
          <w:tcPr>
            <w:tcW w:w="0" w:type="pct"/>
          </w:tcPr>
          <w:p w14:paraId="62CF363B" w14:textId="77777777" w:rsidR="001326E6" w:rsidRPr="00957936" w:rsidRDefault="00D351A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50</w:t>
            </w:r>
          </w:p>
        </w:tc>
      </w:tr>
      <w:tr w:rsidR="001326E6" w:rsidRPr="00957936" w14:paraId="42ACD32F" w14:textId="77777777" w:rsidTr="00AF21BE">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0" w:type="pct"/>
            <w:vMerge/>
          </w:tcPr>
          <w:p w14:paraId="07155C58" w14:textId="77777777" w:rsidR="001326E6" w:rsidRPr="00957936" w:rsidRDefault="001326E6" w:rsidP="00A330AB">
            <w:pPr>
              <w:keepNext/>
              <w:rPr>
                <w:rFonts w:ascii="Arial Narrow" w:hAnsi="Arial Narrow" w:cs="Arial"/>
                <w:sz w:val="18"/>
                <w:szCs w:val="18"/>
              </w:rPr>
            </w:pPr>
          </w:p>
        </w:tc>
        <w:tc>
          <w:tcPr>
            <w:tcW w:w="0" w:type="pct"/>
          </w:tcPr>
          <w:p w14:paraId="598440E8"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Water Heating</w:t>
            </w:r>
          </w:p>
        </w:tc>
        <w:tc>
          <w:tcPr>
            <w:tcW w:w="0" w:type="pct"/>
          </w:tcPr>
          <w:p w14:paraId="41BAF32D"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Electric Water Heaters, Faucet Aerators, Showerhead.</w:t>
            </w:r>
          </w:p>
        </w:tc>
        <w:tc>
          <w:tcPr>
            <w:tcW w:w="0" w:type="pct"/>
          </w:tcPr>
          <w:p w14:paraId="3C0FD898" w14:textId="77777777" w:rsidR="001326E6" w:rsidRPr="00957936" w:rsidRDefault="00D351A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9</w:t>
            </w:r>
          </w:p>
        </w:tc>
        <w:tc>
          <w:tcPr>
            <w:tcW w:w="0" w:type="pct"/>
          </w:tcPr>
          <w:p w14:paraId="46F5117D" w14:textId="77777777" w:rsidR="001326E6" w:rsidRPr="00957936" w:rsidRDefault="00D351A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23</w:t>
            </w:r>
          </w:p>
        </w:tc>
      </w:tr>
      <w:tr w:rsidR="001326E6" w:rsidRPr="00957936" w14:paraId="2363F39C" w14:textId="77777777" w:rsidTr="00AF21BE">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0" w:type="pct"/>
            <w:vMerge/>
          </w:tcPr>
          <w:p w14:paraId="7B2E85B1" w14:textId="77777777" w:rsidR="001326E6" w:rsidRPr="00957936" w:rsidRDefault="001326E6" w:rsidP="00A330AB">
            <w:pPr>
              <w:keepNext/>
              <w:rPr>
                <w:rFonts w:ascii="Arial Narrow" w:hAnsi="Arial Narrow" w:cs="Arial"/>
                <w:sz w:val="18"/>
                <w:szCs w:val="18"/>
              </w:rPr>
            </w:pPr>
          </w:p>
        </w:tc>
        <w:tc>
          <w:tcPr>
            <w:tcW w:w="0" w:type="pct"/>
          </w:tcPr>
          <w:p w14:paraId="42CBCC6A"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Total</w:t>
            </w:r>
          </w:p>
        </w:tc>
        <w:tc>
          <w:tcPr>
            <w:tcW w:w="0" w:type="pct"/>
          </w:tcPr>
          <w:p w14:paraId="1F6DD4C1"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p>
        </w:tc>
        <w:tc>
          <w:tcPr>
            <w:tcW w:w="0" w:type="pct"/>
          </w:tcPr>
          <w:p w14:paraId="5387A636" w14:textId="77777777" w:rsidR="001326E6" w:rsidRPr="00957936" w:rsidDel="0064218F"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6</w:t>
            </w:r>
            <w:r w:rsidR="00D351A6">
              <w:rPr>
                <w:rFonts w:ascii="Arial Narrow" w:hAnsi="Arial Narrow" w:cs="Arial"/>
                <w:b/>
                <w:sz w:val="18"/>
                <w:szCs w:val="18"/>
              </w:rPr>
              <w:t>4</w:t>
            </w:r>
          </w:p>
        </w:tc>
        <w:tc>
          <w:tcPr>
            <w:tcW w:w="0" w:type="pct"/>
          </w:tcPr>
          <w:p w14:paraId="16004501" w14:textId="77777777" w:rsidR="001326E6" w:rsidRPr="00957936" w:rsidRDefault="00D351A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Pr>
                <w:rFonts w:ascii="Arial Narrow" w:hAnsi="Arial Narrow" w:cs="Arial"/>
                <w:b/>
                <w:sz w:val="18"/>
                <w:szCs w:val="18"/>
              </w:rPr>
              <w:t>20</w:t>
            </w:r>
            <w:r w:rsidR="00057D86">
              <w:rPr>
                <w:rFonts w:ascii="Arial Narrow" w:hAnsi="Arial Narrow" w:cs="Arial"/>
                <w:b/>
                <w:sz w:val="18"/>
                <w:szCs w:val="18"/>
              </w:rPr>
              <w:t>1</w:t>
            </w:r>
          </w:p>
        </w:tc>
      </w:tr>
      <w:tr w:rsidR="001326E6" w:rsidRPr="00957936" w14:paraId="65927950" w14:textId="77777777" w:rsidTr="00AF21BE">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0" w:type="pct"/>
            <w:vMerge w:val="restart"/>
          </w:tcPr>
          <w:p w14:paraId="4C855CA5" w14:textId="77777777" w:rsidR="001326E6" w:rsidRPr="00957936" w:rsidRDefault="001326E6" w:rsidP="00A330AB">
            <w:pPr>
              <w:keepNext/>
              <w:rPr>
                <w:rFonts w:ascii="Arial Narrow" w:hAnsi="Arial Narrow" w:cs="Arial"/>
                <w:b/>
                <w:sz w:val="18"/>
                <w:szCs w:val="18"/>
              </w:rPr>
            </w:pPr>
            <w:r w:rsidRPr="00957936">
              <w:rPr>
                <w:rFonts w:ascii="Arial Narrow" w:hAnsi="Arial Narrow" w:cs="Arial"/>
                <w:b/>
                <w:sz w:val="18"/>
                <w:szCs w:val="18"/>
              </w:rPr>
              <w:t>Commercial</w:t>
            </w:r>
          </w:p>
        </w:tc>
        <w:tc>
          <w:tcPr>
            <w:tcW w:w="0" w:type="pct"/>
          </w:tcPr>
          <w:p w14:paraId="33400FE4"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Appliances/Plug Loads</w:t>
            </w:r>
          </w:p>
        </w:tc>
        <w:tc>
          <w:tcPr>
            <w:tcW w:w="0" w:type="pct"/>
          </w:tcPr>
          <w:p w14:paraId="3BAE7186"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 xml:space="preserve">Power Strips, Servers, Vending Controls. </w:t>
            </w:r>
          </w:p>
        </w:tc>
        <w:tc>
          <w:tcPr>
            <w:tcW w:w="0" w:type="pct"/>
          </w:tcPr>
          <w:p w14:paraId="2E45F766"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w:t>
            </w:r>
            <w:r w:rsidR="00D351A6">
              <w:rPr>
                <w:rFonts w:ascii="Arial Narrow" w:hAnsi="Arial Narrow" w:cs="Arial"/>
                <w:sz w:val="18"/>
                <w:szCs w:val="18"/>
              </w:rPr>
              <w:t>4</w:t>
            </w:r>
          </w:p>
        </w:tc>
        <w:tc>
          <w:tcPr>
            <w:tcW w:w="0" w:type="pct"/>
          </w:tcPr>
          <w:p w14:paraId="4D30D61A" w14:textId="77777777" w:rsidR="001326E6" w:rsidRPr="00957936" w:rsidRDefault="00057D8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4</w:t>
            </w:r>
            <w:r w:rsidR="00D351A6">
              <w:rPr>
                <w:rFonts w:ascii="Arial Narrow" w:hAnsi="Arial Narrow" w:cs="Arial"/>
                <w:sz w:val="18"/>
                <w:szCs w:val="18"/>
              </w:rPr>
              <w:t>3</w:t>
            </w:r>
          </w:p>
        </w:tc>
      </w:tr>
      <w:tr w:rsidR="001326E6" w:rsidRPr="00957936" w14:paraId="648DCC30" w14:textId="77777777" w:rsidTr="00AF21BE">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pct"/>
            <w:vMerge/>
          </w:tcPr>
          <w:p w14:paraId="3F44D20C" w14:textId="77777777" w:rsidR="001326E6" w:rsidRPr="00957936" w:rsidRDefault="001326E6" w:rsidP="00A330AB">
            <w:pPr>
              <w:keepNext/>
              <w:rPr>
                <w:rFonts w:ascii="Arial Narrow" w:hAnsi="Arial Narrow" w:cs="Arial"/>
                <w:sz w:val="18"/>
                <w:szCs w:val="18"/>
              </w:rPr>
            </w:pPr>
          </w:p>
        </w:tc>
        <w:tc>
          <w:tcPr>
            <w:tcW w:w="0" w:type="pct"/>
          </w:tcPr>
          <w:p w14:paraId="4E3AE3FC"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Building Envelope</w:t>
            </w:r>
          </w:p>
        </w:tc>
        <w:tc>
          <w:tcPr>
            <w:tcW w:w="0" w:type="pct"/>
          </w:tcPr>
          <w:p w14:paraId="44491B48"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Ceiling/Roof Insulation, Wall Insulation, Windows.</w:t>
            </w:r>
          </w:p>
        </w:tc>
        <w:tc>
          <w:tcPr>
            <w:tcW w:w="0" w:type="pct"/>
          </w:tcPr>
          <w:p w14:paraId="43A85FBD"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6</w:t>
            </w:r>
          </w:p>
        </w:tc>
        <w:tc>
          <w:tcPr>
            <w:tcW w:w="0" w:type="pct"/>
          </w:tcPr>
          <w:p w14:paraId="2D6DB38C" w14:textId="77777777" w:rsidR="001326E6" w:rsidRPr="00957936" w:rsidRDefault="00057D8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19</w:t>
            </w:r>
          </w:p>
        </w:tc>
      </w:tr>
      <w:tr w:rsidR="001326E6" w:rsidRPr="00957936" w14:paraId="02668CC2" w14:textId="77777777" w:rsidTr="00AF21B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pct"/>
            <w:vMerge/>
          </w:tcPr>
          <w:p w14:paraId="2EDF2E79" w14:textId="77777777" w:rsidR="001326E6" w:rsidRPr="00957936" w:rsidRDefault="001326E6" w:rsidP="00A330AB">
            <w:pPr>
              <w:keepNext/>
              <w:rPr>
                <w:rFonts w:ascii="Arial Narrow" w:hAnsi="Arial Narrow" w:cs="Arial"/>
                <w:sz w:val="18"/>
                <w:szCs w:val="18"/>
              </w:rPr>
            </w:pPr>
          </w:p>
        </w:tc>
        <w:tc>
          <w:tcPr>
            <w:tcW w:w="0" w:type="pct"/>
          </w:tcPr>
          <w:p w14:paraId="4306940D"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Com. Refrigeration</w:t>
            </w:r>
          </w:p>
        </w:tc>
        <w:tc>
          <w:tcPr>
            <w:tcW w:w="0" w:type="pct"/>
          </w:tcPr>
          <w:p w14:paraId="6E6A841F"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Display Case Motors, Strip Curtains, Anti Sweat Heat Controls.</w:t>
            </w:r>
          </w:p>
        </w:tc>
        <w:tc>
          <w:tcPr>
            <w:tcW w:w="0" w:type="pct"/>
          </w:tcPr>
          <w:p w14:paraId="075B8B75" w14:textId="77777777" w:rsidR="001326E6" w:rsidRPr="00957936" w:rsidRDefault="00D351A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8</w:t>
            </w:r>
          </w:p>
        </w:tc>
        <w:tc>
          <w:tcPr>
            <w:tcW w:w="0" w:type="pct"/>
          </w:tcPr>
          <w:p w14:paraId="5E01B416" w14:textId="77777777" w:rsidR="001326E6" w:rsidRPr="00957936" w:rsidRDefault="00D351A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19</w:t>
            </w:r>
          </w:p>
        </w:tc>
      </w:tr>
      <w:tr w:rsidR="001326E6" w:rsidRPr="00957936" w14:paraId="442A0252" w14:textId="77777777" w:rsidTr="00AF21BE">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pct"/>
            <w:vMerge/>
          </w:tcPr>
          <w:p w14:paraId="33329D02" w14:textId="77777777" w:rsidR="001326E6" w:rsidRPr="00957936" w:rsidRDefault="001326E6" w:rsidP="00A330AB">
            <w:pPr>
              <w:keepNext/>
              <w:rPr>
                <w:rFonts w:ascii="Arial Narrow" w:hAnsi="Arial Narrow" w:cs="Arial"/>
                <w:sz w:val="18"/>
                <w:szCs w:val="18"/>
              </w:rPr>
            </w:pPr>
          </w:p>
        </w:tc>
        <w:tc>
          <w:tcPr>
            <w:tcW w:w="0" w:type="pct"/>
          </w:tcPr>
          <w:p w14:paraId="37BE27DA"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Data Center</w:t>
            </w:r>
          </w:p>
        </w:tc>
        <w:tc>
          <w:tcPr>
            <w:tcW w:w="0" w:type="pct"/>
          </w:tcPr>
          <w:p w14:paraId="150BA3AD"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Server Virtualization, High efficiency UPS, CRAC upgrades.</w:t>
            </w:r>
          </w:p>
        </w:tc>
        <w:tc>
          <w:tcPr>
            <w:tcW w:w="0" w:type="pct"/>
          </w:tcPr>
          <w:p w14:paraId="7A92D047" w14:textId="77777777" w:rsidR="001326E6" w:rsidRPr="00957936" w:rsidRDefault="00D351A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5</w:t>
            </w:r>
          </w:p>
        </w:tc>
        <w:tc>
          <w:tcPr>
            <w:tcW w:w="0" w:type="pct"/>
          </w:tcPr>
          <w:p w14:paraId="6D4D28FA" w14:textId="77777777" w:rsidR="001326E6" w:rsidRPr="00957936" w:rsidRDefault="00D351A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10</w:t>
            </w:r>
          </w:p>
        </w:tc>
      </w:tr>
      <w:tr w:rsidR="001326E6" w:rsidRPr="00957936" w14:paraId="29371989" w14:textId="77777777" w:rsidTr="00AF21BE">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0" w:type="pct"/>
            <w:vMerge/>
          </w:tcPr>
          <w:p w14:paraId="1AA7D53D" w14:textId="77777777" w:rsidR="001326E6" w:rsidRPr="00957936" w:rsidRDefault="001326E6" w:rsidP="00A330AB">
            <w:pPr>
              <w:keepNext/>
              <w:rPr>
                <w:rFonts w:ascii="Arial Narrow" w:hAnsi="Arial Narrow" w:cs="Arial"/>
                <w:sz w:val="18"/>
                <w:szCs w:val="18"/>
              </w:rPr>
            </w:pPr>
          </w:p>
        </w:tc>
        <w:tc>
          <w:tcPr>
            <w:tcW w:w="0" w:type="pct"/>
          </w:tcPr>
          <w:p w14:paraId="33AC49A5"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Food Service</w:t>
            </w:r>
          </w:p>
        </w:tc>
        <w:tc>
          <w:tcPr>
            <w:tcW w:w="0" w:type="pct"/>
          </w:tcPr>
          <w:p w14:paraId="73921987"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Electric Convention Ovens, DCV Exhaust Hood, Steamers.</w:t>
            </w:r>
          </w:p>
        </w:tc>
        <w:tc>
          <w:tcPr>
            <w:tcW w:w="0" w:type="pct"/>
          </w:tcPr>
          <w:p w14:paraId="46EA4109"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7</w:t>
            </w:r>
          </w:p>
        </w:tc>
        <w:tc>
          <w:tcPr>
            <w:tcW w:w="0" w:type="pct"/>
          </w:tcPr>
          <w:p w14:paraId="23CDCCD0" w14:textId="77777777" w:rsidR="001326E6" w:rsidRPr="00957936" w:rsidRDefault="00057D8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14</w:t>
            </w:r>
          </w:p>
        </w:tc>
      </w:tr>
      <w:tr w:rsidR="001326E6" w:rsidRPr="00957936" w14:paraId="70592B15" w14:textId="77777777" w:rsidTr="00AF21BE">
        <w:trPr>
          <w:cnfStyle w:val="000000010000" w:firstRow="0" w:lastRow="0" w:firstColumn="0" w:lastColumn="0" w:oddVBand="0" w:evenVBand="0" w:oddHBand="0" w:evenHBand="1"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0" w:type="pct"/>
            <w:vMerge/>
          </w:tcPr>
          <w:p w14:paraId="41DB6BAB" w14:textId="77777777" w:rsidR="001326E6" w:rsidRPr="00957936" w:rsidRDefault="001326E6" w:rsidP="00A330AB">
            <w:pPr>
              <w:keepNext/>
              <w:rPr>
                <w:rFonts w:ascii="Arial Narrow" w:hAnsi="Arial Narrow" w:cs="Arial"/>
                <w:sz w:val="18"/>
                <w:szCs w:val="18"/>
              </w:rPr>
            </w:pPr>
          </w:p>
        </w:tc>
        <w:tc>
          <w:tcPr>
            <w:tcW w:w="0" w:type="pct"/>
          </w:tcPr>
          <w:p w14:paraId="19BE633A"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HVAC</w:t>
            </w:r>
          </w:p>
        </w:tc>
        <w:tc>
          <w:tcPr>
            <w:tcW w:w="0" w:type="pct"/>
          </w:tcPr>
          <w:p w14:paraId="37F17552"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Chillers, Split AC, Mini Split Heat Pumps.</w:t>
            </w:r>
          </w:p>
        </w:tc>
        <w:tc>
          <w:tcPr>
            <w:tcW w:w="0" w:type="pct"/>
          </w:tcPr>
          <w:p w14:paraId="452EAF0B"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w:t>
            </w:r>
            <w:r w:rsidR="00D351A6">
              <w:rPr>
                <w:rFonts w:ascii="Arial Narrow" w:hAnsi="Arial Narrow" w:cs="Arial"/>
                <w:sz w:val="18"/>
                <w:szCs w:val="18"/>
              </w:rPr>
              <w:t>3</w:t>
            </w:r>
          </w:p>
        </w:tc>
        <w:tc>
          <w:tcPr>
            <w:tcW w:w="0" w:type="pct"/>
          </w:tcPr>
          <w:p w14:paraId="2AFE142F" w14:textId="77777777" w:rsidR="001326E6" w:rsidRPr="00957936" w:rsidRDefault="00057D8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8</w:t>
            </w:r>
            <w:r w:rsidR="00D351A6">
              <w:rPr>
                <w:rFonts w:ascii="Arial Narrow" w:hAnsi="Arial Narrow" w:cs="Arial"/>
                <w:sz w:val="18"/>
                <w:szCs w:val="18"/>
              </w:rPr>
              <w:t>0</w:t>
            </w:r>
          </w:p>
        </w:tc>
      </w:tr>
      <w:tr w:rsidR="001326E6" w:rsidRPr="00957936" w14:paraId="23DF96BB" w14:textId="77777777" w:rsidTr="00AF21B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pct"/>
            <w:vMerge/>
          </w:tcPr>
          <w:p w14:paraId="27D6C6EE" w14:textId="77777777" w:rsidR="001326E6" w:rsidRPr="00957936" w:rsidRDefault="001326E6" w:rsidP="00A330AB">
            <w:pPr>
              <w:keepNext/>
              <w:rPr>
                <w:rFonts w:ascii="Arial Narrow" w:hAnsi="Arial Narrow" w:cs="Arial"/>
                <w:sz w:val="18"/>
                <w:szCs w:val="18"/>
              </w:rPr>
            </w:pPr>
          </w:p>
        </w:tc>
        <w:tc>
          <w:tcPr>
            <w:tcW w:w="0" w:type="pct"/>
          </w:tcPr>
          <w:p w14:paraId="759A6D80"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Lighting</w:t>
            </w:r>
          </w:p>
        </w:tc>
        <w:tc>
          <w:tcPr>
            <w:tcW w:w="0" w:type="pct"/>
          </w:tcPr>
          <w:p w14:paraId="4067CDEC"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 xml:space="preserve">High Bay Fixtures, Lighting Fixtures (Indoor and Outdoor), Indoor Reflector Lamps. </w:t>
            </w:r>
          </w:p>
        </w:tc>
        <w:tc>
          <w:tcPr>
            <w:tcW w:w="0" w:type="pct"/>
          </w:tcPr>
          <w:p w14:paraId="6953AB7A" w14:textId="77777777" w:rsidR="001326E6" w:rsidRPr="00957936" w:rsidRDefault="001326E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12</w:t>
            </w:r>
          </w:p>
        </w:tc>
        <w:tc>
          <w:tcPr>
            <w:tcW w:w="0" w:type="pct"/>
          </w:tcPr>
          <w:p w14:paraId="49E651DE" w14:textId="77777777" w:rsidR="001326E6" w:rsidRPr="00957936" w:rsidRDefault="00057D8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47</w:t>
            </w:r>
          </w:p>
        </w:tc>
      </w:tr>
      <w:tr w:rsidR="001326E6" w:rsidRPr="00957936" w14:paraId="0019AE7F" w14:textId="77777777" w:rsidTr="00AF21BE">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0" w:type="pct"/>
            <w:vMerge/>
          </w:tcPr>
          <w:p w14:paraId="53A638AF" w14:textId="77777777" w:rsidR="001326E6" w:rsidRPr="00957936" w:rsidRDefault="001326E6" w:rsidP="00A330AB">
            <w:pPr>
              <w:keepNext/>
              <w:rPr>
                <w:rFonts w:ascii="Arial Narrow" w:hAnsi="Arial Narrow" w:cs="Arial"/>
                <w:sz w:val="18"/>
                <w:szCs w:val="18"/>
              </w:rPr>
            </w:pPr>
          </w:p>
        </w:tc>
        <w:tc>
          <w:tcPr>
            <w:tcW w:w="0" w:type="pct"/>
          </w:tcPr>
          <w:p w14:paraId="2AD9669F"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Water Heating</w:t>
            </w:r>
          </w:p>
        </w:tc>
        <w:tc>
          <w:tcPr>
            <w:tcW w:w="0" w:type="pct"/>
          </w:tcPr>
          <w:p w14:paraId="71429B74" w14:textId="77777777" w:rsidR="001326E6" w:rsidRPr="00957936" w:rsidRDefault="001326E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Electric Storage Water Heaters, Faucet Aerators, Showerhead.</w:t>
            </w:r>
          </w:p>
        </w:tc>
        <w:tc>
          <w:tcPr>
            <w:tcW w:w="0" w:type="pct"/>
          </w:tcPr>
          <w:p w14:paraId="2352AC1A" w14:textId="77777777" w:rsidR="001326E6" w:rsidRPr="00957936" w:rsidRDefault="00D351A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3</w:t>
            </w:r>
          </w:p>
        </w:tc>
        <w:tc>
          <w:tcPr>
            <w:tcW w:w="0" w:type="pct"/>
          </w:tcPr>
          <w:p w14:paraId="35A117C5" w14:textId="77777777" w:rsidR="001326E6" w:rsidRPr="00957936" w:rsidRDefault="00D351A6"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12</w:t>
            </w:r>
          </w:p>
        </w:tc>
      </w:tr>
      <w:tr w:rsidR="001326E6" w:rsidRPr="00957936" w14:paraId="3AC90927" w14:textId="77777777" w:rsidTr="00AF21BE">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0" w:type="pct"/>
            <w:vMerge/>
          </w:tcPr>
          <w:p w14:paraId="7447EE03" w14:textId="77777777" w:rsidR="001326E6" w:rsidRPr="00957936" w:rsidRDefault="001326E6" w:rsidP="001326E6">
            <w:pPr>
              <w:rPr>
                <w:rFonts w:ascii="Arial Narrow" w:hAnsi="Arial Narrow" w:cs="Arial"/>
                <w:sz w:val="18"/>
                <w:szCs w:val="18"/>
              </w:rPr>
            </w:pPr>
          </w:p>
        </w:tc>
        <w:tc>
          <w:tcPr>
            <w:tcW w:w="0" w:type="pct"/>
          </w:tcPr>
          <w:p w14:paraId="0682EBEB" w14:textId="77777777" w:rsidR="001326E6" w:rsidRPr="00957936" w:rsidRDefault="001326E6" w:rsidP="001326E6">
            <w:pP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Total</w:t>
            </w:r>
          </w:p>
        </w:tc>
        <w:tc>
          <w:tcPr>
            <w:tcW w:w="0" w:type="pct"/>
          </w:tcPr>
          <w:p w14:paraId="67A15D2D" w14:textId="77777777" w:rsidR="001326E6" w:rsidRPr="00957936" w:rsidRDefault="001326E6" w:rsidP="001326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c>
          <w:tcPr>
            <w:tcW w:w="0" w:type="pct"/>
          </w:tcPr>
          <w:p w14:paraId="34807A24" w14:textId="77777777" w:rsidR="001326E6" w:rsidRPr="00957936" w:rsidRDefault="00D351A6" w:rsidP="001326E6">
            <w:pP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Pr>
                <w:rFonts w:ascii="Arial Narrow" w:hAnsi="Arial Narrow" w:cs="Arial"/>
                <w:b/>
                <w:sz w:val="18"/>
                <w:szCs w:val="18"/>
              </w:rPr>
              <w:t>78</w:t>
            </w:r>
          </w:p>
        </w:tc>
        <w:tc>
          <w:tcPr>
            <w:tcW w:w="0" w:type="pct"/>
          </w:tcPr>
          <w:p w14:paraId="3FDA750B" w14:textId="77777777" w:rsidR="001326E6" w:rsidRPr="00957936" w:rsidRDefault="00057D86" w:rsidP="001326E6">
            <w:pP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Pr>
                <w:rFonts w:ascii="Arial Narrow" w:hAnsi="Arial Narrow" w:cs="Arial"/>
                <w:b/>
                <w:sz w:val="18"/>
                <w:szCs w:val="18"/>
              </w:rPr>
              <w:t>2</w:t>
            </w:r>
            <w:r w:rsidR="00D351A6">
              <w:rPr>
                <w:rFonts w:ascii="Arial Narrow" w:hAnsi="Arial Narrow" w:cs="Arial"/>
                <w:b/>
                <w:sz w:val="18"/>
                <w:szCs w:val="18"/>
              </w:rPr>
              <w:t>44</w:t>
            </w:r>
          </w:p>
        </w:tc>
      </w:tr>
    </w:tbl>
    <w:p w14:paraId="4D70F50F" w14:textId="77777777" w:rsidR="00870A2E" w:rsidRDefault="00870A2E" w:rsidP="006807F5">
      <w:pPr>
        <w:pStyle w:val="Heading3"/>
      </w:pPr>
      <w:bookmarkStart w:id="458" w:name="_Toc490225788"/>
      <w:r>
        <w:lastRenderedPageBreak/>
        <w:t>Comparison with Measure Characterization in the 2015 Study</w:t>
      </w:r>
      <w:bookmarkEnd w:id="458"/>
    </w:p>
    <w:p w14:paraId="01761CC4" w14:textId="77777777" w:rsidR="00190D7A" w:rsidRDefault="00190D7A" w:rsidP="009919B3">
      <w:r>
        <w:t>The</w:t>
      </w:r>
      <w:r w:rsidR="002061C5">
        <w:t xml:space="preserve"> technology-based characterization allows greater flexibility </w:t>
      </w:r>
      <w:r>
        <w:t xml:space="preserve">in characterization, this combined with our holistic refresh of the technology list, expands the number of </w:t>
      </w:r>
      <w:r w:rsidR="002061C5">
        <w:t>efficient technologies include</w:t>
      </w:r>
      <w:r w:rsidR="008610C3">
        <w:t>d</w:t>
      </w:r>
      <w:r w:rsidR="00CD7C85">
        <w:t xml:space="preserve"> </w:t>
      </w:r>
      <w:r>
        <w:t>in the 2018 study relative to the 2015 study. This comparison is</w:t>
      </w:r>
      <w:r w:rsidR="008610C3">
        <w:t xml:space="preserve"> shown in </w:t>
      </w:r>
      <w:r w:rsidR="008610C3">
        <w:fldChar w:fldCharType="begin"/>
      </w:r>
      <w:r w:rsidR="008610C3">
        <w:instrText xml:space="preserve"> REF _Ref482092538 \h </w:instrText>
      </w:r>
      <w:r w:rsidR="008610C3">
        <w:fldChar w:fldCharType="separate"/>
      </w:r>
      <w:r w:rsidR="007566B9" w:rsidRPr="00D063E4">
        <w:t xml:space="preserve">Table </w:t>
      </w:r>
      <w:r w:rsidR="007566B9">
        <w:rPr>
          <w:noProof/>
        </w:rPr>
        <w:t>3</w:t>
      </w:r>
      <w:r w:rsidR="007566B9" w:rsidRPr="00D063E4">
        <w:noBreakHyphen/>
      </w:r>
      <w:r w:rsidR="007566B9">
        <w:rPr>
          <w:noProof/>
        </w:rPr>
        <w:t>10</w:t>
      </w:r>
      <w:r w:rsidR="008610C3">
        <w:fldChar w:fldCharType="end"/>
      </w:r>
      <w:r w:rsidR="008610C3">
        <w:t xml:space="preserve">.  </w:t>
      </w:r>
      <w:r>
        <w:t xml:space="preserve">Several notable changes can be observed form the table: </w:t>
      </w:r>
    </w:p>
    <w:p w14:paraId="2B3A364A" w14:textId="77777777" w:rsidR="00190D7A" w:rsidRDefault="00190D7A" w:rsidP="004E4E36">
      <w:pPr>
        <w:pStyle w:val="ListParagraph"/>
        <w:numPr>
          <w:ilvl w:val="0"/>
          <w:numId w:val="44"/>
        </w:numPr>
      </w:pPr>
      <w:r>
        <w:t xml:space="preserve">Increase in the number of HVAC technologies </w:t>
      </w:r>
    </w:p>
    <w:p w14:paraId="7341795E" w14:textId="77777777" w:rsidR="00190D7A" w:rsidRDefault="00190D7A" w:rsidP="004E4E36">
      <w:pPr>
        <w:pStyle w:val="ListParagraph"/>
        <w:numPr>
          <w:ilvl w:val="0"/>
          <w:numId w:val="44"/>
        </w:numPr>
      </w:pPr>
      <w:r>
        <w:t xml:space="preserve">Increase in the number of building envelop technologies </w:t>
      </w:r>
    </w:p>
    <w:p w14:paraId="31D9F13D" w14:textId="77777777" w:rsidR="00190D7A" w:rsidRDefault="00190D7A" w:rsidP="004E4E36">
      <w:pPr>
        <w:pStyle w:val="ListParagraph"/>
        <w:numPr>
          <w:ilvl w:val="0"/>
          <w:numId w:val="44"/>
        </w:numPr>
      </w:pPr>
      <w:r>
        <w:t xml:space="preserve">Increase in the number of Commercial Refrigeration technologies </w:t>
      </w:r>
    </w:p>
    <w:p w14:paraId="11088A8E" w14:textId="77777777" w:rsidR="00190D7A" w:rsidRDefault="00190D7A" w:rsidP="004E4E36">
      <w:pPr>
        <w:pStyle w:val="ListParagraph"/>
        <w:numPr>
          <w:ilvl w:val="0"/>
          <w:numId w:val="44"/>
        </w:numPr>
      </w:pPr>
      <w:r>
        <w:t>Addition of a “Data Center” end use and technologies</w:t>
      </w:r>
    </w:p>
    <w:p w14:paraId="0FB81173" w14:textId="77777777" w:rsidR="00190D7A" w:rsidRDefault="00190D7A" w:rsidP="004E4E36">
      <w:pPr>
        <w:pStyle w:val="ListParagraph"/>
        <w:numPr>
          <w:ilvl w:val="0"/>
          <w:numId w:val="44"/>
        </w:numPr>
      </w:pPr>
      <w:r>
        <w:t>Consolidation of “Service” and “Process Heat” end uses into HVAC</w:t>
      </w:r>
    </w:p>
    <w:p w14:paraId="23823488" w14:textId="77777777" w:rsidR="006C711D" w:rsidRPr="00190D7A" w:rsidRDefault="006C711D" w:rsidP="00190D7A"/>
    <w:p w14:paraId="55261162" w14:textId="77777777" w:rsidR="00BF5347" w:rsidRPr="00D063E4" w:rsidRDefault="00BF5347" w:rsidP="00D063E4">
      <w:pPr>
        <w:pStyle w:val="Caption"/>
      </w:pPr>
      <w:bookmarkStart w:id="459" w:name="_Ref482092538"/>
      <w:bookmarkStart w:id="460" w:name="_Toc482634217"/>
      <w:bookmarkStart w:id="461" w:name="_Toc484436956"/>
      <w:bookmarkStart w:id="462" w:name="_Toc490560668"/>
      <w:r w:rsidRPr="00D063E4">
        <w:t xml:space="preserve">Table </w:t>
      </w:r>
      <w:fldSimple w:instr=" STYLEREF 1 \s ">
        <w:r w:rsidR="007566B9">
          <w:rPr>
            <w:noProof/>
          </w:rPr>
          <w:t>3</w:t>
        </w:r>
      </w:fldSimple>
      <w:r w:rsidR="00C17D59" w:rsidRPr="00D063E4">
        <w:noBreakHyphen/>
      </w:r>
      <w:fldSimple w:instr=" SEQ Table \* ARABIC \s 1 ">
        <w:r w:rsidR="007566B9">
          <w:rPr>
            <w:noProof/>
          </w:rPr>
          <w:t>10</w:t>
        </w:r>
      </w:fldSimple>
      <w:bookmarkEnd w:id="459"/>
      <w:r w:rsidRPr="00D063E4">
        <w:t>.  Comparison of Efficient Residential and Commercial Technologies in 2015 and 201</w:t>
      </w:r>
      <w:r w:rsidR="001E69E4" w:rsidRPr="00D063E4">
        <w:t>8</w:t>
      </w:r>
      <w:r w:rsidRPr="00D063E4">
        <w:t xml:space="preserve"> PG Study</w:t>
      </w:r>
      <w:bookmarkEnd w:id="460"/>
      <w:bookmarkEnd w:id="461"/>
      <w:bookmarkEnd w:id="462"/>
    </w:p>
    <w:tbl>
      <w:tblPr>
        <w:tblStyle w:val="EnergyTable1"/>
        <w:tblW w:w="4390" w:type="pct"/>
        <w:tblLook w:val="04A0" w:firstRow="1" w:lastRow="0" w:firstColumn="1" w:lastColumn="0" w:noHBand="0" w:noVBand="1"/>
      </w:tblPr>
      <w:tblGrid>
        <w:gridCol w:w="1948"/>
        <w:gridCol w:w="2162"/>
        <w:gridCol w:w="2054"/>
        <w:gridCol w:w="2054"/>
      </w:tblGrid>
      <w:tr w:rsidR="006C711D" w:rsidRPr="00957936" w14:paraId="1A84CCA4" w14:textId="77777777" w:rsidTr="00AF21BE">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0" w:type="pct"/>
          </w:tcPr>
          <w:p w14:paraId="3075BD7C" w14:textId="77777777" w:rsidR="006C711D" w:rsidRPr="00957936" w:rsidRDefault="006C711D" w:rsidP="006C711D">
            <w:pPr>
              <w:rPr>
                <w:rFonts w:ascii="Arial Narrow" w:hAnsi="Arial Narrow" w:cs="Arial"/>
                <w:sz w:val="18"/>
                <w:szCs w:val="18"/>
              </w:rPr>
            </w:pPr>
            <w:r w:rsidRPr="00957936">
              <w:rPr>
                <w:rFonts w:ascii="Arial Narrow" w:hAnsi="Arial Narrow" w:cs="Arial"/>
                <w:sz w:val="18"/>
                <w:szCs w:val="18"/>
              </w:rPr>
              <w:t>Sector</w:t>
            </w:r>
          </w:p>
        </w:tc>
        <w:tc>
          <w:tcPr>
            <w:tcW w:w="0" w:type="pct"/>
          </w:tcPr>
          <w:p w14:paraId="2FF31291" w14:textId="77777777" w:rsidR="006C711D" w:rsidRPr="00957936" w:rsidRDefault="006C711D" w:rsidP="006C711D">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End Use</w:t>
            </w:r>
          </w:p>
        </w:tc>
        <w:tc>
          <w:tcPr>
            <w:tcW w:w="0" w:type="pct"/>
          </w:tcPr>
          <w:p w14:paraId="1B1C1A52" w14:textId="77777777" w:rsidR="006C711D" w:rsidRPr="00957936" w:rsidRDefault="006C711D" w:rsidP="006C711D">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Number of Efficien</w:t>
            </w:r>
            <w:r w:rsidR="00A652E5" w:rsidRPr="00957936">
              <w:rPr>
                <w:rFonts w:ascii="Arial Narrow" w:hAnsi="Arial Narrow" w:cs="Arial"/>
                <w:sz w:val="18"/>
                <w:szCs w:val="18"/>
              </w:rPr>
              <w:t>t</w:t>
            </w:r>
            <w:r w:rsidRPr="00957936">
              <w:rPr>
                <w:rFonts w:ascii="Arial Narrow" w:hAnsi="Arial Narrow" w:cs="Arial"/>
                <w:sz w:val="18"/>
                <w:szCs w:val="18"/>
              </w:rPr>
              <w:t xml:space="preserve"> Technologies in 2015 Study </w:t>
            </w:r>
          </w:p>
        </w:tc>
        <w:tc>
          <w:tcPr>
            <w:tcW w:w="0" w:type="pct"/>
          </w:tcPr>
          <w:p w14:paraId="202A86DF" w14:textId="77777777" w:rsidR="006C711D" w:rsidRPr="00957936" w:rsidRDefault="006C711D" w:rsidP="006C711D">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Number of Efficien</w:t>
            </w:r>
            <w:r w:rsidR="00A652E5" w:rsidRPr="00957936">
              <w:rPr>
                <w:rFonts w:ascii="Arial Narrow" w:hAnsi="Arial Narrow" w:cs="Arial"/>
                <w:sz w:val="18"/>
                <w:szCs w:val="18"/>
              </w:rPr>
              <w:t xml:space="preserve">t </w:t>
            </w:r>
            <w:r w:rsidRPr="00957936">
              <w:rPr>
                <w:rFonts w:ascii="Arial Narrow" w:hAnsi="Arial Narrow" w:cs="Arial"/>
                <w:sz w:val="18"/>
                <w:szCs w:val="18"/>
              </w:rPr>
              <w:t>Technologies in 201</w:t>
            </w:r>
            <w:r w:rsidR="00EA1038" w:rsidRPr="00957936">
              <w:rPr>
                <w:rFonts w:ascii="Arial Narrow" w:hAnsi="Arial Narrow" w:cs="Arial"/>
                <w:sz w:val="18"/>
                <w:szCs w:val="18"/>
              </w:rPr>
              <w:t>8</w:t>
            </w:r>
            <w:r w:rsidRPr="00957936">
              <w:rPr>
                <w:rFonts w:ascii="Arial Narrow" w:hAnsi="Arial Narrow" w:cs="Arial"/>
                <w:sz w:val="18"/>
                <w:szCs w:val="18"/>
              </w:rPr>
              <w:t xml:space="preserve"> Study </w:t>
            </w:r>
          </w:p>
        </w:tc>
      </w:tr>
      <w:tr w:rsidR="006C711D" w:rsidRPr="00957936" w14:paraId="2982006F" w14:textId="77777777" w:rsidTr="00AF21BE">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0" w:type="pct"/>
            <w:vMerge w:val="restart"/>
          </w:tcPr>
          <w:p w14:paraId="73AB68D2" w14:textId="77777777" w:rsidR="006C711D" w:rsidRPr="00957936" w:rsidRDefault="006C711D" w:rsidP="006C711D">
            <w:pPr>
              <w:rPr>
                <w:rFonts w:ascii="Arial Narrow" w:hAnsi="Arial Narrow" w:cs="Arial"/>
                <w:b/>
                <w:sz w:val="18"/>
                <w:szCs w:val="18"/>
              </w:rPr>
            </w:pPr>
            <w:r w:rsidRPr="00957936">
              <w:rPr>
                <w:rFonts w:ascii="Arial Narrow" w:hAnsi="Arial Narrow" w:cs="Arial"/>
                <w:b/>
                <w:sz w:val="18"/>
                <w:szCs w:val="18"/>
              </w:rPr>
              <w:t>Residential</w:t>
            </w:r>
          </w:p>
        </w:tc>
        <w:tc>
          <w:tcPr>
            <w:tcW w:w="0" w:type="pct"/>
          </w:tcPr>
          <w:p w14:paraId="11E137CE" w14:textId="77777777" w:rsidR="006C711D" w:rsidRPr="00957936" w:rsidRDefault="006C711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Appliances/Plug Loads</w:t>
            </w:r>
          </w:p>
        </w:tc>
        <w:tc>
          <w:tcPr>
            <w:tcW w:w="0" w:type="pct"/>
          </w:tcPr>
          <w:p w14:paraId="08268287" w14:textId="77777777" w:rsidR="006C711D" w:rsidRPr="00957936" w:rsidRDefault="00B85724"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18</w:t>
            </w:r>
          </w:p>
        </w:tc>
        <w:tc>
          <w:tcPr>
            <w:tcW w:w="0" w:type="pct"/>
          </w:tcPr>
          <w:p w14:paraId="486A1A5B" w14:textId="77777777" w:rsidR="006C711D" w:rsidRPr="00957936" w:rsidRDefault="008B5FF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22</w:t>
            </w:r>
          </w:p>
        </w:tc>
      </w:tr>
      <w:tr w:rsidR="006C711D" w:rsidRPr="00957936" w14:paraId="182A99EF" w14:textId="77777777" w:rsidTr="00AF21BE">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0" w:type="pct"/>
            <w:vMerge/>
          </w:tcPr>
          <w:p w14:paraId="7B5760F6" w14:textId="77777777" w:rsidR="006C711D" w:rsidRPr="00957936" w:rsidRDefault="006C711D" w:rsidP="006C711D">
            <w:pPr>
              <w:rPr>
                <w:rFonts w:ascii="Arial Narrow" w:hAnsi="Arial Narrow" w:cs="Arial"/>
                <w:sz w:val="18"/>
                <w:szCs w:val="18"/>
              </w:rPr>
            </w:pPr>
          </w:p>
        </w:tc>
        <w:tc>
          <w:tcPr>
            <w:tcW w:w="0" w:type="pct"/>
          </w:tcPr>
          <w:p w14:paraId="622FB7E0" w14:textId="77777777" w:rsidR="006C711D" w:rsidRPr="00957936" w:rsidRDefault="006C711D"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Building Envelope</w:t>
            </w:r>
          </w:p>
        </w:tc>
        <w:tc>
          <w:tcPr>
            <w:tcW w:w="0" w:type="pct"/>
          </w:tcPr>
          <w:p w14:paraId="5BADE59D" w14:textId="77777777" w:rsidR="006C711D" w:rsidRPr="00957936" w:rsidRDefault="00B85724"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3</w:t>
            </w:r>
          </w:p>
        </w:tc>
        <w:tc>
          <w:tcPr>
            <w:tcW w:w="0" w:type="pct"/>
          </w:tcPr>
          <w:p w14:paraId="394E9EB0" w14:textId="77777777" w:rsidR="006C711D" w:rsidRPr="00957936" w:rsidRDefault="008B5FFD"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w:t>
            </w:r>
            <w:r w:rsidR="00D351A6">
              <w:rPr>
                <w:rFonts w:ascii="Arial Narrow" w:hAnsi="Arial Narrow" w:cs="Arial"/>
                <w:sz w:val="18"/>
                <w:szCs w:val="18"/>
              </w:rPr>
              <w:t>4</w:t>
            </w:r>
          </w:p>
        </w:tc>
      </w:tr>
      <w:tr w:rsidR="006C711D" w:rsidRPr="00957936" w14:paraId="1B41A189" w14:textId="77777777" w:rsidTr="00AF21BE">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0" w:type="pct"/>
            <w:vMerge/>
          </w:tcPr>
          <w:p w14:paraId="3560310E" w14:textId="77777777" w:rsidR="006C711D" w:rsidRPr="00957936" w:rsidRDefault="006C711D" w:rsidP="006C711D">
            <w:pPr>
              <w:rPr>
                <w:rFonts w:ascii="Arial Narrow" w:hAnsi="Arial Narrow" w:cs="Arial"/>
                <w:sz w:val="18"/>
                <w:szCs w:val="18"/>
              </w:rPr>
            </w:pPr>
          </w:p>
        </w:tc>
        <w:tc>
          <w:tcPr>
            <w:tcW w:w="0" w:type="pct"/>
          </w:tcPr>
          <w:p w14:paraId="4646A7A6" w14:textId="77777777" w:rsidR="006C711D" w:rsidRPr="00957936" w:rsidRDefault="006C711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HVAC</w:t>
            </w:r>
          </w:p>
        </w:tc>
        <w:tc>
          <w:tcPr>
            <w:tcW w:w="0" w:type="pct"/>
          </w:tcPr>
          <w:p w14:paraId="1F9A62AC" w14:textId="77777777" w:rsidR="006C711D" w:rsidRPr="00957936" w:rsidRDefault="00B85724"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12</w:t>
            </w:r>
          </w:p>
        </w:tc>
        <w:tc>
          <w:tcPr>
            <w:tcW w:w="0" w:type="pct"/>
          </w:tcPr>
          <w:p w14:paraId="00C83263" w14:textId="77777777" w:rsidR="006C711D" w:rsidRPr="00957936" w:rsidRDefault="008B5FF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w:t>
            </w:r>
            <w:r w:rsidR="00D351A6">
              <w:rPr>
                <w:rFonts w:ascii="Arial Narrow" w:hAnsi="Arial Narrow" w:cs="Arial"/>
                <w:sz w:val="18"/>
                <w:szCs w:val="18"/>
              </w:rPr>
              <w:t>6</w:t>
            </w:r>
          </w:p>
        </w:tc>
      </w:tr>
      <w:tr w:rsidR="006C711D" w:rsidRPr="00957936" w14:paraId="6C6A7C28" w14:textId="77777777" w:rsidTr="00AF21BE">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0" w:type="pct"/>
            <w:vMerge/>
          </w:tcPr>
          <w:p w14:paraId="3FDEC6A2" w14:textId="77777777" w:rsidR="006C711D" w:rsidRPr="00957936" w:rsidRDefault="006C711D" w:rsidP="006C711D">
            <w:pPr>
              <w:rPr>
                <w:rFonts w:ascii="Arial Narrow" w:hAnsi="Arial Narrow" w:cs="Arial"/>
                <w:sz w:val="18"/>
                <w:szCs w:val="18"/>
              </w:rPr>
            </w:pPr>
          </w:p>
        </w:tc>
        <w:tc>
          <w:tcPr>
            <w:tcW w:w="0" w:type="pct"/>
          </w:tcPr>
          <w:p w14:paraId="60770D3A" w14:textId="77777777" w:rsidR="006C711D" w:rsidRPr="00957936" w:rsidRDefault="006C711D"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Lighting</w:t>
            </w:r>
          </w:p>
        </w:tc>
        <w:tc>
          <w:tcPr>
            <w:tcW w:w="0" w:type="pct"/>
          </w:tcPr>
          <w:p w14:paraId="52436075" w14:textId="77777777" w:rsidR="006C711D" w:rsidRPr="00957936" w:rsidRDefault="00B85724"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29</w:t>
            </w:r>
          </w:p>
        </w:tc>
        <w:tc>
          <w:tcPr>
            <w:tcW w:w="0" w:type="pct"/>
          </w:tcPr>
          <w:p w14:paraId="7DD8420A" w14:textId="77777777" w:rsidR="006C711D" w:rsidRPr="00957936" w:rsidRDefault="008B5FFD"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w:t>
            </w:r>
            <w:r w:rsidR="00D351A6">
              <w:rPr>
                <w:rFonts w:ascii="Arial Narrow" w:hAnsi="Arial Narrow" w:cs="Arial"/>
                <w:sz w:val="18"/>
                <w:szCs w:val="18"/>
              </w:rPr>
              <w:t>5</w:t>
            </w:r>
          </w:p>
        </w:tc>
      </w:tr>
      <w:tr w:rsidR="006C711D" w:rsidRPr="00957936" w14:paraId="67CC0CA0" w14:textId="77777777" w:rsidTr="00AF21BE">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0" w:type="pct"/>
            <w:vMerge/>
          </w:tcPr>
          <w:p w14:paraId="4C29F48E" w14:textId="77777777" w:rsidR="006C711D" w:rsidRPr="00957936" w:rsidRDefault="006C711D" w:rsidP="006C711D">
            <w:pPr>
              <w:rPr>
                <w:rFonts w:ascii="Arial Narrow" w:hAnsi="Arial Narrow" w:cs="Arial"/>
                <w:sz w:val="18"/>
                <w:szCs w:val="18"/>
              </w:rPr>
            </w:pPr>
          </w:p>
        </w:tc>
        <w:tc>
          <w:tcPr>
            <w:tcW w:w="0" w:type="pct"/>
          </w:tcPr>
          <w:p w14:paraId="0097C654" w14:textId="77777777" w:rsidR="006C711D" w:rsidRPr="00957936" w:rsidRDefault="006C711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Water Heating</w:t>
            </w:r>
          </w:p>
        </w:tc>
        <w:tc>
          <w:tcPr>
            <w:tcW w:w="0" w:type="pct"/>
          </w:tcPr>
          <w:p w14:paraId="59A036B7" w14:textId="77777777" w:rsidR="006C711D" w:rsidRPr="00957936" w:rsidRDefault="00B85724"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6</w:t>
            </w:r>
          </w:p>
        </w:tc>
        <w:tc>
          <w:tcPr>
            <w:tcW w:w="0" w:type="pct"/>
          </w:tcPr>
          <w:p w14:paraId="725FFF24" w14:textId="77777777" w:rsidR="006C711D" w:rsidRPr="00957936" w:rsidRDefault="008B5FF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w:t>
            </w:r>
            <w:r w:rsidR="00D351A6">
              <w:rPr>
                <w:rFonts w:ascii="Arial Narrow" w:hAnsi="Arial Narrow" w:cs="Arial"/>
                <w:sz w:val="18"/>
                <w:szCs w:val="18"/>
              </w:rPr>
              <w:t>2</w:t>
            </w:r>
          </w:p>
        </w:tc>
      </w:tr>
      <w:tr w:rsidR="006C711D" w:rsidRPr="00957936" w14:paraId="22107F9B" w14:textId="77777777" w:rsidTr="00AF21BE">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0" w:type="pct"/>
            <w:vMerge/>
          </w:tcPr>
          <w:p w14:paraId="1A0D3C68" w14:textId="77777777" w:rsidR="006C711D" w:rsidRPr="00957936" w:rsidRDefault="006C711D" w:rsidP="006C711D">
            <w:pPr>
              <w:rPr>
                <w:rFonts w:ascii="Arial Narrow" w:hAnsi="Arial Narrow" w:cs="Arial"/>
                <w:sz w:val="18"/>
                <w:szCs w:val="18"/>
              </w:rPr>
            </w:pPr>
          </w:p>
        </w:tc>
        <w:tc>
          <w:tcPr>
            <w:tcW w:w="0" w:type="pct"/>
          </w:tcPr>
          <w:p w14:paraId="08D312F0" w14:textId="77777777" w:rsidR="006C711D" w:rsidRPr="00957936" w:rsidRDefault="006C711D"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Total</w:t>
            </w:r>
          </w:p>
        </w:tc>
        <w:tc>
          <w:tcPr>
            <w:tcW w:w="0" w:type="pct"/>
          </w:tcPr>
          <w:p w14:paraId="248A3AA9" w14:textId="77777777" w:rsidR="006C711D" w:rsidRPr="00957936" w:rsidDel="0064218F" w:rsidRDefault="00B85724"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68</w:t>
            </w:r>
          </w:p>
        </w:tc>
        <w:tc>
          <w:tcPr>
            <w:tcW w:w="0" w:type="pct"/>
          </w:tcPr>
          <w:p w14:paraId="65F92515" w14:textId="77777777" w:rsidR="006C711D" w:rsidRPr="00957936" w:rsidRDefault="00D351A6"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Pr>
                <w:rFonts w:ascii="Arial Narrow" w:hAnsi="Arial Narrow" w:cs="Arial"/>
                <w:b/>
                <w:sz w:val="18"/>
                <w:szCs w:val="18"/>
              </w:rPr>
              <w:t>99</w:t>
            </w:r>
          </w:p>
        </w:tc>
      </w:tr>
      <w:tr w:rsidR="006C711D" w:rsidRPr="00957936" w14:paraId="71B648F5" w14:textId="77777777" w:rsidTr="00AF21BE">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0" w:type="pct"/>
            <w:vMerge w:val="restart"/>
          </w:tcPr>
          <w:p w14:paraId="6DFC2324" w14:textId="77777777" w:rsidR="006C711D" w:rsidRPr="00957936" w:rsidRDefault="006C711D" w:rsidP="006C711D">
            <w:pPr>
              <w:rPr>
                <w:rFonts w:ascii="Arial Narrow" w:hAnsi="Arial Narrow" w:cs="Arial"/>
                <w:b/>
                <w:sz w:val="18"/>
                <w:szCs w:val="18"/>
              </w:rPr>
            </w:pPr>
            <w:r w:rsidRPr="00957936">
              <w:rPr>
                <w:rFonts w:ascii="Arial Narrow" w:hAnsi="Arial Narrow" w:cs="Arial"/>
                <w:b/>
                <w:sz w:val="18"/>
                <w:szCs w:val="18"/>
              </w:rPr>
              <w:t>Commercial</w:t>
            </w:r>
          </w:p>
        </w:tc>
        <w:tc>
          <w:tcPr>
            <w:tcW w:w="0" w:type="pct"/>
          </w:tcPr>
          <w:p w14:paraId="7CDD0101" w14:textId="77777777" w:rsidR="006C711D" w:rsidRPr="00957936" w:rsidRDefault="006C711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Appliances/Plug Loads</w:t>
            </w:r>
          </w:p>
        </w:tc>
        <w:tc>
          <w:tcPr>
            <w:tcW w:w="0" w:type="pct"/>
          </w:tcPr>
          <w:p w14:paraId="457C76FA" w14:textId="77777777" w:rsidR="006C711D" w:rsidRPr="00957936" w:rsidRDefault="00B85724"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4</w:t>
            </w:r>
          </w:p>
        </w:tc>
        <w:tc>
          <w:tcPr>
            <w:tcW w:w="0" w:type="pct"/>
          </w:tcPr>
          <w:p w14:paraId="52ED3926" w14:textId="77777777" w:rsidR="006C711D" w:rsidRPr="00957936" w:rsidRDefault="008B5FF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w:t>
            </w:r>
            <w:r w:rsidR="00D351A6">
              <w:rPr>
                <w:rFonts w:ascii="Arial Narrow" w:hAnsi="Arial Narrow" w:cs="Arial"/>
                <w:sz w:val="18"/>
                <w:szCs w:val="18"/>
              </w:rPr>
              <w:t>2</w:t>
            </w:r>
          </w:p>
        </w:tc>
      </w:tr>
      <w:tr w:rsidR="006C711D" w:rsidRPr="00957936" w14:paraId="25A19657" w14:textId="77777777" w:rsidTr="00AF21BE">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0" w:type="pct"/>
            <w:vMerge/>
          </w:tcPr>
          <w:p w14:paraId="7919DD41" w14:textId="77777777" w:rsidR="006C711D" w:rsidRPr="00957936" w:rsidRDefault="006C711D" w:rsidP="006C711D">
            <w:pPr>
              <w:rPr>
                <w:rFonts w:ascii="Arial Narrow" w:hAnsi="Arial Narrow" w:cs="Arial"/>
                <w:sz w:val="18"/>
                <w:szCs w:val="18"/>
              </w:rPr>
            </w:pPr>
          </w:p>
        </w:tc>
        <w:tc>
          <w:tcPr>
            <w:tcW w:w="0" w:type="pct"/>
          </w:tcPr>
          <w:p w14:paraId="704A095C" w14:textId="77777777" w:rsidR="006C711D" w:rsidRPr="00957936" w:rsidRDefault="006C711D"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Building Envelope</w:t>
            </w:r>
          </w:p>
        </w:tc>
        <w:tc>
          <w:tcPr>
            <w:tcW w:w="0" w:type="pct"/>
          </w:tcPr>
          <w:p w14:paraId="63560D46" w14:textId="77777777" w:rsidR="006C711D" w:rsidRPr="00957936" w:rsidRDefault="00A6197B"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3</w:t>
            </w:r>
          </w:p>
        </w:tc>
        <w:tc>
          <w:tcPr>
            <w:tcW w:w="0" w:type="pct"/>
          </w:tcPr>
          <w:p w14:paraId="77482432" w14:textId="77777777" w:rsidR="006C711D" w:rsidRPr="00957936" w:rsidRDefault="008B5FFD"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7</w:t>
            </w:r>
          </w:p>
        </w:tc>
      </w:tr>
      <w:tr w:rsidR="006C711D" w:rsidRPr="00957936" w14:paraId="327D5812" w14:textId="77777777" w:rsidTr="00AF21BE">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0" w:type="pct"/>
            <w:vMerge/>
          </w:tcPr>
          <w:p w14:paraId="43114AF7" w14:textId="77777777" w:rsidR="006C711D" w:rsidRPr="00957936" w:rsidRDefault="006C711D" w:rsidP="006C711D">
            <w:pPr>
              <w:rPr>
                <w:rFonts w:ascii="Arial Narrow" w:hAnsi="Arial Narrow" w:cs="Arial"/>
                <w:sz w:val="18"/>
                <w:szCs w:val="18"/>
              </w:rPr>
            </w:pPr>
          </w:p>
        </w:tc>
        <w:tc>
          <w:tcPr>
            <w:tcW w:w="0" w:type="pct"/>
          </w:tcPr>
          <w:p w14:paraId="0975CAE3" w14:textId="77777777" w:rsidR="006C711D" w:rsidRPr="00957936" w:rsidRDefault="006C711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Com. Refrigeration</w:t>
            </w:r>
          </w:p>
        </w:tc>
        <w:tc>
          <w:tcPr>
            <w:tcW w:w="0" w:type="pct"/>
          </w:tcPr>
          <w:p w14:paraId="06F52230" w14:textId="77777777" w:rsidR="006C711D" w:rsidRPr="00957936" w:rsidRDefault="00A6197B"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5</w:t>
            </w:r>
          </w:p>
        </w:tc>
        <w:tc>
          <w:tcPr>
            <w:tcW w:w="0" w:type="pct"/>
          </w:tcPr>
          <w:p w14:paraId="052D3600" w14:textId="77777777" w:rsidR="006C711D" w:rsidRPr="00957936" w:rsidRDefault="008B5FF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w:t>
            </w:r>
            <w:r w:rsidR="00D351A6">
              <w:rPr>
                <w:rFonts w:ascii="Arial Narrow" w:hAnsi="Arial Narrow" w:cs="Arial"/>
                <w:sz w:val="18"/>
                <w:szCs w:val="18"/>
              </w:rPr>
              <w:t>0</w:t>
            </w:r>
          </w:p>
        </w:tc>
      </w:tr>
      <w:tr w:rsidR="006C711D" w:rsidRPr="00957936" w14:paraId="6148FAB7" w14:textId="77777777" w:rsidTr="00AF21BE">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0" w:type="pct"/>
            <w:vMerge/>
          </w:tcPr>
          <w:p w14:paraId="0DA87B9D" w14:textId="77777777" w:rsidR="006C711D" w:rsidRPr="00957936" w:rsidRDefault="006C711D" w:rsidP="006C711D">
            <w:pPr>
              <w:rPr>
                <w:rFonts w:ascii="Arial Narrow" w:hAnsi="Arial Narrow" w:cs="Arial"/>
                <w:sz w:val="18"/>
                <w:szCs w:val="18"/>
              </w:rPr>
            </w:pPr>
          </w:p>
        </w:tc>
        <w:tc>
          <w:tcPr>
            <w:tcW w:w="0" w:type="pct"/>
          </w:tcPr>
          <w:p w14:paraId="139AFE0B" w14:textId="77777777" w:rsidR="006C711D" w:rsidRPr="00957936" w:rsidRDefault="006C711D"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Data Center</w:t>
            </w:r>
          </w:p>
        </w:tc>
        <w:tc>
          <w:tcPr>
            <w:tcW w:w="0" w:type="pct"/>
          </w:tcPr>
          <w:p w14:paraId="3C10B4D4" w14:textId="77777777" w:rsidR="006C711D" w:rsidRPr="00957936" w:rsidRDefault="00B85724"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N/A</w:t>
            </w:r>
          </w:p>
        </w:tc>
        <w:tc>
          <w:tcPr>
            <w:tcW w:w="0" w:type="pct"/>
          </w:tcPr>
          <w:p w14:paraId="67F5F1C5" w14:textId="77777777" w:rsidR="006C711D" w:rsidRPr="00957936" w:rsidRDefault="00D351A6"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5</w:t>
            </w:r>
          </w:p>
        </w:tc>
      </w:tr>
      <w:tr w:rsidR="006C711D" w:rsidRPr="00957936" w14:paraId="16771C6B" w14:textId="77777777" w:rsidTr="00AF21BE">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0" w:type="pct"/>
            <w:vMerge/>
          </w:tcPr>
          <w:p w14:paraId="47C72AC0" w14:textId="77777777" w:rsidR="006C711D" w:rsidRPr="00957936" w:rsidRDefault="006C711D" w:rsidP="006C711D">
            <w:pPr>
              <w:rPr>
                <w:rFonts w:ascii="Arial Narrow" w:hAnsi="Arial Narrow" w:cs="Arial"/>
                <w:sz w:val="18"/>
                <w:szCs w:val="18"/>
              </w:rPr>
            </w:pPr>
          </w:p>
        </w:tc>
        <w:tc>
          <w:tcPr>
            <w:tcW w:w="0" w:type="pct"/>
          </w:tcPr>
          <w:p w14:paraId="3EBFF3A6" w14:textId="77777777" w:rsidR="006C711D" w:rsidRPr="00957936" w:rsidRDefault="006C711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Food Service</w:t>
            </w:r>
          </w:p>
        </w:tc>
        <w:tc>
          <w:tcPr>
            <w:tcW w:w="0" w:type="pct"/>
          </w:tcPr>
          <w:p w14:paraId="64F2F05C" w14:textId="77777777" w:rsidR="006C711D" w:rsidRPr="00957936" w:rsidRDefault="00A6197B"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7</w:t>
            </w:r>
          </w:p>
        </w:tc>
        <w:tc>
          <w:tcPr>
            <w:tcW w:w="0" w:type="pct"/>
          </w:tcPr>
          <w:p w14:paraId="56FBD715" w14:textId="77777777" w:rsidR="006C711D" w:rsidRPr="00957936" w:rsidRDefault="008B5FF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7</w:t>
            </w:r>
          </w:p>
        </w:tc>
      </w:tr>
      <w:tr w:rsidR="006C711D" w:rsidRPr="00957936" w14:paraId="5F48CB8E" w14:textId="77777777" w:rsidTr="00AF21BE">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pct"/>
            <w:vMerge/>
          </w:tcPr>
          <w:p w14:paraId="7289FBE6" w14:textId="77777777" w:rsidR="006C711D" w:rsidRPr="00957936" w:rsidRDefault="006C711D" w:rsidP="006C711D">
            <w:pPr>
              <w:rPr>
                <w:rFonts w:ascii="Arial Narrow" w:hAnsi="Arial Narrow" w:cs="Arial"/>
                <w:sz w:val="18"/>
                <w:szCs w:val="18"/>
              </w:rPr>
            </w:pPr>
          </w:p>
        </w:tc>
        <w:tc>
          <w:tcPr>
            <w:tcW w:w="0" w:type="pct"/>
          </w:tcPr>
          <w:p w14:paraId="3291AE40" w14:textId="77777777" w:rsidR="006C711D" w:rsidRPr="00957936" w:rsidRDefault="006C711D"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HVAC</w:t>
            </w:r>
          </w:p>
        </w:tc>
        <w:tc>
          <w:tcPr>
            <w:tcW w:w="0" w:type="pct"/>
          </w:tcPr>
          <w:p w14:paraId="19D6A54B" w14:textId="77777777" w:rsidR="006C711D" w:rsidRPr="00957936" w:rsidRDefault="00A6197B"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25</w:t>
            </w:r>
          </w:p>
        </w:tc>
        <w:tc>
          <w:tcPr>
            <w:tcW w:w="0" w:type="pct"/>
          </w:tcPr>
          <w:p w14:paraId="5A8FF221" w14:textId="77777777" w:rsidR="006C711D" w:rsidRPr="00957936" w:rsidRDefault="008B5FFD"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4</w:t>
            </w:r>
            <w:r w:rsidR="00D351A6">
              <w:rPr>
                <w:rFonts w:ascii="Arial Narrow" w:hAnsi="Arial Narrow" w:cs="Arial"/>
                <w:sz w:val="18"/>
                <w:szCs w:val="18"/>
              </w:rPr>
              <w:t>4</w:t>
            </w:r>
          </w:p>
        </w:tc>
      </w:tr>
      <w:tr w:rsidR="006C711D" w:rsidRPr="00957936" w14:paraId="6723C523" w14:textId="77777777" w:rsidTr="00AF21BE">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0" w:type="pct"/>
            <w:vMerge/>
          </w:tcPr>
          <w:p w14:paraId="06B5F230" w14:textId="77777777" w:rsidR="006C711D" w:rsidRPr="00957936" w:rsidRDefault="006C711D" w:rsidP="006C711D">
            <w:pPr>
              <w:rPr>
                <w:rFonts w:ascii="Arial Narrow" w:hAnsi="Arial Narrow" w:cs="Arial"/>
                <w:sz w:val="18"/>
                <w:szCs w:val="18"/>
              </w:rPr>
            </w:pPr>
          </w:p>
        </w:tc>
        <w:tc>
          <w:tcPr>
            <w:tcW w:w="0" w:type="pct"/>
          </w:tcPr>
          <w:p w14:paraId="0D18C89F" w14:textId="77777777" w:rsidR="006C711D" w:rsidRPr="00957936" w:rsidRDefault="006C711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Lighting</w:t>
            </w:r>
          </w:p>
        </w:tc>
        <w:tc>
          <w:tcPr>
            <w:tcW w:w="0" w:type="pct"/>
          </w:tcPr>
          <w:p w14:paraId="0AD5438C" w14:textId="77777777" w:rsidR="006C711D" w:rsidRPr="00957936" w:rsidRDefault="00A6197B"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27</w:t>
            </w:r>
          </w:p>
        </w:tc>
        <w:tc>
          <w:tcPr>
            <w:tcW w:w="0" w:type="pct"/>
          </w:tcPr>
          <w:p w14:paraId="328D05C9" w14:textId="77777777" w:rsidR="006C711D" w:rsidRPr="00957936" w:rsidRDefault="008B5FF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26</w:t>
            </w:r>
          </w:p>
        </w:tc>
      </w:tr>
      <w:tr w:rsidR="00A6197B" w:rsidRPr="00957936" w14:paraId="6018FA12" w14:textId="77777777" w:rsidTr="00AF21BE">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0" w:type="pct"/>
            <w:vMerge/>
          </w:tcPr>
          <w:p w14:paraId="624EB6BD" w14:textId="77777777" w:rsidR="00A6197B" w:rsidRPr="00957936" w:rsidRDefault="00A6197B" w:rsidP="006C711D">
            <w:pPr>
              <w:rPr>
                <w:rFonts w:ascii="Arial Narrow" w:hAnsi="Arial Narrow" w:cs="Arial"/>
                <w:sz w:val="18"/>
                <w:szCs w:val="18"/>
              </w:rPr>
            </w:pPr>
          </w:p>
        </w:tc>
        <w:tc>
          <w:tcPr>
            <w:tcW w:w="0" w:type="pct"/>
          </w:tcPr>
          <w:p w14:paraId="00C56780" w14:textId="77777777" w:rsidR="00A6197B" w:rsidRPr="00957936" w:rsidRDefault="00A6197B"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ProcHeat</w:t>
            </w:r>
          </w:p>
        </w:tc>
        <w:tc>
          <w:tcPr>
            <w:tcW w:w="0" w:type="pct"/>
          </w:tcPr>
          <w:p w14:paraId="30205020" w14:textId="77777777" w:rsidR="00A6197B" w:rsidRPr="00957936" w:rsidRDefault="00A6197B"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w:t>
            </w:r>
          </w:p>
        </w:tc>
        <w:tc>
          <w:tcPr>
            <w:tcW w:w="0" w:type="pct"/>
          </w:tcPr>
          <w:p w14:paraId="62AE9F0F" w14:textId="77777777" w:rsidR="00A6197B" w:rsidRPr="00957936" w:rsidRDefault="00A6197B"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N/A</w:t>
            </w:r>
          </w:p>
        </w:tc>
      </w:tr>
      <w:tr w:rsidR="00A6197B" w:rsidRPr="00957936" w14:paraId="088B8C83" w14:textId="77777777" w:rsidTr="00AF21BE">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0" w:type="pct"/>
            <w:vMerge/>
          </w:tcPr>
          <w:p w14:paraId="393E7130" w14:textId="77777777" w:rsidR="00A6197B" w:rsidRPr="00957936" w:rsidRDefault="00A6197B" w:rsidP="006C711D">
            <w:pPr>
              <w:rPr>
                <w:rFonts w:ascii="Arial Narrow" w:hAnsi="Arial Narrow" w:cs="Arial"/>
                <w:sz w:val="18"/>
                <w:szCs w:val="18"/>
              </w:rPr>
            </w:pPr>
          </w:p>
        </w:tc>
        <w:tc>
          <w:tcPr>
            <w:tcW w:w="0" w:type="pct"/>
          </w:tcPr>
          <w:p w14:paraId="2B890073" w14:textId="77777777" w:rsidR="00A6197B" w:rsidRPr="00957936" w:rsidRDefault="00A6197B"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Service</w:t>
            </w:r>
          </w:p>
        </w:tc>
        <w:tc>
          <w:tcPr>
            <w:tcW w:w="0" w:type="pct"/>
          </w:tcPr>
          <w:p w14:paraId="41E31697" w14:textId="77777777" w:rsidR="00A6197B" w:rsidRPr="00957936" w:rsidRDefault="00A6197B"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4</w:t>
            </w:r>
          </w:p>
        </w:tc>
        <w:tc>
          <w:tcPr>
            <w:tcW w:w="0" w:type="pct"/>
          </w:tcPr>
          <w:p w14:paraId="3FE67E64" w14:textId="77777777" w:rsidR="00A6197B" w:rsidRPr="00957936" w:rsidRDefault="00A6197B"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N/A</w:t>
            </w:r>
          </w:p>
        </w:tc>
      </w:tr>
      <w:tr w:rsidR="006C711D" w:rsidRPr="00957936" w14:paraId="420B5D3D" w14:textId="77777777" w:rsidTr="00AF21BE">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0" w:type="pct"/>
            <w:vMerge/>
          </w:tcPr>
          <w:p w14:paraId="6C9A2A52" w14:textId="77777777" w:rsidR="006C711D" w:rsidRPr="00957936" w:rsidRDefault="006C711D" w:rsidP="006C711D">
            <w:pPr>
              <w:rPr>
                <w:rFonts w:ascii="Arial Narrow" w:hAnsi="Arial Narrow" w:cs="Arial"/>
                <w:sz w:val="18"/>
                <w:szCs w:val="18"/>
              </w:rPr>
            </w:pPr>
          </w:p>
        </w:tc>
        <w:tc>
          <w:tcPr>
            <w:tcW w:w="0" w:type="pct"/>
          </w:tcPr>
          <w:p w14:paraId="7156767C" w14:textId="77777777" w:rsidR="006C711D" w:rsidRPr="00957936" w:rsidRDefault="006C711D"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Water Heating</w:t>
            </w:r>
          </w:p>
        </w:tc>
        <w:tc>
          <w:tcPr>
            <w:tcW w:w="0" w:type="pct"/>
          </w:tcPr>
          <w:p w14:paraId="1D0C6610" w14:textId="77777777" w:rsidR="006C711D" w:rsidRPr="00957936" w:rsidRDefault="00A6197B"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9</w:t>
            </w:r>
          </w:p>
        </w:tc>
        <w:tc>
          <w:tcPr>
            <w:tcW w:w="0" w:type="pct"/>
          </w:tcPr>
          <w:p w14:paraId="7FB446C1" w14:textId="77777777" w:rsidR="006C711D" w:rsidRPr="00957936" w:rsidRDefault="00D351A6" w:rsidP="006C711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7</w:t>
            </w:r>
          </w:p>
        </w:tc>
      </w:tr>
      <w:tr w:rsidR="006C711D" w:rsidRPr="00957936" w14:paraId="6115EE15" w14:textId="77777777" w:rsidTr="00AF21BE">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0" w:type="pct"/>
            <w:vMerge/>
          </w:tcPr>
          <w:p w14:paraId="4904C234" w14:textId="77777777" w:rsidR="006C711D" w:rsidRPr="00957936" w:rsidRDefault="006C711D" w:rsidP="006C711D">
            <w:pPr>
              <w:rPr>
                <w:rFonts w:ascii="Arial Narrow" w:hAnsi="Arial Narrow" w:cs="Arial"/>
                <w:sz w:val="18"/>
                <w:szCs w:val="18"/>
              </w:rPr>
            </w:pPr>
          </w:p>
        </w:tc>
        <w:tc>
          <w:tcPr>
            <w:tcW w:w="0" w:type="pct"/>
          </w:tcPr>
          <w:p w14:paraId="569B24F3" w14:textId="77777777" w:rsidR="006C711D" w:rsidRPr="00957936" w:rsidRDefault="006C711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Total</w:t>
            </w:r>
          </w:p>
        </w:tc>
        <w:tc>
          <w:tcPr>
            <w:tcW w:w="0" w:type="pct"/>
          </w:tcPr>
          <w:p w14:paraId="18E552E0" w14:textId="77777777" w:rsidR="006C711D" w:rsidRPr="00957936" w:rsidRDefault="00A6197B"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85</w:t>
            </w:r>
          </w:p>
        </w:tc>
        <w:tc>
          <w:tcPr>
            <w:tcW w:w="0" w:type="pct"/>
          </w:tcPr>
          <w:p w14:paraId="30A911A0" w14:textId="77777777" w:rsidR="006C711D" w:rsidRPr="00957936" w:rsidRDefault="008B5FFD" w:rsidP="006C711D">
            <w:pP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136</w:t>
            </w:r>
          </w:p>
        </w:tc>
      </w:tr>
    </w:tbl>
    <w:p w14:paraId="215B75FF" w14:textId="77777777" w:rsidR="006C711D" w:rsidRPr="001E69E4" w:rsidRDefault="006C711D" w:rsidP="001E69E4"/>
    <w:p w14:paraId="4CCA6D5C" w14:textId="77777777" w:rsidR="00136E84" w:rsidRPr="00E62B2A" w:rsidRDefault="00136E84" w:rsidP="001E69E4"/>
    <w:p w14:paraId="0CD24555" w14:textId="77777777" w:rsidR="00870A2E" w:rsidRDefault="008610C3" w:rsidP="001E69E4">
      <w:r>
        <w:t>The technology-based characterization allows for the i</w:t>
      </w:r>
      <w:r w:rsidR="00870A2E">
        <w:t xml:space="preserve">nclusion of below-code </w:t>
      </w:r>
      <w:r w:rsidR="001E69E4">
        <w:t>technologies (and thus to-code savings)</w:t>
      </w:r>
      <w:r>
        <w:t>.  In</w:t>
      </w:r>
      <w:r w:rsidR="006A152F">
        <w:t xml:space="preserve"> the</w:t>
      </w:r>
      <w:r w:rsidR="001E69E4">
        <w:t xml:space="preserve"> new</w:t>
      </w:r>
      <w:r w:rsidR="006A152F">
        <w:t xml:space="preserve"> technology list</w:t>
      </w:r>
      <w:r>
        <w:t xml:space="preserve">, Navigant defined the average </w:t>
      </w:r>
      <w:r w:rsidR="006807F5">
        <w:t>below code</w:t>
      </w:r>
      <w:r>
        <w:t xml:space="preserve"> efficiency level for technology groups</w:t>
      </w:r>
      <w:r w:rsidR="001E69E4">
        <w:t xml:space="preserve"> where appropriate. </w:t>
      </w:r>
      <w:r w:rsidR="00CD7C85">
        <w:t xml:space="preserve"> </w:t>
      </w:r>
      <w:r w:rsidR="001E69E4">
        <w:t xml:space="preserve">Such technologies are flagged as “Accelerated Replacement” and are summarized in </w:t>
      </w:r>
      <w:r w:rsidR="001E69E4">
        <w:fldChar w:fldCharType="begin"/>
      </w:r>
      <w:r w:rsidR="001E69E4">
        <w:instrText xml:space="preserve"> REF _Ref482344758 \h </w:instrText>
      </w:r>
      <w:r w:rsidR="001E69E4">
        <w:fldChar w:fldCharType="separate"/>
      </w:r>
      <w:r w:rsidR="007566B9" w:rsidRPr="00D063E4">
        <w:t xml:space="preserve">Table </w:t>
      </w:r>
      <w:r w:rsidR="007566B9">
        <w:rPr>
          <w:noProof/>
        </w:rPr>
        <w:t>3</w:t>
      </w:r>
      <w:r w:rsidR="007566B9" w:rsidRPr="00D063E4">
        <w:noBreakHyphen/>
      </w:r>
      <w:r w:rsidR="007566B9">
        <w:rPr>
          <w:noProof/>
        </w:rPr>
        <w:t>11</w:t>
      </w:r>
      <w:r w:rsidR="001E69E4">
        <w:fldChar w:fldCharType="end"/>
      </w:r>
      <w:r w:rsidR="001E69E4">
        <w:t xml:space="preserve"> below. </w:t>
      </w:r>
    </w:p>
    <w:p w14:paraId="79BA785C" w14:textId="77777777" w:rsidR="00A652E5" w:rsidRPr="001E69E4" w:rsidRDefault="00A652E5" w:rsidP="00A652E5">
      <w:pPr>
        <w:rPr>
          <w:b/>
        </w:rPr>
      </w:pPr>
    </w:p>
    <w:p w14:paraId="01A86141" w14:textId="77777777" w:rsidR="00BF5347" w:rsidRPr="00D063E4" w:rsidRDefault="00BF5347" w:rsidP="00D063E4">
      <w:pPr>
        <w:pStyle w:val="Caption"/>
      </w:pPr>
      <w:bookmarkStart w:id="463" w:name="_Ref482344758"/>
      <w:bookmarkStart w:id="464" w:name="_Toc482634218"/>
      <w:bookmarkStart w:id="465" w:name="_Toc484436957"/>
      <w:bookmarkStart w:id="466" w:name="_Toc490560669"/>
      <w:r w:rsidRPr="00D063E4">
        <w:lastRenderedPageBreak/>
        <w:t xml:space="preserve">Table </w:t>
      </w:r>
      <w:fldSimple w:instr=" STYLEREF 1 \s ">
        <w:r w:rsidR="007566B9">
          <w:rPr>
            <w:noProof/>
          </w:rPr>
          <w:t>3</w:t>
        </w:r>
      </w:fldSimple>
      <w:r w:rsidR="00C17D59" w:rsidRPr="00D063E4">
        <w:noBreakHyphen/>
      </w:r>
      <w:fldSimple w:instr=" SEQ Table \* ARABIC \s 1 ">
        <w:r w:rsidR="007566B9">
          <w:rPr>
            <w:noProof/>
          </w:rPr>
          <w:t>11</w:t>
        </w:r>
      </w:fldSimple>
      <w:bookmarkEnd w:id="463"/>
      <w:r w:rsidRPr="00D063E4">
        <w:t xml:space="preserve">. Residential and Commercial </w:t>
      </w:r>
      <w:r w:rsidR="001E69E4" w:rsidRPr="00D063E4">
        <w:t>Accelerated Replacement</w:t>
      </w:r>
      <w:r w:rsidRPr="00D063E4">
        <w:t xml:space="preserve"> Technolog</w:t>
      </w:r>
      <w:bookmarkEnd w:id="464"/>
      <w:bookmarkEnd w:id="465"/>
      <w:r w:rsidR="00355E35">
        <w:t>y Groups</w:t>
      </w:r>
      <w:bookmarkEnd w:id="466"/>
      <w:r w:rsidRPr="00D063E4">
        <w:t xml:space="preserve"> </w:t>
      </w:r>
    </w:p>
    <w:tbl>
      <w:tblPr>
        <w:tblStyle w:val="EnergyTable1"/>
        <w:tblW w:w="4037" w:type="pct"/>
        <w:tblLook w:val="04A0" w:firstRow="1" w:lastRow="0" w:firstColumn="1" w:lastColumn="0" w:noHBand="0" w:noVBand="1"/>
      </w:tblPr>
      <w:tblGrid>
        <w:gridCol w:w="2514"/>
        <w:gridCol w:w="2341"/>
        <w:gridCol w:w="2702"/>
      </w:tblGrid>
      <w:tr w:rsidR="006C711D" w:rsidRPr="00957936" w14:paraId="25410A12" w14:textId="77777777" w:rsidTr="00AF21BE">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pct"/>
          </w:tcPr>
          <w:p w14:paraId="33A7A998" w14:textId="77777777" w:rsidR="006C711D" w:rsidRPr="00957936" w:rsidRDefault="006C711D" w:rsidP="00A330AB">
            <w:pPr>
              <w:keepNext/>
              <w:rPr>
                <w:rFonts w:ascii="Arial Narrow" w:hAnsi="Arial Narrow" w:cs="Arial"/>
                <w:sz w:val="18"/>
                <w:szCs w:val="18"/>
              </w:rPr>
            </w:pPr>
            <w:r w:rsidRPr="00957936">
              <w:rPr>
                <w:rFonts w:ascii="Arial Narrow" w:hAnsi="Arial Narrow" w:cs="Arial"/>
                <w:sz w:val="18"/>
                <w:szCs w:val="18"/>
              </w:rPr>
              <w:t>Sector</w:t>
            </w:r>
          </w:p>
        </w:tc>
        <w:tc>
          <w:tcPr>
            <w:tcW w:w="0" w:type="pct"/>
          </w:tcPr>
          <w:p w14:paraId="422201CA" w14:textId="77777777" w:rsidR="006C711D" w:rsidRPr="00957936" w:rsidRDefault="006C711D" w:rsidP="00A330AB">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End Use</w:t>
            </w:r>
          </w:p>
        </w:tc>
        <w:tc>
          <w:tcPr>
            <w:tcW w:w="0" w:type="pct"/>
          </w:tcPr>
          <w:p w14:paraId="2DAB71FF" w14:textId="77777777" w:rsidR="006C711D" w:rsidRPr="00957936" w:rsidRDefault="006C711D" w:rsidP="00A330AB">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Number of Technolog</w:t>
            </w:r>
            <w:r w:rsidR="00355E35">
              <w:rPr>
                <w:rFonts w:ascii="Arial Narrow" w:hAnsi="Arial Narrow" w:cs="Arial"/>
                <w:sz w:val="18"/>
                <w:szCs w:val="18"/>
              </w:rPr>
              <w:t>y Groups</w:t>
            </w:r>
            <w:r w:rsidRPr="00957936">
              <w:rPr>
                <w:rFonts w:ascii="Arial Narrow" w:hAnsi="Arial Narrow" w:cs="Arial"/>
                <w:sz w:val="18"/>
                <w:szCs w:val="18"/>
              </w:rPr>
              <w:t xml:space="preserve"> Characterized as </w:t>
            </w:r>
            <w:r w:rsidR="001E69E4" w:rsidRPr="00957936">
              <w:rPr>
                <w:rFonts w:ascii="Arial Narrow" w:hAnsi="Arial Narrow" w:cs="Arial"/>
                <w:sz w:val="18"/>
                <w:szCs w:val="18"/>
              </w:rPr>
              <w:t>Accelerated Replacement</w:t>
            </w:r>
            <w:r w:rsidRPr="00957936">
              <w:rPr>
                <w:rFonts w:ascii="Arial Narrow" w:hAnsi="Arial Narrow" w:cs="Arial"/>
                <w:sz w:val="18"/>
                <w:szCs w:val="18"/>
              </w:rPr>
              <w:t xml:space="preserve"> </w:t>
            </w:r>
          </w:p>
        </w:tc>
      </w:tr>
      <w:tr w:rsidR="006C711D" w:rsidRPr="00957936" w14:paraId="64DF90CD" w14:textId="77777777" w:rsidTr="00AF21B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pct"/>
            <w:vMerge w:val="restart"/>
          </w:tcPr>
          <w:p w14:paraId="4B2C247D" w14:textId="77777777" w:rsidR="006C711D" w:rsidRPr="00957936" w:rsidRDefault="001E69E4" w:rsidP="00A330AB">
            <w:pPr>
              <w:keepNext/>
              <w:rPr>
                <w:rFonts w:ascii="Arial Narrow" w:hAnsi="Arial Narrow" w:cs="Arial"/>
                <w:b/>
                <w:sz w:val="18"/>
                <w:szCs w:val="18"/>
              </w:rPr>
            </w:pPr>
            <w:r w:rsidRPr="00957936">
              <w:rPr>
                <w:rFonts w:ascii="Arial Narrow" w:hAnsi="Arial Narrow" w:cs="Arial"/>
                <w:b/>
                <w:sz w:val="18"/>
                <w:szCs w:val="18"/>
              </w:rPr>
              <w:t xml:space="preserve">Residential </w:t>
            </w:r>
          </w:p>
        </w:tc>
        <w:tc>
          <w:tcPr>
            <w:tcW w:w="0" w:type="pct"/>
          </w:tcPr>
          <w:p w14:paraId="7780A1FA" w14:textId="77777777" w:rsidR="006C711D" w:rsidRPr="00957936" w:rsidRDefault="006C711D"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Building Envelope</w:t>
            </w:r>
          </w:p>
        </w:tc>
        <w:tc>
          <w:tcPr>
            <w:tcW w:w="0" w:type="pct"/>
          </w:tcPr>
          <w:p w14:paraId="1CD2FA78" w14:textId="77777777" w:rsidR="006C711D" w:rsidRPr="00957936" w:rsidRDefault="00355E35"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2</w:t>
            </w:r>
          </w:p>
        </w:tc>
      </w:tr>
      <w:tr w:rsidR="006C711D" w:rsidRPr="00957936" w14:paraId="32EE77C1" w14:textId="77777777" w:rsidTr="00AF21BE">
        <w:trPr>
          <w:cnfStyle w:val="000000010000" w:firstRow="0" w:lastRow="0" w:firstColumn="0" w:lastColumn="0" w:oddVBand="0" w:evenVBand="0" w:oddHBand="0" w:evenHBand="1"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0" w:type="pct"/>
            <w:vMerge/>
          </w:tcPr>
          <w:p w14:paraId="6FC3060D" w14:textId="77777777" w:rsidR="006C711D" w:rsidRPr="00957936" w:rsidRDefault="006C711D" w:rsidP="00A330AB">
            <w:pPr>
              <w:keepNext/>
              <w:rPr>
                <w:rFonts w:ascii="Arial Narrow" w:hAnsi="Arial Narrow" w:cs="Arial"/>
                <w:sz w:val="18"/>
                <w:szCs w:val="18"/>
              </w:rPr>
            </w:pPr>
          </w:p>
        </w:tc>
        <w:tc>
          <w:tcPr>
            <w:tcW w:w="0" w:type="pct"/>
          </w:tcPr>
          <w:p w14:paraId="27CC0B0C" w14:textId="77777777" w:rsidR="006C711D" w:rsidRPr="00957936" w:rsidRDefault="006C711D"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HVAC</w:t>
            </w:r>
          </w:p>
        </w:tc>
        <w:tc>
          <w:tcPr>
            <w:tcW w:w="0" w:type="pct"/>
          </w:tcPr>
          <w:p w14:paraId="59D09B9B" w14:textId="77777777" w:rsidR="006C711D" w:rsidRPr="00957936" w:rsidRDefault="00355E35" w:rsidP="00A330AB">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6</w:t>
            </w:r>
          </w:p>
        </w:tc>
      </w:tr>
      <w:tr w:rsidR="006C711D" w:rsidRPr="00957936" w14:paraId="455EF0CF" w14:textId="77777777" w:rsidTr="00AF21BE">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0" w:type="pct"/>
            <w:vMerge/>
          </w:tcPr>
          <w:p w14:paraId="0174F6EB" w14:textId="77777777" w:rsidR="006C711D" w:rsidRPr="00957936" w:rsidRDefault="006C711D" w:rsidP="00A330AB">
            <w:pPr>
              <w:keepNext/>
              <w:rPr>
                <w:rFonts w:ascii="Arial Narrow" w:hAnsi="Arial Narrow" w:cs="Arial"/>
                <w:sz w:val="18"/>
                <w:szCs w:val="18"/>
              </w:rPr>
            </w:pPr>
          </w:p>
        </w:tc>
        <w:tc>
          <w:tcPr>
            <w:tcW w:w="0" w:type="pct"/>
          </w:tcPr>
          <w:p w14:paraId="7F3133A3" w14:textId="77777777" w:rsidR="006C711D" w:rsidRPr="00957936" w:rsidRDefault="00D351A6"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Lighting</w:t>
            </w:r>
          </w:p>
        </w:tc>
        <w:tc>
          <w:tcPr>
            <w:tcW w:w="0" w:type="pct"/>
          </w:tcPr>
          <w:p w14:paraId="1D97031B" w14:textId="77777777" w:rsidR="006C711D" w:rsidRPr="00957936" w:rsidRDefault="00355E35" w:rsidP="00A330AB">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2</w:t>
            </w:r>
          </w:p>
        </w:tc>
      </w:tr>
      <w:tr w:rsidR="00D351A6" w:rsidRPr="00957936" w14:paraId="5B026FEB" w14:textId="77777777" w:rsidTr="00AF21BE">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0" w:type="pct"/>
            <w:vMerge/>
          </w:tcPr>
          <w:p w14:paraId="66491268" w14:textId="77777777" w:rsidR="00D351A6" w:rsidRPr="00957936" w:rsidRDefault="00D351A6" w:rsidP="00D351A6">
            <w:pPr>
              <w:keepNext/>
              <w:rPr>
                <w:rFonts w:ascii="Arial Narrow" w:hAnsi="Arial Narrow" w:cs="Arial"/>
                <w:sz w:val="18"/>
                <w:szCs w:val="18"/>
              </w:rPr>
            </w:pPr>
          </w:p>
        </w:tc>
        <w:tc>
          <w:tcPr>
            <w:tcW w:w="0" w:type="pct"/>
          </w:tcPr>
          <w:p w14:paraId="1C541E7D" w14:textId="77777777" w:rsidR="00D351A6" w:rsidRPr="00957936" w:rsidRDefault="00D351A6" w:rsidP="00D351A6">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Total</w:t>
            </w:r>
          </w:p>
        </w:tc>
        <w:tc>
          <w:tcPr>
            <w:tcW w:w="0" w:type="pct"/>
          </w:tcPr>
          <w:p w14:paraId="62225ACE" w14:textId="77777777" w:rsidR="00D351A6" w:rsidRPr="00957936" w:rsidDel="0064218F" w:rsidRDefault="00355E35" w:rsidP="00D351A6">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Pr>
                <w:rFonts w:ascii="Arial Narrow" w:hAnsi="Arial Narrow" w:cs="Arial"/>
                <w:b/>
                <w:sz w:val="18"/>
                <w:szCs w:val="18"/>
              </w:rPr>
              <w:t>10</w:t>
            </w:r>
          </w:p>
        </w:tc>
      </w:tr>
      <w:tr w:rsidR="00D351A6" w:rsidRPr="00957936" w14:paraId="1A53E4C5" w14:textId="77777777" w:rsidTr="00AF21B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pct"/>
            <w:vMerge/>
          </w:tcPr>
          <w:p w14:paraId="078C7778" w14:textId="77777777" w:rsidR="00D351A6" w:rsidRPr="00957936" w:rsidRDefault="00D351A6" w:rsidP="00D351A6">
            <w:pPr>
              <w:keepNext/>
              <w:rPr>
                <w:rFonts w:ascii="Arial Narrow" w:hAnsi="Arial Narrow" w:cs="Arial"/>
                <w:sz w:val="18"/>
                <w:szCs w:val="18"/>
              </w:rPr>
            </w:pPr>
          </w:p>
        </w:tc>
        <w:tc>
          <w:tcPr>
            <w:tcW w:w="0" w:type="pct"/>
          </w:tcPr>
          <w:p w14:paraId="32CFFC0E" w14:textId="77777777" w:rsidR="00D351A6" w:rsidRPr="00957936" w:rsidRDefault="00355E35" w:rsidP="00D351A6">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Data Center</w:t>
            </w:r>
          </w:p>
        </w:tc>
        <w:tc>
          <w:tcPr>
            <w:tcW w:w="0" w:type="pct"/>
          </w:tcPr>
          <w:p w14:paraId="7005672C" w14:textId="77777777" w:rsidR="00D351A6" w:rsidRPr="00957936" w:rsidRDefault="00355E35" w:rsidP="00D351A6">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w:t>
            </w:r>
          </w:p>
        </w:tc>
      </w:tr>
      <w:tr w:rsidR="00D351A6" w:rsidRPr="00957936" w14:paraId="6A69F959" w14:textId="77777777" w:rsidTr="00AF21BE">
        <w:trPr>
          <w:cnfStyle w:val="000000010000" w:firstRow="0" w:lastRow="0" w:firstColumn="0" w:lastColumn="0" w:oddVBand="0" w:evenVBand="0" w:oddHBand="0" w:evenHBand="1"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0" w:type="pct"/>
            <w:vMerge/>
          </w:tcPr>
          <w:p w14:paraId="1F7C0EB1" w14:textId="77777777" w:rsidR="00D351A6" w:rsidRPr="00957936" w:rsidRDefault="00D351A6" w:rsidP="00D351A6">
            <w:pPr>
              <w:keepNext/>
              <w:rPr>
                <w:rFonts w:ascii="Arial Narrow" w:hAnsi="Arial Narrow" w:cs="Arial"/>
                <w:sz w:val="18"/>
                <w:szCs w:val="18"/>
              </w:rPr>
            </w:pPr>
          </w:p>
        </w:tc>
        <w:tc>
          <w:tcPr>
            <w:tcW w:w="0" w:type="pct"/>
          </w:tcPr>
          <w:p w14:paraId="754C6DD2" w14:textId="77777777" w:rsidR="00D351A6" w:rsidRPr="00957936" w:rsidRDefault="00D351A6" w:rsidP="00D351A6">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HVAC</w:t>
            </w:r>
          </w:p>
        </w:tc>
        <w:tc>
          <w:tcPr>
            <w:tcW w:w="0" w:type="pct"/>
          </w:tcPr>
          <w:p w14:paraId="101E031C" w14:textId="77777777" w:rsidR="00D351A6" w:rsidRPr="00957936" w:rsidRDefault="00355E35" w:rsidP="00D351A6">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9</w:t>
            </w:r>
          </w:p>
        </w:tc>
      </w:tr>
      <w:tr w:rsidR="00D351A6" w:rsidRPr="00957936" w14:paraId="79A037EE" w14:textId="77777777" w:rsidTr="00AF21BE">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0" w:type="pct"/>
            <w:vMerge/>
          </w:tcPr>
          <w:p w14:paraId="7E8FC3AA" w14:textId="77777777" w:rsidR="00D351A6" w:rsidRPr="00957936" w:rsidRDefault="00D351A6" w:rsidP="00D351A6">
            <w:pPr>
              <w:keepNext/>
              <w:rPr>
                <w:rFonts w:ascii="Arial Narrow" w:hAnsi="Arial Narrow" w:cs="Arial"/>
                <w:sz w:val="18"/>
                <w:szCs w:val="18"/>
              </w:rPr>
            </w:pPr>
          </w:p>
        </w:tc>
        <w:tc>
          <w:tcPr>
            <w:tcW w:w="0" w:type="pct"/>
          </w:tcPr>
          <w:p w14:paraId="6C524605" w14:textId="77777777" w:rsidR="00D351A6" w:rsidRPr="00957936" w:rsidRDefault="00D351A6" w:rsidP="00D351A6">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Water Heating</w:t>
            </w:r>
          </w:p>
        </w:tc>
        <w:tc>
          <w:tcPr>
            <w:tcW w:w="0" w:type="pct"/>
          </w:tcPr>
          <w:p w14:paraId="2B5511FF" w14:textId="77777777" w:rsidR="00D351A6" w:rsidRPr="00957936" w:rsidRDefault="00355E35" w:rsidP="00D351A6">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3</w:t>
            </w:r>
          </w:p>
        </w:tc>
      </w:tr>
      <w:tr w:rsidR="00D351A6" w:rsidRPr="00957936" w14:paraId="56A453FF" w14:textId="77777777" w:rsidTr="00AF21BE">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0" w:type="pct"/>
            <w:vMerge/>
          </w:tcPr>
          <w:p w14:paraId="128E8C91" w14:textId="77777777" w:rsidR="00D351A6" w:rsidRPr="00957936" w:rsidRDefault="00D351A6" w:rsidP="00D351A6">
            <w:pPr>
              <w:rPr>
                <w:rFonts w:ascii="Arial Narrow" w:hAnsi="Arial Narrow" w:cs="Arial"/>
                <w:sz w:val="18"/>
                <w:szCs w:val="18"/>
              </w:rPr>
            </w:pPr>
          </w:p>
        </w:tc>
        <w:tc>
          <w:tcPr>
            <w:tcW w:w="0" w:type="pct"/>
          </w:tcPr>
          <w:p w14:paraId="01B347C2" w14:textId="77777777" w:rsidR="00D351A6" w:rsidRPr="00957936" w:rsidRDefault="00D351A6" w:rsidP="00D351A6">
            <w:pPr>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Total</w:t>
            </w:r>
          </w:p>
        </w:tc>
        <w:tc>
          <w:tcPr>
            <w:tcW w:w="0" w:type="pct"/>
          </w:tcPr>
          <w:p w14:paraId="55D48FFA" w14:textId="77777777" w:rsidR="00D351A6" w:rsidRPr="00957936" w:rsidRDefault="00355E35" w:rsidP="00D351A6">
            <w:pPr>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Pr>
                <w:rFonts w:ascii="Arial Narrow" w:hAnsi="Arial Narrow" w:cs="Arial"/>
                <w:b/>
                <w:sz w:val="18"/>
                <w:szCs w:val="18"/>
              </w:rPr>
              <w:t>13</w:t>
            </w:r>
          </w:p>
        </w:tc>
      </w:tr>
    </w:tbl>
    <w:p w14:paraId="793736E0" w14:textId="77777777" w:rsidR="001326E6" w:rsidRPr="006807F5" w:rsidRDefault="001326E6" w:rsidP="006807F5">
      <w:pPr>
        <w:pStyle w:val="Heading2"/>
      </w:pPr>
      <w:bookmarkStart w:id="467" w:name="_Toc490225789"/>
      <w:r w:rsidRPr="00D351A6">
        <w:rPr>
          <w:rStyle w:val="Heading3Char"/>
          <w:rFonts w:ascii="Arial Bold" w:hAnsi="Arial Bold"/>
          <w:b/>
          <w:bCs/>
          <w:i w:val="0"/>
          <w:sz w:val="26"/>
        </w:rPr>
        <w:t>Technology</w:t>
      </w:r>
      <w:r w:rsidRPr="00D351A6">
        <w:rPr>
          <w:i/>
        </w:rPr>
        <w:t xml:space="preserve"> </w:t>
      </w:r>
      <w:r w:rsidRPr="006807F5">
        <w:t>Characterization</w:t>
      </w:r>
      <w:bookmarkEnd w:id="467"/>
    </w:p>
    <w:p w14:paraId="56411607" w14:textId="77777777" w:rsidR="00D063E4" w:rsidRDefault="001326E6" w:rsidP="001326E6">
      <w:r w:rsidRPr="001326E6">
        <w:t xml:space="preserve">Characterization of the selected technologies involves developing </w:t>
      </w:r>
      <w:r w:rsidR="005918F5">
        <w:t xml:space="preserve">various </w:t>
      </w:r>
      <w:r w:rsidRPr="001326E6">
        <w:t>inputs for each technology</w:t>
      </w:r>
      <w:r w:rsidR="005918F5">
        <w:t xml:space="preserve"> that are necessary for calculation of potential</w:t>
      </w:r>
      <w:r w:rsidRPr="001326E6">
        <w:t xml:space="preserve">. </w:t>
      </w:r>
      <w:r w:rsidR="00870F2A" w:rsidRPr="00490F81">
        <w:fldChar w:fldCharType="begin"/>
      </w:r>
      <w:r w:rsidR="00870F2A" w:rsidRPr="00870F2A">
        <w:instrText xml:space="preserve"> REF _Ref481652266 \h </w:instrText>
      </w:r>
      <w:r w:rsidR="00870F2A">
        <w:instrText xml:space="preserve"> \* MERGEFORMAT </w:instrText>
      </w:r>
      <w:r w:rsidR="00870F2A" w:rsidRPr="00490F81">
        <w:fldChar w:fldCharType="separate"/>
      </w:r>
      <w:r w:rsidR="007566B9" w:rsidRPr="00D063E4">
        <w:t xml:space="preserve">Table </w:t>
      </w:r>
      <w:r w:rsidR="007566B9">
        <w:t>3</w:t>
      </w:r>
      <w:r w:rsidR="007566B9" w:rsidRPr="00D063E4">
        <w:noBreakHyphen/>
      </w:r>
      <w:r w:rsidR="007566B9">
        <w:t>12</w:t>
      </w:r>
      <w:r w:rsidR="00870F2A" w:rsidRPr="00490F81">
        <w:fldChar w:fldCharType="end"/>
      </w:r>
      <w:r w:rsidR="00870F2A">
        <w:t xml:space="preserve"> </w:t>
      </w:r>
      <w:r w:rsidRPr="001326E6">
        <w:t>below summarizes the key items for characterization of technologies with brief descriptions</w:t>
      </w:r>
      <w:r w:rsidR="005918F5">
        <w:t xml:space="preserve">. </w:t>
      </w:r>
    </w:p>
    <w:p w14:paraId="19F6DEB1" w14:textId="77777777" w:rsidR="00D063E4" w:rsidRDefault="00D063E4">
      <w:pPr>
        <w:spacing w:line="240" w:lineRule="auto"/>
      </w:pPr>
      <w:r>
        <w:br w:type="page"/>
      </w:r>
    </w:p>
    <w:p w14:paraId="2EC9DF1B" w14:textId="77777777" w:rsidR="001326E6" w:rsidRPr="00D063E4" w:rsidRDefault="001326E6" w:rsidP="00D063E4">
      <w:pPr>
        <w:pStyle w:val="Caption"/>
      </w:pPr>
      <w:bookmarkStart w:id="468" w:name="_Ref481652266"/>
      <w:bookmarkStart w:id="469" w:name="_Toc482634219"/>
      <w:bookmarkStart w:id="470" w:name="_Toc484436958"/>
      <w:bookmarkStart w:id="471" w:name="_Toc490560670"/>
      <w:r w:rsidRPr="00D063E4">
        <w:lastRenderedPageBreak/>
        <w:t xml:space="preserve">Table </w:t>
      </w:r>
      <w:fldSimple w:instr=" STYLEREF 1 \s ">
        <w:r w:rsidR="007566B9">
          <w:rPr>
            <w:noProof/>
          </w:rPr>
          <w:t>3</w:t>
        </w:r>
      </w:fldSimple>
      <w:r w:rsidR="00C17D59" w:rsidRPr="00D063E4">
        <w:noBreakHyphen/>
      </w:r>
      <w:fldSimple w:instr=" SEQ Table \* ARABIC \s 1 ">
        <w:r w:rsidR="007566B9">
          <w:rPr>
            <w:noProof/>
          </w:rPr>
          <w:t>12</w:t>
        </w:r>
      </w:fldSimple>
      <w:bookmarkEnd w:id="468"/>
      <w:r w:rsidRPr="00D063E4">
        <w:t>. Key Fields for Measure Characterization with Brief Descriptions</w:t>
      </w:r>
      <w:bookmarkEnd w:id="469"/>
      <w:bookmarkEnd w:id="470"/>
      <w:bookmarkEnd w:id="471"/>
    </w:p>
    <w:tbl>
      <w:tblPr>
        <w:tblStyle w:val="EnergyTable1"/>
        <w:tblW w:w="8734" w:type="dxa"/>
        <w:tblLook w:val="04A0" w:firstRow="1" w:lastRow="0" w:firstColumn="1" w:lastColumn="0" w:noHBand="0" w:noVBand="1"/>
      </w:tblPr>
      <w:tblGrid>
        <w:gridCol w:w="2909"/>
        <w:gridCol w:w="5825"/>
      </w:tblGrid>
      <w:tr w:rsidR="001326E6" w:rsidRPr="00957936" w14:paraId="1E4840AA" w14:textId="77777777" w:rsidTr="00AF21BE">
        <w:trPr>
          <w:cnfStyle w:val="100000000000" w:firstRow="1" w:lastRow="0" w:firstColumn="0" w:lastColumn="0" w:oddVBand="0" w:evenVBand="0" w:oddHBand="0" w:evenHBand="0" w:firstRowFirstColumn="0" w:firstRowLastColumn="0" w:lastRowFirstColumn="0" w:lastRowLastColumn="0"/>
          <w:trHeight w:val="354"/>
          <w:tblHeader/>
        </w:trPr>
        <w:tc>
          <w:tcPr>
            <w:cnfStyle w:val="001000000000" w:firstRow="0" w:lastRow="0" w:firstColumn="1" w:lastColumn="0" w:oddVBand="0" w:evenVBand="0" w:oddHBand="0" w:evenHBand="0" w:firstRowFirstColumn="0" w:firstRowLastColumn="0" w:lastRowFirstColumn="0" w:lastRowLastColumn="0"/>
            <w:tcW w:w="0" w:type="dxa"/>
          </w:tcPr>
          <w:p w14:paraId="1180C822"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 xml:space="preserve">Items </w:t>
            </w:r>
          </w:p>
        </w:tc>
        <w:tc>
          <w:tcPr>
            <w:tcW w:w="0" w:type="dxa"/>
          </w:tcPr>
          <w:p w14:paraId="148A721B" w14:textId="77777777" w:rsidR="001326E6" w:rsidRPr="00957936" w:rsidRDefault="001326E6" w:rsidP="001326E6">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Brief Description</w:t>
            </w:r>
          </w:p>
        </w:tc>
      </w:tr>
      <w:tr w:rsidR="001326E6" w:rsidRPr="00957936" w14:paraId="74844FED" w14:textId="77777777" w:rsidTr="00AF21BE">
        <w:trPr>
          <w:cnfStyle w:val="000000100000" w:firstRow="0" w:lastRow="0" w:firstColumn="0" w:lastColumn="0" w:oddVBand="0" w:evenVBand="0" w:oddHBand="1"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0" w:type="dxa"/>
          </w:tcPr>
          <w:p w14:paraId="54E57ED7" w14:textId="77777777" w:rsidR="001326E6" w:rsidRPr="00957936" w:rsidRDefault="001326E6" w:rsidP="001326E6">
            <w:pPr>
              <w:rPr>
                <w:rFonts w:ascii="Arial Narrow" w:hAnsi="Arial Narrow"/>
                <w:b/>
                <w:sz w:val="18"/>
                <w:szCs w:val="18"/>
              </w:rPr>
            </w:pPr>
            <w:r w:rsidRPr="00957936">
              <w:rPr>
                <w:rFonts w:ascii="Arial Narrow" w:hAnsi="Arial Narrow"/>
                <w:b/>
                <w:sz w:val="18"/>
                <w:szCs w:val="18"/>
              </w:rPr>
              <w:t>Technology Description</w:t>
            </w:r>
          </w:p>
        </w:tc>
        <w:tc>
          <w:tcPr>
            <w:tcW w:w="0" w:type="dxa"/>
          </w:tcPr>
          <w:p w14:paraId="033FEA15" w14:textId="77777777" w:rsidR="001326E6" w:rsidRPr="00957936" w:rsidRDefault="001326E6" w:rsidP="00D11E06">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Specifies the following for each technology:</w:t>
            </w:r>
          </w:p>
          <w:p w14:paraId="4603D14A" w14:textId="77777777" w:rsidR="001326E6" w:rsidRPr="00957936" w:rsidRDefault="001326E6" w:rsidP="004E4E36">
            <w:pPr>
              <w:numPr>
                <w:ilvl w:val="0"/>
                <w:numId w:val="33"/>
              </w:numPr>
              <w:spacing w:before="120" w:line="12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Sector</w:t>
            </w:r>
          </w:p>
          <w:p w14:paraId="1B80DD6D" w14:textId="77777777" w:rsidR="001326E6" w:rsidRPr="00957936" w:rsidRDefault="001326E6" w:rsidP="004E4E36">
            <w:pPr>
              <w:numPr>
                <w:ilvl w:val="0"/>
                <w:numId w:val="33"/>
              </w:numPr>
              <w:spacing w:before="120" w:line="12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 xml:space="preserve">End Use </w:t>
            </w:r>
          </w:p>
          <w:p w14:paraId="39BB6B66" w14:textId="77777777" w:rsidR="001326E6" w:rsidRPr="00957936" w:rsidRDefault="001326E6" w:rsidP="004E4E36">
            <w:pPr>
              <w:numPr>
                <w:ilvl w:val="0"/>
                <w:numId w:val="33"/>
              </w:numPr>
              <w:spacing w:before="120" w:line="12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 xml:space="preserve">Fuel Type </w:t>
            </w:r>
          </w:p>
          <w:p w14:paraId="661408DC" w14:textId="77777777" w:rsidR="001326E6" w:rsidRPr="00957936" w:rsidRDefault="001326E6" w:rsidP="004E4E36">
            <w:pPr>
              <w:numPr>
                <w:ilvl w:val="0"/>
                <w:numId w:val="33"/>
              </w:numPr>
              <w:spacing w:before="120" w:line="12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 xml:space="preserve">Climate Zone </w:t>
            </w:r>
          </w:p>
          <w:p w14:paraId="29A4D3D6" w14:textId="77777777" w:rsidR="001326E6" w:rsidRPr="00957936" w:rsidRDefault="001326E6" w:rsidP="004E4E36">
            <w:pPr>
              <w:numPr>
                <w:ilvl w:val="0"/>
                <w:numId w:val="33"/>
              </w:numPr>
              <w:spacing w:before="120" w:line="12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Segment/Building Type</w:t>
            </w:r>
          </w:p>
          <w:p w14:paraId="335F9282" w14:textId="77777777" w:rsidR="001326E6" w:rsidRPr="00957936" w:rsidRDefault="001326E6" w:rsidP="004E4E36">
            <w:pPr>
              <w:numPr>
                <w:ilvl w:val="0"/>
                <w:numId w:val="33"/>
              </w:numPr>
              <w:spacing w:before="120" w:line="12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 xml:space="preserve">Replacement type </w:t>
            </w:r>
          </w:p>
        </w:tc>
      </w:tr>
      <w:tr w:rsidR="001326E6" w:rsidRPr="00957936" w14:paraId="6B7381B4" w14:textId="77777777" w:rsidTr="00AF21BE">
        <w:trPr>
          <w:cnfStyle w:val="000000010000" w:firstRow="0" w:lastRow="0" w:firstColumn="0" w:lastColumn="0" w:oddVBand="0" w:evenVBand="0" w:oddHBand="0" w:evenHBand="1"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0" w:type="dxa"/>
          </w:tcPr>
          <w:p w14:paraId="12FB3AF9" w14:textId="77777777" w:rsidR="001326E6" w:rsidRPr="00957936" w:rsidRDefault="001326E6" w:rsidP="001326E6">
            <w:pPr>
              <w:rPr>
                <w:rFonts w:ascii="Arial Narrow" w:hAnsi="Arial Narrow"/>
                <w:b/>
                <w:sz w:val="18"/>
                <w:szCs w:val="18"/>
              </w:rPr>
            </w:pPr>
            <w:r w:rsidRPr="00957936">
              <w:rPr>
                <w:rFonts w:ascii="Arial Narrow" w:hAnsi="Arial Narrow"/>
                <w:b/>
                <w:sz w:val="18"/>
                <w:szCs w:val="18"/>
              </w:rPr>
              <w:t>Energy Use</w:t>
            </w:r>
          </w:p>
        </w:tc>
        <w:tc>
          <w:tcPr>
            <w:tcW w:w="0" w:type="dxa"/>
          </w:tcPr>
          <w:p w14:paraId="4B12304F" w14:textId="77777777" w:rsidR="001326E6" w:rsidRPr="00957936" w:rsidRDefault="001326E6" w:rsidP="00D11E06">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Specifies the following for each technology:</w:t>
            </w:r>
          </w:p>
          <w:p w14:paraId="13D415FA" w14:textId="77777777" w:rsidR="001326E6" w:rsidRPr="00957936" w:rsidRDefault="001326E6" w:rsidP="004E4E36">
            <w:pPr>
              <w:numPr>
                <w:ilvl w:val="0"/>
                <w:numId w:val="33"/>
              </w:numPr>
              <w:spacing w:before="120" w:line="12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 xml:space="preserve">Energy use </w:t>
            </w:r>
            <w:r w:rsidR="008F2AD6" w:rsidRPr="00957936">
              <w:rPr>
                <w:rFonts w:ascii="Arial Narrow" w:hAnsi="Arial Narrow"/>
                <w:sz w:val="18"/>
                <w:szCs w:val="18"/>
              </w:rPr>
              <w:t>(electric and gas)</w:t>
            </w:r>
          </w:p>
          <w:p w14:paraId="4A5BD20A" w14:textId="77777777" w:rsidR="001326E6" w:rsidRPr="00957936" w:rsidRDefault="001326E6" w:rsidP="004E4E36">
            <w:pPr>
              <w:numPr>
                <w:ilvl w:val="0"/>
                <w:numId w:val="33"/>
              </w:numPr>
              <w:spacing w:before="120" w:line="12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 xml:space="preserve">Coincident Peak Demand </w:t>
            </w:r>
          </w:p>
          <w:p w14:paraId="3F95A8A4" w14:textId="77777777" w:rsidR="001326E6" w:rsidRPr="00957936" w:rsidRDefault="001326E6" w:rsidP="004E4E36">
            <w:pPr>
              <w:numPr>
                <w:ilvl w:val="0"/>
                <w:numId w:val="33"/>
              </w:numPr>
              <w:spacing w:before="120" w:line="12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Interactive Effects</w:t>
            </w:r>
          </w:p>
        </w:tc>
      </w:tr>
      <w:tr w:rsidR="001326E6" w:rsidRPr="00957936" w14:paraId="24A437C4" w14:textId="77777777" w:rsidTr="00AF21BE">
        <w:trPr>
          <w:cnfStyle w:val="000000100000" w:firstRow="0" w:lastRow="0" w:firstColumn="0" w:lastColumn="0" w:oddVBand="0" w:evenVBand="0" w:oddHBand="1"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0" w:type="dxa"/>
          </w:tcPr>
          <w:p w14:paraId="4943C655" w14:textId="77777777" w:rsidR="001326E6" w:rsidRPr="00957936" w:rsidRDefault="001326E6" w:rsidP="001326E6">
            <w:pPr>
              <w:rPr>
                <w:rFonts w:ascii="Arial Narrow" w:hAnsi="Arial Narrow"/>
                <w:b/>
                <w:sz w:val="18"/>
                <w:szCs w:val="18"/>
              </w:rPr>
            </w:pPr>
            <w:r w:rsidRPr="00957936">
              <w:rPr>
                <w:rFonts w:ascii="Arial Narrow" w:hAnsi="Arial Narrow"/>
                <w:b/>
                <w:sz w:val="18"/>
                <w:szCs w:val="18"/>
              </w:rPr>
              <w:t>Technology Costs</w:t>
            </w:r>
          </w:p>
        </w:tc>
        <w:tc>
          <w:tcPr>
            <w:tcW w:w="0" w:type="dxa"/>
          </w:tcPr>
          <w:p w14:paraId="481C931B" w14:textId="77777777" w:rsidR="001326E6" w:rsidRPr="00957936" w:rsidRDefault="001326E6" w:rsidP="00D11E06">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Specifies the following for each technology:</w:t>
            </w:r>
          </w:p>
          <w:p w14:paraId="0B443FB0" w14:textId="77777777" w:rsidR="001326E6" w:rsidRPr="00957936" w:rsidRDefault="001326E6" w:rsidP="004E4E36">
            <w:pPr>
              <w:numPr>
                <w:ilvl w:val="0"/>
                <w:numId w:val="33"/>
              </w:numPr>
              <w:spacing w:before="120" w:line="12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Equipment Cost</w:t>
            </w:r>
          </w:p>
          <w:p w14:paraId="544C0459" w14:textId="77777777" w:rsidR="001326E6" w:rsidRPr="00957936" w:rsidRDefault="001326E6" w:rsidP="004E4E36">
            <w:pPr>
              <w:numPr>
                <w:ilvl w:val="0"/>
                <w:numId w:val="33"/>
              </w:numPr>
              <w:spacing w:before="120" w:line="12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 xml:space="preserve">Repair Cost (for </w:t>
            </w:r>
            <w:r w:rsidR="008F2AD6" w:rsidRPr="00957936">
              <w:rPr>
                <w:rFonts w:ascii="Arial Narrow" w:hAnsi="Arial Narrow"/>
                <w:sz w:val="18"/>
                <w:szCs w:val="18"/>
              </w:rPr>
              <w:t>accelerated replacement</w:t>
            </w:r>
            <w:r w:rsidRPr="00957936">
              <w:rPr>
                <w:rFonts w:ascii="Arial Narrow" w:hAnsi="Arial Narrow"/>
                <w:sz w:val="18"/>
                <w:szCs w:val="18"/>
              </w:rPr>
              <w:t xml:space="preserve"> technologies). </w:t>
            </w:r>
          </w:p>
          <w:p w14:paraId="034FBA21" w14:textId="77777777" w:rsidR="001326E6" w:rsidRPr="00957936" w:rsidRDefault="001326E6" w:rsidP="004E4E36">
            <w:pPr>
              <w:numPr>
                <w:ilvl w:val="0"/>
                <w:numId w:val="33"/>
              </w:numPr>
              <w:spacing w:before="120" w:line="12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Installation Cost</w:t>
            </w:r>
          </w:p>
        </w:tc>
      </w:tr>
      <w:tr w:rsidR="001326E6" w:rsidRPr="00957936" w14:paraId="30F569C4" w14:textId="77777777" w:rsidTr="00AF21BE">
        <w:trPr>
          <w:cnfStyle w:val="000000010000" w:firstRow="0" w:lastRow="0" w:firstColumn="0" w:lastColumn="0" w:oddVBand="0" w:evenVBand="0" w:oddHBand="0" w:evenHBand="1"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0" w:type="dxa"/>
          </w:tcPr>
          <w:p w14:paraId="4AFC2163" w14:textId="77777777" w:rsidR="001326E6" w:rsidRPr="00957936" w:rsidRDefault="001326E6" w:rsidP="001326E6">
            <w:pPr>
              <w:rPr>
                <w:rFonts w:ascii="Arial Narrow" w:hAnsi="Arial Narrow"/>
                <w:b/>
                <w:sz w:val="18"/>
                <w:szCs w:val="18"/>
              </w:rPr>
            </w:pPr>
            <w:r w:rsidRPr="00957936">
              <w:rPr>
                <w:rFonts w:ascii="Arial Narrow" w:hAnsi="Arial Narrow"/>
                <w:b/>
                <w:sz w:val="18"/>
                <w:szCs w:val="18"/>
              </w:rPr>
              <w:t>Market Information</w:t>
            </w:r>
          </w:p>
        </w:tc>
        <w:tc>
          <w:tcPr>
            <w:tcW w:w="0" w:type="dxa"/>
          </w:tcPr>
          <w:p w14:paraId="4599B2DF" w14:textId="77777777" w:rsidR="001326E6" w:rsidRPr="00957936" w:rsidRDefault="001326E6" w:rsidP="00D11E06">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Specifies the following for each technology:</w:t>
            </w:r>
          </w:p>
          <w:p w14:paraId="34700209" w14:textId="77777777" w:rsidR="001326E6" w:rsidRPr="00957936" w:rsidRDefault="001326E6" w:rsidP="004E4E36">
            <w:pPr>
              <w:numPr>
                <w:ilvl w:val="0"/>
                <w:numId w:val="33"/>
              </w:numPr>
              <w:spacing w:before="120" w:line="12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Applicability by Segment/Building Type</w:t>
            </w:r>
          </w:p>
          <w:p w14:paraId="480AD1C2" w14:textId="77777777" w:rsidR="001326E6" w:rsidRPr="00957936" w:rsidRDefault="001326E6" w:rsidP="004E4E36">
            <w:pPr>
              <w:numPr>
                <w:ilvl w:val="0"/>
                <w:numId w:val="33"/>
              </w:numPr>
              <w:spacing w:before="120" w:line="12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Density associated with the Technology Group</w:t>
            </w:r>
          </w:p>
          <w:p w14:paraId="621DEC0C" w14:textId="77777777" w:rsidR="001326E6" w:rsidRPr="00957936" w:rsidRDefault="001326E6" w:rsidP="004E4E36">
            <w:pPr>
              <w:numPr>
                <w:ilvl w:val="0"/>
                <w:numId w:val="33"/>
              </w:numPr>
              <w:spacing w:before="120" w:line="12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Saturation for Individual Technologies</w:t>
            </w:r>
          </w:p>
        </w:tc>
      </w:tr>
      <w:tr w:rsidR="001326E6" w:rsidRPr="00957936" w14:paraId="26A7B7C6" w14:textId="77777777" w:rsidTr="00AF21BE">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0" w:type="dxa"/>
          </w:tcPr>
          <w:p w14:paraId="51E76323" w14:textId="77777777" w:rsidR="001326E6" w:rsidRPr="00957936" w:rsidRDefault="001326E6" w:rsidP="001326E6">
            <w:pPr>
              <w:rPr>
                <w:rFonts w:ascii="Arial Narrow" w:hAnsi="Arial Narrow"/>
                <w:b/>
                <w:sz w:val="18"/>
                <w:szCs w:val="18"/>
              </w:rPr>
            </w:pPr>
            <w:r w:rsidRPr="00957936">
              <w:rPr>
                <w:rFonts w:ascii="Arial Narrow" w:hAnsi="Arial Narrow"/>
                <w:b/>
                <w:sz w:val="18"/>
                <w:szCs w:val="18"/>
              </w:rPr>
              <w:t>Other Items</w:t>
            </w:r>
          </w:p>
        </w:tc>
        <w:tc>
          <w:tcPr>
            <w:tcW w:w="0" w:type="dxa"/>
          </w:tcPr>
          <w:p w14:paraId="34D314E0" w14:textId="77777777" w:rsidR="001326E6" w:rsidRPr="00957936" w:rsidRDefault="001326E6" w:rsidP="00D11E06">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Includes the following:</w:t>
            </w:r>
          </w:p>
          <w:p w14:paraId="20D4A314" w14:textId="77777777" w:rsidR="001326E6" w:rsidRPr="00957936" w:rsidRDefault="001326E6" w:rsidP="004E4E36">
            <w:pPr>
              <w:numPr>
                <w:ilvl w:val="0"/>
                <w:numId w:val="33"/>
              </w:numPr>
              <w:spacing w:before="120" w:line="12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 xml:space="preserve">Technology lifetime (EUL and RUL), </w:t>
            </w:r>
          </w:p>
          <w:p w14:paraId="1880F79B" w14:textId="77777777" w:rsidR="001326E6" w:rsidRPr="00957936" w:rsidRDefault="001326E6" w:rsidP="004E4E36">
            <w:pPr>
              <w:numPr>
                <w:ilvl w:val="0"/>
                <w:numId w:val="33"/>
              </w:numPr>
              <w:spacing w:before="120" w:line="12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Net-to-Gross (NTG) ratio</w:t>
            </w:r>
          </w:p>
        </w:tc>
      </w:tr>
    </w:tbl>
    <w:p w14:paraId="0B41DED4" w14:textId="77777777" w:rsidR="001326E6" w:rsidRPr="001326E6" w:rsidRDefault="001326E6" w:rsidP="001326E6"/>
    <w:p w14:paraId="790E31D2" w14:textId="77777777" w:rsidR="001326E6" w:rsidRPr="001326E6" w:rsidRDefault="001326E6" w:rsidP="001326E6">
      <w:r w:rsidRPr="001326E6">
        <w:t>The following sub-sections describe in detail how the energy use, costs, market information and other relevant fields were developed and the associated hierarchical list of data sources for this information.</w:t>
      </w:r>
    </w:p>
    <w:p w14:paraId="309A3815" w14:textId="77777777" w:rsidR="001326E6" w:rsidRPr="001326E6" w:rsidRDefault="001326E6" w:rsidP="00A330AB">
      <w:pPr>
        <w:pStyle w:val="Heading3"/>
      </w:pPr>
      <w:bookmarkStart w:id="472" w:name="_Toc490225790"/>
      <w:r w:rsidRPr="001326E6">
        <w:t>Energy Use</w:t>
      </w:r>
      <w:bookmarkEnd w:id="472"/>
    </w:p>
    <w:p w14:paraId="27663B99" w14:textId="77777777" w:rsidR="001326E6" w:rsidRDefault="001326E6" w:rsidP="001326E6">
      <w:r w:rsidRPr="001326E6">
        <w:t xml:space="preserve">Energy use is a key input for technology characterization. The technology-based approach followed in this study implies that we need to specify the absolute energy use associated with “average </w:t>
      </w:r>
      <w:r w:rsidR="006807F5">
        <w:t>below code</w:t>
      </w:r>
      <w:r w:rsidRPr="001326E6">
        <w:t xml:space="preserve">”, “code” and “efficient” technologies. </w:t>
      </w:r>
    </w:p>
    <w:p w14:paraId="18091861" w14:textId="77777777" w:rsidR="008F2AD6" w:rsidRPr="001326E6" w:rsidRDefault="008F2AD6" w:rsidP="001326E6"/>
    <w:p w14:paraId="2FF8F2C4" w14:textId="77777777" w:rsidR="001326E6" w:rsidRPr="001326E6" w:rsidRDefault="001326E6" w:rsidP="001326E6">
      <w:r w:rsidRPr="001326E6">
        <w:t>This study utilizes the findings from the CPUC AB802</w:t>
      </w:r>
      <w:r w:rsidR="008F2AD6">
        <w:t xml:space="preserve"> Technical Analysis</w:t>
      </w:r>
      <w:r w:rsidRPr="001326E6">
        <w:t xml:space="preserve"> study to define below-code baseline (referred to as “average </w:t>
      </w:r>
      <w:r w:rsidR="006807F5">
        <w:t>below code</w:t>
      </w:r>
      <w:r w:rsidRPr="001326E6">
        <w:t>”) vs. defining code technology as the baseline, which is common practice for many potential studies</w:t>
      </w:r>
      <w:r w:rsidR="008F2AD6">
        <w:t xml:space="preserve"> (including prior CPUC potential</w:t>
      </w:r>
      <w:r w:rsidR="00287043">
        <w:t xml:space="preserve"> studies).</w:t>
      </w:r>
      <w:r w:rsidRPr="001326E6">
        <w:t xml:space="preserve">  The below-code baseline of a given measure is the average efficiency level of older units that are not up to code and have not been replaced.  These units have the option of being upgraded to the code/standard or to the efficient or above-code efficiency level.</w:t>
      </w:r>
    </w:p>
    <w:p w14:paraId="7C862583" w14:textId="77777777" w:rsidR="001326E6" w:rsidRPr="001326E6" w:rsidRDefault="001326E6" w:rsidP="001326E6"/>
    <w:p w14:paraId="415A0A67" w14:textId="77777777" w:rsidR="001326E6" w:rsidRPr="001326E6" w:rsidRDefault="001326E6" w:rsidP="001326E6">
      <w:r w:rsidRPr="001326E6">
        <w:t xml:space="preserve">Unit energy use is specified in kWh for electric technologies, and in therms for gas-fueled technologies.  Electric technologies also require the characterization of coincident peak demand.  For dual-fuel technologies that can achieve both electric and gas savings, such as insulation, both metrics are calculated. Additionally, some technologies will have interactive effects.  An example is energy efficient lighting, which produce less waste heat than incandescent bulbs and thus have additional HVAC </w:t>
      </w:r>
      <w:r w:rsidRPr="001326E6">
        <w:lastRenderedPageBreak/>
        <w:t>consumption associated with it.  The technology characterization template requires these interactive effects to be included.</w:t>
      </w:r>
    </w:p>
    <w:p w14:paraId="364DD5FA" w14:textId="77777777" w:rsidR="001326E6" w:rsidRPr="001326E6" w:rsidRDefault="001326E6" w:rsidP="001326E6"/>
    <w:p w14:paraId="6316B960" w14:textId="77777777" w:rsidR="001326E6" w:rsidRPr="001326E6" w:rsidRDefault="00870F2A" w:rsidP="001326E6">
      <w:r w:rsidRPr="001C1CDC">
        <w:rPr>
          <w:highlight w:val="yellow"/>
        </w:rPr>
        <w:fldChar w:fldCharType="begin"/>
      </w:r>
      <w:r w:rsidRPr="00870F2A">
        <w:rPr>
          <w:highlight w:val="yellow"/>
        </w:rPr>
        <w:instrText xml:space="preserve"> REF _Ref481652355 \h </w:instrText>
      </w:r>
      <w:r>
        <w:rPr>
          <w:highlight w:val="yellow"/>
        </w:rPr>
        <w:instrText xml:space="preserve"> \* MERGEFORMAT </w:instrText>
      </w:r>
      <w:r w:rsidRPr="001C1CDC">
        <w:rPr>
          <w:highlight w:val="yellow"/>
        </w:rPr>
      </w:r>
      <w:r w:rsidRPr="001C1CDC">
        <w:rPr>
          <w:highlight w:val="yellow"/>
        </w:rPr>
        <w:fldChar w:fldCharType="separate"/>
      </w:r>
      <w:r w:rsidR="007566B9" w:rsidRPr="00D063E4">
        <w:t xml:space="preserve">Table </w:t>
      </w:r>
      <w:r w:rsidR="007566B9">
        <w:t>3</w:t>
      </w:r>
      <w:r w:rsidR="007566B9" w:rsidRPr="00D063E4">
        <w:noBreakHyphen/>
      </w:r>
      <w:r w:rsidR="007566B9">
        <w:t>13</w:t>
      </w:r>
      <w:r w:rsidRPr="001C1CDC">
        <w:rPr>
          <w:highlight w:val="yellow"/>
        </w:rPr>
        <w:fldChar w:fldCharType="end"/>
      </w:r>
      <w:r w:rsidR="001326E6" w:rsidRPr="001326E6">
        <w:t xml:space="preserve"> below lists the data sources for energy use (in hierarchical order) with brief descriptions of the sources. </w:t>
      </w:r>
    </w:p>
    <w:p w14:paraId="79D284BE" w14:textId="77777777" w:rsidR="001326E6" w:rsidRPr="001326E6" w:rsidRDefault="001326E6" w:rsidP="001326E6"/>
    <w:p w14:paraId="1C3B6A4E" w14:textId="77777777" w:rsidR="001326E6" w:rsidRPr="00D063E4" w:rsidRDefault="001326E6" w:rsidP="00D063E4">
      <w:pPr>
        <w:pStyle w:val="Caption"/>
      </w:pPr>
      <w:bookmarkStart w:id="473" w:name="_Ref481652355"/>
      <w:bookmarkStart w:id="474" w:name="_Toc482634220"/>
      <w:bookmarkStart w:id="475" w:name="_Toc484436959"/>
      <w:bookmarkStart w:id="476" w:name="_Toc490560671"/>
      <w:r w:rsidRPr="00D063E4">
        <w:t xml:space="preserve">Table </w:t>
      </w:r>
      <w:fldSimple w:instr=" STYLEREF 1 \s ">
        <w:r w:rsidR="007566B9">
          <w:rPr>
            <w:noProof/>
          </w:rPr>
          <w:t>3</w:t>
        </w:r>
      </w:fldSimple>
      <w:r w:rsidR="00C17D59" w:rsidRPr="00D063E4">
        <w:noBreakHyphen/>
      </w:r>
      <w:fldSimple w:instr=" SEQ Table \* ARABIC \s 1 ">
        <w:r w:rsidR="007566B9">
          <w:rPr>
            <w:noProof/>
          </w:rPr>
          <w:t>13</w:t>
        </w:r>
      </w:fldSimple>
      <w:bookmarkEnd w:id="473"/>
      <w:r w:rsidRPr="00D063E4">
        <w:t>.  Hierarchy of Data Sources for Energy Use Information</w:t>
      </w:r>
      <w:bookmarkEnd w:id="474"/>
      <w:bookmarkEnd w:id="475"/>
      <w:bookmarkEnd w:id="476"/>
    </w:p>
    <w:tbl>
      <w:tblPr>
        <w:tblStyle w:val="EnergyTable1"/>
        <w:tblW w:w="5000" w:type="pct"/>
        <w:tblLook w:val="0420" w:firstRow="1" w:lastRow="0" w:firstColumn="0" w:lastColumn="0" w:noHBand="0" w:noVBand="1"/>
      </w:tblPr>
      <w:tblGrid>
        <w:gridCol w:w="903"/>
        <w:gridCol w:w="2021"/>
        <w:gridCol w:w="4182"/>
        <w:gridCol w:w="1372"/>
        <w:gridCol w:w="882"/>
      </w:tblGrid>
      <w:tr w:rsidR="002544A3" w:rsidRPr="00957936" w14:paraId="6D588CE2" w14:textId="77777777" w:rsidTr="00110120">
        <w:trPr>
          <w:cnfStyle w:val="100000000000" w:firstRow="1" w:lastRow="0" w:firstColumn="0" w:lastColumn="0" w:oddVBand="0" w:evenVBand="0" w:oddHBand="0" w:evenHBand="0" w:firstRowFirstColumn="0" w:firstRowLastColumn="0" w:lastRowFirstColumn="0" w:lastRowLastColumn="0"/>
          <w:trHeight w:val="290"/>
          <w:tblHeader/>
        </w:trPr>
        <w:tc>
          <w:tcPr>
            <w:tcW w:w="482" w:type="pct"/>
            <w:hideMark/>
          </w:tcPr>
          <w:p w14:paraId="2E6A00CA" w14:textId="77777777" w:rsidR="001326E6" w:rsidRPr="00957936" w:rsidRDefault="001326E6" w:rsidP="001326E6">
            <w:pPr>
              <w:rPr>
                <w:rFonts w:ascii="Arial Narrow" w:hAnsi="Arial Narrow" w:cs="Arial"/>
                <w:sz w:val="18"/>
                <w:szCs w:val="18"/>
              </w:rPr>
            </w:pPr>
            <w:r w:rsidRPr="00957936">
              <w:rPr>
                <w:rFonts w:ascii="Arial Narrow" w:hAnsi="Arial Narrow" w:cs="Arial"/>
                <w:bCs/>
                <w:sz w:val="18"/>
                <w:szCs w:val="18"/>
              </w:rPr>
              <w:t>Priority</w:t>
            </w:r>
          </w:p>
        </w:tc>
        <w:tc>
          <w:tcPr>
            <w:tcW w:w="1079" w:type="pct"/>
            <w:hideMark/>
          </w:tcPr>
          <w:p w14:paraId="33ACFFAE" w14:textId="77777777" w:rsidR="001326E6" w:rsidRPr="00957936" w:rsidRDefault="001326E6" w:rsidP="001326E6">
            <w:pPr>
              <w:rPr>
                <w:rFonts w:ascii="Arial Narrow" w:hAnsi="Arial Narrow" w:cs="Arial"/>
                <w:sz w:val="18"/>
                <w:szCs w:val="18"/>
              </w:rPr>
            </w:pPr>
            <w:r w:rsidRPr="00957936">
              <w:rPr>
                <w:rFonts w:ascii="Arial Narrow" w:hAnsi="Arial Narrow" w:cs="Arial"/>
                <w:bCs/>
                <w:sz w:val="18"/>
                <w:szCs w:val="18"/>
              </w:rPr>
              <w:t>Energy Consumption Source Name</w:t>
            </w:r>
          </w:p>
        </w:tc>
        <w:tc>
          <w:tcPr>
            <w:tcW w:w="2234" w:type="pct"/>
            <w:hideMark/>
          </w:tcPr>
          <w:p w14:paraId="0ED975D4" w14:textId="77777777" w:rsidR="001326E6" w:rsidRPr="00957936" w:rsidRDefault="001326E6" w:rsidP="001326E6">
            <w:pPr>
              <w:rPr>
                <w:rFonts w:ascii="Arial Narrow" w:hAnsi="Arial Narrow" w:cs="Arial"/>
                <w:sz w:val="18"/>
                <w:szCs w:val="18"/>
              </w:rPr>
            </w:pPr>
            <w:r w:rsidRPr="00957936">
              <w:rPr>
                <w:rFonts w:ascii="Arial Narrow" w:hAnsi="Arial Narrow" w:cs="Arial"/>
                <w:bCs/>
                <w:sz w:val="18"/>
                <w:szCs w:val="18"/>
              </w:rPr>
              <w:t>Description</w:t>
            </w:r>
          </w:p>
        </w:tc>
        <w:tc>
          <w:tcPr>
            <w:tcW w:w="733" w:type="pct"/>
            <w:hideMark/>
          </w:tcPr>
          <w:p w14:paraId="478A01A9" w14:textId="77777777" w:rsidR="001326E6" w:rsidRPr="00957936" w:rsidRDefault="001326E6" w:rsidP="001326E6">
            <w:pPr>
              <w:rPr>
                <w:rFonts w:ascii="Arial Narrow" w:hAnsi="Arial Narrow" w:cs="Arial"/>
                <w:sz w:val="18"/>
                <w:szCs w:val="18"/>
              </w:rPr>
            </w:pPr>
            <w:r w:rsidRPr="00957936">
              <w:rPr>
                <w:rFonts w:ascii="Arial Narrow" w:hAnsi="Arial Narrow" w:cs="Arial"/>
                <w:bCs/>
                <w:sz w:val="18"/>
                <w:szCs w:val="18"/>
              </w:rPr>
              <w:t>Author</w:t>
            </w:r>
          </w:p>
        </w:tc>
        <w:tc>
          <w:tcPr>
            <w:tcW w:w="471" w:type="pct"/>
            <w:hideMark/>
          </w:tcPr>
          <w:p w14:paraId="146E7A5A" w14:textId="77777777" w:rsidR="001326E6" w:rsidRPr="00957936" w:rsidRDefault="001326E6" w:rsidP="001326E6">
            <w:pPr>
              <w:rPr>
                <w:rFonts w:ascii="Arial Narrow" w:hAnsi="Arial Narrow" w:cs="Arial"/>
                <w:sz w:val="18"/>
                <w:szCs w:val="18"/>
              </w:rPr>
            </w:pPr>
            <w:r w:rsidRPr="00957936">
              <w:rPr>
                <w:rFonts w:ascii="Arial Narrow" w:hAnsi="Arial Narrow" w:cs="Arial"/>
                <w:bCs/>
                <w:sz w:val="18"/>
                <w:szCs w:val="18"/>
              </w:rPr>
              <w:t>Year</w:t>
            </w:r>
          </w:p>
        </w:tc>
      </w:tr>
      <w:tr w:rsidR="001326E6" w:rsidRPr="00957936" w14:paraId="0127214C" w14:textId="77777777" w:rsidTr="00AF21BE">
        <w:trPr>
          <w:cnfStyle w:val="000000100000" w:firstRow="0" w:lastRow="0" w:firstColumn="0" w:lastColumn="0" w:oddVBand="0" w:evenVBand="0" w:oddHBand="1" w:evenHBand="0" w:firstRowFirstColumn="0" w:firstRowLastColumn="0" w:lastRowFirstColumn="0" w:lastRowLastColumn="0"/>
          <w:trHeight w:val="483"/>
        </w:trPr>
        <w:tc>
          <w:tcPr>
            <w:tcW w:w="0" w:type="pct"/>
            <w:hideMark/>
          </w:tcPr>
          <w:p w14:paraId="7921B129"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1</w:t>
            </w:r>
          </w:p>
        </w:tc>
        <w:tc>
          <w:tcPr>
            <w:tcW w:w="0" w:type="pct"/>
            <w:hideMark/>
          </w:tcPr>
          <w:p w14:paraId="1C9663DD"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DEER (Database of Energy Efficient Resources)</w:t>
            </w:r>
          </w:p>
        </w:tc>
        <w:tc>
          <w:tcPr>
            <w:tcW w:w="0" w:type="pct"/>
            <w:hideMark/>
          </w:tcPr>
          <w:p w14:paraId="5081D366"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 xml:space="preserve">Navigant used information from 2017/2018 DEER updates for obtaining energy use and coincident peal demand for technologies, wherever available. </w:t>
            </w:r>
          </w:p>
          <w:p w14:paraId="1F97E026"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 xml:space="preserve">Lighting energy use was calculated using the lighting calculator tool available at DEER. </w:t>
            </w:r>
          </w:p>
        </w:tc>
        <w:tc>
          <w:tcPr>
            <w:tcW w:w="0" w:type="pct"/>
            <w:hideMark/>
          </w:tcPr>
          <w:p w14:paraId="207EE175"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CPUC</w:t>
            </w:r>
          </w:p>
        </w:tc>
        <w:tc>
          <w:tcPr>
            <w:tcW w:w="0" w:type="pct"/>
            <w:hideMark/>
          </w:tcPr>
          <w:p w14:paraId="3E9BFC34"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2016</w:t>
            </w:r>
          </w:p>
        </w:tc>
      </w:tr>
      <w:tr w:rsidR="001326E6" w:rsidRPr="00957936" w14:paraId="519573C1" w14:textId="77777777" w:rsidTr="00AF21BE">
        <w:trPr>
          <w:cnfStyle w:val="000000010000" w:firstRow="0" w:lastRow="0" w:firstColumn="0" w:lastColumn="0" w:oddVBand="0" w:evenVBand="0" w:oddHBand="0" w:evenHBand="1" w:firstRowFirstColumn="0" w:firstRowLastColumn="0" w:lastRowFirstColumn="0" w:lastRowLastColumn="0"/>
          <w:trHeight w:val="483"/>
        </w:trPr>
        <w:tc>
          <w:tcPr>
            <w:tcW w:w="0" w:type="pct"/>
            <w:hideMark/>
          </w:tcPr>
          <w:p w14:paraId="5535223F"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w:t>
            </w:r>
          </w:p>
        </w:tc>
        <w:tc>
          <w:tcPr>
            <w:tcW w:w="0" w:type="pct"/>
            <w:hideMark/>
          </w:tcPr>
          <w:p w14:paraId="726FA938"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Non-DEER Ex Ante Database</w:t>
            </w:r>
          </w:p>
        </w:tc>
        <w:tc>
          <w:tcPr>
            <w:tcW w:w="0" w:type="pct"/>
            <w:hideMark/>
          </w:tcPr>
          <w:p w14:paraId="40BBC8F2"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 xml:space="preserve">Navigant referred to the Non-DEER ex ante database, available from </w:t>
            </w:r>
            <w:r w:rsidR="000A3F3A">
              <w:rPr>
                <w:rFonts w:ascii="Arial Narrow" w:hAnsi="Arial Narrow" w:cs="Arial"/>
                <w:sz w:val="18"/>
                <w:szCs w:val="18"/>
              </w:rPr>
              <w:t>Commission staff,</w:t>
            </w:r>
            <w:r w:rsidRPr="00957936">
              <w:rPr>
                <w:rFonts w:ascii="Arial Narrow" w:hAnsi="Arial Narrow" w:cs="Arial"/>
                <w:sz w:val="18"/>
                <w:szCs w:val="18"/>
              </w:rPr>
              <w:t xml:space="preserve"> for characterizing technologies that were not included in DEER. </w:t>
            </w:r>
          </w:p>
        </w:tc>
        <w:tc>
          <w:tcPr>
            <w:tcW w:w="0" w:type="pct"/>
            <w:hideMark/>
          </w:tcPr>
          <w:p w14:paraId="7F18D2A3"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CPUC</w:t>
            </w:r>
          </w:p>
        </w:tc>
        <w:tc>
          <w:tcPr>
            <w:tcW w:w="0" w:type="pct"/>
            <w:hideMark/>
          </w:tcPr>
          <w:p w14:paraId="7655B88A"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2016</w:t>
            </w:r>
          </w:p>
        </w:tc>
      </w:tr>
      <w:tr w:rsidR="001326E6" w:rsidRPr="00957936" w14:paraId="0625C3A8" w14:textId="77777777" w:rsidTr="00AF21BE">
        <w:trPr>
          <w:cnfStyle w:val="000000100000" w:firstRow="0" w:lastRow="0" w:firstColumn="0" w:lastColumn="0" w:oddVBand="0" w:evenVBand="0" w:oddHBand="1" w:evenHBand="0" w:firstRowFirstColumn="0" w:firstRowLastColumn="0" w:lastRowFirstColumn="0" w:lastRowLastColumn="0"/>
          <w:trHeight w:val="1084"/>
        </w:trPr>
        <w:tc>
          <w:tcPr>
            <w:tcW w:w="0" w:type="pct"/>
            <w:hideMark/>
          </w:tcPr>
          <w:p w14:paraId="6D86830F"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3</w:t>
            </w:r>
          </w:p>
        </w:tc>
        <w:tc>
          <w:tcPr>
            <w:tcW w:w="0" w:type="pct"/>
            <w:hideMark/>
          </w:tcPr>
          <w:p w14:paraId="5C5ECF62"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IOU Workpapers [with CPUC Disposition]</w:t>
            </w:r>
          </w:p>
        </w:tc>
        <w:tc>
          <w:tcPr>
            <w:tcW w:w="0" w:type="pct"/>
            <w:hideMark/>
          </w:tcPr>
          <w:p w14:paraId="3C46C309"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 xml:space="preserve">Navigant referred to the inventory of workpapers published by the California IOUs and referred to </w:t>
            </w:r>
            <w:r w:rsidRPr="00957936">
              <w:rPr>
                <w:rFonts w:ascii="Arial Narrow" w:hAnsi="Arial Narrow" w:cs="Arial"/>
                <w:b/>
                <w:sz w:val="18"/>
                <w:szCs w:val="18"/>
              </w:rPr>
              <w:t>approved workpapers</w:t>
            </w:r>
            <w:r w:rsidRPr="00957936">
              <w:rPr>
                <w:rFonts w:ascii="Arial Narrow" w:hAnsi="Arial Narrow" w:cs="Arial"/>
                <w:sz w:val="18"/>
                <w:szCs w:val="18"/>
              </w:rPr>
              <w:t xml:space="preserve"> for technology characterization, wherever applicable.  </w:t>
            </w:r>
          </w:p>
        </w:tc>
        <w:tc>
          <w:tcPr>
            <w:tcW w:w="0" w:type="pct"/>
            <w:hideMark/>
          </w:tcPr>
          <w:p w14:paraId="01B50159"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California IOUs</w:t>
            </w:r>
          </w:p>
        </w:tc>
        <w:tc>
          <w:tcPr>
            <w:tcW w:w="0" w:type="pct"/>
            <w:hideMark/>
          </w:tcPr>
          <w:p w14:paraId="180154FA"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Various</w:t>
            </w:r>
          </w:p>
        </w:tc>
      </w:tr>
      <w:tr w:rsidR="001326E6" w:rsidRPr="00957936" w14:paraId="5CA3462B" w14:textId="77777777" w:rsidTr="00AF21BE">
        <w:trPr>
          <w:cnfStyle w:val="000000010000" w:firstRow="0" w:lastRow="0" w:firstColumn="0" w:lastColumn="0" w:oddVBand="0" w:evenVBand="0" w:oddHBand="0" w:evenHBand="1" w:firstRowFirstColumn="0" w:firstRowLastColumn="0" w:lastRowFirstColumn="0" w:lastRowLastColumn="0"/>
          <w:trHeight w:val="483"/>
        </w:trPr>
        <w:tc>
          <w:tcPr>
            <w:tcW w:w="0" w:type="pct"/>
          </w:tcPr>
          <w:p w14:paraId="71CFBD6C"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4</w:t>
            </w:r>
          </w:p>
        </w:tc>
        <w:tc>
          <w:tcPr>
            <w:tcW w:w="0" w:type="pct"/>
          </w:tcPr>
          <w:p w14:paraId="49A2DDAE"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CMUA TRM</w:t>
            </w:r>
          </w:p>
        </w:tc>
        <w:tc>
          <w:tcPr>
            <w:tcW w:w="0" w:type="pct"/>
          </w:tcPr>
          <w:p w14:paraId="081F4963"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 xml:space="preserve">Navigant referred to the CMUA TRM for energy use information for applicable technologies. </w:t>
            </w:r>
          </w:p>
        </w:tc>
        <w:tc>
          <w:tcPr>
            <w:tcW w:w="0" w:type="pct"/>
          </w:tcPr>
          <w:p w14:paraId="334F0108"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Cal TF</w:t>
            </w:r>
          </w:p>
        </w:tc>
        <w:tc>
          <w:tcPr>
            <w:tcW w:w="0" w:type="pct"/>
          </w:tcPr>
          <w:p w14:paraId="78E74DDE"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2015</w:t>
            </w:r>
          </w:p>
        </w:tc>
      </w:tr>
      <w:tr w:rsidR="001326E6" w:rsidRPr="00957936" w14:paraId="29ABA9F9" w14:textId="77777777" w:rsidTr="00AF21BE">
        <w:trPr>
          <w:cnfStyle w:val="000000100000" w:firstRow="0" w:lastRow="0" w:firstColumn="0" w:lastColumn="0" w:oddVBand="0" w:evenVBand="0" w:oddHBand="1" w:evenHBand="0" w:firstRowFirstColumn="0" w:firstRowLastColumn="0" w:lastRowFirstColumn="0" w:lastRowLastColumn="0"/>
          <w:trHeight w:val="483"/>
        </w:trPr>
        <w:tc>
          <w:tcPr>
            <w:tcW w:w="0" w:type="pct"/>
            <w:hideMark/>
          </w:tcPr>
          <w:p w14:paraId="7EC7B7A9"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5</w:t>
            </w:r>
          </w:p>
        </w:tc>
        <w:tc>
          <w:tcPr>
            <w:tcW w:w="0" w:type="pct"/>
            <w:hideMark/>
          </w:tcPr>
          <w:p w14:paraId="4EDDB8A4"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CA IOU Emerging Technology Reports</w:t>
            </w:r>
          </w:p>
        </w:tc>
        <w:tc>
          <w:tcPr>
            <w:tcW w:w="0" w:type="pct"/>
            <w:hideMark/>
          </w:tcPr>
          <w:p w14:paraId="2B015B4C"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Navigant reviewed and researched project/technology reports from the ETCC—a collaborative forum with IOUs and leading member organizations for characterization of emerging technologies.</w:t>
            </w:r>
          </w:p>
        </w:tc>
        <w:tc>
          <w:tcPr>
            <w:tcW w:w="0" w:type="pct"/>
            <w:hideMark/>
          </w:tcPr>
          <w:p w14:paraId="6E1845C7"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Emerging Technology Coordinating Council (ETCC); IOUs</w:t>
            </w:r>
          </w:p>
        </w:tc>
        <w:tc>
          <w:tcPr>
            <w:tcW w:w="0" w:type="pct"/>
            <w:hideMark/>
          </w:tcPr>
          <w:p w14:paraId="3439D4F6"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Various</w:t>
            </w:r>
          </w:p>
        </w:tc>
      </w:tr>
      <w:tr w:rsidR="001326E6" w:rsidRPr="00957936" w14:paraId="0C2490AE" w14:textId="77777777" w:rsidTr="00AF21BE">
        <w:trPr>
          <w:cnfStyle w:val="000000010000" w:firstRow="0" w:lastRow="0" w:firstColumn="0" w:lastColumn="0" w:oddVBand="0" w:evenVBand="0" w:oddHBand="0" w:evenHBand="1" w:firstRowFirstColumn="0" w:firstRowLastColumn="0" w:lastRowFirstColumn="0" w:lastRowLastColumn="0"/>
          <w:trHeight w:val="483"/>
        </w:trPr>
        <w:tc>
          <w:tcPr>
            <w:tcW w:w="0" w:type="pct"/>
            <w:hideMark/>
          </w:tcPr>
          <w:p w14:paraId="39A48FAC"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6</w:t>
            </w:r>
          </w:p>
        </w:tc>
        <w:tc>
          <w:tcPr>
            <w:tcW w:w="0" w:type="pct"/>
            <w:hideMark/>
          </w:tcPr>
          <w:p w14:paraId="792887A2"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IOU Program Data</w:t>
            </w:r>
          </w:p>
        </w:tc>
        <w:tc>
          <w:tcPr>
            <w:tcW w:w="0" w:type="pct"/>
            <w:hideMark/>
          </w:tcPr>
          <w:p w14:paraId="22E83D00"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Navigant referred to the 2016 EEStats database</w:t>
            </w:r>
            <w:r w:rsidRPr="00957936">
              <w:rPr>
                <w:rFonts w:ascii="Arial Narrow" w:hAnsi="Arial Narrow" w:cs="Arial"/>
                <w:sz w:val="18"/>
                <w:szCs w:val="18"/>
                <w:vertAlign w:val="superscript"/>
              </w:rPr>
              <w:footnoteReference w:id="58"/>
            </w:r>
            <w:r w:rsidRPr="00957936">
              <w:rPr>
                <w:rFonts w:ascii="Arial Narrow" w:hAnsi="Arial Narrow" w:cs="Arial"/>
                <w:sz w:val="18"/>
                <w:szCs w:val="18"/>
              </w:rPr>
              <w:t xml:space="preserve"> and 2014-Q12016 program savings</w:t>
            </w:r>
            <w:r w:rsidRPr="00957936">
              <w:rPr>
                <w:rFonts w:ascii="Arial Narrow" w:hAnsi="Arial Narrow" w:cs="Arial"/>
                <w:sz w:val="18"/>
                <w:szCs w:val="18"/>
                <w:vertAlign w:val="superscript"/>
              </w:rPr>
              <w:footnoteReference w:id="59"/>
            </w:r>
            <w:r w:rsidRPr="00957936">
              <w:rPr>
                <w:rFonts w:ascii="Arial Narrow" w:hAnsi="Arial Narrow" w:cs="Arial"/>
                <w:sz w:val="18"/>
                <w:szCs w:val="18"/>
              </w:rPr>
              <w:t xml:space="preserve"> database from CA IOUs, in case energy use information was not available from the above-listed sources.  </w:t>
            </w:r>
          </w:p>
        </w:tc>
        <w:tc>
          <w:tcPr>
            <w:tcW w:w="0" w:type="pct"/>
            <w:hideMark/>
          </w:tcPr>
          <w:p w14:paraId="4278F940"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CPUC, IOUs</w:t>
            </w:r>
          </w:p>
        </w:tc>
        <w:tc>
          <w:tcPr>
            <w:tcW w:w="0" w:type="pct"/>
            <w:hideMark/>
          </w:tcPr>
          <w:p w14:paraId="35FED455"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2014-2016</w:t>
            </w:r>
          </w:p>
        </w:tc>
      </w:tr>
      <w:tr w:rsidR="001326E6" w:rsidRPr="00957936" w14:paraId="7C1BF4EA" w14:textId="77777777" w:rsidTr="00AF21BE">
        <w:trPr>
          <w:cnfStyle w:val="000000100000" w:firstRow="0" w:lastRow="0" w:firstColumn="0" w:lastColumn="0" w:oddVBand="0" w:evenVBand="0" w:oddHBand="1" w:evenHBand="0" w:firstRowFirstColumn="0" w:firstRowLastColumn="0" w:lastRowFirstColumn="0" w:lastRowLastColumn="0"/>
          <w:trHeight w:val="942"/>
        </w:trPr>
        <w:tc>
          <w:tcPr>
            <w:tcW w:w="0" w:type="pct"/>
            <w:vMerge w:val="restart"/>
            <w:hideMark/>
          </w:tcPr>
          <w:p w14:paraId="71CF27D8"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7</w:t>
            </w:r>
          </w:p>
        </w:tc>
        <w:tc>
          <w:tcPr>
            <w:tcW w:w="0" w:type="pct"/>
            <w:hideMark/>
          </w:tcPr>
          <w:p w14:paraId="333871FF" w14:textId="77777777" w:rsidR="001326E6" w:rsidRPr="00957936" w:rsidRDefault="001326E6" w:rsidP="00D11E06">
            <w:pPr>
              <w:jc w:val="left"/>
              <w:rPr>
                <w:rFonts w:ascii="Arial Narrow" w:hAnsi="Arial Narrow" w:cs="Arial"/>
                <w:sz w:val="18"/>
                <w:szCs w:val="18"/>
              </w:rPr>
            </w:pPr>
            <w:r w:rsidRPr="00957936">
              <w:rPr>
                <w:rFonts w:ascii="Arial Narrow" w:hAnsi="Arial Narrow" w:cs="Arial"/>
                <w:sz w:val="18"/>
                <w:szCs w:val="18"/>
              </w:rPr>
              <w:t>Non-California source examples:</w:t>
            </w:r>
          </w:p>
          <w:p w14:paraId="177A061A" w14:textId="77777777" w:rsidR="001326E6" w:rsidRPr="00957936" w:rsidRDefault="001326E6" w:rsidP="004E4E36">
            <w:pPr>
              <w:numPr>
                <w:ilvl w:val="0"/>
                <w:numId w:val="25"/>
              </w:numPr>
              <w:jc w:val="left"/>
              <w:rPr>
                <w:rFonts w:ascii="Arial Narrow" w:hAnsi="Arial Narrow" w:cs="Arial"/>
                <w:sz w:val="18"/>
                <w:szCs w:val="18"/>
              </w:rPr>
            </w:pPr>
            <w:r w:rsidRPr="00957936">
              <w:rPr>
                <w:rFonts w:ascii="Arial Narrow" w:hAnsi="Arial Narrow" w:cs="Arial"/>
                <w:sz w:val="18"/>
                <w:szCs w:val="18"/>
              </w:rPr>
              <w:t>Regional Technical Forum (RTF) Database</w:t>
            </w:r>
          </w:p>
        </w:tc>
        <w:tc>
          <w:tcPr>
            <w:tcW w:w="0" w:type="pct"/>
            <w:hideMark/>
          </w:tcPr>
          <w:p w14:paraId="3F48CB58"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 xml:space="preserve">In cases where CA-specific sources were not available for energy use information, Navigant referred to the following sources: </w:t>
            </w:r>
          </w:p>
          <w:p w14:paraId="66ADB5C6" w14:textId="77777777" w:rsidR="001326E6" w:rsidRPr="00957936" w:rsidRDefault="001326E6" w:rsidP="004E4E36">
            <w:pPr>
              <w:numPr>
                <w:ilvl w:val="0"/>
                <w:numId w:val="35"/>
              </w:numPr>
              <w:spacing w:before="120"/>
              <w:rPr>
                <w:rFonts w:ascii="Arial Narrow" w:hAnsi="Arial Narrow" w:cs="Arial"/>
                <w:sz w:val="18"/>
                <w:szCs w:val="18"/>
              </w:rPr>
            </w:pPr>
            <w:r w:rsidRPr="00957936">
              <w:rPr>
                <w:rFonts w:ascii="Arial Narrow" w:hAnsi="Arial Narrow" w:cs="Arial"/>
                <w:sz w:val="18"/>
                <w:szCs w:val="18"/>
              </w:rPr>
              <w:t>Measure-level savings data from evaluated programs in the Pacific Northwest region, available through the RTF.</w:t>
            </w:r>
          </w:p>
        </w:tc>
        <w:tc>
          <w:tcPr>
            <w:tcW w:w="0" w:type="pct"/>
            <w:hideMark/>
          </w:tcPr>
          <w:p w14:paraId="31235FB9" w14:textId="77777777" w:rsidR="001326E6" w:rsidRPr="00957936" w:rsidRDefault="001326E6" w:rsidP="001326E6">
            <w:pPr>
              <w:rPr>
                <w:rFonts w:ascii="Arial Narrow" w:hAnsi="Arial Narrow" w:cs="Arial"/>
                <w:sz w:val="18"/>
                <w:szCs w:val="18"/>
              </w:rPr>
            </w:pPr>
          </w:p>
          <w:p w14:paraId="351BFA2C" w14:textId="77777777" w:rsidR="001326E6" w:rsidRPr="00957936" w:rsidRDefault="001326E6" w:rsidP="001326E6">
            <w:pPr>
              <w:rPr>
                <w:rFonts w:ascii="Arial Narrow" w:hAnsi="Arial Narrow" w:cs="Arial"/>
                <w:sz w:val="18"/>
                <w:szCs w:val="18"/>
              </w:rPr>
            </w:pPr>
          </w:p>
          <w:p w14:paraId="0D594C25"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Northwest Power and Conservation Council (NPCC)</w:t>
            </w:r>
          </w:p>
        </w:tc>
        <w:tc>
          <w:tcPr>
            <w:tcW w:w="0" w:type="pct"/>
            <w:hideMark/>
          </w:tcPr>
          <w:p w14:paraId="35CAD8F8" w14:textId="77777777" w:rsidR="001326E6" w:rsidRPr="00957936" w:rsidRDefault="001326E6" w:rsidP="001326E6">
            <w:pPr>
              <w:rPr>
                <w:rFonts w:ascii="Arial Narrow" w:hAnsi="Arial Narrow" w:cs="Arial"/>
                <w:sz w:val="18"/>
                <w:szCs w:val="18"/>
              </w:rPr>
            </w:pPr>
          </w:p>
          <w:p w14:paraId="41F27E68" w14:textId="77777777" w:rsidR="001326E6" w:rsidRPr="00957936" w:rsidRDefault="001326E6" w:rsidP="001326E6">
            <w:pPr>
              <w:rPr>
                <w:rFonts w:ascii="Arial Narrow" w:hAnsi="Arial Narrow" w:cs="Arial"/>
                <w:sz w:val="18"/>
                <w:szCs w:val="18"/>
              </w:rPr>
            </w:pPr>
          </w:p>
          <w:p w14:paraId="0EE82D3B"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2015</w:t>
            </w:r>
          </w:p>
        </w:tc>
      </w:tr>
      <w:tr w:rsidR="001326E6" w:rsidRPr="00957936" w14:paraId="31CDD46E" w14:textId="77777777" w:rsidTr="00AF21BE">
        <w:trPr>
          <w:cnfStyle w:val="000000010000" w:firstRow="0" w:lastRow="0" w:firstColumn="0" w:lastColumn="0" w:oddVBand="0" w:evenVBand="0" w:oddHBand="0" w:evenHBand="1" w:firstRowFirstColumn="0" w:firstRowLastColumn="0" w:lastRowFirstColumn="0" w:lastRowLastColumn="0"/>
          <w:trHeight w:val="1084"/>
        </w:trPr>
        <w:tc>
          <w:tcPr>
            <w:tcW w:w="0" w:type="pct"/>
            <w:vMerge/>
            <w:hideMark/>
          </w:tcPr>
          <w:p w14:paraId="578FB5F5" w14:textId="77777777" w:rsidR="001326E6" w:rsidRPr="00957936" w:rsidRDefault="001326E6" w:rsidP="001326E6">
            <w:pPr>
              <w:rPr>
                <w:rFonts w:ascii="Arial Narrow" w:hAnsi="Arial Narrow" w:cs="Arial"/>
                <w:sz w:val="18"/>
                <w:szCs w:val="18"/>
              </w:rPr>
            </w:pPr>
          </w:p>
        </w:tc>
        <w:tc>
          <w:tcPr>
            <w:tcW w:w="0" w:type="pct"/>
            <w:hideMark/>
          </w:tcPr>
          <w:p w14:paraId="3F446912" w14:textId="77777777" w:rsidR="001326E6" w:rsidRPr="00957936" w:rsidRDefault="001326E6" w:rsidP="004E4E36">
            <w:pPr>
              <w:numPr>
                <w:ilvl w:val="0"/>
                <w:numId w:val="26"/>
              </w:numPr>
              <w:jc w:val="left"/>
              <w:rPr>
                <w:rFonts w:ascii="Arial Narrow" w:hAnsi="Arial Narrow" w:cs="Arial"/>
                <w:sz w:val="18"/>
                <w:szCs w:val="18"/>
              </w:rPr>
            </w:pPr>
            <w:r w:rsidRPr="00957936">
              <w:rPr>
                <w:rFonts w:ascii="Arial Narrow" w:hAnsi="Arial Narrow" w:cs="Arial"/>
                <w:sz w:val="18"/>
                <w:szCs w:val="18"/>
              </w:rPr>
              <w:t>Navigant Potential Study Database</w:t>
            </w:r>
          </w:p>
        </w:tc>
        <w:tc>
          <w:tcPr>
            <w:tcW w:w="0" w:type="pct"/>
            <w:hideMark/>
          </w:tcPr>
          <w:p w14:paraId="3E7FB50D" w14:textId="77777777" w:rsidR="001326E6" w:rsidRPr="00957936" w:rsidRDefault="001326E6" w:rsidP="004E4E36">
            <w:pPr>
              <w:numPr>
                <w:ilvl w:val="0"/>
                <w:numId w:val="34"/>
              </w:numPr>
              <w:spacing w:before="120"/>
              <w:rPr>
                <w:rFonts w:ascii="Arial Narrow" w:hAnsi="Arial Narrow" w:cs="Arial"/>
                <w:sz w:val="18"/>
                <w:szCs w:val="18"/>
              </w:rPr>
            </w:pPr>
            <w:r w:rsidRPr="00957936">
              <w:rPr>
                <w:rFonts w:ascii="Arial Narrow" w:hAnsi="Arial Narrow" w:cs="Arial"/>
                <w:sz w:val="18"/>
                <w:szCs w:val="18"/>
              </w:rPr>
              <w:t>Navigant’s archive of characterized measure savings from potential studies and projects with other utilities.</w:t>
            </w:r>
          </w:p>
        </w:tc>
        <w:tc>
          <w:tcPr>
            <w:tcW w:w="0" w:type="pct"/>
            <w:hideMark/>
          </w:tcPr>
          <w:p w14:paraId="44518193"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Navigant</w:t>
            </w:r>
          </w:p>
        </w:tc>
        <w:tc>
          <w:tcPr>
            <w:tcW w:w="0" w:type="pct"/>
            <w:hideMark/>
          </w:tcPr>
          <w:p w14:paraId="05E4B3AE"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2015-2016</w:t>
            </w:r>
          </w:p>
        </w:tc>
      </w:tr>
    </w:tbl>
    <w:p w14:paraId="405B5EF8" w14:textId="77777777" w:rsidR="001326E6" w:rsidRPr="001326E6" w:rsidRDefault="001326E6" w:rsidP="00A330AB">
      <w:pPr>
        <w:pStyle w:val="Heading3"/>
      </w:pPr>
      <w:bookmarkStart w:id="477" w:name="_Toc490225791"/>
      <w:r w:rsidRPr="001326E6">
        <w:lastRenderedPageBreak/>
        <w:t>Technology Costs</w:t>
      </w:r>
      <w:bookmarkEnd w:id="477"/>
      <w:r w:rsidRPr="001326E6">
        <w:t xml:space="preserve"> </w:t>
      </w:r>
    </w:p>
    <w:p w14:paraId="0C573639" w14:textId="77777777" w:rsidR="001326E6" w:rsidRPr="001326E6" w:rsidRDefault="001326E6" w:rsidP="001326E6">
      <w:r w:rsidRPr="001326E6">
        <w:t>The measure characterization database requires specification of equipment costs, labor costs for installation and repair costs for “</w:t>
      </w:r>
      <w:r w:rsidR="008F2AD6">
        <w:t>accelerated replacement</w:t>
      </w:r>
      <w:r w:rsidRPr="001326E6">
        <w:t>” technologies. Information on technology costs were primarily sourced from the California Measure Cost Study, published by Itron in 2012. Some of the other cost data sources are the same as those li</w:t>
      </w:r>
      <w:r w:rsidR="004D5A3E">
        <w:t xml:space="preserve">sted earlier under energy use. </w:t>
      </w:r>
      <w:r w:rsidR="00870F2A" w:rsidRPr="001C1CDC">
        <w:rPr>
          <w:highlight w:val="yellow"/>
        </w:rPr>
        <w:fldChar w:fldCharType="begin"/>
      </w:r>
      <w:r w:rsidR="00870F2A" w:rsidRPr="00870F2A">
        <w:rPr>
          <w:highlight w:val="yellow"/>
        </w:rPr>
        <w:instrText xml:space="preserve"> REF _Ref481652582 \h </w:instrText>
      </w:r>
      <w:r w:rsidR="00870F2A">
        <w:rPr>
          <w:highlight w:val="yellow"/>
        </w:rPr>
        <w:instrText xml:space="preserve"> \* MERGEFORMAT </w:instrText>
      </w:r>
      <w:r w:rsidR="00870F2A" w:rsidRPr="001C1CDC">
        <w:rPr>
          <w:highlight w:val="yellow"/>
        </w:rPr>
      </w:r>
      <w:r w:rsidR="00870F2A" w:rsidRPr="001C1CDC">
        <w:rPr>
          <w:highlight w:val="yellow"/>
        </w:rPr>
        <w:fldChar w:fldCharType="separate"/>
      </w:r>
      <w:r w:rsidR="007566B9" w:rsidRPr="00D063E4">
        <w:t xml:space="preserve">Table </w:t>
      </w:r>
      <w:r w:rsidR="007566B9">
        <w:t>3</w:t>
      </w:r>
      <w:r w:rsidR="007566B9" w:rsidRPr="00D063E4">
        <w:noBreakHyphen/>
      </w:r>
      <w:r w:rsidR="007566B9">
        <w:t>14</w:t>
      </w:r>
      <w:r w:rsidR="00870F2A" w:rsidRPr="001C1CDC">
        <w:rPr>
          <w:highlight w:val="yellow"/>
        </w:rPr>
        <w:fldChar w:fldCharType="end"/>
      </w:r>
      <w:r w:rsidRPr="00490F81">
        <w:t xml:space="preserve"> </w:t>
      </w:r>
      <w:r w:rsidRPr="001326E6">
        <w:t xml:space="preserve">below summarizes the data sources used for technology costs. </w:t>
      </w:r>
    </w:p>
    <w:p w14:paraId="08C7F24A" w14:textId="77777777" w:rsidR="001326E6" w:rsidRPr="001326E6" w:rsidRDefault="001326E6" w:rsidP="001326E6"/>
    <w:p w14:paraId="79A6C297" w14:textId="77777777" w:rsidR="001326E6" w:rsidRPr="00D063E4" w:rsidRDefault="001326E6" w:rsidP="00D063E4">
      <w:pPr>
        <w:pStyle w:val="Caption"/>
      </w:pPr>
      <w:bookmarkStart w:id="478" w:name="_Ref481652582"/>
      <w:bookmarkStart w:id="479" w:name="_Toc482634221"/>
      <w:bookmarkStart w:id="480" w:name="_Toc484436960"/>
      <w:bookmarkStart w:id="481" w:name="_Toc490560672"/>
      <w:r w:rsidRPr="00D063E4">
        <w:t xml:space="preserve">Table </w:t>
      </w:r>
      <w:fldSimple w:instr=" STYLEREF 1 \s ">
        <w:r w:rsidR="007566B9">
          <w:rPr>
            <w:noProof/>
          </w:rPr>
          <w:t>3</w:t>
        </w:r>
      </w:fldSimple>
      <w:r w:rsidR="00C17D59" w:rsidRPr="00D063E4">
        <w:noBreakHyphen/>
      </w:r>
      <w:fldSimple w:instr=" SEQ Table \* ARABIC \s 1 ">
        <w:r w:rsidR="007566B9">
          <w:rPr>
            <w:noProof/>
          </w:rPr>
          <w:t>14</w:t>
        </w:r>
      </w:fldSimple>
      <w:bookmarkEnd w:id="478"/>
      <w:r w:rsidRPr="00D063E4">
        <w:t>.  Hierarchy of Data Sources for Technology Cost Information</w:t>
      </w:r>
      <w:bookmarkEnd w:id="479"/>
      <w:bookmarkEnd w:id="480"/>
      <w:bookmarkEnd w:id="481"/>
      <w:r w:rsidRPr="00D063E4">
        <w:t xml:space="preserve"> </w:t>
      </w:r>
    </w:p>
    <w:tbl>
      <w:tblPr>
        <w:tblStyle w:val="EnergyTable1"/>
        <w:tblW w:w="9281" w:type="dxa"/>
        <w:tblLook w:val="0420" w:firstRow="1" w:lastRow="0" w:firstColumn="0" w:lastColumn="0" w:noHBand="0" w:noVBand="1"/>
      </w:tblPr>
      <w:tblGrid>
        <w:gridCol w:w="1342"/>
        <w:gridCol w:w="2712"/>
        <w:gridCol w:w="1988"/>
        <w:gridCol w:w="1927"/>
        <w:gridCol w:w="1312"/>
      </w:tblGrid>
      <w:tr w:rsidR="001326E6" w:rsidRPr="00957936" w14:paraId="5CD80293" w14:textId="77777777" w:rsidTr="00AF21BE">
        <w:trPr>
          <w:cnfStyle w:val="100000000000" w:firstRow="1" w:lastRow="0" w:firstColumn="0" w:lastColumn="0" w:oddVBand="0" w:evenVBand="0" w:oddHBand="0" w:evenHBand="0" w:firstRowFirstColumn="0" w:firstRowLastColumn="0" w:lastRowFirstColumn="0" w:lastRowLastColumn="0"/>
          <w:trHeight w:val="494"/>
          <w:tblHeader/>
        </w:trPr>
        <w:tc>
          <w:tcPr>
            <w:tcW w:w="0" w:type="dxa"/>
            <w:hideMark/>
          </w:tcPr>
          <w:p w14:paraId="0D842686" w14:textId="77777777" w:rsidR="001326E6" w:rsidRPr="00957936" w:rsidRDefault="001326E6" w:rsidP="001326E6">
            <w:pPr>
              <w:rPr>
                <w:rFonts w:ascii="Arial Narrow" w:hAnsi="Arial Narrow"/>
                <w:sz w:val="18"/>
                <w:szCs w:val="18"/>
              </w:rPr>
            </w:pPr>
            <w:r w:rsidRPr="00957936">
              <w:rPr>
                <w:rFonts w:ascii="Arial Narrow" w:hAnsi="Arial Narrow"/>
                <w:bCs/>
                <w:sz w:val="18"/>
                <w:szCs w:val="18"/>
              </w:rPr>
              <w:t>Priority</w:t>
            </w:r>
          </w:p>
        </w:tc>
        <w:tc>
          <w:tcPr>
            <w:tcW w:w="0" w:type="dxa"/>
            <w:hideMark/>
          </w:tcPr>
          <w:p w14:paraId="21C6AC56" w14:textId="77777777" w:rsidR="001326E6" w:rsidRPr="00957936" w:rsidRDefault="001326E6" w:rsidP="001326E6">
            <w:pPr>
              <w:rPr>
                <w:rFonts w:ascii="Arial Narrow" w:hAnsi="Arial Narrow"/>
                <w:sz w:val="18"/>
                <w:szCs w:val="18"/>
              </w:rPr>
            </w:pPr>
            <w:r w:rsidRPr="00957936">
              <w:rPr>
                <w:rFonts w:ascii="Arial Narrow" w:hAnsi="Arial Narrow"/>
                <w:bCs/>
                <w:sz w:val="18"/>
                <w:szCs w:val="18"/>
              </w:rPr>
              <w:t>Cost Source Name</w:t>
            </w:r>
          </w:p>
        </w:tc>
        <w:tc>
          <w:tcPr>
            <w:tcW w:w="0" w:type="dxa"/>
            <w:hideMark/>
          </w:tcPr>
          <w:p w14:paraId="5DCE27EC" w14:textId="77777777" w:rsidR="001326E6" w:rsidRPr="00957936" w:rsidRDefault="001326E6" w:rsidP="001326E6">
            <w:pPr>
              <w:rPr>
                <w:rFonts w:ascii="Arial Narrow" w:hAnsi="Arial Narrow"/>
                <w:sz w:val="18"/>
                <w:szCs w:val="18"/>
              </w:rPr>
            </w:pPr>
            <w:r w:rsidRPr="00957936">
              <w:rPr>
                <w:rFonts w:ascii="Arial Narrow" w:hAnsi="Arial Narrow"/>
                <w:bCs/>
                <w:sz w:val="18"/>
                <w:szCs w:val="18"/>
              </w:rPr>
              <w:t>Description</w:t>
            </w:r>
          </w:p>
        </w:tc>
        <w:tc>
          <w:tcPr>
            <w:tcW w:w="0" w:type="dxa"/>
            <w:hideMark/>
          </w:tcPr>
          <w:p w14:paraId="48DE69EB" w14:textId="77777777" w:rsidR="001326E6" w:rsidRPr="00957936" w:rsidRDefault="001326E6" w:rsidP="001326E6">
            <w:pPr>
              <w:rPr>
                <w:rFonts w:ascii="Arial Narrow" w:hAnsi="Arial Narrow"/>
                <w:sz w:val="18"/>
                <w:szCs w:val="18"/>
              </w:rPr>
            </w:pPr>
            <w:r w:rsidRPr="00957936">
              <w:rPr>
                <w:rFonts w:ascii="Arial Narrow" w:hAnsi="Arial Narrow"/>
                <w:bCs/>
                <w:sz w:val="18"/>
                <w:szCs w:val="18"/>
              </w:rPr>
              <w:t>Author</w:t>
            </w:r>
          </w:p>
        </w:tc>
        <w:tc>
          <w:tcPr>
            <w:tcW w:w="0" w:type="dxa"/>
            <w:hideMark/>
          </w:tcPr>
          <w:p w14:paraId="17922667" w14:textId="77777777" w:rsidR="001326E6" w:rsidRPr="00957936" w:rsidRDefault="001326E6" w:rsidP="001326E6">
            <w:pPr>
              <w:rPr>
                <w:rFonts w:ascii="Arial Narrow" w:hAnsi="Arial Narrow"/>
                <w:sz w:val="18"/>
                <w:szCs w:val="18"/>
              </w:rPr>
            </w:pPr>
            <w:r w:rsidRPr="00957936">
              <w:rPr>
                <w:rFonts w:ascii="Arial Narrow" w:hAnsi="Arial Narrow"/>
                <w:bCs/>
                <w:sz w:val="18"/>
                <w:szCs w:val="18"/>
              </w:rPr>
              <w:t>Year</w:t>
            </w:r>
          </w:p>
        </w:tc>
      </w:tr>
      <w:tr w:rsidR="001326E6" w:rsidRPr="00957936" w14:paraId="4ABDC336" w14:textId="77777777" w:rsidTr="00AF21BE">
        <w:trPr>
          <w:cnfStyle w:val="000000100000" w:firstRow="0" w:lastRow="0" w:firstColumn="0" w:lastColumn="0" w:oddVBand="0" w:evenVBand="0" w:oddHBand="1" w:evenHBand="0" w:firstRowFirstColumn="0" w:firstRowLastColumn="0" w:lastRowFirstColumn="0" w:lastRowLastColumn="0"/>
          <w:trHeight w:val="439"/>
        </w:trPr>
        <w:tc>
          <w:tcPr>
            <w:tcW w:w="0" w:type="dxa"/>
            <w:hideMark/>
          </w:tcPr>
          <w:p w14:paraId="65E7B457"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1</w:t>
            </w:r>
          </w:p>
        </w:tc>
        <w:tc>
          <w:tcPr>
            <w:tcW w:w="0" w:type="dxa"/>
            <w:hideMark/>
          </w:tcPr>
          <w:p w14:paraId="04FE5FE0"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CA Measure Cost Study</w:t>
            </w:r>
          </w:p>
        </w:tc>
        <w:tc>
          <w:tcPr>
            <w:tcW w:w="0" w:type="dxa"/>
            <w:hideMark/>
          </w:tcPr>
          <w:p w14:paraId="2DB0C7ED"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 xml:space="preserve">This served as the primary surce of information for equipment and installation costs. </w:t>
            </w:r>
          </w:p>
        </w:tc>
        <w:tc>
          <w:tcPr>
            <w:tcW w:w="0" w:type="dxa"/>
            <w:hideMark/>
          </w:tcPr>
          <w:p w14:paraId="71F2A7BC"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Itron</w:t>
            </w:r>
          </w:p>
        </w:tc>
        <w:tc>
          <w:tcPr>
            <w:tcW w:w="0" w:type="dxa"/>
            <w:hideMark/>
          </w:tcPr>
          <w:p w14:paraId="0519D2EF"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2012</w:t>
            </w:r>
          </w:p>
        </w:tc>
      </w:tr>
      <w:tr w:rsidR="001326E6" w:rsidRPr="00957936" w14:paraId="1548F71C" w14:textId="77777777" w:rsidTr="00AF21BE">
        <w:trPr>
          <w:cnfStyle w:val="000000010000" w:firstRow="0" w:lastRow="0" w:firstColumn="0" w:lastColumn="0" w:oddVBand="0" w:evenVBand="0" w:oddHBand="0" w:evenHBand="1" w:firstRowFirstColumn="0" w:firstRowLastColumn="0" w:lastRowFirstColumn="0" w:lastRowLastColumn="0"/>
          <w:trHeight w:val="439"/>
        </w:trPr>
        <w:tc>
          <w:tcPr>
            <w:tcW w:w="0" w:type="dxa"/>
            <w:hideMark/>
          </w:tcPr>
          <w:p w14:paraId="6CF6C4C8"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2</w:t>
            </w:r>
          </w:p>
        </w:tc>
        <w:tc>
          <w:tcPr>
            <w:tcW w:w="0" w:type="dxa"/>
            <w:hideMark/>
          </w:tcPr>
          <w:p w14:paraId="51E82883"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DEER</w:t>
            </w:r>
          </w:p>
        </w:tc>
        <w:tc>
          <w:tcPr>
            <w:tcW w:w="0" w:type="dxa"/>
            <w:hideMark/>
          </w:tcPr>
          <w:p w14:paraId="52670D2B"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Navigant used information from 2017/2018 DEER updates for obtaining equipment and labor costs for technologies, wherever available.</w:t>
            </w:r>
          </w:p>
        </w:tc>
        <w:tc>
          <w:tcPr>
            <w:tcW w:w="0" w:type="dxa"/>
            <w:hideMark/>
          </w:tcPr>
          <w:p w14:paraId="567113D2"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CPUC</w:t>
            </w:r>
          </w:p>
        </w:tc>
        <w:tc>
          <w:tcPr>
            <w:tcW w:w="0" w:type="dxa"/>
            <w:hideMark/>
          </w:tcPr>
          <w:p w14:paraId="4B123A07"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2016</w:t>
            </w:r>
          </w:p>
        </w:tc>
      </w:tr>
      <w:tr w:rsidR="001326E6" w:rsidRPr="00957936" w14:paraId="004C2732" w14:textId="77777777" w:rsidTr="00AF21BE">
        <w:trPr>
          <w:cnfStyle w:val="000000100000" w:firstRow="0" w:lastRow="0" w:firstColumn="0" w:lastColumn="0" w:oddVBand="0" w:evenVBand="0" w:oddHBand="1" w:evenHBand="0" w:firstRowFirstColumn="0" w:firstRowLastColumn="0" w:lastRowFirstColumn="0" w:lastRowLastColumn="0"/>
          <w:trHeight w:val="439"/>
        </w:trPr>
        <w:tc>
          <w:tcPr>
            <w:tcW w:w="0" w:type="dxa"/>
            <w:hideMark/>
          </w:tcPr>
          <w:p w14:paraId="2B3CBB79"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3</w:t>
            </w:r>
          </w:p>
        </w:tc>
        <w:tc>
          <w:tcPr>
            <w:tcW w:w="0" w:type="dxa"/>
            <w:hideMark/>
          </w:tcPr>
          <w:p w14:paraId="53F0E3AD"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IOU Workpaper [with CPUC Disposition]</w:t>
            </w:r>
          </w:p>
        </w:tc>
        <w:tc>
          <w:tcPr>
            <w:tcW w:w="0" w:type="dxa"/>
            <w:hideMark/>
          </w:tcPr>
          <w:p w14:paraId="5B5B5211"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 xml:space="preserve">Navigant obtained equipment and labor costs from </w:t>
            </w:r>
            <w:r w:rsidRPr="00957936">
              <w:rPr>
                <w:rFonts w:ascii="Arial Narrow" w:hAnsi="Arial Narrow"/>
                <w:b/>
                <w:sz w:val="18"/>
                <w:szCs w:val="18"/>
              </w:rPr>
              <w:t>approved CA IOU workpapers</w:t>
            </w:r>
            <w:r w:rsidRPr="00957936">
              <w:rPr>
                <w:rFonts w:ascii="Arial Narrow" w:hAnsi="Arial Narrow"/>
                <w:sz w:val="18"/>
                <w:szCs w:val="18"/>
              </w:rPr>
              <w:t xml:space="preserve">, in cases where the Navigant team referred to these workpapers for obtaining energy use information.  </w:t>
            </w:r>
          </w:p>
        </w:tc>
        <w:tc>
          <w:tcPr>
            <w:tcW w:w="0" w:type="dxa"/>
            <w:hideMark/>
          </w:tcPr>
          <w:p w14:paraId="5968376E"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Calfornia IOUs</w:t>
            </w:r>
          </w:p>
        </w:tc>
        <w:tc>
          <w:tcPr>
            <w:tcW w:w="0" w:type="dxa"/>
            <w:hideMark/>
          </w:tcPr>
          <w:p w14:paraId="0E236E53"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Various</w:t>
            </w:r>
          </w:p>
        </w:tc>
      </w:tr>
      <w:tr w:rsidR="001326E6" w:rsidRPr="00957936" w14:paraId="1B41DB26" w14:textId="77777777" w:rsidTr="00AF21BE">
        <w:trPr>
          <w:cnfStyle w:val="000000010000" w:firstRow="0" w:lastRow="0" w:firstColumn="0" w:lastColumn="0" w:oddVBand="0" w:evenVBand="0" w:oddHBand="0" w:evenHBand="1" w:firstRowFirstColumn="0" w:firstRowLastColumn="0" w:lastRowFirstColumn="0" w:lastRowLastColumn="0"/>
          <w:trHeight w:val="439"/>
        </w:trPr>
        <w:tc>
          <w:tcPr>
            <w:tcW w:w="0" w:type="dxa"/>
          </w:tcPr>
          <w:p w14:paraId="04884FC2"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4</w:t>
            </w:r>
          </w:p>
        </w:tc>
        <w:tc>
          <w:tcPr>
            <w:tcW w:w="0" w:type="dxa"/>
          </w:tcPr>
          <w:p w14:paraId="7C68677E"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CMUA TRM</w:t>
            </w:r>
          </w:p>
        </w:tc>
        <w:tc>
          <w:tcPr>
            <w:tcW w:w="0" w:type="dxa"/>
          </w:tcPr>
          <w:p w14:paraId="4C5746D1"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 xml:space="preserve">Navigant obtained equipment and labor costs from the CMUA TRM, in cases where the Navigant team referred to the CMUA TRM for obtaining energy use information.  </w:t>
            </w:r>
          </w:p>
        </w:tc>
        <w:tc>
          <w:tcPr>
            <w:tcW w:w="0" w:type="dxa"/>
          </w:tcPr>
          <w:p w14:paraId="4B44A527"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Cal TF</w:t>
            </w:r>
          </w:p>
        </w:tc>
        <w:tc>
          <w:tcPr>
            <w:tcW w:w="0" w:type="dxa"/>
          </w:tcPr>
          <w:p w14:paraId="2380B238"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2015</w:t>
            </w:r>
          </w:p>
        </w:tc>
      </w:tr>
      <w:tr w:rsidR="001326E6" w:rsidRPr="00957936" w14:paraId="4E3949F6" w14:textId="77777777" w:rsidTr="00AF21BE">
        <w:trPr>
          <w:cnfStyle w:val="000000100000" w:firstRow="0" w:lastRow="0" w:firstColumn="0" w:lastColumn="0" w:oddVBand="0" w:evenVBand="0" w:oddHBand="1" w:evenHBand="0" w:firstRowFirstColumn="0" w:firstRowLastColumn="0" w:lastRowFirstColumn="0" w:lastRowLastColumn="0"/>
          <w:trHeight w:val="439"/>
        </w:trPr>
        <w:tc>
          <w:tcPr>
            <w:tcW w:w="0" w:type="dxa"/>
          </w:tcPr>
          <w:p w14:paraId="4880FB40"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5</w:t>
            </w:r>
          </w:p>
        </w:tc>
        <w:tc>
          <w:tcPr>
            <w:tcW w:w="0" w:type="dxa"/>
          </w:tcPr>
          <w:p w14:paraId="173393CE" w14:textId="77777777" w:rsidR="001326E6" w:rsidRPr="00957936" w:rsidRDefault="001326E6" w:rsidP="001326E6">
            <w:pPr>
              <w:rPr>
                <w:rFonts w:ascii="Arial Narrow" w:hAnsi="Arial Narrow"/>
                <w:sz w:val="18"/>
                <w:szCs w:val="18"/>
              </w:rPr>
            </w:pPr>
            <w:r w:rsidRPr="00957936">
              <w:rPr>
                <w:rFonts w:ascii="Arial Narrow" w:hAnsi="Arial Narrow" w:cs="Arial"/>
                <w:sz w:val="18"/>
                <w:szCs w:val="18"/>
              </w:rPr>
              <w:t>CA IOU Emerging Technology Reports</w:t>
            </w:r>
          </w:p>
        </w:tc>
        <w:tc>
          <w:tcPr>
            <w:tcW w:w="0" w:type="dxa"/>
          </w:tcPr>
          <w:p w14:paraId="30B9F93D" w14:textId="77777777" w:rsidR="001326E6" w:rsidRPr="00957936" w:rsidRDefault="001326E6" w:rsidP="001326E6">
            <w:pPr>
              <w:rPr>
                <w:rFonts w:ascii="Arial Narrow" w:hAnsi="Arial Narrow"/>
                <w:sz w:val="18"/>
                <w:szCs w:val="18"/>
              </w:rPr>
            </w:pPr>
            <w:r w:rsidRPr="00957936">
              <w:rPr>
                <w:rFonts w:ascii="Arial Narrow" w:hAnsi="Arial Narrow" w:cs="Arial"/>
                <w:sz w:val="18"/>
                <w:szCs w:val="18"/>
              </w:rPr>
              <w:t xml:space="preserve">Navigant obtained cost information on emerging technologies from ETCC technology reports, wherever available. </w:t>
            </w:r>
          </w:p>
        </w:tc>
        <w:tc>
          <w:tcPr>
            <w:tcW w:w="0" w:type="dxa"/>
          </w:tcPr>
          <w:p w14:paraId="699B63DD" w14:textId="77777777" w:rsidR="001326E6" w:rsidRPr="00957936" w:rsidRDefault="001326E6" w:rsidP="001326E6">
            <w:pPr>
              <w:rPr>
                <w:rFonts w:ascii="Arial Narrow" w:hAnsi="Arial Narrow"/>
                <w:sz w:val="18"/>
                <w:szCs w:val="18"/>
              </w:rPr>
            </w:pPr>
            <w:r w:rsidRPr="00957936">
              <w:rPr>
                <w:rFonts w:ascii="Arial Narrow" w:hAnsi="Arial Narrow" w:cs="Arial"/>
                <w:sz w:val="18"/>
                <w:szCs w:val="18"/>
              </w:rPr>
              <w:t>Emerging Technology Coordinating Council (ETCC); IOUs</w:t>
            </w:r>
          </w:p>
        </w:tc>
        <w:tc>
          <w:tcPr>
            <w:tcW w:w="0" w:type="dxa"/>
          </w:tcPr>
          <w:p w14:paraId="0952F2CD" w14:textId="77777777" w:rsidR="001326E6" w:rsidRPr="00957936" w:rsidRDefault="001326E6" w:rsidP="001326E6">
            <w:pPr>
              <w:rPr>
                <w:rFonts w:ascii="Arial Narrow" w:hAnsi="Arial Narrow"/>
                <w:sz w:val="18"/>
                <w:szCs w:val="18"/>
              </w:rPr>
            </w:pPr>
            <w:r w:rsidRPr="00957936">
              <w:rPr>
                <w:rFonts w:ascii="Arial Narrow" w:hAnsi="Arial Narrow" w:cs="Arial"/>
                <w:sz w:val="18"/>
                <w:szCs w:val="18"/>
              </w:rPr>
              <w:t>Various</w:t>
            </w:r>
          </w:p>
        </w:tc>
      </w:tr>
      <w:tr w:rsidR="001326E6" w:rsidRPr="00957936" w14:paraId="59C39D6F" w14:textId="77777777" w:rsidTr="00AF21BE">
        <w:trPr>
          <w:cnfStyle w:val="000000010000" w:firstRow="0" w:lastRow="0" w:firstColumn="0" w:lastColumn="0" w:oddVBand="0" w:evenVBand="0" w:oddHBand="0" w:evenHBand="1" w:firstRowFirstColumn="0" w:firstRowLastColumn="0" w:lastRowFirstColumn="0" w:lastRowLastColumn="0"/>
          <w:trHeight w:val="439"/>
        </w:trPr>
        <w:tc>
          <w:tcPr>
            <w:tcW w:w="0" w:type="dxa"/>
            <w:hideMark/>
          </w:tcPr>
          <w:p w14:paraId="06D731A5" w14:textId="77777777" w:rsidR="001326E6" w:rsidRPr="00957936" w:rsidRDefault="00870F2A" w:rsidP="001326E6">
            <w:pPr>
              <w:rPr>
                <w:rFonts w:ascii="Arial Narrow" w:hAnsi="Arial Narrow"/>
                <w:sz w:val="18"/>
                <w:szCs w:val="18"/>
              </w:rPr>
            </w:pPr>
            <w:r w:rsidRPr="00957936">
              <w:rPr>
                <w:rFonts w:ascii="Arial Narrow" w:hAnsi="Arial Narrow"/>
                <w:sz w:val="18"/>
                <w:szCs w:val="18"/>
              </w:rPr>
              <w:lastRenderedPageBreak/>
              <w:t>6</w:t>
            </w:r>
          </w:p>
        </w:tc>
        <w:tc>
          <w:tcPr>
            <w:tcW w:w="0" w:type="dxa"/>
            <w:hideMark/>
          </w:tcPr>
          <w:p w14:paraId="0898412A" w14:textId="77777777" w:rsidR="001326E6" w:rsidRPr="00957936" w:rsidRDefault="001326E6" w:rsidP="00D11E06">
            <w:pPr>
              <w:jc w:val="left"/>
              <w:rPr>
                <w:rFonts w:ascii="Arial Narrow" w:hAnsi="Arial Narrow"/>
                <w:sz w:val="18"/>
                <w:szCs w:val="18"/>
              </w:rPr>
            </w:pPr>
            <w:r w:rsidRPr="00957936">
              <w:rPr>
                <w:rFonts w:ascii="Arial Narrow" w:hAnsi="Arial Narrow"/>
                <w:sz w:val="18"/>
                <w:szCs w:val="18"/>
              </w:rPr>
              <w:t xml:space="preserve">Non-California source examples: </w:t>
            </w:r>
          </w:p>
          <w:p w14:paraId="5408A0E7" w14:textId="77777777" w:rsidR="001326E6" w:rsidRPr="00957936" w:rsidRDefault="001326E6" w:rsidP="004E4E36">
            <w:pPr>
              <w:numPr>
                <w:ilvl w:val="0"/>
                <w:numId w:val="27"/>
              </w:numPr>
              <w:tabs>
                <w:tab w:val="clear" w:pos="720"/>
                <w:tab w:val="num" w:pos="360"/>
              </w:tabs>
              <w:ind w:left="360"/>
              <w:jc w:val="left"/>
              <w:rPr>
                <w:rFonts w:ascii="Arial Narrow" w:hAnsi="Arial Narrow"/>
                <w:sz w:val="18"/>
                <w:szCs w:val="18"/>
              </w:rPr>
            </w:pPr>
            <w:r w:rsidRPr="00957936">
              <w:rPr>
                <w:rFonts w:ascii="Arial Narrow" w:hAnsi="Arial Narrow"/>
                <w:sz w:val="18"/>
                <w:szCs w:val="18"/>
              </w:rPr>
              <w:t>Energy Savings Forecast of Solid-State Lighting in General Illumination Applications</w:t>
            </w:r>
            <w:r w:rsidRPr="00957936">
              <w:rPr>
                <w:rFonts w:ascii="Arial Narrow" w:hAnsi="Arial Narrow"/>
                <w:sz w:val="18"/>
                <w:szCs w:val="18"/>
                <w:vertAlign w:val="superscript"/>
              </w:rPr>
              <w:footnoteReference w:id="60"/>
            </w:r>
          </w:p>
          <w:p w14:paraId="6A11A40B" w14:textId="77777777" w:rsidR="001326E6" w:rsidRPr="00957936" w:rsidRDefault="001326E6" w:rsidP="004E4E36">
            <w:pPr>
              <w:numPr>
                <w:ilvl w:val="0"/>
                <w:numId w:val="27"/>
              </w:numPr>
              <w:tabs>
                <w:tab w:val="clear" w:pos="720"/>
                <w:tab w:val="num" w:pos="360"/>
              </w:tabs>
              <w:ind w:left="360"/>
              <w:jc w:val="left"/>
              <w:rPr>
                <w:rFonts w:ascii="Arial Narrow" w:hAnsi="Arial Narrow"/>
                <w:sz w:val="18"/>
                <w:szCs w:val="18"/>
              </w:rPr>
            </w:pPr>
            <w:r w:rsidRPr="00957936">
              <w:rPr>
                <w:rFonts w:ascii="Arial Narrow" w:hAnsi="Arial Narrow"/>
                <w:sz w:val="18"/>
                <w:szCs w:val="18"/>
              </w:rPr>
              <w:t>Navigant Potential Study Database</w:t>
            </w:r>
          </w:p>
        </w:tc>
        <w:tc>
          <w:tcPr>
            <w:tcW w:w="0" w:type="dxa"/>
            <w:hideMark/>
          </w:tcPr>
          <w:p w14:paraId="41CF29F0"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For lighting technologies, Navigant referred to a DOE report authore</w:t>
            </w:r>
            <w:r w:rsidR="004D5A3E" w:rsidRPr="00957936">
              <w:rPr>
                <w:rFonts w:ascii="Arial Narrow" w:hAnsi="Arial Narrow"/>
                <w:sz w:val="18"/>
                <w:szCs w:val="18"/>
              </w:rPr>
              <w:t>d by Navigant for LED cost data (see discussion following table)</w:t>
            </w:r>
          </w:p>
          <w:p w14:paraId="4388C443"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In cases where no California-specific source was available for costs, Navigant referred to the company’s internal database of energy efficient technologies for available cost information.</w:t>
            </w:r>
          </w:p>
        </w:tc>
        <w:tc>
          <w:tcPr>
            <w:tcW w:w="0" w:type="dxa"/>
            <w:hideMark/>
          </w:tcPr>
          <w:p w14:paraId="70DE23A4"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DOE</w:t>
            </w:r>
          </w:p>
          <w:p w14:paraId="150A3A99" w14:textId="77777777" w:rsidR="001326E6" w:rsidRPr="00957936" w:rsidRDefault="001326E6" w:rsidP="001326E6">
            <w:pPr>
              <w:rPr>
                <w:rFonts w:ascii="Arial Narrow" w:hAnsi="Arial Narrow"/>
                <w:sz w:val="18"/>
                <w:szCs w:val="18"/>
              </w:rPr>
            </w:pPr>
          </w:p>
          <w:p w14:paraId="4476C856" w14:textId="77777777" w:rsidR="001326E6" w:rsidRPr="00957936" w:rsidRDefault="001326E6" w:rsidP="001326E6">
            <w:pPr>
              <w:rPr>
                <w:rFonts w:ascii="Arial Narrow" w:hAnsi="Arial Narrow"/>
                <w:sz w:val="18"/>
                <w:szCs w:val="18"/>
              </w:rPr>
            </w:pPr>
          </w:p>
          <w:p w14:paraId="1BF07365"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Navigant</w:t>
            </w:r>
          </w:p>
          <w:p w14:paraId="7287AF99" w14:textId="77777777" w:rsidR="001326E6" w:rsidRPr="00957936" w:rsidRDefault="001326E6" w:rsidP="001326E6">
            <w:pPr>
              <w:rPr>
                <w:rFonts w:ascii="Arial Narrow" w:hAnsi="Arial Narrow"/>
                <w:sz w:val="18"/>
                <w:szCs w:val="18"/>
              </w:rPr>
            </w:pPr>
          </w:p>
          <w:p w14:paraId="5A686C7A" w14:textId="77777777" w:rsidR="001326E6" w:rsidRPr="00957936" w:rsidRDefault="001326E6" w:rsidP="001326E6">
            <w:pPr>
              <w:rPr>
                <w:rFonts w:ascii="Arial Narrow" w:hAnsi="Arial Narrow"/>
                <w:sz w:val="18"/>
                <w:szCs w:val="18"/>
              </w:rPr>
            </w:pPr>
          </w:p>
          <w:p w14:paraId="731673BC" w14:textId="77777777" w:rsidR="001326E6" w:rsidRPr="00957936" w:rsidRDefault="001326E6" w:rsidP="001326E6">
            <w:pPr>
              <w:rPr>
                <w:rFonts w:ascii="Arial Narrow" w:hAnsi="Arial Narrow"/>
                <w:sz w:val="18"/>
                <w:szCs w:val="18"/>
              </w:rPr>
            </w:pPr>
          </w:p>
        </w:tc>
        <w:tc>
          <w:tcPr>
            <w:tcW w:w="0" w:type="dxa"/>
            <w:hideMark/>
          </w:tcPr>
          <w:p w14:paraId="3F62F752"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2016</w:t>
            </w:r>
          </w:p>
          <w:p w14:paraId="52B6E0BA" w14:textId="77777777" w:rsidR="001326E6" w:rsidRPr="00957936" w:rsidRDefault="001326E6" w:rsidP="001326E6">
            <w:pPr>
              <w:rPr>
                <w:rFonts w:ascii="Arial Narrow" w:hAnsi="Arial Narrow"/>
                <w:sz w:val="18"/>
                <w:szCs w:val="18"/>
              </w:rPr>
            </w:pPr>
          </w:p>
          <w:p w14:paraId="4CD8148A" w14:textId="77777777" w:rsidR="001326E6" w:rsidRPr="00957936" w:rsidRDefault="001326E6" w:rsidP="001326E6">
            <w:pPr>
              <w:rPr>
                <w:rFonts w:ascii="Arial Narrow" w:hAnsi="Arial Narrow"/>
                <w:sz w:val="18"/>
                <w:szCs w:val="18"/>
              </w:rPr>
            </w:pPr>
          </w:p>
          <w:p w14:paraId="1898CB3A"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2015-2016</w:t>
            </w:r>
          </w:p>
          <w:p w14:paraId="38B9226C" w14:textId="77777777" w:rsidR="001326E6" w:rsidRPr="00957936" w:rsidRDefault="001326E6" w:rsidP="001326E6">
            <w:pPr>
              <w:rPr>
                <w:rFonts w:ascii="Arial Narrow" w:hAnsi="Arial Narrow"/>
                <w:sz w:val="18"/>
                <w:szCs w:val="18"/>
              </w:rPr>
            </w:pPr>
          </w:p>
          <w:p w14:paraId="316A6579" w14:textId="77777777" w:rsidR="001326E6" w:rsidRPr="00957936" w:rsidRDefault="001326E6" w:rsidP="001326E6">
            <w:pPr>
              <w:rPr>
                <w:rFonts w:ascii="Arial Narrow" w:hAnsi="Arial Narrow"/>
                <w:sz w:val="18"/>
                <w:szCs w:val="18"/>
              </w:rPr>
            </w:pPr>
          </w:p>
        </w:tc>
      </w:tr>
    </w:tbl>
    <w:p w14:paraId="407B9A4B" w14:textId="77777777" w:rsidR="004D5A3E" w:rsidRDefault="004D5A3E" w:rsidP="004D5A3E">
      <w:pPr>
        <w:rPr>
          <w:b/>
          <w:bCs/>
          <w:i/>
          <w:iCs/>
          <w:color w:val="555759"/>
          <w:kern w:val="28"/>
          <w:szCs w:val="20"/>
        </w:rPr>
      </w:pPr>
    </w:p>
    <w:p w14:paraId="60DB0975" w14:textId="77777777" w:rsidR="004D5A3E" w:rsidRDefault="004D5A3E" w:rsidP="004D5A3E"/>
    <w:p w14:paraId="4E06C204" w14:textId="77777777" w:rsidR="004D5A3E" w:rsidRDefault="004D5A3E" w:rsidP="004D5A3E">
      <w:r w:rsidRPr="001326E6">
        <w:t xml:space="preserve">Navigant referred to </w:t>
      </w:r>
      <w:r>
        <w:t xml:space="preserve">forecast from the </w:t>
      </w:r>
      <w:r w:rsidRPr="001326E6">
        <w:t xml:space="preserve">DOE </w:t>
      </w:r>
      <w:r>
        <w:t>to obtain LED costs.</w:t>
      </w:r>
      <w:r w:rsidRPr="001326E6">
        <w:rPr>
          <w:vertAlign w:val="superscript"/>
        </w:rPr>
        <w:footnoteReference w:id="61"/>
      </w:r>
      <w:r w:rsidRPr="001326E6">
        <w:t xml:space="preserve"> This was done to incorporate cost projections into the model while maintaining consistency across years. Navigant used efficacy (lm/W) and price per kilo-lumen ($/klm) projections to determine current and future costs for LEDs. </w:t>
      </w:r>
      <w:r>
        <w:fldChar w:fldCharType="begin"/>
      </w:r>
      <w:r>
        <w:instrText xml:space="preserve"> REF _Ref482093253 \h </w:instrText>
      </w:r>
      <w:r>
        <w:fldChar w:fldCharType="separate"/>
      </w:r>
      <w:r w:rsidR="007566B9" w:rsidRPr="004D5A3E">
        <w:t xml:space="preserve">Figure </w:t>
      </w:r>
      <w:r w:rsidR="007566B9">
        <w:rPr>
          <w:noProof/>
        </w:rPr>
        <w:t>3</w:t>
      </w:r>
      <w:r w:rsidR="007566B9">
        <w:noBreakHyphen/>
      </w:r>
      <w:r w:rsidR="007566B9">
        <w:rPr>
          <w:noProof/>
        </w:rPr>
        <w:t>3</w:t>
      </w:r>
      <w:r>
        <w:fldChar w:fldCharType="end"/>
      </w:r>
      <w:r>
        <w:t xml:space="preserve"> and </w:t>
      </w:r>
      <w:r>
        <w:fldChar w:fldCharType="begin"/>
      </w:r>
      <w:r>
        <w:instrText xml:space="preserve"> REF _Ref482093265 \h </w:instrText>
      </w:r>
      <w:r>
        <w:fldChar w:fldCharType="separate"/>
      </w:r>
      <w:r w:rsidR="007566B9" w:rsidRPr="004D5A3E">
        <w:t xml:space="preserve">Figure </w:t>
      </w:r>
      <w:r w:rsidR="007566B9">
        <w:rPr>
          <w:noProof/>
        </w:rPr>
        <w:t>3</w:t>
      </w:r>
      <w:r w:rsidR="007566B9">
        <w:noBreakHyphen/>
      </w:r>
      <w:r w:rsidR="007566B9">
        <w:rPr>
          <w:noProof/>
        </w:rPr>
        <w:t>4</w:t>
      </w:r>
      <w:r>
        <w:fldChar w:fldCharType="end"/>
      </w:r>
      <w:r>
        <w:t xml:space="preserve"> below graphs the projected efficacy and costs of different lamp types of LEDs, respectively, through 2030.</w:t>
      </w:r>
    </w:p>
    <w:p w14:paraId="744DFE99" w14:textId="77777777" w:rsidR="004D5A3E" w:rsidRPr="001326E6" w:rsidRDefault="004D5A3E" w:rsidP="004D5A3E"/>
    <w:p w14:paraId="6F2D2A0B" w14:textId="77777777" w:rsidR="004D5A3E" w:rsidRPr="004D5A3E" w:rsidRDefault="004D5A3E" w:rsidP="004D5A3E">
      <w:pPr>
        <w:pStyle w:val="Caption"/>
      </w:pPr>
      <w:bookmarkStart w:id="482" w:name="_Ref482093253"/>
      <w:bookmarkStart w:id="483" w:name="_Toc482634249"/>
      <w:bookmarkStart w:id="484" w:name="_Toc482626457"/>
      <w:bookmarkStart w:id="485" w:name="_Toc484437001"/>
      <w:bookmarkStart w:id="486" w:name="_Toc490491727"/>
      <w:r w:rsidRPr="004D5A3E">
        <w:t xml:space="preserve">Figure </w:t>
      </w:r>
      <w:fldSimple w:instr=" STYLEREF 1 \s ">
        <w:r w:rsidR="007566B9">
          <w:rPr>
            <w:noProof/>
          </w:rPr>
          <w:t>3</w:t>
        </w:r>
      </w:fldSimple>
      <w:r w:rsidR="00CE124F">
        <w:noBreakHyphen/>
      </w:r>
      <w:fldSimple w:instr=" SEQ Figure \* ARABIC \s 1 ">
        <w:r w:rsidR="007566B9">
          <w:rPr>
            <w:noProof/>
          </w:rPr>
          <w:t>3</w:t>
        </w:r>
      </w:fldSimple>
      <w:bookmarkEnd w:id="482"/>
      <w:r w:rsidRPr="004D5A3E">
        <w:t>. Projected LED Technology Improvements, 2013-2030</w:t>
      </w:r>
      <w:bookmarkEnd w:id="483"/>
      <w:bookmarkEnd w:id="484"/>
      <w:bookmarkEnd w:id="485"/>
      <w:bookmarkEnd w:id="486"/>
    </w:p>
    <w:p w14:paraId="32B2C894" w14:textId="77777777" w:rsidR="004D5A3E" w:rsidRPr="004D5A3E" w:rsidRDefault="004D5A3E" w:rsidP="004D5A3E">
      <w:pPr>
        <w:jc w:val="center"/>
      </w:pPr>
      <w:r w:rsidRPr="004D5A3E">
        <w:rPr>
          <w:noProof/>
        </w:rPr>
        <w:drawing>
          <wp:inline distT="0" distB="0" distL="0" distR="0" wp14:anchorId="328DA9CF" wp14:editId="7FB832A7">
            <wp:extent cx="4902956" cy="316445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08812" cy="3168232"/>
                    </a:xfrm>
                    <a:prstGeom prst="rect">
                      <a:avLst/>
                    </a:prstGeom>
                    <a:noFill/>
                  </pic:spPr>
                </pic:pic>
              </a:graphicData>
            </a:graphic>
          </wp:inline>
        </w:drawing>
      </w:r>
    </w:p>
    <w:p w14:paraId="0FC5B4DA" w14:textId="77777777" w:rsidR="004D5A3E" w:rsidRPr="004D5A3E" w:rsidRDefault="004D5A3E" w:rsidP="004D5A3E"/>
    <w:p w14:paraId="2EB7D5EE" w14:textId="77777777" w:rsidR="004D5A3E" w:rsidRPr="00360FD1" w:rsidRDefault="004D5A3E" w:rsidP="004D5A3E">
      <w:pPr>
        <w:pStyle w:val="Caption"/>
      </w:pPr>
      <w:bookmarkStart w:id="487" w:name="_Ref482093265"/>
      <w:bookmarkStart w:id="488" w:name="_Toc482634250"/>
      <w:bookmarkStart w:id="489" w:name="_Toc482626458"/>
      <w:bookmarkStart w:id="490" w:name="_Toc484437002"/>
      <w:bookmarkStart w:id="491" w:name="_Toc490491728"/>
      <w:r w:rsidRPr="004D5A3E">
        <w:t xml:space="preserve">Figure </w:t>
      </w:r>
      <w:fldSimple w:instr=" STYLEREF 1 \s ">
        <w:r w:rsidR="007566B9">
          <w:rPr>
            <w:noProof/>
          </w:rPr>
          <w:t>3</w:t>
        </w:r>
      </w:fldSimple>
      <w:r w:rsidR="00CE124F">
        <w:noBreakHyphen/>
      </w:r>
      <w:fldSimple w:instr=" SEQ Figure \* ARABIC \s 1 ">
        <w:r w:rsidR="007566B9">
          <w:rPr>
            <w:noProof/>
          </w:rPr>
          <w:t>4</w:t>
        </w:r>
      </w:fldSimple>
      <w:bookmarkEnd w:id="487"/>
      <w:r w:rsidRPr="004D5A3E">
        <w:t>. Projected LED Cost Reduction Profiles, 2013-2030</w:t>
      </w:r>
      <w:bookmarkEnd w:id="488"/>
      <w:bookmarkEnd w:id="489"/>
      <w:bookmarkEnd w:id="490"/>
      <w:bookmarkEnd w:id="491"/>
    </w:p>
    <w:p w14:paraId="5D96D0EB" w14:textId="77777777" w:rsidR="004D5A3E" w:rsidRDefault="004D5A3E" w:rsidP="004D5A3E">
      <w:pPr>
        <w:jc w:val="center"/>
        <w:rPr>
          <w:highlight w:val="yellow"/>
        </w:rPr>
      </w:pPr>
      <w:r w:rsidRPr="004D5A3E">
        <w:rPr>
          <w:noProof/>
        </w:rPr>
        <w:drawing>
          <wp:inline distT="0" distB="0" distL="0" distR="0" wp14:anchorId="587C234F" wp14:editId="2D63643E">
            <wp:extent cx="5303520" cy="33004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7510" cy="3302904"/>
                    </a:xfrm>
                    <a:prstGeom prst="rect">
                      <a:avLst/>
                    </a:prstGeom>
                    <a:noFill/>
                  </pic:spPr>
                </pic:pic>
              </a:graphicData>
            </a:graphic>
          </wp:inline>
        </w:drawing>
      </w:r>
    </w:p>
    <w:p w14:paraId="7DD9AFD1" w14:textId="77777777" w:rsidR="001326E6" w:rsidRPr="001326E6" w:rsidRDefault="001326E6" w:rsidP="00A330AB">
      <w:pPr>
        <w:pStyle w:val="Heading3"/>
      </w:pPr>
      <w:bookmarkStart w:id="492" w:name="_Toc490225792"/>
      <w:r w:rsidRPr="001326E6">
        <w:t>Market Information: Density and Saturation Values</w:t>
      </w:r>
      <w:bookmarkEnd w:id="492"/>
    </w:p>
    <w:p w14:paraId="233AED13" w14:textId="77777777" w:rsidR="006807F5" w:rsidRDefault="001326E6" w:rsidP="001326E6">
      <w:r w:rsidRPr="001326E6">
        <w:t xml:space="preserve">Density and saturation are two essential calculations of technology characterization. </w:t>
      </w:r>
    </w:p>
    <w:p w14:paraId="26A5A707" w14:textId="77777777" w:rsidR="006807F5" w:rsidRDefault="006807F5" w:rsidP="004E4E36">
      <w:pPr>
        <w:pStyle w:val="ListParagraph"/>
        <w:numPr>
          <w:ilvl w:val="0"/>
          <w:numId w:val="34"/>
        </w:numPr>
      </w:pPr>
      <w:r>
        <w:t xml:space="preserve">Density is a measure of the number of units per building. </w:t>
      </w:r>
      <w:r w:rsidR="001326E6" w:rsidRPr="001326E6">
        <w:t xml:space="preserve">The potential model uses the density information to determine the number of applicable technology units on the appropriate scaling basis (per household for residential and per sq. ft. for commercial), to scale up the technology stock by segment/building type. Density is specified by technology group and by individual technologies. </w:t>
      </w:r>
      <w:r>
        <w:t xml:space="preserve"> Density can be expressed as the following (for example): units/home, bulbs/home, fixtures/1000 square feet, tons of cooling/1000 square feet, etc.</w:t>
      </w:r>
    </w:p>
    <w:p w14:paraId="3C058911" w14:textId="77777777" w:rsidR="006807F5" w:rsidRDefault="001326E6" w:rsidP="004E4E36">
      <w:pPr>
        <w:pStyle w:val="ListParagraph"/>
        <w:numPr>
          <w:ilvl w:val="0"/>
          <w:numId w:val="34"/>
        </w:numPr>
      </w:pPr>
      <w:r w:rsidRPr="001326E6">
        <w:t xml:space="preserve">Saturation is the share of a specific technology within a technology group, so that the sum of the saturations across a technology group always sums to 100%. Saturation can also be calculated by dividing the individual technology density by the total technology group maximum density. </w:t>
      </w:r>
    </w:p>
    <w:p w14:paraId="3B681CA1" w14:textId="77777777" w:rsidR="006807F5" w:rsidRDefault="006807F5" w:rsidP="006807F5"/>
    <w:p w14:paraId="241F22F5" w14:textId="77777777" w:rsidR="001326E6" w:rsidRPr="001326E6" w:rsidRDefault="001326E6" w:rsidP="006807F5">
      <w:r w:rsidRPr="001326E6">
        <w:t xml:space="preserve">As an example, </w:t>
      </w:r>
      <w:r w:rsidR="00870F2A" w:rsidRPr="00490F81">
        <w:fldChar w:fldCharType="begin"/>
      </w:r>
      <w:r w:rsidR="00870F2A" w:rsidRPr="00870F2A">
        <w:instrText xml:space="preserve"> REF _Ref481652758 \h </w:instrText>
      </w:r>
      <w:r w:rsidR="00870F2A">
        <w:instrText xml:space="preserve"> \* MERGEFORMAT </w:instrText>
      </w:r>
      <w:r w:rsidR="00870F2A" w:rsidRPr="00490F81">
        <w:fldChar w:fldCharType="separate"/>
      </w:r>
      <w:r w:rsidR="007566B9" w:rsidRPr="00D063E4">
        <w:t xml:space="preserve">Table </w:t>
      </w:r>
      <w:r w:rsidR="007566B9">
        <w:t>3</w:t>
      </w:r>
      <w:r w:rsidR="007566B9" w:rsidRPr="00D063E4">
        <w:noBreakHyphen/>
      </w:r>
      <w:r w:rsidR="007566B9">
        <w:t>15</w:t>
      </w:r>
      <w:r w:rsidR="00870F2A" w:rsidRPr="00490F81">
        <w:fldChar w:fldCharType="end"/>
      </w:r>
      <w:r w:rsidRPr="001326E6">
        <w:t xml:space="preserve"> below shows the densities and saturations for residential refrigerators in single-family homes in PG&amp;E’s service territory.  </w:t>
      </w:r>
    </w:p>
    <w:p w14:paraId="598CDC02" w14:textId="77777777" w:rsidR="001326E6" w:rsidRDefault="001326E6" w:rsidP="001326E6"/>
    <w:p w14:paraId="0BE10BC0" w14:textId="77777777" w:rsidR="004C69A3" w:rsidRDefault="004C69A3" w:rsidP="001326E6"/>
    <w:p w14:paraId="538C821E" w14:textId="77777777" w:rsidR="004C69A3" w:rsidRDefault="004C69A3" w:rsidP="001326E6"/>
    <w:p w14:paraId="506889AC" w14:textId="77777777" w:rsidR="004C69A3" w:rsidRDefault="004C69A3" w:rsidP="001326E6"/>
    <w:p w14:paraId="55765DFB" w14:textId="77777777" w:rsidR="004C69A3" w:rsidRPr="001326E6" w:rsidRDefault="004C69A3" w:rsidP="001326E6"/>
    <w:p w14:paraId="39003F80" w14:textId="77777777" w:rsidR="001326E6" w:rsidRPr="00D063E4" w:rsidRDefault="001326E6" w:rsidP="00D063E4">
      <w:pPr>
        <w:pStyle w:val="Caption"/>
      </w:pPr>
      <w:bookmarkStart w:id="493" w:name="_Ref481652758"/>
      <w:bookmarkStart w:id="494" w:name="_Toc482634222"/>
      <w:bookmarkStart w:id="495" w:name="_Toc490560673"/>
      <w:bookmarkStart w:id="496" w:name="_Toc484436961"/>
      <w:r w:rsidRPr="00D063E4">
        <w:lastRenderedPageBreak/>
        <w:t xml:space="preserve">Table </w:t>
      </w:r>
      <w:fldSimple w:instr=" STYLEREF 1 \s ">
        <w:r w:rsidR="007566B9">
          <w:rPr>
            <w:noProof/>
          </w:rPr>
          <w:t>3</w:t>
        </w:r>
      </w:fldSimple>
      <w:r w:rsidR="00C17D59" w:rsidRPr="00D063E4">
        <w:noBreakHyphen/>
      </w:r>
      <w:fldSimple w:instr=" SEQ Table \* ARABIC \s 1 ">
        <w:r w:rsidR="007566B9">
          <w:rPr>
            <w:noProof/>
          </w:rPr>
          <w:t>15</w:t>
        </w:r>
      </w:fldSimple>
      <w:bookmarkEnd w:id="493"/>
      <w:r w:rsidRPr="00D063E4">
        <w:rPr>
          <w:noProof/>
        </w:rPr>
        <w:t>.  Example of Density and Saturation Calculation</w:t>
      </w:r>
      <w:bookmarkEnd w:id="494"/>
      <w:bookmarkEnd w:id="495"/>
    </w:p>
    <w:tbl>
      <w:tblPr>
        <w:tblStyle w:val="EnergyTable1"/>
        <w:tblW w:w="0" w:type="auto"/>
        <w:tblLook w:val="04A0" w:firstRow="1" w:lastRow="0" w:firstColumn="1" w:lastColumn="0" w:noHBand="0" w:noVBand="1"/>
      </w:tblPr>
      <w:tblGrid>
        <w:gridCol w:w="2160"/>
        <w:gridCol w:w="1440"/>
        <w:gridCol w:w="1350"/>
        <w:gridCol w:w="1440"/>
        <w:gridCol w:w="1045"/>
      </w:tblGrid>
      <w:tr w:rsidR="001326E6" w:rsidRPr="00957936" w14:paraId="1E6AE7C1" w14:textId="77777777" w:rsidTr="001413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bookmarkEnd w:id="496"/>
          <w:p w14:paraId="5990D8C1"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Technology Name</w:t>
            </w:r>
          </w:p>
        </w:tc>
        <w:tc>
          <w:tcPr>
            <w:tcW w:w="1440" w:type="dxa"/>
          </w:tcPr>
          <w:p w14:paraId="24D85A5A" w14:textId="77777777" w:rsidR="001326E6" w:rsidRPr="00957936" w:rsidRDefault="001326E6" w:rsidP="001326E6">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Base Year Efficiency Level</w:t>
            </w:r>
          </w:p>
        </w:tc>
        <w:tc>
          <w:tcPr>
            <w:tcW w:w="1350" w:type="dxa"/>
          </w:tcPr>
          <w:p w14:paraId="1B0EFA4D" w14:textId="77777777" w:rsidR="001326E6" w:rsidRPr="00957936" w:rsidRDefault="001326E6" w:rsidP="001326E6">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Unit basis</w:t>
            </w:r>
          </w:p>
        </w:tc>
        <w:tc>
          <w:tcPr>
            <w:tcW w:w="1440" w:type="dxa"/>
          </w:tcPr>
          <w:p w14:paraId="28A51A04" w14:textId="77777777" w:rsidR="001326E6" w:rsidRPr="00957936" w:rsidRDefault="001326E6" w:rsidP="001326E6">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Technology Density (units per household)</w:t>
            </w:r>
          </w:p>
        </w:tc>
        <w:tc>
          <w:tcPr>
            <w:tcW w:w="1045" w:type="dxa"/>
          </w:tcPr>
          <w:p w14:paraId="60E3CE36" w14:textId="77777777" w:rsidR="001326E6" w:rsidRPr="00957936" w:rsidRDefault="001326E6" w:rsidP="001326E6">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Technology Saturation</w:t>
            </w:r>
          </w:p>
        </w:tc>
      </w:tr>
      <w:tr w:rsidR="001326E6" w:rsidRPr="00957936" w14:paraId="7A08153D" w14:textId="77777777" w:rsidTr="001413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6498D71"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 xml:space="preserve">Average </w:t>
            </w:r>
            <w:r w:rsidR="006807F5">
              <w:rPr>
                <w:rFonts w:ascii="Arial Narrow" w:hAnsi="Arial Narrow"/>
                <w:sz w:val="18"/>
                <w:szCs w:val="18"/>
              </w:rPr>
              <w:t>Below Code</w:t>
            </w:r>
            <w:r w:rsidRPr="00957936">
              <w:rPr>
                <w:rFonts w:ascii="Arial Narrow" w:hAnsi="Arial Narrow"/>
                <w:sz w:val="18"/>
                <w:szCs w:val="18"/>
              </w:rPr>
              <w:t xml:space="preserve"> Refrigerator</w:t>
            </w:r>
          </w:p>
        </w:tc>
        <w:tc>
          <w:tcPr>
            <w:tcW w:w="1440" w:type="dxa"/>
          </w:tcPr>
          <w:p w14:paraId="4EC3CF9D" w14:textId="77777777" w:rsidR="001326E6" w:rsidRPr="00957936" w:rsidRDefault="001326E6" w:rsidP="001326E6">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 xml:space="preserve">Average </w:t>
            </w:r>
            <w:r w:rsidR="006807F5">
              <w:rPr>
                <w:rFonts w:ascii="Arial Narrow" w:hAnsi="Arial Narrow"/>
                <w:sz w:val="18"/>
                <w:szCs w:val="18"/>
              </w:rPr>
              <w:t>Below Code</w:t>
            </w:r>
          </w:p>
        </w:tc>
        <w:tc>
          <w:tcPr>
            <w:tcW w:w="1350" w:type="dxa"/>
          </w:tcPr>
          <w:p w14:paraId="49009047" w14:textId="77777777" w:rsidR="001326E6" w:rsidRPr="00957936" w:rsidRDefault="001326E6" w:rsidP="001326E6">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No. of Refrigerators</w:t>
            </w:r>
          </w:p>
        </w:tc>
        <w:tc>
          <w:tcPr>
            <w:tcW w:w="1440" w:type="dxa"/>
          </w:tcPr>
          <w:p w14:paraId="35ABD041" w14:textId="77777777" w:rsidR="001326E6" w:rsidRPr="00957936" w:rsidRDefault="001326E6" w:rsidP="001326E6">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0.155</w:t>
            </w:r>
          </w:p>
        </w:tc>
        <w:tc>
          <w:tcPr>
            <w:tcW w:w="1045" w:type="dxa"/>
          </w:tcPr>
          <w:p w14:paraId="1B612D00" w14:textId="77777777" w:rsidR="001326E6" w:rsidRPr="00957936" w:rsidRDefault="001326E6" w:rsidP="001326E6">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13%</w:t>
            </w:r>
          </w:p>
        </w:tc>
      </w:tr>
      <w:tr w:rsidR="001326E6" w:rsidRPr="00957936" w14:paraId="1B3E099A" w14:textId="77777777" w:rsidTr="001413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323C6DD"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Code Compliant Refrigerator</w:t>
            </w:r>
          </w:p>
        </w:tc>
        <w:tc>
          <w:tcPr>
            <w:tcW w:w="1440" w:type="dxa"/>
          </w:tcPr>
          <w:p w14:paraId="2E90CFF2" w14:textId="77777777" w:rsidR="001326E6" w:rsidRPr="00957936" w:rsidRDefault="001326E6" w:rsidP="001326E6">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Code</w:t>
            </w:r>
          </w:p>
        </w:tc>
        <w:tc>
          <w:tcPr>
            <w:tcW w:w="1350" w:type="dxa"/>
          </w:tcPr>
          <w:p w14:paraId="04865195" w14:textId="77777777" w:rsidR="001326E6" w:rsidRPr="00957936" w:rsidRDefault="001326E6" w:rsidP="001326E6">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No. of Refrigerators</w:t>
            </w:r>
          </w:p>
        </w:tc>
        <w:tc>
          <w:tcPr>
            <w:tcW w:w="1440" w:type="dxa"/>
          </w:tcPr>
          <w:p w14:paraId="2FF46C5D" w14:textId="77777777" w:rsidR="001326E6" w:rsidRPr="00957936" w:rsidRDefault="001326E6" w:rsidP="001326E6">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0.590</w:t>
            </w:r>
          </w:p>
        </w:tc>
        <w:tc>
          <w:tcPr>
            <w:tcW w:w="1045" w:type="dxa"/>
          </w:tcPr>
          <w:p w14:paraId="4EEDFE35" w14:textId="77777777" w:rsidR="001326E6" w:rsidRPr="00957936" w:rsidRDefault="001326E6" w:rsidP="001326E6">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51%</w:t>
            </w:r>
          </w:p>
        </w:tc>
      </w:tr>
      <w:tr w:rsidR="001326E6" w:rsidRPr="00957936" w14:paraId="30232425" w14:textId="77777777" w:rsidTr="001413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6032453" w14:textId="77777777" w:rsidR="001326E6" w:rsidRPr="00957936" w:rsidRDefault="001326E6" w:rsidP="001326E6">
            <w:pPr>
              <w:rPr>
                <w:rFonts w:ascii="Arial Narrow" w:hAnsi="Arial Narrow"/>
                <w:sz w:val="18"/>
                <w:szCs w:val="18"/>
              </w:rPr>
            </w:pPr>
            <w:r w:rsidRPr="00957936">
              <w:rPr>
                <w:rFonts w:ascii="Arial Narrow" w:hAnsi="Arial Narrow"/>
                <w:sz w:val="18"/>
                <w:szCs w:val="18"/>
              </w:rPr>
              <w:t>ENERGY STAR Refrigerator</w:t>
            </w:r>
          </w:p>
        </w:tc>
        <w:tc>
          <w:tcPr>
            <w:tcW w:w="1440" w:type="dxa"/>
          </w:tcPr>
          <w:p w14:paraId="319553A7" w14:textId="77777777" w:rsidR="001326E6" w:rsidRPr="00957936" w:rsidRDefault="001326E6" w:rsidP="001326E6">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Efficient</w:t>
            </w:r>
          </w:p>
        </w:tc>
        <w:tc>
          <w:tcPr>
            <w:tcW w:w="1350" w:type="dxa"/>
          </w:tcPr>
          <w:p w14:paraId="48B6FCCB" w14:textId="77777777" w:rsidR="001326E6" w:rsidRPr="00957936" w:rsidRDefault="001326E6" w:rsidP="001326E6">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No. of Refrigerators</w:t>
            </w:r>
          </w:p>
        </w:tc>
        <w:tc>
          <w:tcPr>
            <w:tcW w:w="1440" w:type="dxa"/>
          </w:tcPr>
          <w:p w14:paraId="2F0CCA65" w14:textId="77777777" w:rsidR="001326E6" w:rsidRPr="00957936" w:rsidRDefault="001326E6" w:rsidP="001326E6">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0.405</w:t>
            </w:r>
          </w:p>
        </w:tc>
        <w:tc>
          <w:tcPr>
            <w:tcW w:w="1045" w:type="dxa"/>
          </w:tcPr>
          <w:p w14:paraId="18BD4595" w14:textId="77777777" w:rsidR="001326E6" w:rsidRPr="00957936" w:rsidRDefault="001326E6" w:rsidP="001326E6">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57936">
              <w:rPr>
                <w:rFonts w:ascii="Arial Narrow" w:hAnsi="Arial Narrow"/>
                <w:sz w:val="18"/>
                <w:szCs w:val="18"/>
              </w:rPr>
              <w:t>35%</w:t>
            </w:r>
          </w:p>
        </w:tc>
      </w:tr>
      <w:tr w:rsidR="001326E6" w:rsidRPr="00957936" w14:paraId="3A40F72B" w14:textId="77777777" w:rsidTr="001413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F2E7010" w14:textId="77777777" w:rsidR="001326E6" w:rsidRPr="00957936" w:rsidRDefault="001326E6" w:rsidP="001326E6">
            <w:pPr>
              <w:rPr>
                <w:rFonts w:ascii="Arial Narrow" w:hAnsi="Arial Narrow"/>
                <w:b/>
                <w:sz w:val="18"/>
                <w:szCs w:val="18"/>
              </w:rPr>
            </w:pPr>
            <w:r w:rsidRPr="00957936">
              <w:rPr>
                <w:rFonts w:ascii="Arial Narrow" w:hAnsi="Arial Narrow"/>
                <w:b/>
                <w:sz w:val="18"/>
                <w:szCs w:val="18"/>
              </w:rPr>
              <w:t>Total</w:t>
            </w:r>
          </w:p>
        </w:tc>
        <w:tc>
          <w:tcPr>
            <w:tcW w:w="1440" w:type="dxa"/>
          </w:tcPr>
          <w:p w14:paraId="438E00BC" w14:textId="77777777" w:rsidR="001326E6" w:rsidRPr="00957936" w:rsidRDefault="001326E6" w:rsidP="001326E6">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p>
        </w:tc>
        <w:tc>
          <w:tcPr>
            <w:tcW w:w="1350" w:type="dxa"/>
          </w:tcPr>
          <w:p w14:paraId="39BF0DDB" w14:textId="77777777" w:rsidR="001326E6" w:rsidRPr="00957936" w:rsidRDefault="001326E6" w:rsidP="001326E6">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p>
        </w:tc>
        <w:tc>
          <w:tcPr>
            <w:tcW w:w="1440" w:type="dxa"/>
          </w:tcPr>
          <w:p w14:paraId="71835110" w14:textId="77777777" w:rsidR="001326E6" w:rsidRPr="00957936" w:rsidRDefault="001326E6" w:rsidP="001326E6">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1.15</w:t>
            </w:r>
          </w:p>
        </w:tc>
        <w:tc>
          <w:tcPr>
            <w:tcW w:w="1045" w:type="dxa"/>
          </w:tcPr>
          <w:p w14:paraId="55C9D017" w14:textId="328BE5A7" w:rsidR="001326E6" w:rsidRPr="00957936" w:rsidRDefault="001326E6" w:rsidP="001326E6">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957936">
              <w:rPr>
                <w:rFonts w:ascii="Arial Narrow" w:hAnsi="Arial Narrow"/>
                <w:sz w:val="18"/>
                <w:szCs w:val="18"/>
              </w:rPr>
              <w:t>100%</w:t>
            </w:r>
          </w:p>
        </w:tc>
      </w:tr>
    </w:tbl>
    <w:p w14:paraId="69570D47" w14:textId="77777777" w:rsidR="001326E6" w:rsidRPr="001326E6" w:rsidRDefault="001326E6" w:rsidP="001326E6"/>
    <w:p w14:paraId="4BA542C5" w14:textId="77777777" w:rsidR="001326E6" w:rsidRPr="001326E6" w:rsidRDefault="001326E6" w:rsidP="001326E6">
      <w:r w:rsidRPr="001326E6">
        <w:t xml:space="preserve">The table shows that an average single-family home in PG&amp;E’s territory has 1.15 refrigerators per home, which is the density for refrigerators in single-family homes. The saturations for average </w:t>
      </w:r>
      <w:r w:rsidR="006807F5">
        <w:t>below code</w:t>
      </w:r>
      <w:r w:rsidRPr="001326E6">
        <w:t>, code compliant and ENERGY STAR refrigerators for single family homes is 13%, 51% and 35% respectively.</w:t>
      </w:r>
      <w:r w:rsidR="001C6C48">
        <w:t xml:space="preserve"> </w:t>
      </w:r>
      <w:r w:rsidR="006263D1">
        <w:t xml:space="preserve">The </w:t>
      </w:r>
      <w:r w:rsidR="000F0B62">
        <w:t xml:space="preserve">saturation </w:t>
      </w:r>
      <w:r w:rsidR="006263D1">
        <w:t xml:space="preserve">change overs time </w:t>
      </w:r>
      <w:r w:rsidR="000F0B62">
        <w:t xml:space="preserve">with population growth and </w:t>
      </w:r>
      <w:r w:rsidR="006263D1">
        <w:t xml:space="preserve">stock turnover </w:t>
      </w:r>
      <w:r w:rsidR="001C6C48">
        <w:t xml:space="preserve">as more </w:t>
      </w:r>
      <w:r w:rsidR="000F0B62">
        <w:t>“</w:t>
      </w:r>
      <w:r w:rsidR="001C6C48">
        <w:t>below-code</w:t>
      </w:r>
      <w:r w:rsidR="000F0B62">
        <w:t>”</w:t>
      </w:r>
      <w:r w:rsidR="001C6C48">
        <w:t xml:space="preserve"> stock gets replaced with “at-code” and “higher efficiency” stock.  </w:t>
      </w:r>
    </w:p>
    <w:p w14:paraId="1DFF6193" w14:textId="77777777" w:rsidR="001326E6" w:rsidRPr="001326E6" w:rsidRDefault="001326E6" w:rsidP="001326E6"/>
    <w:p w14:paraId="694F0E5B" w14:textId="77777777" w:rsidR="001326E6" w:rsidRPr="001326E6" w:rsidRDefault="00870F2A" w:rsidP="001326E6">
      <w:r w:rsidRPr="001C1CDC">
        <w:rPr>
          <w:highlight w:val="yellow"/>
        </w:rPr>
        <w:fldChar w:fldCharType="begin"/>
      </w:r>
      <w:r w:rsidRPr="00870F2A">
        <w:rPr>
          <w:highlight w:val="yellow"/>
        </w:rPr>
        <w:instrText xml:space="preserve"> REF _Ref481652797 \h </w:instrText>
      </w:r>
      <w:r>
        <w:rPr>
          <w:highlight w:val="yellow"/>
        </w:rPr>
        <w:instrText xml:space="preserve"> \* MERGEFORMAT </w:instrText>
      </w:r>
      <w:r w:rsidRPr="001C1CDC">
        <w:rPr>
          <w:highlight w:val="yellow"/>
        </w:rPr>
      </w:r>
      <w:r w:rsidRPr="001C1CDC">
        <w:rPr>
          <w:highlight w:val="yellow"/>
        </w:rPr>
        <w:fldChar w:fldCharType="separate"/>
      </w:r>
      <w:r w:rsidR="007566B9" w:rsidRPr="00D063E4">
        <w:t xml:space="preserve">Table </w:t>
      </w:r>
      <w:r w:rsidR="007566B9">
        <w:t>3</w:t>
      </w:r>
      <w:r w:rsidR="007566B9" w:rsidRPr="00D063E4">
        <w:noBreakHyphen/>
      </w:r>
      <w:r w:rsidR="007566B9">
        <w:t>16</w:t>
      </w:r>
      <w:r w:rsidRPr="001C1CDC">
        <w:rPr>
          <w:highlight w:val="yellow"/>
        </w:rPr>
        <w:fldChar w:fldCharType="end"/>
      </w:r>
      <w:r w:rsidR="001326E6" w:rsidRPr="00490F81">
        <w:t xml:space="preserve"> </w:t>
      </w:r>
      <w:r w:rsidR="001326E6" w:rsidRPr="001326E6">
        <w:t xml:space="preserve">lists the resources used to calculate density and saturation for the residential and commercial sector in 2017, in order of priority. Navigant primarily used California-specific sources for density and saturation data, and referred to non-California sources only in cases California-specific sources did not have the required data. </w:t>
      </w:r>
    </w:p>
    <w:p w14:paraId="18E69D9D" w14:textId="77777777" w:rsidR="00D063E4" w:rsidRDefault="00D063E4">
      <w:pPr>
        <w:spacing w:line="240" w:lineRule="auto"/>
      </w:pPr>
      <w:r>
        <w:br w:type="page"/>
      </w:r>
    </w:p>
    <w:p w14:paraId="623960BB" w14:textId="77777777" w:rsidR="001326E6" w:rsidRPr="00D063E4" w:rsidRDefault="001326E6" w:rsidP="00D063E4">
      <w:pPr>
        <w:pStyle w:val="Caption"/>
      </w:pPr>
      <w:bookmarkStart w:id="497" w:name="_Ref481652797"/>
      <w:bookmarkStart w:id="498" w:name="_Toc482634223"/>
      <w:bookmarkStart w:id="499" w:name="_Toc484436962"/>
      <w:bookmarkStart w:id="500" w:name="_Toc490560674"/>
      <w:r w:rsidRPr="00D063E4">
        <w:lastRenderedPageBreak/>
        <w:t xml:space="preserve">Table </w:t>
      </w:r>
      <w:fldSimple w:instr=" STYLEREF 1 \s ">
        <w:r w:rsidR="007566B9">
          <w:rPr>
            <w:noProof/>
          </w:rPr>
          <w:t>3</w:t>
        </w:r>
      </w:fldSimple>
      <w:r w:rsidR="00C17D59" w:rsidRPr="00D063E4">
        <w:noBreakHyphen/>
      </w:r>
      <w:fldSimple w:instr=" SEQ Table \* ARABIC \s 1 ">
        <w:r w:rsidR="007566B9">
          <w:rPr>
            <w:noProof/>
          </w:rPr>
          <w:t>16</w:t>
        </w:r>
      </w:fldSimple>
      <w:bookmarkEnd w:id="497"/>
      <w:r w:rsidRPr="00D063E4">
        <w:t>.  Sources for Density and Saturation Characterization</w:t>
      </w:r>
      <w:bookmarkEnd w:id="498"/>
      <w:bookmarkEnd w:id="499"/>
      <w:bookmarkEnd w:id="500"/>
    </w:p>
    <w:tbl>
      <w:tblPr>
        <w:tblStyle w:val="EnergyTable1"/>
        <w:tblW w:w="5000" w:type="pct"/>
        <w:tblLook w:val="0420" w:firstRow="1" w:lastRow="0" w:firstColumn="0" w:lastColumn="0" w:noHBand="0" w:noVBand="1"/>
      </w:tblPr>
      <w:tblGrid>
        <w:gridCol w:w="973"/>
        <w:gridCol w:w="2956"/>
        <w:gridCol w:w="3467"/>
        <w:gridCol w:w="1189"/>
        <w:gridCol w:w="775"/>
      </w:tblGrid>
      <w:tr w:rsidR="002544A3" w:rsidRPr="00957936" w14:paraId="42F0CC47" w14:textId="77777777" w:rsidTr="00211361">
        <w:trPr>
          <w:cnfStyle w:val="100000000000" w:firstRow="1" w:lastRow="0" w:firstColumn="0" w:lastColumn="0" w:oddVBand="0" w:evenVBand="0" w:oddHBand="0" w:evenHBand="0" w:firstRowFirstColumn="0" w:firstRowLastColumn="0" w:lastRowFirstColumn="0" w:lastRowLastColumn="0"/>
          <w:trHeight w:val="485"/>
          <w:tblHeader/>
        </w:trPr>
        <w:tc>
          <w:tcPr>
            <w:tcW w:w="520" w:type="pct"/>
            <w:hideMark/>
          </w:tcPr>
          <w:p w14:paraId="4E40D7D3" w14:textId="77777777" w:rsidR="001326E6" w:rsidRPr="00957936" w:rsidRDefault="001326E6" w:rsidP="001326E6">
            <w:pPr>
              <w:rPr>
                <w:rFonts w:ascii="Arial Narrow" w:hAnsi="Arial Narrow" w:cs="Arial"/>
                <w:sz w:val="18"/>
                <w:szCs w:val="18"/>
              </w:rPr>
            </w:pPr>
            <w:r w:rsidRPr="00957936">
              <w:rPr>
                <w:rFonts w:ascii="Arial Narrow" w:hAnsi="Arial Narrow" w:cs="Arial"/>
                <w:bCs/>
                <w:sz w:val="18"/>
                <w:szCs w:val="18"/>
              </w:rPr>
              <w:t>Priority</w:t>
            </w:r>
          </w:p>
        </w:tc>
        <w:tc>
          <w:tcPr>
            <w:tcW w:w="1579" w:type="pct"/>
            <w:hideMark/>
          </w:tcPr>
          <w:p w14:paraId="28A49717" w14:textId="77777777" w:rsidR="001326E6" w:rsidRPr="00957936" w:rsidRDefault="001326E6" w:rsidP="001326E6">
            <w:pPr>
              <w:rPr>
                <w:rFonts w:ascii="Arial Narrow" w:hAnsi="Arial Narrow" w:cs="Arial"/>
                <w:sz w:val="18"/>
                <w:szCs w:val="18"/>
              </w:rPr>
            </w:pPr>
            <w:r w:rsidRPr="00957936">
              <w:rPr>
                <w:rFonts w:ascii="Arial Narrow" w:hAnsi="Arial Narrow" w:cs="Arial"/>
                <w:bCs/>
                <w:sz w:val="18"/>
                <w:szCs w:val="18"/>
              </w:rPr>
              <w:t>Sources</w:t>
            </w:r>
          </w:p>
        </w:tc>
        <w:tc>
          <w:tcPr>
            <w:tcW w:w="1852" w:type="pct"/>
            <w:hideMark/>
          </w:tcPr>
          <w:p w14:paraId="4D45143D" w14:textId="77777777" w:rsidR="001326E6" w:rsidRPr="00957936" w:rsidRDefault="001326E6" w:rsidP="001326E6">
            <w:pPr>
              <w:rPr>
                <w:rFonts w:ascii="Arial Narrow" w:hAnsi="Arial Narrow" w:cs="Arial"/>
                <w:sz w:val="18"/>
                <w:szCs w:val="18"/>
              </w:rPr>
            </w:pPr>
            <w:r w:rsidRPr="00957936">
              <w:rPr>
                <w:rFonts w:ascii="Arial Narrow" w:hAnsi="Arial Narrow" w:cs="Arial"/>
                <w:bCs/>
                <w:sz w:val="18"/>
                <w:szCs w:val="18"/>
              </w:rPr>
              <w:t>Description</w:t>
            </w:r>
          </w:p>
        </w:tc>
        <w:tc>
          <w:tcPr>
            <w:tcW w:w="635" w:type="pct"/>
            <w:hideMark/>
          </w:tcPr>
          <w:p w14:paraId="6E263B8E" w14:textId="77777777" w:rsidR="001326E6" w:rsidRPr="00957936" w:rsidRDefault="001326E6" w:rsidP="001326E6">
            <w:pPr>
              <w:rPr>
                <w:rFonts w:ascii="Arial Narrow" w:hAnsi="Arial Narrow" w:cs="Arial"/>
                <w:sz w:val="18"/>
                <w:szCs w:val="18"/>
              </w:rPr>
            </w:pPr>
            <w:r w:rsidRPr="00957936">
              <w:rPr>
                <w:rFonts w:ascii="Arial Narrow" w:hAnsi="Arial Narrow" w:cs="Arial"/>
                <w:bCs/>
                <w:sz w:val="18"/>
                <w:szCs w:val="18"/>
              </w:rPr>
              <w:t>Author</w:t>
            </w:r>
          </w:p>
        </w:tc>
        <w:tc>
          <w:tcPr>
            <w:tcW w:w="414" w:type="pct"/>
            <w:hideMark/>
          </w:tcPr>
          <w:p w14:paraId="4BC796CB" w14:textId="77777777" w:rsidR="001326E6" w:rsidRPr="00957936" w:rsidRDefault="001326E6" w:rsidP="001326E6">
            <w:pPr>
              <w:rPr>
                <w:rFonts w:ascii="Arial Narrow" w:hAnsi="Arial Narrow" w:cs="Arial"/>
                <w:sz w:val="18"/>
                <w:szCs w:val="18"/>
              </w:rPr>
            </w:pPr>
            <w:r w:rsidRPr="00957936">
              <w:rPr>
                <w:rFonts w:ascii="Arial Narrow" w:hAnsi="Arial Narrow" w:cs="Arial"/>
                <w:bCs/>
                <w:sz w:val="18"/>
                <w:szCs w:val="18"/>
              </w:rPr>
              <w:t>Year</w:t>
            </w:r>
          </w:p>
        </w:tc>
      </w:tr>
      <w:tr w:rsidR="001326E6" w:rsidRPr="00957936" w14:paraId="3E97F3C2" w14:textId="77777777" w:rsidTr="00AF21BE">
        <w:trPr>
          <w:cnfStyle w:val="000000100000" w:firstRow="0" w:lastRow="0" w:firstColumn="0" w:lastColumn="0" w:oddVBand="0" w:evenVBand="0" w:oddHBand="1" w:evenHBand="0" w:firstRowFirstColumn="0" w:firstRowLastColumn="0" w:lastRowFirstColumn="0" w:lastRowLastColumn="0"/>
          <w:trHeight w:val="435"/>
        </w:trPr>
        <w:tc>
          <w:tcPr>
            <w:tcW w:w="0" w:type="pct"/>
            <w:hideMark/>
          </w:tcPr>
          <w:p w14:paraId="2AD9942A"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1</w:t>
            </w:r>
          </w:p>
        </w:tc>
        <w:tc>
          <w:tcPr>
            <w:tcW w:w="0" w:type="pct"/>
            <w:hideMark/>
          </w:tcPr>
          <w:p w14:paraId="7815D6F6" w14:textId="77777777" w:rsidR="001326E6" w:rsidRPr="00957936" w:rsidRDefault="001326E6" w:rsidP="00D11E06">
            <w:pPr>
              <w:jc w:val="left"/>
              <w:rPr>
                <w:rFonts w:ascii="Arial Narrow" w:hAnsi="Arial Narrow" w:cs="Arial"/>
                <w:sz w:val="18"/>
                <w:szCs w:val="18"/>
              </w:rPr>
            </w:pPr>
            <w:r w:rsidRPr="00957936">
              <w:rPr>
                <w:rFonts w:ascii="Arial Narrow" w:hAnsi="Arial Narrow" w:cs="Arial"/>
                <w:sz w:val="18"/>
                <w:szCs w:val="18"/>
              </w:rPr>
              <w:t>California Lighting &amp; Appl.  Saturation Survey (CLASS)</w:t>
            </w:r>
          </w:p>
        </w:tc>
        <w:tc>
          <w:tcPr>
            <w:tcW w:w="0" w:type="pct"/>
            <w:hideMark/>
          </w:tcPr>
          <w:p w14:paraId="78E4950C"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Residential baseline study of 1,987 homes across California.</w:t>
            </w:r>
          </w:p>
        </w:tc>
        <w:tc>
          <w:tcPr>
            <w:tcW w:w="0" w:type="pct"/>
            <w:hideMark/>
          </w:tcPr>
          <w:p w14:paraId="7436ECF6"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DNV GL</w:t>
            </w:r>
          </w:p>
        </w:tc>
        <w:tc>
          <w:tcPr>
            <w:tcW w:w="0" w:type="pct"/>
            <w:hideMark/>
          </w:tcPr>
          <w:p w14:paraId="7A2D8017"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2012</w:t>
            </w:r>
          </w:p>
        </w:tc>
      </w:tr>
      <w:tr w:rsidR="001326E6" w:rsidRPr="00957936" w14:paraId="2FBB2D97" w14:textId="77777777" w:rsidTr="00AF21BE">
        <w:trPr>
          <w:cnfStyle w:val="000000010000" w:firstRow="0" w:lastRow="0" w:firstColumn="0" w:lastColumn="0" w:oddVBand="0" w:evenVBand="0" w:oddHBand="0" w:evenHBand="1" w:firstRowFirstColumn="0" w:firstRowLastColumn="0" w:lastRowFirstColumn="0" w:lastRowLastColumn="0"/>
          <w:trHeight w:val="435"/>
        </w:trPr>
        <w:tc>
          <w:tcPr>
            <w:tcW w:w="0" w:type="pct"/>
            <w:hideMark/>
          </w:tcPr>
          <w:p w14:paraId="666F27A0"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w:t>
            </w:r>
          </w:p>
        </w:tc>
        <w:tc>
          <w:tcPr>
            <w:tcW w:w="0" w:type="pct"/>
            <w:hideMark/>
          </w:tcPr>
          <w:p w14:paraId="51501046" w14:textId="77777777" w:rsidR="001326E6" w:rsidRPr="00957936" w:rsidRDefault="001326E6" w:rsidP="00D11E06">
            <w:pPr>
              <w:jc w:val="left"/>
              <w:rPr>
                <w:rFonts w:ascii="Arial Narrow" w:hAnsi="Arial Narrow" w:cs="Arial"/>
                <w:sz w:val="18"/>
                <w:szCs w:val="18"/>
              </w:rPr>
            </w:pPr>
            <w:r w:rsidRPr="00957936">
              <w:rPr>
                <w:rFonts w:ascii="Arial Narrow" w:hAnsi="Arial Narrow" w:cs="Arial"/>
                <w:sz w:val="18"/>
                <w:szCs w:val="18"/>
              </w:rPr>
              <w:t>Commercial Saturation Survey (CSS)</w:t>
            </w:r>
          </w:p>
        </w:tc>
        <w:tc>
          <w:tcPr>
            <w:tcW w:w="0" w:type="pct"/>
            <w:hideMark/>
          </w:tcPr>
          <w:p w14:paraId="078D1D88"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Baseline study of 1,439 commercial buildings across California.</w:t>
            </w:r>
          </w:p>
        </w:tc>
        <w:tc>
          <w:tcPr>
            <w:tcW w:w="0" w:type="pct"/>
            <w:hideMark/>
          </w:tcPr>
          <w:p w14:paraId="4BB2A48D"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Itron</w:t>
            </w:r>
          </w:p>
        </w:tc>
        <w:tc>
          <w:tcPr>
            <w:tcW w:w="0" w:type="pct"/>
            <w:hideMark/>
          </w:tcPr>
          <w:p w14:paraId="1F5F8D44"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2013</w:t>
            </w:r>
          </w:p>
        </w:tc>
      </w:tr>
      <w:tr w:rsidR="001326E6" w:rsidRPr="00957936" w14:paraId="66BDED53" w14:textId="77777777" w:rsidTr="00AF21BE">
        <w:trPr>
          <w:cnfStyle w:val="000000100000" w:firstRow="0" w:lastRow="0" w:firstColumn="0" w:lastColumn="0" w:oddVBand="0" w:evenVBand="0" w:oddHBand="1" w:evenHBand="0" w:firstRowFirstColumn="0" w:firstRowLastColumn="0" w:lastRowFirstColumn="0" w:lastRowLastColumn="0"/>
          <w:trHeight w:val="435"/>
        </w:trPr>
        <w:tc>
          <w:tcPr>
            <w:tcW w:w="0" w:type="pct"/>
            <w:hideMark/>
          </w:tcPr>
          <w:p w14:paraId="3AD0C310"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3</w:t>
            </w:r>
          </w:p>
        </w:tc>
        <w:tc>
          <w:tcPr>
            <w:tcW w:w="0" w:type="pct"/>
            <w:hideMark/>
          </w:tcPr>
          <w:p w14:paraId="75D8020B" w14:textId="77777777" w:rsidR="001326E6" w:rsidRPr="00957936" w:rsidRDefault="001326E6" w:rsidP="00D11E06">
            <w:pPr>
              <w:jc w:val="left"/>
              <w:rPr>
                <w:rFonts w:ascii="Arial Narrow" w:hAnsi="Arial Narrow" w:cs="Arial"/>
                <w:sz w:val="18"/>
                <w:szCs w:val="18"/>
              </w:rPr>
            </w:pPr>
            <w:r w:rsidRPr="00957936">
              <w:rPr>
                <w:rFonts w:ascii="Arial Narrow" w:hAnsi="Arial Narrow" w:cs="Arial"/>
                <w:sz w:val="18"/>
                <w:szCs w:val="18"/>
              </w:rPr>
              <w:t>Residential Appliance Saturation Study (RASS)</w:t>
            </w:r>
            <w:r w:rsidRPr="00957936">
              <w:rPr>
                <w:rFonts w:ascii="Arial Narrow" w:hAnsi="Arial Narrow" w:cs="Arial"/>
                <w:sz w:val="18"/>
                <w:szCs w:val="18"/>
                <w:vertAlign w:val="superscript"/>
              </w:rPr>
              <w:footnoteReference w:id="62"/>
            </w:r>
          </w:p>
        </w:tc>
        <w:tc>
          <w:tcPr>
            <w:tcW w:w="0" w:type="pct"/>
            <w:hideMark/>
          </w:tcPr>
          <w:p w14:paraId="7AD359E7"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 xml:space="preserve">Residential end-use saturations for 24,000 households in California.  </w:t>
            </w:r>
          </w:p>
        </w:tc>
        <w:tc>
          <w:tcPr>
            <w:tcW w:w="0" w:type="pct"/>
            <w:hideMark/>
          </w:tcPr>
          <w:p w14:paraId="192CE124"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DNV GL (formerly KEMA)</w:t>
            </w:r>
          </w:p>
        </w:tc>
        <w:tc>
          <w:tcPr>
            <w:tcW w:w="0" w:type="pct"/>
            <w:hideMark/>
          </w:tcPr>
          <w:p w14:paraId="69C5DD0B"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2009</w:t>
            </w:r>
          </w:p>
        </w:tc>
      </w:tr>
      <w:tr w:rsidR="001326E6" w:rsidRPr="00957936" w14:paraId="28AC562C" w14:textId="77777777" w:rsidTr="00AF21BE">
        <w:trPr>
          <w:cnfStyle w:val="000000010000" w:firstRow="0" w:lastRow="0" w:firstColumn="0" w:lastColumn="0" w:oddVBand="0" w:evenVBand="0" w:oddHBand="0" w:evenHBand="1" w:firstRowFirstColumn="0" w:firstRowLastColumn="0" w:lastRowFirstColumn="0" w:lastRowLastColumn="0"/>
          <w:trHeight w:val="1006"/>
        </w:trPr>
        <w:tc>
          <w:tcPr>
            <w:tcW w:w="0" w:type="pct"/>
            <w:vMerge w:val="restart"/>
            <w:hideMark/>
          </w:tcPr>
          <w:p w14:paraId="1F466C6F"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4</w:t>
            </w:r>
          </w:p>
        </w:tc>
        <w:tc>
          <w:tcPr>
            <w:tcW w:w="0" w:type="pct"/>
            <w:hideMark/>
          </w:tcPr>
          <w:p w14:paraId="6BBAABA6" w14:textId="77777777" w:rsidR="001326E6" w:rsidRPr="00957936" w:rsidRDefault="001326E6" w:rsidP="00D11E06">
            <w:pPr>
              <w:jc w:val="left"/>
              <w:rPr>
                <w:rFonts w:ascii="Arial Narrow" w:hAnsi="Arial Narrow" w:cs="Arial"/>
                <w:sz w:val="18"/>
                <w:szCs w:val="18"/>
              </w:rPr>
            </w:pPr>
            <w:r w:rsidRPr="00957936">
              <w:rPr>
                <w:rFonts w:ascii="Arial Narrow" w:hAnsi="Arial Narrow" w:cs="Arial"/>
                <w:sz w:val="18"/>
                <w:szCs w:val="18"/>
              </w:rPr>
              <w:t>Non-California source examples:</w:t>
            </w:r>
          </w:p>
          <w:p w14:paraId="7357EA86" w14:textId="77777777" w:rsidR="001326E6" w:rsidRPr="00957936" w:rsidRDefault="001326E6" w:rsidP="004E4E36">
            <w:pPr>
              <w:numPr>
                <w:ilvl w:val="0"/>
                <w:numId w:val="28"/>
              </w:numPr>
              <w:jc w:val="left"/>
              <w:rPr>
                <w:rFonts w:ascii="Arial Narrow" w:hAnsi="Arial Narrow" w:cs="Arial"/>
                <w:sz w:val="18"/>
                <w:szCs w:val="18"/>
              </w:rPr>
            </w:pPr>
            <w:r w:rsidRPr="00957936">
              <w:rPr>
                <w:rFonts w:ascii="Arial Narrow" w:hAnsi="Arial Narrow" w:cs="Arial"/>
                <w:sz w:val="18"/>
                <w:szCs w:val="18"/>
              </w:rPr>
              <w:t>Residential Building Stock Assessment (RBSA)</w:t>
            </w:r>
          </w:p>
          <w:p w14:paraId="0ECD1430" w14:textId="77777777" w:rsidR="001326E6" w:rsidRPr="00957936" w:rsidRDefault="001326E6" w:rsidP="004E4E36">
            <w:pPr>
              <w:numPr>
                <w:ilvl w:val="0"/>
                <w:numId w:val="28"/>
              </w:numPr>
              <w:jc w:val="left"/>
              <w:rPr>
                <w:rFonts w:ascii="Arial Narrow" w:hAnsi="Arial Narrow" w:cs="Arial"/>
                <w:sz w:val="18"/>
                <w:szCs w:val="18"/>
              </w:rPr>
            </w:pPr>
            <w:r w:rsidRPr="00957936">
              <w:rPr>
                <w:rFonts w:ascii="Arial Narrow" w:hAnsi="Arial Narrow" w:cs="Arial"/>
                <w:sz w:val="18"/>
                <w:szCs w:val="18"/>
              </w:rPr>
              <w:t>Comm. Building Stock Assessment (CBSA)</w:t>
            </w:r>
          </w:p>
        </w:tc>
        <w:tc>
          <w:tcPr>
            <w:tcW w:w="0" w:type="pct"/>
            <w:hideMark/>
          </w:tcPr>
          <w:p w14:paraId="6C8C3280" w14:textId="77777777" w:rsidR="001326E6" w:rsidRPr="00957936" w:rsidRDefault="001326E6" w:rsidP="001326E6">
            <w:pPr>
              <w:rPr>
                <w:rFonts w:ascii="Arial Narrow" w:hAnsi="Arial Narrow" w:cs="Arial"/>
                <w:sz w:val="18"/>
                <w:szCs w:val="18"/>
              </w:rPr>
            </w:pPr>
          </w:p>
          <w:p w14:paraId="597A5A20"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RBSA and CBSA survey residential and commercial building stock across the Northwest states (Idaho, Montana, Oregon, Washington)</w:t>
            </w:r>
          </w:p>
        </w:tc>
        <w:tc>
          <w:tcPr>
            <w:tcW w:w="0" w:type="pct"/>
            <w:hideMark/>
          </w:tcPr>
          <w:p w14:paraId="45E060C1" w14:textId="77777777" w:rsidR="001326E6" w:rsidRPr="00957936" w:rsidRDefault="001326E6" w:rsidP="001326E6">
            <w:pPr>
              <w:rPr>
                <w:rFonts w:ascii="Arial Narrow" w:hAnsi="Arial Narrow" w:cs="Arial"/>
                <w:sz w:val="18"/>
                <w:szCs w:val="18"/>
              </w:rPr>
            </w:pPr>
          </w:p>
          <w:p w14:paraId="4BECB1DE" w14:textId="77777777" w:rsidR="001326E6" w:rsidRPr="00957936" w:rsidRDefault="001326E6" w:rsidP="001326E6">
            <w:pPr>
              <w:rPr>
                <w:rFonts w:ascii="Arial Narrow" w:hAnsi="Arial Narrow" w:cs="Arial"/>
                <w:sz w:val="18"/>
                <w:szCs w:val="18"/>
              </w:rPr>
            </w:pPr>
          </w:p>
          <w:p w14:paraId="52705EC0"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Northwest Energy Efficiency Alliance (NEEA)</w:t>
            </w:r>
          </w:p>
        </w:tc>
        <w:tc>
          <w:tcPr>
            <w:tcW w:w="0" w:type="pct"/>
            <w:hideMark/>
          </w:tcPr>
          <w:p w14:paraId="3BEFC211" w14:textId="77777777" w:rsidR="001326E6" w:rsidRPr="00957936" w:rsidRDefault="001326E6" w:rsidP="001326E6">
            <w:pPr>
              <w:rPr>
                <w:rFonts w:ascii="Arial Narrow" w:hAnsi="Arial Narrow" w:cs="Arial"/>
                <w:sz w:val="18"/>
                <w:szCs w:val="18"/>
              </w:rPr>
            </w:pPr>
          </w:p>
          <w:p w14:paraId="77F4E99A" w14:textId="77777777" w:rsidR="001326E6" w:rsidRPr="00957936" w:rsidRDefault="001326E6" w:rsidP="001326E6">
            <w:pPr>
              <w:rPr>
                <w:rFonts w:ascii="Arial Narrow" w:hAnsi="Arial Narrow" w:cs="Arial"/>
                <w:sz w:val="18"/>
                <w:szCs w:val="18"/>
              </w:rPr>
            </w:pPr>
          </w:p>
          <w:p w14:paraId="09B2BA93"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2014</w:t>
            </w:r>
          </w:p>
        </w:tc>
      </w:tr>
      <w:tr w:rsidR="001326E6" w:rsidRPr="00957936" w14:paraId="37849BC7" w14:textId="77777777" w:rsidTr="00AF21BE">
        <w:trPr>
          <w:cnfStyle w:val="000000100000" w:firstRow="0" w:lastRow="0" w:firstColumn="0" w:lastColumn="0" w:oddVBand="0" w:evenVBand="0" w:oddHBand="1" w:evenHBand="0" w:firstRowFirstColumn="0" w:firstRowLastColumn="0" w:lastRowFirstColumn="0" w:lastRowLastColumn="0"/>
          <w:trHeight w:val="793"/>
        </w:trPr>
        <w:tc>
          <w:tcPr>
            <w:tcW w:w="0" w:type="pct"/>
            <w:vMerge/>
            <w:hideMark/>
          </w:tcPr>
          <w:p w14:paraId="7672955F" w14:textId="77777777" w:rsidR="001326E6" w:rsidRPr="00957936" w:rsidRDefault="001326E6" w:rsidP="001326E6">
            <w:pPr>
              <w:rPr>
                <w:rFonts w:ascii="Arial Narrow" w:hAnsi="Arial Narrow" w:cs="Arial"/>
                <w:sz w:val="18"/>
                <w:szCs w:val="18"/>
              </w:rPr>
            </w:pPr>
          </w:p>
        </w:tc>
        <w:tc>
          <w:tcPr>
            <w:tcW w:w="0" w:type="pct"/>
            <w:hideMark/>
          </w:tcPr>
          <w:p w14:paraId="24D950FA" w14:textId="77777777" w:rsidR="001326E6" w:rsidRPr="00957936" w:rsidRDefault="001326E6" w:rsidP="004E4E36">
            <w:pPr>
              <w:numPr>
                <w:ilvl w:val="0"/>
                <w:numId w:val="29"/>
              </w:numPr>
              <w:jc w:val="left"/>
              <w:rPr>
                <w:rFonts w:ascii="Arial Narrow" w:hAnsi="Arial Narrow" w:cs="Arial"/>
                <w:sz w:val="18"/>
                <w:szCs w:val="18"/>
              </w:rPr>
            </w:pPr>
            <w:r w:rsidRPr="00957936">
              <w:rPr>
                <w:rFonts w:ascii="Arial Narrow" w:hAnsi="Arial Narrow" w:cs="Arial"/>
                <w:sz w:val="18"/>
                <w:szCs w:val="18"/>
              </w:rPr>
              <w:t>Res. Energy Consumption Survey (RECS)</w:t>
            </w:r>
          </w:p>
          <w:p w14:paraId="40045D37" w14:textId="77777777" w:rsidR="001326E6" w:rsidRPr="00957936" w:rsidRDefault="001326E6" w:rsidP="004E4E36">
            <w:pPr>
              <w:numPr>
                <w:ilvl w:val="0"/>
                <w:numId w:val="29"/>
              </w:numPr>
              <w:jc w:val="left"/>
              <w:rPr>
                <w:rFonts w:ascii="Arial Narrow" w:hAnsi="Arial Narrow" w:cs="Arial"/>
                <w:sz w:val="18"/>
                <w:szCs w:val="18"/>
              </w:rPr>
            </w:pPr>
            <w:r w:rsidRPr="00957936">
              <w:rPr>
                <w:rFonts w:ascii="Arial Narrow" w:hAnsi="Arial Narrow" w:cs="Arial"/>
                <w:sz w:val="18"/>
                <w:szCs w:val="18"/>
              </w:rPr>
              <w:t>Comm. Bldg. Energy Cons. Survey (CBECS)</w:t>
            </w:r>
          </w:p>
        </w:tc>
        <w:tc>
          <w:tcPr>
            <w:tcW w:w="0" w:type="pct"/>
            <w:hideMark/>
          </w:tcPr>
          <w:p w14:paraId="0278CB05"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RECS and CBECS are surveys of residential and commercial building stock in the United States by region. Used West regional data only.</w:t>
            </w:r>
          </w:p>
        </w:tc>
        <w:tc>
          <w:tcPr>
            <w:tcW w:w="0" w:type="pct"/>
            <w:hideMark/>
          </w:tcPr>
          <w:p w14:paraId="6F112F98"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U.S. Dept. of Energy</w:t>
            </w:r>
          </w:p>
        </w:tc>
        <w:tc>
          <w:tcPr>
            <w:tcW w:w="0" w:type="pct"/>
            <w:hideMark/>
          </w:tcPr>
          <w:p w14:paraId="015BBD95"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2009</w:t>
            </w:r>
          </w:p>
        </w:tc>
      </w:tr>
      <w:tr w:rsidR="001326E6" w:rsidRPr="00957936" w14:paraId="67ABADF0" w14:textId="77777777" w:rsidTr="00AF21BE">
        <w:trPr>
          <w:cnfStyle w:val="000000010000" w:firstRow="0" w:lastRow="0" w:firstColumn="0" w:lastColumn="0" w:oddVBand="0" w:evenVBand="0" w:oddHBand="0" w:evenHBand="1" w:firstRowFirstColumn="0" w:firstRowLastColumn="0" w:lastRowFirstColumn="0" w:lastRowLastColumn="0"/>
          <w:trHeight w:val="545"/>
        </w:trPr>
        <w:tc>
          <w:tcPr>
            <w:tcW w:w="0" w:type="pct"/>
            <w:vMerge/>
            <w:hideMark/>
          </w:tcPr>
          <w:p w14:paraId="7558DFEE" w14:textId="77777777" w:rsidR="001326E6" w:rsidRPr="00957936" w:rsidRDefault="001326E6" w:rsidP="001326E6">
            <w:pPr>
              <w:rPr>
                <w:rFonts w:ascii="Arial Narrow" w:hAnsi="Arial Narrow" w:cs="Arial"/>
                <w:sz w:val="18"/>
                <w:szCs w:val="18"/>
              </w:rPr>
            </w:pPr>
          </w:p>
        </w:tc>
        <w:tc>
          <w:tcPr>
            <w:tcW w:w="0" w:type="pct"/>
            <w:hideMark/>
          </w:tcPr>
          <w:p w14:paraId="6D93B36E" w14:textId="77777777" w:rsidR="001326E6" w:rsidRPr="00957936" w:rsidRDefault="001326E6" w:rsidP="004E4E36">
            <w:pPr>
              <w:numPr>
                <w:ilvl w:val="0"/>
                <w:numId w:val="30"/>
              </w:numPr>
              <w:jc w:val="left"/>
              <w:rPr>
                <w:rFonts w:ascii="Arial Narrow" w:hAnsi="Arial Narrow" w:cs="Arial"/>
                <w:sz w:val="18"/>
                <w:szCs w:val="18"/>
              </w:rPr>
            </w:pPr>
            <w:r w:rsidRPr="00957936">
              <w:rPr>
                <w:rFonts w:ascii="Arial Narrow" w:hAnsi="Arial Narrow" w:cs="Arial"/>
                <w:sz w:val="18"/>
                <w:szCs w:val="18"/>
              </w:rPr>
              <w:t>Energy Star Shipment Database</w:t>
            </w:r>
          </w:p>
        </w:tc>
        <w:tc>
          <w:tcPr>
            <w:tcW w:w="0" w:type="pct"/>
            <w:hideMark/>
          </w:tcPr>
          <w:p w14:paraId="56577A78"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Unit shipment data of Energy Star-certified products collected to evaluate market penetration and performance</w:t>
            </w:r>
          </w:p>
        </w:tc>
        <w:tc>
          <w:tcPr>
            <w:tcW w:w="0" w:type="pct"/>
            <w:hideMark/>
          </w:tcPr>
          <w:p w14:paraId="75024301"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EPA</w:t>
            </w:r>
          </w:p>
        </w:tc>
        <w:tc>
          <w:tcPr>
            <w:tcW w:w="0" w:type="pct"/>
            <w:hideMark/>
          </w:tcPr>
          <w:p w14:paraId="72D16F67" w14:textId="77777777" w:rsidR="001326E6" w:rsidRPr="00957936" w:rsidRDefault="001326E6" w:rsidP="001326E6">
            <w:pPr>
              <w:rPr>
                <w:rFonts w:ascii="Arial Narrow" w:hAnsi="Arial Narrow" w:cs="Arial"/>
                <w:sz w:val="18"/>
                <w:szCs w:val="18"/>
              </w:rPr>
            </w:pPr>
            <w:r w:rsidRPr="00957936">
              <w:rPr>
                <w:rFonts w:ascii="Arial Narrow" w:hAnsi="Arial Narrow" w:cs="Arial"/>
                <w:sz w:val="18"/>
                <w:szCs w:val="18"/>
              </w:rPr>
              <w:t>2003-2016</w:t>
            </w:r>
          </w:p>
        </w:tc>
      </w:tr>
    </w:tbl>
    <w:p w14:paraId="403CC334" w14:textId="77777777" w:rsidR="001326E6" w:rsidRPr="001326E6" w:rsidRDefault="001326E6" w:rsidP="001326E6"/>
    <w:p w14:paraId="761974C2" w14:textId="77777777" w:rsidR="00870F2A" w:rsidRPr="001326E6" w:rsidRDefault="001326E6" w:rsidP="001326E6">
      <w:r w:rsidRPr="001326E6">
        <w:t xml:space="preserve">In addition to the density and saturation values, measure characterization requires specification of the technical suitability or applicability factor (which has a value less than or equal to 1), that defines the share of customers with the physical or infrastructural pre-requisites to install a technology. The applicability factor assumptions are based on data sources, wherever available, and the Navigant team’s industry expertise and subject matter expertise in the area. </w:t>
      </w:r>
    </w:p>
    <w:p w14:paraId="49A132A2" w14:textId="77777777" w:rsidR="001326E6" w:rsidRPr="001326E6" w:rsidRDefault="001326E6" w:rsidP="001326E6">
      <w:pPr>
        <w:keepNext/>
        <w:numPr>
          <w:ilvl w:val="2"/>
          <w:numId w:val="8"/>
        </w:numPr>
        <w:spacing w:before="360" w:after="240" w:line="240" w:lineRule="auto"/>
        <w:outlineLvl w:val="2"/>
        <w:rPr>
          <w:rFonts w:cs="Arial"/>
          <w:b/>
          <w:bCs/>
          <w:i/>
          <w:color w:val="555759"/>
          <w:sz w:val="22"/>
          <w:szCs w:val="26"/>
        </w:rPr>
      </w:pPr>
      <w:r w:rsidRPr="001326E6">
        <w:rPr>
          <w:rFonts w:cs="Arial"/>
          <w:b/>
          <w:bCs/>
          <w:i/>
          <w:color w:val="555759"/>
          <w:sz w:val="22"/>
          <w:szCs w:val="26"/>
        </w:rPr>
        <w:t xml:space="preserve">MICS Database </w:t>
      </w:r>
    </w:p>
    <w:p w14:paraId="482049F1" w14:textId="77777777" w:rsidR="001326E6" w:rsidRPr="001326E6" w:rsidRDefault="001326E6" w:rsidP="001326E6">
      <w:r w:rsidRPr="001326E6">
        <w:t>The MICS database consolidates the information from the measure characterization effort and in an Excel spreadsheet that serves as an input to the potential model. It presents the various dimensions along which measures are characterized as separate fields in the database. The database is publicly available and can be downloaded through the CPUC website.</w:t>
      </w:r>
      <w:r w:rsidRPr="001326E6">
        <w:rPr>
          <w:vertAlign w:val="superscript"/>
        </w:rPr>
        <w:footnoteReference w:id="63"/>
      </w:r>
    </w:p>
    <w:p w14:paraId="19C17B45" w14:textId="77777777" w:rsidR="00383D8B" w:rsidRPr="007542E3" w:rsidRDefault="00383D8B" w:rsidP="00383D8B">
      <w:pPr>
        <w:pStyle w:val="Heading2"/>
      </w:pPr>
      <w:bookmarkStart w:id="501" w:name="_Toc482350761"/>
      <w:bookmarkStart w:id="502" w:name="_Toc482352146"/>
      <w:bookmarkStart w:id="503" w:name="_Toc482352528"/>
      <w:bookmarkStart w:id="504" w:name="_Toc482353368"/>
      <w:bookmarkStart w:id="505" w:name="_Toc478990514"/>
      <w:bookmarkStart w:id="506" w:name="_Toc479768590"/>
      <w:bookmarkStart w:id="507" w:name="_Toc482357311"/>
      <w:bookmarkStart w:id="508" w:name="_Toc482634287"/>
      <w:bookmarkStart w:id="509" w:name="_Toc482626419"/>
      <w:bookmarkStart w:id="510" w:name="_Toc484092490"/>
      <w:bookmarkStart w:id="511" w:name="_Toc484172694"/>
      <w:bookmarkStart w:id="512" w:name="_Toc484183030"/>
      <w:bookmarkStart w:id="513" w:name="_Toc490225793"/>
      <w:bookmarkEnd w:id="501"/>
      <w:bookmarkEnd w:id="502"/>
      <w:bookmarkEnd w:id="503"/>
      <w:bookmarkEnd w:id="504"/>
      <w:r w:rsidRPr="007542E3">
        <w:t>Agriculture, Industrial, Mining</w:t>
      </w:r>
      <w:r w:rsidR="001C1CDC">
        <w:t>,</w:t>
      </w:r>
      <w:r w:rsidRPr="007542E3">
        <w:t xml:space="preserve"> and Street-lighting (AIMS) </w:t>
      </w:r>
      <w:r w:rsidR="009F1024" w:rsidRPr="007542E3">
        <w:t>Technology</w:t>
      </w:r>
      <w:r w:rsidRPr="007542E3">
        <w:t xml:space="preserve"> Characterization</w:t>
      </w:r>
      <w:bookmarkEnd w:id="505"/>
      <w:bookmarkEnd w:id="506"/>
      <w:bookmarkEnd w:id="507"/>
      <w:bookmarkEnd w:id="508"/>
      <w:bookmarkEnd w:id="509"/>
      <w:bookmarkEnd w:id="510"/>
      <w:bookmarkEnd w:id="511"/>
      <w:bookmarkEnd w:id="512"/>
      <w:bookmarkEnd w:id="513"/>
    </w:p>
    <w:p w14:paraId="2EA2BBF1" w14:textId="7ECA83FA" w:rsidR="00F237AE" w:rsidRDefault="00B74D52" w:rsidP="00FB21C6">
      <w:r>
        <w:t>The 2018 PG study updated the Agriculture, Industrial, Mining, and Street Lighting (AIMS) sectors</w:t>
      </w:r>
      <w:r w:rsidR="00F237AE">
        <w:t>,</w:t>
      </w:r>
      <w:r>
        <w:t xml:space="preserve"> with a heavy focus on the Agriculture and Industrial sector and limited focus on the Mining and Street</w:t>
      </w:r>
      <w:r w:rsidR="00F237AE">
        <w:t xml:space="preserve"> </w:t>
      </w:r>
      <w:r>
        <w:t xml:space="preserve">lighting </w:t>
      </w:r>
      <w:r>
        <w:lastRenderedPageBreak/>
        <w:t xml:space="preserve">sectors. </w:t>
      </w:r>
      <w:r w:rsidR="00FB21C6" w:rsidRPr="00FC2902">
        <w:t xml:space="preserve">The </w:t>
      </w:r>
      <w:r w:rsidR="00FB21C6">
        <w:t xml:space="preserve">Navigant team’s approach to </w:t>
      </w:r>
      <w:r>
        <w:t>each sector’s</w:t>
      </w:r>
      <w:r w:rsidR="00FB21C6">
        <w:t xml:space="preserve"> data sources varied. The primary effort for Agriculture and Industrial focused on historical program data to directly relate measures developed for the potential model to IOU program activities. The data approaches to Mining and Street Lighting remain largely consistent with the </w:t>
      </w:r>
      <w:r>
        <w:t xml:space="preserve">2015 </w:t>
      </w:r>
      <w:r w:rsidR="00FB21C6">
        <w:t>PG study, but Navigant reviewed and updated the existing data with new and current sources. The following sections provide additional details about the development of data for the four AIMS sectors.</w:t>
      </w:r>
      <w:r w:rsidR="00260768">
        <w:t xml:space="preserve"> Additional detail on the industrial and agriculture subsectors and measures can be found in </w:t>
      </w:r>
      <w:r w:rsidR="00260768">
        <w:fldChar w:fldCharType="begin"/>
      </w:r>
      <w:r w:rsidR="00260768">
        <w:instrText xml:space="preserve"> REF _Ref477255092 \n \h </w:instrText>
      </w:r>
      <w:r w:rsidR="00260768">
        <w:fldChar w:fldCharType="separate"/>
      </w:r>
      <w:r w:rsidR="00260768">
        <w:t>Appendix D</w:t>
      </w:r>
      <w:r w:rsidR="00260768">
        <w:fldChar w:fldCharType="end"/>
      </w:r>
      <w:r w:rsidR="00260768">
        <w:t>.</w:t>
      </w:r>
    </w:p>
    <w:p w14:paraId="3410D708" w14:textId="77777777" w:rsidR="00952591" w:rsidRPr="007542E3" w:rsidRDefault="00A91A67" w:rsidP="00952591">
      <w:pPr>
        <w:pStyle w:val="Heading3"/>
      </w:pPr>
      <w:bookmarkStart w:id="514" w:name="_Toc478990515"/>
      <w:bookmarkStart w:id="515" w:name="_Toc479768591"/>
      <w:bookmarkStart w:id="516" w:name="_Toc482357312"/>
      <w:bookmarkStart w:id="517" w:name="_Toc482634288"/>
      <w:bookmarkStart w:id="518" w:name="_Toc482626420"/>
      <w:bookmarkStart w:id="519" w:name="_Toc484092491"/>
      <w:bookmarkStart w:id="520" w:name="_Toc484172695"/>
      <w:bookmarkStart w:id="521" w:name="_Toc484183031"/>
      <w:bookmarkStart w:id="522" w:name="_Toc490225794"/>
      <w:r>
        <w:t xml:space="preserve">Agriculture </w:t>
      </w:r>
      <w:r w:rsidR="0088698C">
        <w:t xml:space="preserve">and Industrial </w:t>
      </w:r>
      <w:r w:rsidR="00952591" w:rsidRPr="007542E3">
        <w:t>Sector</w:t>
      </w:r>
      <w:bookmarkEnd w:id="514"/>
      <w:bookmarkEnd w:id="515"/>
      <w:r>
        <w:t>s</w:t>
      </w:r>
      <w:bookmarkEnd w:id="516"/>
      <w:bookmarkEnd w:id="517"/>
      <w:bookmarkEnd w:id="518"/>
      <w:bookmarkEnd w:id="519"/>
      <w:bookmarkEnd w:id="520"/>
      <w:bookmarkEnd w:id="521"/>
      <w:bookmarkEnd w:id="522"/>
    </w:p>
    <w:p w14:paraId="05161684" w14:textId="77777777" w:rsidR="001C1CDC" w:rsidRDefault="001C1CDC" w:rsidP="001C1CDC">
      <w:pPr>
        <w:widowControl w:val="0"/>
      </w:pPr>
      <w:r>
        <w:t xml:space="preserve">Navigant identified over </w:t>
      </w:r>
      <w:r w:rsidR="00A91A67">
        <w:t>9</w:t>
      </w:r>
      <w:r>
        <w:t>00 records</w:t>
      </w:r>
      <w:r>
        <w:rPr>
          <w:rStyle w:val="FootnoteReference"/>
        </w:rPr>
        <w:footnoteReference w:id="64"/>
      </w:r>
      <w:r>
        <w:t xml:space="preserve"> in the 2013 to 2015 </w:t>
      </w:r>
      <w:r w:rsidR="0025094E" w:rsidRPr="003533A1">
        <w:t>Energy Efficiency Statistics (</w:t>
      </w:r>
      <w:r w:rsidR="0025094E">
        <w:t>EEStats</w:t>
      </w:r>
      <w:r w:rsidR="0025094E" w:rsidRPr="003533A1">
        <w:t>)</w:t>
      </w:r>
      <w:r>
        <w:t xml:space="preserve"> data associated with the </w:t>
      </w:r>
      <w:r w:rsidR="0088698C">
        <w:t xml:space="preserve">Agriculture and </w:t>
      </w:r>
      <w:r>
        <w:t>Industrial sector</w:t>
      </w:r>
      <w:r w:rsidR="00A91A67">
        <w:t>s</w:t>
      </w:r>
      <w:r>
        <w:t>. The team refined this list of records, focusing on the high impact measures (i.e., those contributing significant amounts of energy savings), and excluded records with negligible savings contributions or those representing niche activities. Navigant then combined similar ProgramIDs into representative technology groupings based on the team’s familiarity with the industrial market.</w:t>
      </w:r>
    </w:p>
    <w:p w14:paraId="3B6A79CE" w14:textId="77777777" w:rsidR="001C1CDC" w:rsidRDefault="001C1CDC" w:rsidP="001C1CDC">
      <w:pPr>
        <w:widowControl w:val="0"/>
      </w:pPr>
    </w:p>
    <w:p w14:paraId="7ECFA1FC" w14:textId="77777777" w:rsidR="001C1CDC" w:rsidRDefault="001C1CDC" w:rsidP="00010744">
      <w:pPr>
        <w:keepNext/>
      </w:pPr>
      <w:r>
        <w:t xml:space="preserve">The Navigant team presented the list of initial representative technologies to stakeholders during the DAWG meeting in August 2016, seeking feedback on whether the list appropriately represented the </w:t>
      </w:r>
      <w:r w:rsidR="0088698C">
        <w:t xml:space="preserve">two </w:t>
      </w:r>
      <w:r>
        <w:t>sector</w:t>
      </w:r>
      <w:r w:rsidR="0088698C">
        <w:t>s</w:t>
      </w:r>
      <w:r>
        <w:t xml:space="preserve">, and whether to add or delete any of the identified technologies. Stakeholders generally agreed with the overall approach to leveraging </w:t>
      </w:r>
      <w:r w:rsidR="0025094E">
        <w:t>EEStats</w:t>
      </w:r>
      <w:r>
        <w:t xml:space="preserve"> data and recommended a few areas of improvement, including expanding the lighting end-use to cover specific technologies (e.g., LEDs and lighting controls).</w:t>
      </w:r>
      <w:r w:rsidR="001D04E6">
        <w:t xml:space="preserve"> </w:t>
      </w:r>
      <w:r w:rsidR="00010744">
        <w:fldChar w:fldCharType="begin"/>
      </w:r>
      <w:r w:rsidR="00010744">
        <w:instrText xml:space="preserve"> REF _Ref482354786 \h </w:instrText>
      </w:r>
      <w:r w:rsidR="00010744">
        <w:fldChar w:fldCharType="separate"/>
      </w:r>
      <w:r w:rsidR="007566B9">
        <w:t xml:space="preserve">Figure </w:t>
      </w:r>
      <w:r w:rsidR="007566B9">
        <w:rPr>
          <w:noProof/>
        </w:rPr>
        <w:t>3</w:t>
      </w:r>
      <w:r w:rsidR="007566B9">
        <w:noBreakHyphen/>
      </w:r>
      <w:r w:rsidR="007566B9">
        <w:rPr>
          <w:noProof/>
        </w:rPr>
        <w:t>5</w:t>
      </w:r>
      <w:r w:rsidR="00010744">
        <w:fldChar w:fldCharType="end"/>
      </w:r>
      <w:r w:rsidR="00010744">
        <w:t xml:space="preserve"> illustrates this technology list development process.</w:t>
      </w:r>
    </w:p>
    <w:p w14:paraId="7E862BB1" w14:textId="77777777" w:rsidR="001D04E6" w:rsidRDefault="001D04E6" w:rsidP="00010744">
      <w:pPr>
        <w:keepNext/>
      </w:pPr>
    </w:p>
    <w:p w14:paraId="7C471BE9" w14:textId="77777777" w:rsidR="001D04E6" w:rsidRDefault="001D04E6" w:rsidP="00010744">
      <w:pPr>
        <w:pStyle w:val="Caption"/>
      </w:pPr>
      <w:bookmarkStart w:id="523" w:name="_Ref482354786"/>
      <w:bookmarkStart w:id="524" w:name="_Toc482634251"/>
      <w:bookmarkStart w:id="525" w:name="_Toc482626459"/>
      <w:bookmarkStart w:id="526" w:name="_Toc484437003"/>
      <w:bookmarkStart w:id="527" w:name="_Toc490491729"/>
      <w:r>
        <w:t xml:space="preserve">Figure </w:t>
      </w:r>
      <w:fldSimple w:instr=" STYLEREF 1 \s ">
        <w:r w:rsidR="007566B9">
          <w:rPr>
            <w:noProof/>
          </w:rPr>
          <w:t>3</w:t>
        </w:r>
      </w:fldSimple>
      <w:r w:rsidR="00CE124F">
        <w:noBreakHyphen/>
      </w:r>
      <w:fldSimple w:instr=" SEQ Figure \* ARABIC \s 1 ">
        <w:r w:rsidR="007566B9">
          <w:rPr>
            <w:noProof/>
          </w:rPr>
          <w:t>5</w:t>
        </w:r>
      </w:fldSimple>
      <w:bookmarkEnd w:id="523"/>
      <w:r>
        <w:t>. Ind</w:t>
      </w:r>
      <w:r w:rsidR="00A51A79">
        <w:t>ustrial and Agriculture</w:t>
      </w:r>
      <w:r>
        <w:t xml:space="preserve"> Technology List Development Process</w:t>
      </w:r>
      <w:bookmarkEnd w:id="524"/>
      <w:bookmarkEnd w:id="525"/>
      <w:bookmarkEnd w:id="526"/>
      <w:bookmarkEnd w:id="527"/>
    </w:p>
    <w:p w14:paraId="4F06A82A" w14:textId="77777777" w:rsidR="001C1CDC" w:rsidRDefault="001D04E6" w:rsidP="001C1CDC">
      <w:pPr>
        <w:widowControl w:val="0"/>
      </w:pPr>
      <w:r>
        <w:rPr>
          <w:noProof/>
        </w:rPr>
        <w:drawing>
          <wp:inline distT="0" distB="0" distL="0" distR="0" wp14:anchorId="5909707E" wp14:editId="5A2D8709">
            <wp:extent cx="5943600" cy="20745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074545"/>
                    </a:xfrm>
                    <a:prstGeom prst="rect">
                      <a:avLst/>
                    </a:prstGeom>
                    <a:noFill/>
                  </pic:spPr>
                </pic:pic>
              </a:graphicData>
            </a:graphic>
          </wp:inline>
        </w:drawing>
      </w:r>
    </w:p>
    <w:p w14:paraId="4D6E2A19" w14:textId="77777777" w:rsidR="00010744" w:rsidRDefault="00010744" w:rsidP="001C1CDC">
      <w:pPr>
        <w:widowControl w:val="0"/>
      </w:pPr>
    </w:p>
    <w:p w14:paraId="1651EEEE" w14:textId="77777777" w:rsidR="001C1CDC" w:rsidRDefault="001C1CDC" w:rsidP="001C1CDC">
      <w:pPr>
        <w:widowControl w:val="0"/>
      </w:pPr>
      <w:r>
        <w:t xml:space="preserve">The Navigant team then segmented </w:t>
      </w:r>
      <w:r w:rsidR="00010744">
        <w:t xml:space="preserve">the final </w:t>
      </w:r>
      <w:r>
        <w:t>technology list into three categories:</w:t>
      </w:r>
    </w:p>
    <w:p w14:paraId="6047DEE0" w14:textId="77777777" w:rsidR="001C1CDC" w:rsidRDefault="001C1CDC" w:rsidP="004E4E36">
      <w:pPr>
        <w:pStyle w:val="ListParagraph"/>
        <w:widowControl w:val="0"/>
        <w:numPr>
          <w:ilvl w:val="0"/>
          <w:numId w:val="42"/>
        </w:numPr>
      </w:pPr>
      <w:r w:rsidRPr="001E2E01">
        <w:t>Discrete</w:t>
      </w:r>
      <w:r>
        <w:rPr>
          <w:b/>
        </w:rPr>
        <w:t xml:space="preserve"> i</w:t>
      </w:r>
      <w:r w:rsidRPr="001E2E01">
        <w:rPr>
          <w:b/>
        </w:rPr>
        <w:t>dentified deemed</w:t>
      </w:r>
      <w:r>
        <w:t xml:space="preserve"> measures, </w:t>
      </w:r>
      <w:r w:rsidRPr="00B5410B">
        <w:t xml:space="preserve">readily defined and forecasted using </w:t>
      </w:r>
      <w:r>
        <w:t xml:space="preserve">the </w:t>
      </w:r>
      <w:r w:rsidRPr="00B5410B">
        <w:t>diffusion model</w:t>
      </w:r>
      <w:r>
        <w:t xml:space="preserve"> using deemed savings estimates</w:t>
      </w:r>
    </w:p>
    <w:p w14:paraId="403E1CFA" w14:textId="77777777" w:rsidR="001C1CDC" w:rsidRDefault="001C1CDC" w:rsidP="004E4E36">
      <w:pPr>
        <w:pStyle w:val="ListParagraph"/>
        <w:widowControl w:val="0"/>
        <w:numPr>
          <w:ilvl w:val="0"/>
          <w:numId w:val="42"/>
        </w:numPr>
      </w:pPr>
      <w:r w:rsidRPr="001E2E01">
        <w:t>Discrete</w:t>
      </w:r>
      <w:r>
        <w:rPr>
          <w:b/>
        </w:rPr>
        <w:t xml:space="preserve"> i</w:t>
      </w:r>
      <w:r w:rsidRPr="001E2E01">
        <w:rPr>
          <w:b/>
        </w:rPr>
        <w:t>dentified custom</w:t>
      </w:r>
      <w:r>
        <w:t xml:space="preserve"> measures, </w:t>
      </w:r>
      <w:r w:rsidRPr="00B5410B">
        <w:t xml:space="preserve">readily defined and forecasted using </w:t>
      </w:r>
      <w:r>
        <w:t xml:space="preserve">the </w:t>
      </w:r>
      <w:r w:rsidRPr="00B5410B">
        <w:t>diffusion model</w:t>
      </w:r>
      <w:r>
        <w:t xml:space="preserve"> using custom savings estimates</w:t>
      </w:r>
    </w:p>
    <w:p w14:paraId="29EA885A" w14:textId="77777777" w:rsidR="001C1CDC" w:rsidRDefault="001C1CDC" w:rsidP="004E4E36">
      <w:pPr>
        <w:pStyle w:val="ListParagraph"/>
        <w:widowControl w:val="0"/>
        <w:numPr>
          <w:ilvl w:val="0"/>
          <w:numId w:val="42"/>
        </w:numPr>
      </w:pPr>
      <w:r w:rsidRPr="001E2E01">
        <w:rPr>
          <w:b/>
        </w:rPr>
        <w:lastRenderedPageBreak/>
        <w:t>Generic custom</w:t>
      </w:r>
      <w:r>
        <w:t xml:space="preserve"> measures included in p</w:t>
      </w:r>
      <w:r w:rsidRPr="00B5410B">
        <w:t>rojects unique to various subsectors that cannot be readily defined at the measure level or forecasted using a diffusion model</w:t>
      </w:r>
      <w:r>
        <w:t>.</w:t>
      </w:r>
      <w:r w:rsidRPr="00B5410B">
        <w:t xml:space="preserve"> </w:t>
      </w:r>
      <w:r>
        <w:t xml:space="preserve">Navigant describes the methodology used to characterize these generic custom measures in section </w:t>
      </w:r>
      <w:r w:rsidR="00186218">
        <w:fldChar w:fldCharType="begin"/>
      </w:r>
      <w:r w:rsidR="00186218">
        <w:instrText xml:space="preserve"> REF _Ref482355173 \n \h </w:instrText>
      </w:r>
      <w:r w:rsidR="00186218">
        <w:fldChar w:fldCharType="separate"/>
      </w:r>
      <w:r w:rsidR="007566B9">
        <w:t>3.5</w:t>
      </w:r>
      <w:r w:rsidR="00186218">
        <w:fldChar w:fldCharType="end"/>
      </w:r>
      <w:r w:rsidR="00186218">
        <w:t>.</w:t>
      </w:r>
    </w:p>
    <w:p w14:paraId="257D9CE5" w14:textId="77777777" w:rsidR="00952591" w:rsidRPr="002E129B" w:rsidRDefault="0088698C" w:rsidP="002E129B">
      <w:pPr>
        <w:keepNext/>
        <w:keepLines/>
        <w:numPr>
          <w:ilvl w:val="3"/>
          <w:numId w:val="8"/>
        </w:numPr>
        <w:spacing w:before="360" w:after="240"/>
        <w:ind w:hanging="9144"/>
        <w:outlineLvl w:val="3"/>
        <w:rPr>
          <w:b/>
          <w:bCs/>
          <w:i/>
          <w:iCs/>
          <w:color w:val="555759"/>
          <w:kern w:val="28"/>
          <w:szCs w:val="20"/>
        </w:rPr>
      </w:pPr>
      <w:r w:rsidRPr="002E129B">
        <w:rPr>
          <w:b/>
          <w:bCs/>
          <w:i/>
          <w:iCs/>
          <w:color w:val="555759"/>
          <w:kern w:val="28"/>
          <w:szCs w:val="20"/>
        </w:rPr>
        <w:t>Agricultural</w:t>
      </w:r>
      <w:r w:rsidR="00186218" w:rsidRPr="002E129B">
        <w:rPr>
          <w:b/>
          <w:bCs/>
          <w:i/>
          <w:iCs/>
          <w:color w:val="555759"/>
          <w:kern w:val="28"/>
          <w:szCs w:val="20"/>
        </w:rPr>
        <w:t xml:space="preserve"> </w:t>
      </w:r>
      <w:r w:rsidRPr="002E129B">
        <w:rPr>
          <w:b/>
          <w:bCs/>
          <w:i/>
          <w:iCs/>
          <w:color w:val="555759"/>
          <w:kern w:val="28"/>
          <w:szCs w:val="20"/>
        </w:rPr>
        <w:t xml:space="preserve">and Industrial </w:t>
      </w:r>
      <w:r w:rsidR="008C69A3">
        <w:rPr>
          <w:b/>
          <w:bCs/>
          <w:i/>
          <w:iCs/>
          <w:color w:val="555759"/>
          <w:kern w:val="28"/>
          <w:szCs w:val="20"/>
        </w:rPr>
        <w:t xml:space="preserve">Identified </w:t>
      </w:r>
      <w:r w:rsidR="00D81CD9" w:rsidRPr="002E129B">
        <w:rPr>
          <w:b/>
          <w:bCs/>
          <w:i/>
          <w:iCs/>
          <w:color w:val="555759"/>
          <w:kern w:val="28"/>
          <w:szCs w:val="20"/>
        </w:rPr>
        <w:t>Technologies</w:t>
      </w:r>
    </w:p>
    <w:p w14:paraId="5EF8B982" w14:textId="5B1F505D" w:rsidR="00572C26" w:rsidRDefault="001C1CDC" w:rsidP="00952591">
      <w:pPr>
        <w:widowControl w:val="0"/>
        <w:rPr>
          <w:b/>
          <w:bCs/>
          <w:color w:val="3F4042"/>
          <w:szCs w:val="20"/>
        </w:rPr>
      </w:pPr>
      <w:r w:rsidRPr="007542E3">
        <w:t>For the 201</w:t>
      </w:r>
      <w:r>
        <w:t>8</w:t>
      </w:r>
      <w:r w:rsidRPr="007542E3">
        <w:t xml:space="preserve"> study, Navigant characterized </w:t>
      </w:r>
      <w:r w:rsidR="0088698C">
        <w:t xml:space="preserve">19 technology groups for the Agriculture sector, and 26 for the Industrial sector, representing the </w:t>
      </w:r>
      <w:r w:rsidR="00A51A79">
        <w:t xml:space="preserve">identified </w:t>
      </w:r>
      <w:r w:rsidRPr="007542E3">
        <w:t>deemed</w:t>
      </w:r>
      <w:r w:rsidR="008C69A3">
        <w:t xml:space="preserve"> and </w:t>
      </w:r>
      <w:r>
        <w:t>identified custom</w:t>
      </w:r>
      <w:r w:rsidR="00656F0D">
        <w:t xml:space="preserve"> measures for the diffusion model</w:t>
      </w:r>
      <w:r w:rsidR="00802E20">
        <w:t xml:space="preserve"> (summarized in </w:t>
      </w:r>
      <w:r w:rsidR="00802E20">
        <w:fldChar w:fldCharType="begin"/>
      </w:r>
      <w:r w:rsidR="00802E20">
        <w:instrText xml:space="preserve"> REF _Ref484437924 \h </w:instrText>
      </w:r>
      <w:r w:rsidR="00802E20">
        <w:fldChar w:fldCharType="separate"/>
      </w:r>
      <w:r w:rsidR="007566B9">
        <w:t xml:space="preserve">Table </w:t>
      </w:r>
      <w:r w:rsidR="007566B9">
        <w:rPr>
          <w:noProof/>
        </w:rPr>
        <w:t>3</w:t>
      </w:r>
      <w:r w:rsidR="007566B9">
        <w:noBreakHyphen/>
      </w:r>
      <w:r w:rsidR="007566B9">
        <w:rPr>
          <w:noProof/>
        </w:rPr>
        <w:t>17</w:t>
      </w:r>
      <w:r w:rsidR="00802E20">
        <w:fldChar w:fldCharType="end"/>
      </w:r>
      <w:r w:rsidR="00802E20">
        <w:t>)</w:t>
      </w:r>
      <w:r w:rsidR="00A51A79">
        <w:t xml:space="preserve">. Most </w:t>
      </w:r>
      <w:r w:rsidR="00EF786D">
        <w:t xml:space="preserve">of </w:t>
      </w:r>
      <w:r w:rsidR="00A51A79">
        <w:t xml:space="preserve">these are sourced from </w:t>
      </w:r>
      <w:r w:rsidR="0088698C">
        <w:t xml:space="preserve">the </w:t>
      </w:r>
      <w:r w:rsidR="0025094E">
        <w:t>EEStats</w:t>
      </w:r>
      <w:r>
        <w:t xml:space="preserve"> technologies</w:t>
      </w:r>
      <w:r w:rsidR="00E65372">
        <w:t xml:space="preserve"> with other sources informing the development of four technologies, two each for Industrial and Agriculture</w:t>
      </w:r>
      <w:r w:rsidR="0088698C">
        <w:t xml:space="preserve">. </w:t>
      </w:r>
      <w:r w:rsidRPr="00AE341F">
        <w:t>This approach provide</w:t>
      </w:r>
      <w:r>
        <w:t>d</w:t>
      </w:r>
      <w:r w:rsidRPr="00AE341F">
        <w:t xml:space="preserve"> </w:t>
      </w:r>
      <w:r w:rsidR="0025094E">
        <w:t xml:space="preserve">consistency with the methods used in </w:t>
      </w:r>
      <w:r w:rsidRPr="00AE341F">
        <w:t xml:space="preserve">the </w:t>
      </w:r>
      <w:r w:rsidR="00E65372">
        <w:t>R</w:t>
      </w:r>
      <w:r w:rsidRPr="00AE341F">
        <w:t xml:space="preserve">esidential and </w:t>
      </w:r>
      <w:r w:rsidR="00E65372">
        <w:t>C</w:t>
      </w:r>
      <w:r w:rsidRPr="00AE341F">
        <w:t xml:space="preserve">ommercial sectors, </w:t>
      </w:r>
      <w:r w:rsidR="0025094E">
        <w:t xml:space="preserve">and </w:t>
      </w:r>
      <w:r w:rsidRPr="00AE341F">
        <w:t xml:space="preserve">allowed the </w:t>
      </w:r>
      <w:r>
        <w:t xml:space="preserve">modeling </w:t>
      </w:r>
      <w:r w:rsidRPr="00AE341F">
        <w:t xml:space="preserve">team to calibrate </w:t>
      </w:r>
      <w:r w:rsidR="0025094E">
        <w:t xml:space="preserve">the PG model using prior </w:t>
      </w:r>
      <w:r w:rsidRPr="00AE341F">
        <w:t xml:space="preserve">program achievements </w:t>
      </w:r>
      <w:r w:rsidR="0025094E">
        <w:t xml:space="preserve">detailed in EEStats </w:t>
      </w:r>
      <w:r w:rsidRPr="00AE341F">
        <w:t>and establish greater confidence in the results</w:t>
      </w:r>
      <w:r w:rsidRPr="00D81CD9">
        <w:t>.</w:t>
      </w:r>
      <w:r w:rsidR="00D906E9">
        <w:rPr>
          <w:b/>
          <w:bCs/>
          <w:color w:val="3F4042"/>
          <w:szCs w:val="20"/>
        </w:rPr>
        <w:t xml:space="preserve"> </w:t>
      </w:r>
    </w:p>
    <w:p w14:paraId="5B5AE83C" w14:textId="77777777" w:rsidR="00572C26" w:rsidRDefault="00572C26">
      <w:pPr>
        <w:spacing w:line="240" w:lineRule="auto"/>
        <w:rPr>
          <w:b/>
          <w:bCs/>
          <w:color w:val="3F4042"/>
          <w:szCs w:val="20"/>
        </w:rPr>
      </w:pPr>
      <w:r>
        <w:rPr>
          <w:b/>
          <w:bCs/>
          <w:color w:val="3F4042"/>
          <w:szCs w:val="20"/>
        </w:rPr>
        <w:br w:type="page"/>
      </w:r>
    </w:p>
    <w:p w14:paraId="21913808" w14:textId="77777777" w:rsidR="00952591" w:rsidRDefault="00952591" w:rsidP="00952591">
      <w:pPr>
        <w:widowControl w:val="0"/>
      </w:pPr>
    </w:p>
    <w:p w14:paraId="06F19289" w14:textId="77777777" w:rsidR="0088698C" w:rsidRDefault="0088698C" w:rsidP="00952591">
      <w:pPr>
        <w:widowControl w:val="0"/>
      </w:pPr>
    </w:p>
    <w:p w14:paraId="7C8F513B" w14:textId="77777777" w:rsidR="0088698C" w:rsidRDefault="00D906E9" w:rsidP="00D906E9">
      <w:pPr>
        <w:pStyle w:val="Caption"/>
      </w:pPr>
      <w:bookmarkStart w:id="528" w:name="_Ref484437924"/>
      <w:bookmarkStart w:id="529" w:name="_Toc482634224"/>
      <w:bookmarkStart w:id="530" w:name="_Toc484436963"/>
      <w:bookmarkStart w:id="531" w:name="_Toc490560675"/>
      <w:r>
        <w:t xml:space="preserve">Table </w:t>
      </w:r>
      <w:fldSimple w:instr=" STYLEREF 1 \s ">
        <w:r w:rsidR="007566B9">
          <w:rPr>
            <w:noProof/>
          </w:rPr>
          <w:t>3</w:t>
        </w:r>
      </w:fldSimple>
      <w:r w:rsidR="00C17D59">
        <w:noBreakHyphen/>
      </w:r>
      <w:fldSimple w:instr=" SEQ Table \* ARABIC \s 1 ">
        <w:r w:rsidR="007566B9">
          <w:rPr>
            <w:noProof/>
          </w:rPr>
          <w:t>17</w:t>
        </w:r>
      </w:fldSimple>
      <w:bookmarkEnd w:id="528"/>
      <w:r>
        <w:t>. Final List of Technology Groups and Individual Technologies</w:t>
      </w:r>
      <w:bookmarkEnd w:id="529"/>
      <w:bookmarkEnd w:id="530"/>
      <w:bookmarkEnd w:id="531"/>
    </w:p>
    <w:tbl>
      <w:tblPr>
        <w:tblStyle w:val="EnergyTable1"/>
        <w:tblW w:w="5000" w:type="pct"/>
        <w:tblLook w:val="04A0" w:firstRow="1" w:lastRow="0" w:firstColumn="1" w:lastColumn="0" w:noHBand="0" w:noVBand="1"/>
      </w:tblPr>
      <w:tblGrid>
        <w:gridCol w:w="1754"/>
        <w:gridCol w:w="1811"/>
        <w:gridCol w:w="1975"/>
        <w:gridCol w:w="1794"/>
        <w:gridCol w:w="2026"/>
      </w:tblGrid>
      <w:tr w:rsidR="0088698C" w:rsidRPr="00957936" w14:paraId="6608C2D9" w14:textId="77777777" w:rsidTr="00AF21BE">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pct"/>
          </w:tcPr>
          <w:p w14:paraId="212C3EDE" w14:textId="77777777" w:rsidR="0088698C" w:rsidRPr="00957936" w:rsidRDefault="0088698C" w:rsidP="0025094E">
            <w:pPr>
              <w:rPr>
                <w:rFonts w:ascii="Arial Narrow" w:hAnsi="Arial Narrow" w:cs="Arial"/>
                <w:sz w:val="18"/>
                <w:szCs w:val="18"/>
              </w:rPr>
            </w:pPr>
            <w:r w:rsidRPr="00957936">
              <w:rPr>
                <w:rFonts w:ascii="Arial Narrow" w:hAnsi="Arial Narrow" w:cs="Arial"/>
                <w:sz w:val="18"/>
                <w:szCs w:val="18"/>
              </w:rPr>
              <w:t>Sector</w:t>
            </w:r>
          </w:p>
        </w:tc>
        <w:tc>
          <w:tcPr>
            <w:tcW w:w="0" w:type="pct"/>
          </w:tcPr>
          <w:p w14:paraId="39749CFF" w14:textId="77777777" w:rsidR="0088698C" w:rsidRPr="00957936" w:rsidRDefault="0088698C" w:rsidP="0025094E">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End Use</w:t>
            </w:r>
          </w:p>
        </w:tc>
        <w:tc>
          <w:tcPr>
            <w:tcW w:w="0" w:type="pct"/>
          </w:tcPr>
          <w:p w14:paraId="49B7AE04" w14:textId="77777777" w:rsidR="0088698C" w:rsidRPr="00957936" w:rsidRDefault="0088698C" w:rsidP="0025094E">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Technology Group Examples</w:t>
            </w:r>
            <w:r w:rsidRPr="00957936">
              <w:rPr>
                <w:rFonts w:ascii="Arial Narrow" w:hAnsi="Arial Narrow" w:cs="Arial"/>
                <w:sz w:val="18"/>
                <w:szCs w:val="18"/>
                <w:vertAlign w:val="superscript"/>
              </w:rPr>
              <w:footnoteReference w:id="65"/>
            </w:r>
          </w:p>
        </w:tc>
        <w:tc>
          <w:tcPr>
            <w:tcW w:w="0" w:type="pct"/>
          </w:tcPr>
          <w:p w14:paraId="269B9EF4" w14:textId="77777777" w:rsidR="0088698C" w:rsidRPr="00957936" w:rsidRDefault="0088698C" w:rsidP="0025094E">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 xml:space="preserve">Number of Technology Groups </w:t>
            </w:r>
          </w:p>
        </w:tc>
        <w:tc>
          <w:tcPr>
            <w:tcW w:w="0" w:type="pct"/>
          </w:tcPr>
          <w:p w14:paraId="3B2DC5C4" w14:textId="77777777" w:rsidR="0088698C" w:rsidRPr="00957936" w:rsidRDefault="0088698C" w:rsidP="0025094E">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Number of Individual Technologies</w:t>
            </w:r>
            <w:r w:rsidRPr="00957936">
              <w:rPr>
                <w:rFonts w:ascii="Arial Narrow" w:hAnsi="Arial Narrow" w:cs="Arial"/>
                <w:sz w:val="18"/>
                <w:szCs w:val="18"/>
                <w:vertAlign w:val="superscript"/>
              </w:rPr>
              <w:footnoteReference w:id="66"/>
            </w:r>
          </w:p>
        </w:tc>
      </w:tr>
      <w:tr w:rsidR="0088698C" w:rsidRPr="00957936" w14:paraId="5E130028" w14:textId="77777777" w:rsidTr="00AF21BE">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pct"/>
            <w:vMerge w:val="restart"/>
          </w:tcPr>
          <w:p w14:paraId="7927E614" w14:textId="77777777" w:rsidR="0088698C" w:rsidRPr="00957936" w:rsidRDefault="00D906E9" w:rsidP="0025094E">
            <w:pPr>
              <w:rPr>
                <w:rFonts w:ascii="Arial Narrow" w:hAnsi="Arial Narrow" w:cs="Arial"/>
                <w:b/>
                <w:sz w:val="18"/>
                <w:szCs w:val="18"/>
              </w:rPr>
            </w:pPr>
            <w:r w:rsidRPr="00957936">
              <w:rPr>
                <w:rFonts w:ascii="Arial Narrow" w:hAnsi="Arial Narrow" w:cs="Arial"/>
                <w:b/>
                <w:sz w:val="18"/>
                <w:szCs w:val="18"/>
              </w:rPr>
              <w:t>Agriculture</w:t>
            </w:r>
          </w:p>
        </w:tc>
        <w:tc>
          <w:tcPr>
            <w:tcW w:w="0" w:type="pct"/>
          </w:tcPr>
          <w:p w14:paraId="0AB29903" w14:textId="77777777" w:rsidR="0088698C"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Machine Drives</w:t>
            </w:r>
          </w:p>
        </w:tc>
        <w:tc>
          <w:tcPr>
            <w:tcW w:w="0" w:type="pct"/>
          </w:tcPr>
          <w:p w14:paraId="00A4B26E" w14:textId="77777777" w:rsidR="0088698C"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Motors, Pumps, Air Compressor Equipment</w:t>
            </w:r>
          </w:p>
        </w:tc>
        <w:tc>
          <w:tcPr>
            <w:tcW w:w="0" w:type="pct"/>
          </w:tcPr>
          <w:p w14:paraId="495DCB20" w14:textId="77777777" w:rsidR="0088698C"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3</w:t>
            </w:r>
          </w:p>
        </w:tc>
        <w:tc>
          <w:tcPr>
            <w:tcW w:w="0" w:type="pct"/>
          </w:tcPr>
          <w:p w14:paraId="2E466810" w14:textId="77777777" w:rsidR="0088698C" w:rsidRPr="00957936" w:rsidRDefault="00656F0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33</w:t>
            </w:r>
          </w:p>
        </w:tc>
      </w:tr>
      <w:tr w:rsidR="0007447D" w:rsidRPr="00957936" w14:paraId="4B8E6842" w14:textId="77777777" w:rsidTr="00AF21BE">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pct"/>
            <w:vMerge/>
          </w:tcPr>
          <w:p w14:paraId="19F9F046" w14:textId="77777777" w:rsidR="0007447D" w:rsidRPr="00957936" w:rsidRDefault="0007447D" w:rsidP="0007447D">
            <w:pPr>
              <w:rPr>
                <w:rFonts w:ascii="Arial Narrow" w:hAnsi="Arial Narrow" w:cs="Arial"/>
                <w:b/>
                <w:sz w:val="18"/>
                <w:szCs w:val="18"/>
              </w:rPr>
            </w:pPr>
          </w:p>
        </w:tc>
        <w:tc>
          <w:tcPr>
            <w:tcW w:w="0" w:type="pct"/>
          </w:tcPr>
          <w:p w14:paraId="24837CEE" w14:textId="77777777" w:rsidR="0007447D" w:rsidRPr="00957936" w:rsidRDefault="0007447D" w:rsidP="0007447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Irrigation Drives</w:t>
            </w:r>
          </w:p>
        </w:tc>
        <w:tc>
          <w:tcPr>
            <w:tcW w:w="0" w:type="pct"/>
          </w:tcPr>
          <w:p w14:paraId="635C8595" w14:textId="77777777" w:rsidR="0007447D" w:rsidRPr="00957936" w:rsidRDefault="0007447D" w:rsidP="0007447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Crop Irrigation, Water Pumping</w:t>
            </w:r>
          </w:p>
        </w:tc>
        <w:tc>
          <w:tcPr>
            <w:tcW w:w="0" w:type="pct"/>
          </w:tcPr>
          <w:p w14:paraId="6F7D9E23" w14:textId="77777777" w:rsidR="0007447D" w:rsidRPr="00957936" w:rsidRDefault="0007447D" w:rsidP="0007447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3</w:t>
            </w:r>
          </w:p>
        </w:tc>
        <w:tc>
          <w:tcPr>
            <w:tcW w:w="0" w:type="pct"/>
          </w:tcPr>
          <w:p w14:paraId="41288BF7" w14:textId="77777777" w:rsidR="0007447D" w:rsidRPr="00957936" w:rsidRDefault="00656F0D" w:rsidP="0007447D">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10</w:t>
            </w:r>
          </w:p>
        </w:tc>
      </w:tr>
      <w:tr w:rsidR="0088698C" w:rsidRPr="00957936" w14:paraId="286FCA9A" w14:textId="77777777" w:rsidTr="00AF21B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pct"/>
            <w:vMerge/>
          </w:tcPr>
          <w:p w14:paraId="31428A8A" w14:textId="77777777" w:rsidR="0088698C" w:rsidRPr="00957936" w:rsidRDefault="0088698C" w:rsidP="0025094E">
            <w:pPr>
              <w:rPr>
                <w:rFonts w:ascii="Arial Narrow" w:hAnsi="Arial Narrow" w:cs="Arial"/>
                <w:sz w:val="18"/>
                <w:szCs w:val="18"/>
              </w:rPr>
            </w:pPr>
          </w:p>
        </w:tc>
        <w:tc>
          <w:tcPr>
            <w:tcW w:w="0" w:type="pct"/>
          </w:tcPr>
          <w:p w14:paraId="60C98C73" w14:textId="77777777" w:rsidR="0088698C"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Lighting</w:t>
            </w:r>
          </w:p>
        </w:tc>
        <w:tc>
          <w:tcPr>
            <w:tcW w:w="0" w:type="pct"/>
          </w:tcPr>
          <w:p w14:paraId="2F1DFA16" w14:textId="77777777" w:rsidR="0088698C"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 xml:space="preserve">Indoor LED Fixtures, Specialty Lamps, Linear Fixtures. </w:t>
            </w:r>
          </w:p>
        </w:tc>
        <w:tc>
          <w:tcPr>
            <w:tcW w:w="0" w:type="pct"/>
          </w:tcPr>
          <w:p w14:paraId="2C0FDD75" w14:textId="77777777" w:rsidR="0088698C"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5</w:t>
            </w:r>
          </w:p>
        </w:tc>
        <w:tc>
          <w:tcPr>
            <w:tcW w:w="0" w:type="pct"/>
          </w:tcPr>
          <w:p w14:paraId="77AFA592" w14:textId="77777777" w:rsidR="0088698C"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92</w:t>
            </w:r>
          </w:p>
        </w:tc>
      </w:tr>
      <w:tr w:rsidR="0088698C" w:rsidRPr="00957936" w14:paraId="59E8A373" w14:textId="77777777" w:rsidTr="00AF21BE">
        <w:trPr>
          <w:cnfStyle w:val="000000010000" w:firstRow="0" w:lastRow="0" w:firstColumn="0" w:lastColumn="0" w:oddVBand="0" w:evenVBand="0" w:oddHBand="0" w:evenHBand="1"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0" w:type="pct"/>
            <w:vMerge/>
          </w:tcPr>
          <w:p w14:paraId="63BC3376" w14:textId="77777777" w:rsidR="0088698C" w:rsidRPr="00957936" w:rsidRDefault="0088698C" w:rsidP="0025094E">
            <w:pPr>
              <w:rPr>
                <w:rFonts w:ascii="Arial Narrow" w:hAnsi="Arial Narrow" w:cs="Arial"/>
                <w:sz w:val="18"/>
                <w:szCs w:val="18"/>
              </w:rPr>
            </w:pPr>
          </w:p>
        </w:tc>
        <w:tc>
          <w:tcPr>
            <w:tcW w:w="0" w:type="pct"/>
          </w:tcPr>
          <w:p w14:paraId="460F1494" w14:textId="77777777" w:rsidR="0088698C" w:rsidRPr="00957936" w:rsidRDefault="0088698C"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HVAC</w:t>
            </w:r>
          </w:p>
        </w:tc>
        <w:tc>
          <w:tcPr>
            <w:tcW w:w="0" w:type="pct"/>
          </w:tcPr>
          <w:p w14:paraId="4B953C05" w14:textId="77777777" w:rsidR="0088698C" w:rsidRPr="00957936" w:rsidRDefault="0088698C"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 xml:space="preserve">Air Conditioners, Heat Pumps, </w:t>
            </w:r>
            <w:r w:rsidR="0007447D" w:rsidRPr="00957936">
              <w:rPr>
                <w:rFonts w:ascii="Arial Narrow" w:hAnsi="Arial Narrow" w:cs="Arial"/>
                <w:sz w:val="18"/>
                <w:szCs w:val="18"/>
              </w:rPr>
              <w:t>Ventilation</w:t>
            </w:r>
          </w:p>
        </w:tc>
        <w:tc>
          <w:tcPr>
            <w:tcW w:w="0" w:type="pct"/>
          </w:tcPr>
          <w:p w14:paraId="372C65E2" w14:textId="77777777" w:rsidR="0088698C" w:rsidRPr="00957936" w:rsidRDefault="0007447D"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w:t>
            </w:r>
          </w:p>
        </w:tc>
        <w:tc>
          <w:tcPr>
            <w:tcW w:w="0" w:type="pct"/>
          </w:tcPr>
          <w:p w14:paraId="3D4D4F51" w14:textId="77777777" w:rsidR="0088698C" w:rsidRPr="00957936" w:rsidRDefault="0007447D"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16</w:t>
            </w:r>
          </w:p>
        </w:tc>
      </w:tr>
      <w:tr w:rsidR="0088698C" w:rsidRPr="00957936" w14:paraId="0F3B247A" w14:textId="77777777" w:rsidTr="00AF21BE">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0" w:type="pct"/>
            <w:vMerge/>
          </w:tcPr>
          <w:p w14:paraId="4CD3687D" w14:textId="77777777" w:rsidR="0088698C" w:rsidRPr="00957936" w:rsidRDefault="0088698C" w:rsidP="0025094E">
            <w:pPr>
              <w:rPr>
                <w:rFonts w:ascii="Arial Narrow" w:hAnsi="Arial Narrow" w:cs="Arial"/>
                <w:sz w:val="18"/>
                <w:szCs w:val="18"/>
              </w:rPr>
            </w:pPr>
          </w:p>
        </w:tc>
        <w:tc>
          <w:tcPr>
            <w:tcW w:w="0" w:type="pct"/>
          </w:tcPr>
          <w:p w14:paraId="655C6AF6" w14:textId="77777777" w:rsidR="0088698C"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Process</w:t>
            </w:r>
            <w:r w:rsidR="0088698C" w:rsidRPr="00957936">
              <w:rPr>
                <w:rFonts w:ascii="Arial Narrow" w:hAnsi="Arial Narrow" w:cs="Arial"/>
                <w:sz w:val="18"/>
                <w:szCs w:val="18"/>
              </w:rPr>
              <w:t xml:space="preserve"> Heating</w:t>
            </w:r>
          </w:p>
        </w:tc>
        <w:tc>
          <w:tcPr>
            <w:tcW w:w="0" w:type="pct"/>
          </w:tcPr>
          <w:p w14:paraId="25803A42" w14:textId="77777777" w:rsidR="0088698C"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Greenhouses, Post-Harvest Processing, Drying</w:t>
            </w:r>
          </w:p>
        </w:tc>
        <w:tc>
          <w:tcPr>
            <w:tcW w:w="0" w:type="pct"/>
          </w:tcPr>
          <w:p w14:paraId="4347B61E" w14:textId="77777777" w:rsidR="0088698C"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3</w:t>
            </w:r>
          </w:p>
        </w:tc>
        <w:tc>
          <w:tcPr>
            <w:tcW w:w="0" w:type="pct"/>
          </w:tcPr>
          <w:p w14:paraId="312262F5" w14:textId="77777777" w:rsidR="0088698C" w:rsidRPr="00957936" w:rsidRDefault="00656F0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48</w:t>
            </w:r>
          </w:p>
        </w:tc>
      </w:tr>
      <w:tr w:rsidR="0007447D" w:rsidRPr="00957936" w14:paraId="3FBDEA36" w14:textId="77777777" w:rsidTr="00AF21BE">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0" w:type="pct"/>
            <w:vMerge/>
          </w:tcPr>
          <w:p w14:paraId="6AF31D22" w14:textId="77777777" w:rsidR="0007447D" w:rsidRPr="00957936" w:rsidRDefault="0007447D" w:rsidP="0025094E">
            <w:pPr>
              <w:rPr>
                <w:rFonts w:ascii="Arial Narrow" w:hAnsi="Arial Narrow" w:cs="Arial"/>
                <w:sz w:val="18"/>
                <w:szCs w:val="18"/>
              </w:rPr>
            </w:pPr>
          </w:p>
        </w:tc>
        <w:tc>
          <w:tcPr>
            <w:tcW w:w="0" w:type="pct"/>
          </w:tcPr>
          <w:p w14:paraId="0BB17FC4" w14:textId="77777777" w:rsidR="0007447D" w:rsidRPr="00957936" w:rsidRDefault="0007447D"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Process Refrigeration</w:t>
            </w:r>
          </w:p>
        </w:tc>
        <w:tc>
          <w:tcPr>
            <w:tcW w:w="0" w:type="pct"/>
          </w:tcPr>
          <w:p w14:paraId="337F3096" w14:textId="77777777" w:rsidR="0007447D" w:rsidRPr="00957936" w:rsidRDefault="0007447D"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Milk Cooling, Wine Cooling</w:t>
            </w:r>
          </w:p>
        </w:tc>
        <w:tc>
          <w:tcPr>
            <w:tcW w:w="0" w:type="pct"/>
          </w:tcPr>
          <w:p w14:paraId="3177AEAE" w14:textId="77777777" w:rsidR="0007447D" w:rsidRPr="00957936" w:rsidRDefault="0007447D"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3</w:t>
            </w:r>
          </w:p>
        </w:tc>
        <w:tc>
          <w:tcPr>
            <w:tcW w:w="0" w:type="pct"/>
          </w:tcPr>
          <w:p w14:paraId="577507ED" w14:textId="77777777" w:rsidR="0007447D" w:rsidRPr="00957936" w:rsidRDefault="00656F0D"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61</w:t>
            </w:r>
          </w:p>
        </w:tc>
      </w:tr>
      <w:tr w:rsidR="0007447D" w:rsidRPr="00957936" w14:paraId="2A4B2AB7" w14:textId="77777777" w:rsidTr="00AF21BE">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0" w:type="pct"/>
            <w:vMerge/>
          </w:tcPr>
          <w:p w14:paraId="73CEEEA8" w14:textId="77777777" w:rsidR="0007447D" w:rsidRPr="00957936" w:rsidRDefault="0007447D" w:rsidP="0025094E">
            <w:pPr>
              <w:rPr>
                <w:rFonts w:ascii="Arial Narrow" w:hAnsi="Arial Narrow" w:cs="Arial"/>
                <w:sz w:val="18"/>
                <w:szCs w:val="18"/>
              </w:rPr>
            </w:pPr>
          </w:p>
        </w:tc>
        <w:tc>
          <w:tcPr>
            <w:tcW w:w="0" w:type="pct"/>
          </w:tcPr>
          <w:p w14:paraId="64A6A973" w14:textId="77777777" w:rsidR="0007447D"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Other</w:t>
            </w:r>
          </w:p>
        </w:tc>
        <w:tc>
          <w:tcPr>
            <w:tcW w:w="0" w:type="pct"/>
          </w:tcPr>
          <w:p w14:paraId="68BF9BE2" w14:textId="77777777" w:rsidR="0007447D"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System Controls and Optimizations</w:t>
            </w:r>
          </w:p>
        </w:tc>
        <w:tc>
          <w:tcPr>
            <w:tcW w:w="0" w:type="pct"/>
          </w:tcPr>
          <w:p w14:paraId="19CC17A7" w14:textId="77777777" w:rsidR="0007447D" w:rsidRPr="00957936" w:rsidRDefault="0007447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w:t>
            </w:r>
          </w:p>
        </w:tc>
        <w:tc>
          <w:tcPr>
            <w:tcW w:w="0" w:type="pct"/>
          </w:tcPr>
          <w:p w14:paraId="45B42062" w14:textId="77777777" w:rsidR="0007447D" w:rsidRPr="00957936" w:rsidRDefault="00656F0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9</w:t>
            </w:r>
          </w:p>
        </w:tc>
      </w:tr>
      <w:tr w:rsidR="0088698C" w:rsidRPr="00957936" w14:paraId="0D3210CD" w14:textId="77777777" w:rsidTr="00AF21BE">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0" w:type="pct"/>
            <w:vMerge/>
          </w:tcPr>
          <w:p w14:paraId="20B28387" w14:textId="77777777" w:rsidR="0088698C" w:rsidRPr="00957936" w:rsidRDefault="0088698C" w:rsidP="0025094E">
            <w:pPr>
              <w:rPr>
                <w:rFonts w:ascii="Arial Narrow" w:hAnsi="Arial Narrow" w:cs="Arial"/>
                <w:sz w:val="18"/>
                <w:szCs w:val="18"/>
              </w:rPr>
            </w:pPr>
          </w:p>
        </w:tc>
        <w:tc>
          <w:tcPr>
            <w:tcW w:w="0" w:type="pct"/>
          </w:tcPr>
          <w:p w14:paraId="7B6C8BBC" w14:textId="77777777" w:rsidR="0088698C" w:rsidRPr="00957936" w:rsidRDefault="0088698C"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Total</w:t>
            </w:r>
          </w:p>
        </w:tc>
        <w:tc>
          <w:tcPr>
            <w:tcW w:w="0" w:type="pct"/>
          </w:tcPr>
          <w:p w14:paraId="0E39A642" w14:textId="77777777" w:rsidR="0088698C" w:rsidRPr="00957936" w:rsidRDefault="0088698C"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p>
        </w:tc>
        <w:tc>
          <w:tcPr>
            <w:tcW w:w="0" w:type="pct"/>
          </w:tcPr>
          <w:p w14:paraId="54ABE84C" w14:textId="77777777" w:rsidR="0088698C" w:rsidRPr="00957936" w:rsidDel="0064218F" w:rsidRDefault="0007447D"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19</w:t>
            </w:r>
          </w:p>
        </w:tc>
        <w:tc>
          <w:tcPr>
            <w:tcW w:w="0" w:type="pct"/>
          </w:tcPr>
          <w:p w14:paraId="61FB9FE5" w14:textId="77777777" w:rsidR="0088698C" w:rsidRPr="00957936" w:rsidRDefault="00656F0D"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269</w:t>
            </w:r>
          </w:p>
        </w:tc>
      </w:tr>
      <w:tr w:rsidR="0088698C" w:rsidRPr="00957936" w14:paraId="26DE0EB2" w14:textId="77777777" w:rsidTr="00AF21BE">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0" w:type="pct"/>
            <w:vMerge w:val="restart"/>
          </w:tcPr>
          <w:p w14:paraId="54BB3E92" w14:textId="77777777" w:rsidR="0088698C" w:rsidRPr="00957936" w:rsidRDefault="00D906E9" w:rsidP="0025094E">
            <w:pPr>
              <w:rPr>
                <w:rFonts w:ascii="Arial Narrow" w:hAnsi="Arial Narrow" w:cs="Arial"/>
                <w:b/>
                <w:sz w:val="18"/>
                <w:szCs w:val="18"/>
              </w:rPr>
            </w:pPr>
            <w:r w:rsidRPr="00957936">
              <w:rPr>
                <w:rFonts w:ascii="Arial Narrow" w:hAnsi="Arial Narrow" w:cs="Arial"/>
                <w:b/>
                <w:sz w:val="18"/>
                <w:szCs w:val="18"/>
              </w:rPr>
              <w:t>Industrial</w:t>
            </w:r>
          </w:p>
        </w:tc>
        <w:tc>
          <w:tcPr>
            <w:tcW w:w="0" w:type="pct"/>
          </w:tcPr>
          <w:p w14:paraId="2E5C466D" w14:textId="77777777" w:rsidR="0088698C" w:rsidRPr="00957936" w:rsidRDefault="00A51A79"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Machine Drives</w:t>
            </w:r>
          </w:p>
        </w:tc>
        <w:tc>
          <w:tcPr>
            <w:tcW w:w="0" w:type="pct"/>
          </w:tcPr>
          <w:p w14:paraId="25067FD8" w14:textId="77777777" w:rsidR="0088698C" w:rsidRPr="00957936" w:rsidRDefault="00A51A79"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Motors, Pumps, Air Compressor Equipment</w:t>
            </w:r>
          </w:p>
        </w:tc>
        <w:tc>
          <w:tcPr>
            <w:tcW w:w="0" w:type="pct"/>
          </w:tcPr>
          <w:p w14:paraId="05633672" w14:textId="77777777" w:rsidR="0088698C" w:rsidRPr="00957936" w:rsidRDefault="00A51A79"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11</w:t>
            </w:r>
          </w:p>
        </w:tc>
        <w:tc>
          <w:tcPr>
            <w:tcW w:w="0" w:type="pct"/>
          </w:tcPr>
          <w:p w14:paraId="4A2C7700" w14:textId="77777777" w:rsidR="0088698C" w:rsidRPr="00957936" w:rsidRDefault="00656F0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145</w:t>
            </w:r>
          </w:p>
        </w:tc>
      </w:tr>
      <w:tr w:rsidR="0088698C" w:rsidRPr="00957936" w14:paraId="237F3494" w14:textId="77777777" w:rsidTr="00AF21BE">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pct"/>
            <w:vMerge/>
          </w:tcPr>
          <w:p w14:paraId="2FE69862" w14:textId="77777777" w:rsidR="0088698C" w:rsidRPr="00957936" w:rsidRDefault="0088698C" w:rsidP="0025094E">
            <w:pPr>
              <w:rPr>
                <w:rFonts w:ascii="Arial Narrow" w:hAnsi="Arial Narrow" w:cs="Arial"/>
                <w:sz w:val="18"/>
                <w:szCs w:val="18"/>
              </w:rPr>
            </w:pPr>
          </w:p>
        </w:tc>
        <w:tc>
          <w:tcPr>
            <w:tcW w:w="0" w:type="pct"/>
          </w:tcPr>
          <w:p w14:paraId="3C70B9A6" w14:textId="77777777" w:rsidR="0088698C" w:rsidRPr="00957936" w:rsidRDefault="00A51A79"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Lighting</w:t>
            </w:r>
          </w:p>
        </w:tc>
        <w:tc>
          <w:tcPr>
            <w:tcW w:w="0" w:type="pct"/>
          </w:tcPr>
          <w:p w14:paraId="4B8EEB2C" w14:textId="77777777" w:rsidR="0088698C" w:rsidRPr="00957936" w:rsidRDefault="00A51A79"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 xml:space="preserve">Indoor LED Fixtures, Specialty Lamps, Linear Fixtures. </w:t>
            </w:r>
          </w:p>
        </w:tc>
        <w:tc>
          <w:tcPr>
            <w:tcW w:w="0" w:type="pct"/>
          </w:tcPr>
          <w:p w14:paraId="44E0D6F8" w14:textId="77777777" w:rsidR="0088698C" w:rsidRPr="00957936" w:rsidRDefault="00A51A79"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3</w:t>
            </w:r>
          </w:p>
        </w:tc>
        <w:tc>
          <w:tcPr>
            <w:tcW w:w="0" w:type="pct"/>
          </w:tcPr>
          <w:p w14:paraId="00A3B5B9" w14:textId="77777777" w:rsidR="0088698C" w:rsidRPr="00957936" w:rsidRDefault="00A51A79"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206</w:t>
            </w:r>
          </w:p>
        </w:tc>
      </w:tr>
      <w:tr w:rsidR="0088698C" w:rsidRPr="00957936" w14:paraId="1ED6E7A9" w14:textId="77777777" w:rsidTr="00AF21B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pct"/>
            <w:vMerge/>
          </w:tcPr>
          <w:p w14:paraId="6210D859" w14:textId="77777777" w:rsidR="0088698C" w:rsidRPr="00957936" w:rsidRDefault="0088698C" w:rsidP="0025094E">
            <w:pPr>
              <w:rPr>
                <w:rFonts w:ascii="Arial Narrow" w:hAnsi="Arial Narrow" w:cs="Arial"/>
                <w:sz w:val="18"/>
                <w:szCs w:val="18"/>
              </w:rPr>
            </w:pPr>
          </w:p>
        </w:tc>
        <w:tc>
          <w:tcPr>
            <w:tcW w:w="0" w:type="pct"/>
          </w:tcPr>
          <w:p w14:paraId="3B48B7B8" w14:textId="77777777" w:rsidR="0088698C" w:rsidRPr="00957936" w:rsidRDefault="00A51A79"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HVAC</w:t>
            </w:r>
          </w:p>
        </w:tc>
        <w:tc>
          <w:tcPr>
            <w:tcW w:w="0" w:type="pct"/>
          </w:tcPr>
          <w:p w14:paraId="6FBCE6DB" w14:textId="77777777" w:rsidR="0088698C" w:rsidRPr="00957936" w:rsidRDefault="00A51A79"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Air Conditioners, Heat Pumps, Ventilation, VAV Systems</w:t>
            </w:r>
          </w:p>
        </w:tc>
        <w:tc>
          <w:tcPr>
            <w:tcW w:w="0" w:type="pct"/>
          </w:tcPr>
          <w:p w14:paraId="3CF157AB" w14:textId="77777777" w:rsidR="0088698C" w:rsidRPr="00957936" w:rsidRDefault="00A51A79"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5</w:t>
            </w:r>
          </w:p>
        </w:tc>
        <w:tc>
          <w:tcPr>
            <w:tcW w:w="0" w:type="pct"/>
          </w:tcPr>
          <w:p w14:paraId="11BD1B8F" w14:textId="77777777" w:rsidR="0088698C" w:rsidRPr="00957936" w:rsidRDefault="00656F0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82</w:t>
            </w:r>
          </w:p>
        </w:tc>
      </w:tr>
      <w:tr w:rsidR="0088698C" w:rsidRPr="00957936" w14:paraId="564E40D1" w14:textId="77777777" w:rsidTr="00AF21BE">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0" w:type="pct"/>
            <w:vMerge/>
          </w:tcPr>
          <w:p w14:paraId="35820667" w14:textId="77777777" w:rsidR="0088698C" w:rsidRPr="00957936" w:rsidRDefault="0088698C" w:rsidP="0025094E">
            <w:pPr>
              <w:rPr>
                <w:rFonts w:ascii="Arial Narrow" w:hAnsi="Arial Narrow" w:cs="Arial"/>
                <w:sz w:val="18"/>
                <w:szCs w:val="18"/>
              </w:rPr>
            </w:pPr>
          </w:p>
        </w:tc>
        <w:tc>
          <w:tcPr>
            <w:tcW w:w="0" w:type="pct"/>
          </w:tcPr>
          <w:p w14:paraId="583C663F" w14:textId="77777777" w:rsidR="0088698C" w:rsidRPr="00957936" w:rsidRDefault="00A51A79"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Process Heating</w:t>
            </w:r>
          </w:p>
        </w:tc>
        <w:tc>
          <w:tcPr>
            <w:tcW w:w="0" w:type="pct"/>
          </w:tcPr>
          <w:p w14:paraId="202B6E02" w14:textId="77777777" w:rsidR="0088698C" w:rsidRPr="00957936" w:rsidRDefault="00A51A79"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Boilers, Steam Traps, Insulation, Furnace/Ovens</w:t>
            </w:r>
          </w:p>
        </w:tc>
        <w:tc>
          <w:tcPr>
            <w:tcW w:w="0" w:type="pct"/>
          </w:tcPr>
          <w:p w14:paraId="3D280484" w14:textId="77777777" w:rsidR="0088698C" w:rsidRPr="00957936" w:rsidRDefault="00A51A79"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4</w:t>
            </w:r>
          </w:p>
        </w:tc>
        <w:tc>
          <w:tcPr>
            <w:tcW w:w="0" w:type="pct"/>
          </w:tcPr>
          <w:p w14:paraId="434201DD" w14:textId="77777777" w:rsidR="0088698C" w:rsidRPr="00957936" w:rsidRDefault="00A51A79"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56</w:t>
            </w:r>
          </w:p>
        </w:tc>
      </w:tr>
      <w:tr w:rsidR="0088698C" w:rsidRPr="00957936" w14:paraId="2D4BEE84" w14:textId="77777777" w:rsidTr="00AF21BE">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0" w:type="pct"/>
            <w:vMerge/>
          </w:tcPr>
          <w:p w14:paraId="13198159" w14:textId="77777777" w:rsidR="0088698C" w:rsidRPr="00957936" w:rsidRDefault="0088698C" w:rsidP="0025094E">
            <w:pPr>
              <w:rPr>
                <w:rFonts w:ascii="Arial Narrow" w:hAnsi="Arial Narrow" w:cs="Arial"/>
                <w:sz w:val="18"/>
                <w:szCs w:val="18"/>
              </w:rPr>
            </w:pPr>
          </w:p>
        </w:tc>
        <w:tc>
          <w:tcPr>
            <w:tcW w:w="0" w:type="pct"/>
          </w:tcPr>
          <w:p w14:paraId="5483EAA1" w14:textId="77777777" w:rsidR="0088698C" w:rsidRPr="00957936" w:rsidRDefault="00A51A79"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Process Refrigeration</w:t>
            </w:r>
          </w:p>
        </w:tc>
        <w:tc>
          <w:tcPr>
            <w:tcW w:w="0" w:type="pct"/>
          </w:tcPr>
          <w:p w14:paraId="63CCFE46" w14:textId="77777777" w:rsidR="0088698C" w:rsidRPr="00957936" w:rsidRDefault="00A51A79"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Refrigerators, Refrigeration Controls</w:t>
            </w:r>
          </w:p>
        </w:tc>
        <w:tc>
          <w:tcPr>
            <w:tcW w:w="0" w:type="pct"/>
          </w:tcPr>
          <w:p w14:paraId="4A43B0D3" w14:textId="77777777" w:rsidR="0088698C" w:rsidRPr="00957936" w:rsidRDefault="00A51A79"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1</w:t>
            </w:r>
          </w:p>
        </w:tc>
        <w:tc>
          <w:tcPr>
            <w:tcW w:w="0" w:type="pct"/>
          </w:tcPr>
          <w:p w14:paraId="21E36FFD" w14:textId="77777777" w:rsidR="0088698C" w:rsidRPr="00957936" w:rsidRDefault="00A51A79"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20</w:t>
            </w:r>
          </w:p>
        </w:tc>
      </w:tr>
      <w:tr w:rsidR="0088698C" w:rsidRPr="00957936" w14:paraId="7C3F77CF" w14:textId="77777777" w:rsidTr="00AF21BE">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pct"/>
            <w:vMerge/>
          </w:tcPr>
          <w:p w14:paraId="5509FADE" w14:textId="77777777" w:rsidR="0088698C" w:rsidRPr="00957936" w:rsidRDefault="0088698C" w:rsidP="0025094E">
            <w:pPr>
              <w:rPr>
                <w:rFonts w:ascii="Arial Narrow" w:hAnsi="Arial Narrow" w:cs="Arial"/>
                <w:sz w:val="18"/>
                <w:szCs w:val="18"/>
              </w:rPr>
            </w:pPr>
          </w:p>
        </w:tc>
        <w:tc>
          <w:tcPr>
            <w:tcW w:w="0" w:type="pct"/>
          </w:tcPr>
          <w:p w14:paraId="7AEA0A56" w14:textId="77777777" w:rsidR="0088698C" w:rsidRPr="00957936" w:rsidRDefault="00A51A79"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Other</w:t>
            </w:r>
          </w:p>
        </w:tc>
        <w:tc>
          <w:tcPr>
            <w:tcW w:w="0" w:type="pct"/>
          </w:tcPr>
          <w:p w14:paraId="7F9B7076" w14:textId="77777777" w:rsidR="0088698C" w:rsidRPr="00957936" w:rsidRDefault="00A51A79"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System Controls and Optimizations</w:t>
            </w:r>
          </w:p>
        </w:tc>
        <w:tc>
          <w:tcPr>
            <w:tcW w:w="0" w:type="pct"/>
          </w:tcPr>
          <w:p w14:paraId="09365C60" w14:textId="77777777" w:rsidR="0088698C" w:rsidRPr="00957936" w:rsidRDefault="00A51A79"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2</w:t>
            </w:r>
          </w:p>
        </w:tc>
        <w:tc>
          <w:tcPr>
            <w:tcW w:w="0" w:type="pct"/>
          </w:tcPr>
          <w:p w14:paraId="05828BF2" w14:textId="77777777" w:rsidR="0088698C" w:rsidRPr="00957936" w:rsidRDefault="00656F0D" w:rsidP="0025094E">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957936">
              <w:rPr>
                <w:rFonts w:ascii="Arial Narrow" w:hAnsi="Arial Narrow" w:cs="Arial"/>
                <w:sz w:val="18"/>
                <w:szCs w:val="18"/>
              </w:rPr>
              <w:t>6</w:t>
            </w:r>
          </w:p>
        </w:tc>
      </w:tr>
      <w:tr w:rsidR="0088698C" w:rsidRPr="00957936" w14:paraId="3955F251" w14:textId="77777777" w:rsidTr="00AF21BE">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0" w:type="pct"/>
            <w:vMerge/>
          </w:tcPr>
          <w:p w14:paraId="29E4498B" w14:textId="77777777" w:rsidR="0088698C" w:rsidRPr="00957936" w:rsidRDefault="0088698C" w:rsidP="0025094E">
            <w:pPr>
              <w:rPr>
                <w:rFonts w:ascii="Arial Narrow" w:hAnsi="Arial Narrow" w:cs="Arial"/>
                <w:sz w:val="18"/>
                <w:szCs w:val="18"/>
              </w:rPr>
            </w:pPr>
          </w:p>
        </w:tc>
        <w:tc>
          <w:tcPr>
            <w:tcW w:w="0" w:type="pct"/>
          </w:tcPr>
          <w:p w14:paraId="35E63163" w14:textId="77777777" w:rsidR="0088698C" w:rsidRPr="00957936" w:rsidRDefault="0088698C"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Total</w:t>
            </w:r>
          </w:p>
        </w:tc>
        <w:tc>
          <w:tcPr>
            <w:tcW w:w="0" w:type="pct"/>
          </w:tcPr>
          <w:p w14:paraId="5B017F46" w14:textId="77777777" w:rsidR="0088698C" w:rsidRPr="00957936" w:rsidRDefault="0088698C"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c>
          <w:tcPr>
            <w:tcW w:w="0" w:type="pct"/>
          </w:tcPr>
          <w:p w14:paraId="637C983D" w14:textId="77777777" w:rsidR="0088698C" w:rsidRPr="00957936" w:rsidRDefault="00A51A79"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26</w:t>
            </w:r>
          </w:p>
        </w:tc>
        <w:tc>
          <w:tcPr>
            <w:tcW w:w="0" w:type="pct"/>
          </w:tcPr>
          <w:p w14:paraId="3DE94702" w14:textId="77777777" w:rsidR="0088698C" w:rsidRPr="00957936" w:rsidRDefault="00656F0D" w:rsidP="0025094E">
            <w:pP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r w:rsidRPr="00957936">
              <w:rPr>
                <w:rFonts w:ascii="Arial Narrow" w:hAnsi="Arial Narrow" w:cs="Arial"/>
                <w:b/>
                <w:sz w:val="18"/>
                <w:szCs w:val="18"/>
              </w:rPr>
              <w:t>515</w:t>
            </w:r>
          </w:p>
        </w:tc>
      </w:tr>
    </w:tbl>
    <w:p w14:paraId="14B528C4" w14:textId="77777777" w:rsidR="00572C26" w:rsidRDefault="00572C26" w:rsidP="00952591">
      <w:pPr>
        <w:widowControl w:val="0"/>
      </w:pPr>
    </w:p>
    <w:p w14:paraId="313DD80E" w14:textId="16ECC7AE" w:rsidR="0088698C" w:rsidRPr="00802E20" w:rsidRDefault="00802E20" w:rsidP="00952591">
      <w:pPr>
        <w:widowControl w:val="0"/>
      </w:pPr>
      <w:r w:rsidRPr="00802E20">
        <w:t>The Industrial and Agriculture sectors of this 2018 study are informed by 515 individual technologies sourced from EEStats</w:t>
      </w:r>
      <w:r>
        <w:t xml:space="preserve"> (as listed in </w:t>
      </w:r>
      <w:r>
        <w:fldChar w:fldCharType="begin"/>
      </w:r>
      <w:r>
        <w:instrText xml:space="preserve"> REF _Ref484437924 \h </w:instrText>
      </w:r>
      <w:r>
        <w:fldChar w:fldCharType="separate"/>
      </w:r>
      <w:r w:rsidR="007566B9">
        <w:t xml:space="preserve">Table </w:t>
      </w:r>
      <w:r w:rsidR="007566B9">
        <w:rPr>
          <w:noProof/>
        </w:rPr>
        <w:t>3</w:t>
      </w:r>
      <w:r w:rsidR="007566B9">
        <w:noBreakHyphen/>
      </w:r>
      <w:r w:rsidR="007566B9">
        <w:rPr>
          <w:noProof/>
        </w:rPr>
        <w:t>17</w:t>
      </w:r>
      <w:r>
        <w:fldChar w:fldCharType="end"/>
      </w:r>
      <w:r>
        <w:t>)</w:t>
      </w:r>
      <w:r w:rsidRPr="00802E20">
        <w:t>. For comparison, the 2015 study was informed by 167 supply curves defining a specific combination of subsector, end-use, measure type, and fuel.</w:t>
      </w:r>
      <w:r>
        <w:t xml:space="preserve">  As a result, </w:t>
      </w:r>
      <w:r>
        <w:lastRenderedPageBreak/>
        <w:t xml:space="preserve">the 2018 study has more granular disaggregation of savings opportunities. </w:t>
      </w:r>
    </w:p>
    <w:p w14:paraId="2C9667A1" w14:textId="77777777" w:rsidR="00952591" w:rsidRPr="008C69A3" w:rsidRDefault="00D81CD9" w:rsidP="008C69A3">
      <w:pPr>
        <w:keepNext/>
        <w:keepLines/>
        <w:numPr>
          <w:ilvl w:val="3"/>
          <w:numId w:val="8"/>
        </w:numPr>
        <w:spacing w:before="360" w:after="240"/>
        <w:ind w:hanging="9144"/>
        <w:outlineLvl w:val="3"/>
        <w:rPr>
          <w:b/>
          <w:bCs/>
          <w:i/>
          <w:iCs/>
          <w:color w:val="555759"/>
          <w:kern w:val="28"/>
          <w:szCs w:val="20"/>
        </w:rPr>
      </w:pPr>
      <w:r w:rsidRPr="008C69A3">
        <w:rPr>
          <w:b/>
          <w:bCs/>
          <w:i/>
          <w:iCs/>
          <w:color w:val="555759"/>
          <w:kern w:val="28"/>
          <w:szCs w:val="20"/>
        </w:rPr>
        <w:t xml:space="preserve">Technology </w:t>
      </w:r>
      <w:r w:rsidR="00952591" w:rsidRPr="008C69A3">
        <w:rPr>
          <w:b/>
          <w:bCs/>
          <w:i/>
          <w:iCs/>
          <w:color w:val="555759"/>
          <w:kern w:val="28"/>
          <w:szCs w:val="20"/>
        </w:rPr>
        <w:t>Characterization</w:t>
      </w:r>
    </w:p>
    <w:p w14:paraId="21125D76" w14:textId="77777777" w:rsidR="00D906E9" w:rsidRDefault="00FB21C6" w:rsidP="00FB21C6">
      <w:r w:rsidRPr="003533A1">
        <w:t>The PG diffusion model require</w:t>
      </w:r>
      <w:r>
        <w:t>d</w:t>
      </w:r>
      <w:r w:rsidRPr="003533A1">
        <w:t xml:space="preserve"> the characterization </w:t>
      </w:r>
      <w:r>
        <w:t xml:space="preserve">of </w:t>
      </w:r>
      <w:r w:rsidRPr="003533A1">
        <w:t xml:space="preserve">a number of </w:t>
      </w:r>
      <w:r>
        <w:t xml:space="preserve">technology-level </w:t>
      </w:r>
      <w:r w:rsidRPr="003533A1">
        <w:t xml:space="preserve">inputs </w:t>
      </w:r>
      <w:r>
        <w:t>including,</w:t>
      </w:r>
      <w:r w:rsidRPr="003533A1">
        <w:t xml:space="preserve"> unit energy savings, unit costs, and the saturation or density of efficient versions of each technology </w:t>
      </w:r>
      <w:r>
        <w:t xml:space="preserve">currently </w:t>
      </w:r>
      <w:r w:rsidRPr="003533A1">
        <w:t>existing in the marketplace. The team mined a number of data sources to complete a comprehensive characterization of the</w:t>
      </w:r>
      <w:r w:rsidR="00D906E9">
        <w:t xml:space="preserve"> agriculture and</w:t>
      </w:r>
      <w:r w:rsidRPr="003533A1">
        <w:t xml:space="preserve"> industrial </w:t>
      </w:r>
      <w:r>
        <w:t>technologies</w:t>
      </w:r>
      <w:r w:rsidRPr="003533A1">
        <w:t xml:space="preserve">. </w:t>
      </w:r>
    </w:p>
    <w:p w14:paraId="589846C4" w14:textId="77777777" w:rsidR="00D906E9" w:rsidRDefault="00D906E9" w:rsidP="004E4E36">
      <w:pPr>
        <w:pStyle w:val="ListParagraph"/>
        <w:numPr>
          <w:ilvl w:val="0"/>
          <w:numId w:val="42"/>
        </w:numPr>
      </w:pPr>
      <w:r>
        <w:rPr>
          <w:b/>
        </w:rPr>
        <w:t xml:space="preserve">Agricultural </w:t>
      </w:r>
      <w:r>
        <w:t>data sources for measure characterization included EEStats, CPUC workpapers</w:t>
      </w:r>
      <w:r w:rsidRPr="003533A1">
        <w:t xml:space="preserve">, and data provided by </w:t>
      </w:r>
      <w:r>
        <w:t xml:space="preserve">the </w:t>
      </w:r>
      <w:r w:rsidRPr="003533A1">
        <w:t xml:space="preserve">investor-owned utilities. </w:t>
      </w:r>
      <w:r>
        <w:t>The team also relied on the Database for Energy Efficiency Resources (DEER) for information on energy savings estimates by technology.</w:t>
      </w:r>
    </w:p>
    <w:p w14:paraId="64DFB14E" w14:textId="77777777" w:rsidR="00FB21C6" w:rsidRDefault="00EE4EC1" w:rsidP="004E4E36">
      <w:pPr>
        <w:pStyle w:val="ListParagraph"/>
        <w:numPr>
          <w:ilvl w:val="0"/>
          <w:numId w:val="42"/>
        </w:numPr>
      </w:pPr>
      <w:r>
        <w:rPr>
          <w:b/>
        </w:rPr>
        <w:t xml:space="preserve">Industrial </w:t>
      </w:r>
      <w:r>
        <w:t xml:space="preserve">data sources were similar to those mined for the agriculture sector, including </w:t>
      </w:r>
      <w:r w:rsidR="0025094E">
        <w:t>EEStats</w:t>
      </w:r>
      <w:r>
        <w:t xml:space="preserve"> and </w:t>
      </w:r>
      <w:r w:rsidRPr="003533A1">
        <w:t xml:space="preserve">data provided by </w:t>
      </w:r>
      <w:r>
        <w:t>IOUs, the CPUC, and the CEC. For energy savings estimates, the team used the</w:t>
      </w:r>
      <w:r w:rsidR="00FB21C6" w:rsidRPr="003533A1">
        <w:t xml:space="preserve"> Industrial Assessment Center (IAC)</w:t>
      </w:r>
      <w:r>
        <w:t>.</w:t>
      </w:r>
      <w:r w:rsidR="00FB21C6">
        <w:rPr>
          <w:rStyle w:val="FootnoteReference"/>
        </w:rPr>
        <w:footnoteReference w:id="67"/>
      </w:r>
      <w:r w:rsidR="00FB21C6" w:rsidRPr="003533A1">
        <w:t xml:space="preserve"> </w:t>
      </w:r>
    </w:p>
    <w:p w14:paraId="74A1F0F3" w14:textId="77777777" w:rsidR="00D906E9" w:rsidRDefault="00D906E9" w:rsidP="00FB21C6"/>
    <w:p w14:paraId="03A57E89" w14:textId="77777777" w:rsidR="00192670" w:rsidRDefault="00192670" w:rsidP="00952591">
      <w:pPr>
        <w:widowControl w:val="0"/>
        <w:rPr>
          <w:b/>
          <w:color w:val="555759" w:themeColor="text2"/>
          <w:szCs w:val="20"/>
        </w:rPr>
      </w:pPr>
      <w:r w:rsidRPr="00F01F52">
        <w:t>Navigant closely reviewed the data sources for agricultural technologies and aggregated common technology details for each input to the diffusion model</w:t>
      </w:r>
      <w:r>
        <w:t>, including energy savings</w:t>
      </w:r>
      <w:r w:rsidR="00871A81">
        <w:t>,</w:t>
      </w:r>
      <w:r>
        <w:t xml:space="preserve"> costs</w:t>
      </w:r>
      <w:r w:rsidR="00871A81">
        <w:t>, effective useful life (EUL), and densities</w:t>
      </w:r>
      <w:r w:rsidRPr="00F01F52">
        <w:t>. The team then weighted the results of each source and rolled them up to estimate the technology-level inputs. For most</w:t>
      </w:r>
      <w:r w:rsidR="00E65372">
        <w:t xml:space="preserve"> of</w:t>
      </w:r>
      <w:r w:rsidRPr="00F01F52">
        <w:t xml:space="preserve"> the measures, Navigant leveraged California-specific resources, but when not applicable or available to certain measure types, Navigant utilized other peer group jurisdictions and substituted in California specific variables where possible</w:t>
      </w:r>
      <w:r w:rsidR="00C85271">
        <w:t xml:space="preserve"> (e.g., for post-harvest process grain dryers, Navigant reviewed the Wisconsin TRM but substituted California specific data for operating hours, moisture content, and other general drying conditions)</w:t>
      </w:r>
      <w:r w:rsidRPr="00F01F52">
        <w:t>.</w:t>
      </w:r>
      <w:r w:rsidR="00C85271">
        <w:rPr>
          <w:rStyle w:val="FootnoteReference"/>
        </w:rPr>
        <w:footnoteReference w:id="68"/>
      </w:r>
      <w:r w:rsidRPr="00F01F52">
        <w:t xml:space="preserve"> </w:t>
      </w:r>
    </w:p>
    <w:p w14:paraId="7EF402BE" w14:textId="77777777" w:rsidR="00DA0F61" w:rsidRPr="00952591" w:rsidRDefault="00DA0F61" w:rsidP="00952591">
      <w:pPr>
        <w:widowControl w:val="0"/>
        <w:rPr>
          <w:b/>
          <w:color w:val="555759" w:themeColor="text2"/>
          <w:szCs w:val="20"/>
        </w:rPr>
      </w:pPr>
    </w:p>
    <w:p w14:paraId="721A1CF8" w14:textId="77777777" w:rsidR="00871A81" w:rsidRDefault="00192670" w:rsidP="00871A81">
      <w:pPr>
        <w:widowControl w:val="0"/>
      </w:pPr>
      <w:r>
        <w:t>For the industrial technologies, t</w:t>
      </w:r>
      <w:r w:rsidR="00FB21C6">
        <w:t xml:space="preserve">he team used </w:t>
      </w:r>
      <w:r w:rsidR="00871A81">
        <w:t xml:space="preserve">a mix of data sources to characterize the inputs to the diffusion model. </w:t>
      </w:r>
    </w:p>
    <w:p w14:paraId="6ED6504D" w14:textId="77777777" w:rsidR="00871A81" w:rsidRDefault="00871A81" w:rsidP="00871A81">
      <w:pPr>
        <w:widowControl w:val="0"/>
      </w:pPr>
    </w:p>
    <w:p w14:paraId="2ED37DB4" w14:textId="77777777" w:rsidR="00FB21C6" w:rsidRDefault="00871A81" w:rsidP="00871A81">
      <w:pPr>
        <w:widowControl w:val="0"/>
      </w:pPr>
      <w:r w:rsidRPr="00871A81">
        <w:rPr>
          <w:b/>
          <w:i/>
          <w:color w:val="555759" w:themeColor="text2"/>
        </w:rPr>
        <w:t xml:space="preserve">Energy Savings. </w:t>
      </w:r>
      <w:r w:rsidRPr="00517D76">
        <w:t xml:space="preserve">The team used </w:t>
      </w:r>
      <w:r w:rsidR="00FB21C6" w:rsidRPr="00517D76">
        <w:t xml:space="preserve">data </w:t>
      </w:r>
      <w:r w:rsidR="00FB21C6">
        <w:t xml:space="preserve">from the national IAC database to supplement </w:t>
      </w:r>
      <w:r w:rsidR="0025094E">
        <w:t>EEStats</w:t>
      </w:r>
      <w:r w:rsidR="00FB21C6">
        <w:t xml:space="preserve"> data, and inform the energy savings estimates for the industrial diffusion technologies. The IAC network is comprised of 24 universities which have completed over 16,000 industrial assessments at industrial facilities across the nation. Each </w:t>
      </w:r>
      <w:r w:rsidR="00FB21C6" w:rsidRPr="00F60B5F">
        <w:t>assessmen</w:t>
      </w:r>
      <w:r w:rsidR="00FB21C6">
        <w:t>t</w:t>
      </w:r>
      <w:r w:rsidR="00FB21C6" w:rsidRPr="00F60B5F">
        <w:t xml:space="preserve"> completed by the IAC include</w:t>
      </w:r>
      <w:r w:rsidR="00FB21C6">
        <w:t>s detailed r</w:t>
      </w:r>
      <w:r w:rsidR="00FB21C6" w:rsidRPr="00F60B5F">
        <w:t>ecommendations for improving energy consumption</w:t>
      </w:r>
      <w:r w:rsidR="00FB21C6">
        <w:t xml:space="preserve"> at a given site,</w:t>
      </w:r>
      <w:r w:rsidR="00FB21C6">
        <w:rPr>
          <w:rStyle w:val="FootnoteReference"/>
        </w:rPr>
        <w:footnoteReference w:id="69"/>
      </w:r>
      <w:r w:rsidR="00FB21C6">
        <w:t xml:space="preserve"> the specific energy savings the site can expect by implementing such improvements, and the total energy each site currently uses. Navigant notes that the PG Model study efforts have relied on IAC data since 2011.</w:t>
      </w:r>
    </w:p>
    <w:p w14:paraId="028A333E" w14:textId="77777777" w:rsidR="001D3636" w:rsidRDefault="001D3636" w:rsidP="001D3636">
      <w:pPr>
        <w:widowControl w:val="0"/>
      </w:pPr>
    </w:p>
    <w:p w14:paraId="0ADC84A1" w14:textId="77777777" w:rsidR="00FB21C6" w:rsidRPr="00F60B5F" w:rsidRDefault="00FB21C6" w:rsidP="00FB21C6">
      <w:pPr>
        <w:widowControl w:val="0"/>
      </w:pPr>
      <w:r>
        <w:t xml:space="preserve">Navigant </w:t>
      </w:r>
      <w:r w:rsidRPr="00F60B5F">
        <w:t xml:space="preserve">mapped </w:t>
      </w:r>
      <w:r w:rsidR="001D3B84" w:rsidRPr="00F60B5F">
        <w:t>all</w:t>
      </w:r>
      <w:r w:rsidRPr="00F60B5F">
        <w:t xml:space="preserve"> the unique IAC recommendations to the list of </w:t>
      </w:r>
      <w:r>
        <w:t>identified deemed or identified custom</w:t>
      </w:r>
      <w:r w:rsidRPr="00F60B5F">
        <w:t xml:space="preserve"> </w:t>
      </w:r>
      <w:r w:rsidRPr="00F60B5F">
        <w:lastRenderedPageBreak/>
        <w:t xml:space="preserve">industrial </w:t>
      </w:r>
      <w:r>
        <w:t xml:space="preserve">technologies </w:t>
      </w:r>
      <w:r w:rsidRPr="00F60B5F">
        <w:t xml:space="preserve">created from the </w:t>
      </w:r>
      <w:r w:rsidR="0025094E">
        <w:t>EEStats</w:t>
      </w:r>
      <w:r w:rsidRPr="00F60B5F">
        <w:t xml:space="preserve"> database</w:t>
      </w:r>
      <w:r>
        <w:t xml:space="preserve">. The team then used NAICS coding to sum </w:t>
      </w:r>
      <w:r w:rsidRPr="00F60B5F">
        <w:t xml:space="preserve">the energy savings estimates for </w:t>
      </w:r>
      <w:r>
        <w:t xml:space="preserve">each technology to the entire industrial sector level by building type, and divided it by the total </w:t>
      </w:r>
      <w:r w:rsidRPr="00F60B5F">
        <w:t xml:space="preserve">energy consumption </w:t>
      </w:r>
      <w:r>
        <w:t xml:space="preserve">for all buildings of that type. This provided the </w:t>
      </w:r>
      <w:r w:rsidRPr="00F60B5F">
        <w:t xml:space="preserve">percentage </w:t>
      </w:r>
      <w:r>
        <w:t>each technology saves by building type across the entire industrial sector</w:t>
      </w:r>
      <w:r w:rsidRPr="00F60B5F">
        <w:t>.</w:t>
      </w:r>
      <w:r>
        <w:rPr>
          <w:rStyle w:val="FootnoteReference"/>
        </w:rPr>
        <w:footnoteReference w:id="70"/>
      </w:r>
      <w:r>
        <w:t xml:space="preserve"> </w:t>
      </w:r>
      <w:r w:rsidRPr="00F60B5F">
        <w:t xml:space="preserve">The team followed this process for both electric </w:t>
      </w:r>
      <w:r>
        <w:t xml:space="preserve">(kWh) </w:t>
      </w:r>
      <w:r w:rsidRPr="00F60B5F">
        <w:t xml:space="preserve">and gas </w:t>
      </w:r>
      <w:r>
        <w:t xml:space="preserve">(therm) </w:t>
      </w:r>
      <w:r w:rsidRPr="00F60B5F">
        <w:t>consuming industrial measures.</w:t>
      </w:r>
      <w:r>
        <w:t xml:space="preserve"> </w:t>
      </w:r>
    </w:p>
    <w:p w14:paraId="48D8C352" w14:textId="77777777" w:rsidR="00952591" w:rsidRDefault="00952591" w:rsidP="00952591">
      <w:pPr>
        <w:widowControl w:val="0"/>
      </w:pPr>
    </w:p>
    <w:p w14:paraId="3EC9FF6A" w14:textId="77777777" w:rsidR="00FB21C6" w:rsidRDefault="00FB21C6" w:rsidP="00FB21C6">
      <w:pPr>
        <w:widowControl w:val="0"/>
      </w:pPr>
      <w:r>
        <w:t xml:space="preserve">The IAC database included robust, informative data for all but a few industrial technologies. The technologies not included in IAC, but identified in </w:t>
      </w:r>
      <w:r w:rsidR="0025094E">
        <w:t>EEStats</w:t>
      </w:r>
      <w:r>
        <w:t>, were LED Lighting, Injection Molding, and Wastewater Aerators.</w:t>
      </w:r>
    </w:p>
    <w:p w14:paraId="66585FDF" w14:textId="77777777" w:rsidR="00952591" w:rsidRDefault="00952591" w:rsidP="00952591">
      <w:pPr>
        <w:widowControl w:val="0"/>
      </w:pPr>
      <w:r>
        <w:t xml:space="preserve"> </w:t>
      </w:r>
    </w:p>
    <w:p w14:paraId="6762CA19" w14:textId="77777777" w:rsidR="00952591" w:rsidRDefault="00952591" w:rsidP="00952591">
      <w:pPr>
        <w:widowControl w:val="0"/>
      </w:pPr>
      <w:r w:rsidRPr="00512D78">
        <w:rPr>
          <w:i/>
        </w:rPr>
        <w:t>Lighting</w:t>
      </w:r>
      <w:r w:rsidR="00C734A0">
        <w:rPr>
          <w:i/>
        </w:rPr>
        <w:t xml:space="preserve"> End Use</w:t>
      </w:r>
      <w:r w:rsidR="00512D78">
        <w:rPr>
          <w:i/>
        </w:rPr>
        <w:t>:</w:t>
      </w:r>
      <w:r w:rsidRPr="00512D78">
        <w:rPr>
          <w:i/>
        </w:rPr>
        <w:t xml:space="preserve"> </w:t>
      </w:r>
      <w:r>
        <w:t xml:space="preserve">Navigant </w:t>
      </w:r>
      <w:r w:rsidR="001D3B84">
        <w:t xml:space="preserve">leveraged </w:t>
      </w:r>
      <w:r>
        <w:t xml:space="preserve">commercial </w:t>
      </w:r>
      <w:r w:rsidR="001D3B84">
        <w:t xml:space="preserve">sector </w:t>
      </w:r>
      <w:r>
        <w:t xml:space="preserve">data for all industrial </w:t>
      </w:r>
      <w:r w:rsidR="00C734A0">
        <w:t xml:space="preserve">and agriculture </w:t>
      </w:r>
      <w:r>
        <w:t xml:space="preserve">lighting measures. To account for differences in </w:t>
      </w:r>
      <w:r w:rsidR="00C734A0">
        <w:t xml:space="preserve">lighting characteristics </w:t>
      </w:r>
      <w:r w:rsidR="007A3EC6">
        <w:t>between commercial, industrial, and agriculture</w:t>
      </w:r>
      <w:r w:rsidR="00C734A0">
        <w:t xml:space="preserve"> sector</w:t>
      </w:r>
      <w:r w:rsidR="007A3EC6">
        <w:t>s</w:t>
      </w:r>
      <w:r>
        <w:t xml:space="preserve">, the team applied a </w:t>
      </w:r>
      <w:r w:rsidR="00C734A0">
        <w:t>50</w:t>
      </w:r>
      <w:r>
        <w:t xml:space="preserve"> percent </w:t>
      </w:r>
      <w:r w:rsidR="00C734A0">
        <w:t>technical suitability</w:t>
      </w:r>
      <w:r>
        <w:t xml:space="preserve"> </w:t>
      </w:r>
      <w:r w:rsidR="00C734A0">
        <w:t>factor</w:t>
      </w:r>
      <w:r>
        <w:t xml:space="preserve"> to the industrial </w:t>
      </w:r>
      <w:r w:rsidR="00C734A0">
        <w:t>and agriculture</w:t>
      </w:r>
      <w:r>
        <w:t xml:space="preserve"> savings results</w:t>
      </w:r>
      <w:r w:rsidR="00C734A0">
        <w:t xml:space="preserve"> for lighting controls</w:t>
      </w:r>
      <w:r>
        <w:t>.</w:t>
      </w:r>
      <w:r>
        <w:rPr>
          <w:rStyle w:val="FootnoteReference"/>
        </w:rPr>
        <w:footnoteReference w:id="71"/>
      </w:r>
      <w:r>
        <w:t xml:space="preserve"> </w:t>
      </w:r>
    </w:p>
    <w:p w14:paraId="53F003FD" w14:textId="77777777" w:rsidR="00952591" w:rsidRDefault="00952591" w:rsidP="00952591">
      <w:pPr>
        <w:widowControl w:val="0"/>
      </w:pPr>
    </w:p>
    <w:p w14:paraId="39D5D1C2" w14:textId="77777777" w:rsidR="00952591" w:rsidRDefault="00952591" w:rsidP="00952591">
      <w:pPr>
        <w:widowControl w:val="0"/>
      </w:pPr>
      <w:r w:rsidRPr="00512D78">
        <w:rPr>
          <w:i/>
        </w:rPr>
        <w:t>Injection Molding and Wastewater Aerators</w:t>
      </w:r>
      <w:r w:rsidR="00512D78">
        <w:rPr>
          <w:i/>
        </w:rPr>
        <w:t>:</w:t>
      </w:r>
      <w:r>
        <w:t xml:space="preserve"> Southern California Edison (SCE) provided </w:t>
      </w:r>
      <w:r w:rsidR="00C15C0B">
        <w:t xml:space="preserve">work paper </w:t>
      </w:r>
      <w:r>
        <w:t xml:space="preserve">data regarding actual savings estimates from the installation of these two </w:t>
      </w:r>
      <w:r w:rsidR="00595A79">
        <w:t>technologies</w:t>
      </w:r>
      <w:r>
        <w:t xml:space="preserve">, which the team used to estimate sector level savings percentages. </w:t>
      </w:r>
    </w:p>
    <w:p w14:paraId="5ADCD8F1" w14:textId="77777777" w:rsidR="00952591" w:rsidRPr="001562DD" w:rsidRDefault="00952591" w:rsidP="00952591">
      <w:pPr>
        <w:widowControl w:val="0"/>
      </w:pPr>
    </w:p>
    <w:p w14:paraId="657B6ABE" w14:textId="77777777" w:rsidR="00952591" w:rsidRDefault="00952591" w:rsidP="00952591">
      <w:pPr>
        <w:widowControl w:val="0"/>
      </w:pPr>
      <w:r w:rsidRPr="00871A81">
        <w:rPr>
          <w:b/>
          <w:i/>
          <w:color w:val="555759" w:themeColor="text2"/>
        </w:rPr>
        <w:t>Costs</w:t>
      </w:r>
      <w:r w:rsidR="00871A81">
        <w:rPr>
          <w:b/>
          <w:i/>
          <w:color w:val="555759" w:themeColor="text2"/>
        </w:rPr>
        <w:t xml:space="preserve">. </w:t>
      </w:r>
      <w:r>
        <w:t xml:space="preserve">Navigant </w:t>
      </w:r>
      <w:r w:rsidR="00247B57">
        <w:t>primarily</w:t>
      </w:r>
      <w:r>
        <w:t xml:space="preserve"> used the </w:t>
      </w:r>
      <w:r w:rsidR="0025094E">
        <w:t>EEStats</w:t>
      </w:r>
      <w:r>
        <w:t xml:space="preserve"> database to calculate the incremental cost per </w:t>
      </w:r>
      <w:r w:rsidR="0064248D">
        <w:t>unit energy savings for technologies</w:t>
      </w:r>
      <w:r>
        <w:t xml:space="preserve"> included in the industrial </w:t>
      </w:r>
      <w:r w:rsidR="00247B57">
        <w:t xml:space="preserve">and agriculture </w:t>
      </w:r>
      <w:r>
        <w:t>analysis.</w:t>
      </w:r>
      <w:r w:rsidR="00C34F94">
        <w:rPr>
          <w:rStyle w:val="FootnoteReference"/>
        </w:rPr>
        <w:footnoteReference w:id="72"/>
      </w:r>
      <w:r>
        <w:t xml:space="preserve"> </w:t>
      </w:r>
      <w:r w:rsidR="00C34F94">
        <w:t>The team multiplied the incremental cost per unit by the technology energy savings to estimate technology costs.</w:t>
      </w:r>
      <w:r w:rsidR="00811332">
        <w:t xml:space="preserve"> </w:t>
      </w:r>
    </w:p>
    <w:p w14:paraId="4ABAE905" w14:textId="77777777" w:rsidR="00512D78" w:rsidRDefault="00512D78" w:rsidP="00952591">
      <w:pPr>
        <w:widowControl w:val="0"/>
      </w:pPr>
    </w:p>
    <w:p w14:paraId="7F8A312A" w14:textId="77777777" w:rsidR="00D906E9" w:rsidRPr="001562DD" w:rsidRDefault="00512D78" w:rsidP="00512D78">
      <w:pPr>
        <w:widowControl w:val="0"/>
      </w:pPr>
      <w:r w:rsidRPr="00871A81">
        <w:rPr>
          <w:b/>
          <w:i/>
          <w:color w:val="555759" w:themeColor="text2"/>
        </w:rPr>
        <w:t>EUL and NTG</w:t>
      </w:r>
      <w:r w:rsidR="00871A81">
        <w:rPr>
          <w:b/>
          <w:i/>
          <w:color w:val="555759" w:themeColor="text2"/>
        </w:rPr>
        <w:t xml:space="preserve">. </w:t>
      </w:r>
      <w:r>
        <w:t xml:space="preserve">Navigant used the </w:t>
      </w:r>
      <w:r w:rsidR="0025094E">
        <w:t>EEStats</w:t>
      </w:r>
      <w:r>
        <w:t xml:space="preserve"> database to calculate the EUL and net-to-gross (NTG) </w:t>
      </w:r>
      <w:r w:rsidR="00B9736A">
        <w:t xml:space="preserve">ratios </w:t>
      </w:r>
      <w:r>
        <w:t xml:space="preserve">for all technologies included in the industrial </w:t>
      </w:r>
      <w:r w:rsidR="003D2661">
        <w:t xml:space="preserve">technology </w:t>
      </w:r>
      <w:r>
        <w:t>list.</w:t>
      </w:r>
      <w:r w:rsidR="00C34F94" w:rsidRPr="001562DD">
        <w:t xml:space="preserve"> </w:t>
      </w:r>
    </w:p>
    <w:p w14:paraId="738D1BFB" w14:textId="77777777" w:rsidR="00512D78" w:rsidRDefault="00512D78" w:rsidP="00512D78">
      <w:pPr>
        <w:widowControl w:val="0"/>
      </w:pPr>
    </w:p>
    <w:p w14:paraId="0777529D" w14:textId="77777777" w:rsidR="00952591" w:rsidRDefault="00952591" w:rsidP="00871A81">
      <w:pPr>
        <w:widowControl w:val="0"/>
      </w:pPr>
      <w:r w:rsidRPr="00871A81">
        <w:rPr>
          <w:b/>
          <w:i/>
          <w:color w:val="555759" w:themeColor="text2"/>
        </w:rPr>
        <w:t>Saturations and Densities</w:t>
      </w:r>
      <w:r w:rsidR="00871A81">
        <w:rPr>
          <w:b/>
          <w:i/>
          <w:color w:val="555759" w:themeColor="text2"/>
        </w:rPr>
        <w:t xml:space="preserve">. </w:t>
      </w:r>
      <w:r w:rsidR="00C34F94">
        <w:t xml:space="preserve">Technology </w:t>
      </w:r>
      <w:r w:rsidR="00C87C49">
        <w:t>characterization</w:t>
      </w:r>
      <w:r>
        <w:t xml:space="preserve"> requires </w:t>
      </w:r>
      <w:r w:rsidR="00C87C49">
        <w:t>data on the</w:t>
      </w:r>
      <w:r>
        <w:t xml:space="preserve"> saturation of efficient technologies </w:t>
      </w:r>
      <w:r w:rsidR="00C34F94">
        <w:t xml:space="preserve">currently </w:t>
      </w:r>
      <w:r>
        <w:t xml:space="preserve">existing in the industrial marketplace. This provides a clearer picture of how much potential energy savings still exists by upgrading </w:t>
      </w:r>
      <w:r w:rsidR="00C87C49">
        <w:t xml:space="preserve">remaining baseline </w:t>
      </w:r>
      <w:r>
        <w:t>technologies w</w:t>
      </w:r>
      <w:r w:rsidRPr="006816CA">
        <w:t xml:space="preserve">ithin that marketplace. For industrial </w:t>
      </w:r>
      <w:r w:rsidR="00C34F94">
        <w:t xml:space="preserve">technologies </w:t>
      </w:r>
      <w:r w:rsidRPr="006816CA">
        <w:t xml:space="preserve">analyzed using the IAC database, the team </w:t>
      </w:r>
      <w:r w:rsidR="00C34F94">
        <w:t>assumed</w:t>
      </w:r>
      <w:r w:rsidRPr="006816CA">
        <w:t xml:space="preserve"> </w:t>
      </w:r>
      <w:r>
        <w:t xml:space="preserve">that every recommendation made at an industrial facility meant that this facility still had the inefficient </w:t>
      </w:r>
      <w:r w:rsidR="00C34F94">
        <w:t>baseline technology installed</w:t>
      </w:r>
      <w:r>
        <w:t xml:space="preserve">. For example, if a facility received a recommendation to upgrade their lighting system, the team assumed that this facility still used inefficient or baseline lighting technologies. This assumption allowed the team to identify the percentage of sites with baseline equipment (i.e., those </w:t>
      </w:r>
      <w:r>
        <w:lastRenderedPageBreak/>
        <w:t>receiving a recommendation</w:t>
      </w:r>
      <w:r w:rsidR="00C87C49">
        <w:t xml:space="preserve"> for a </w:t>
      </w:r>
      <w:r w:rsidR="00C34F94">
        <w:t>technology</w:t>
      </w:r>
      <w:r>
        <w:t>).</w:t>
      </w:r>
      <w:r>
        <w:rPr>
          <w:rStyle w:val="FootnoteReference"/>
        </w:rPr>
        <w:footnoteReference w:id="73"/>
      </w:r>
      <w:r>
        <w:t xml:space="preserve"> The team then used this baseline percentage as one of the variables for calculating the total sector savings available for each measure defined in the Energy Savings section above.</w:t>
      </w:r>
    </w:p>
    <w:p w14:paraId="07A91034" w14:textId="77777777" w:rsidR="00952591" w:rsidRDefault="00952591" w:rsidP="00952591">
      <w:pPr>
        <w:keepNext/>
      </w:pPr>
    </w:p>
    <w:p w14:paraId="7BDF5315" w14:textId="77777777" w:rsidR="00952591" w:rsidRDefault="00952591" w:rsidP="00952591">
      <w:pPr>
        <w:keepNext/>
      </w:pPr>
      <w:r>
        <w:t xml:space="preserve">For measures not covered in the IAC database, the team used professional </w:t>
      </w:r>
      <w:r w:rsidR="00B73BA9">
        <w:t>judgment</w:t>
      </w:r>
      <w:r>
        <w:t xml:space="preserve">, based on data sources such as commercial </w:t>
      </w:r>
      <w:r w:rsidR="00C87C49">
        <w:t xml:space="preserve">sector saturation </w:t>
      </w:r>
      <w:r>
        <w:t>data and feedback from stakeholders, to estimate a density of efficient versus inefficient technology.</w:t>
      </w:r>
    </w:p>
    <w:p w14:paraId="418355AC" w14:textId="77777777" w:rsidR="001523B0" w:rsidRPr="00874242" w:rsidRDefault="001523B0" w:rsidP="001523B0">
      <w:pPr>
        <w:pStyle w:val="Heading3"/>
      </w:pPr>
      <w:bookmarkStart w:id="532" w:name="_Toc479768593"/>
      <w:bookmarkStart w:id="533" w:name="_Toc482357314"/>
      <w:bookmarkStart w:id="534" w:name="_Toc482634289"/>
      <w:bookmarkStart w:id="535" w:name="_Toc482626421"/>
      <w:bookmarkStart w:id="536" w:name="_Toc484092492"/>
      <w:bookmarkStart w:id="537" w:name="_Toc484172696"/>
      <w:bookmarkStart w:id="538" w:name="_Toc484183032"/>
      <w:bookmarkStart w:id="539" w:name="_Toc490225795"/>
      <w:r w:rsidRPr="00874242">
        <w:t>Mining Sector</w:t>
      </w:r>
      <w:bookmarkEnd w:id="532"/>
      <w:bookmarkEnd w:id="533"/>
      <w:bookmarkEnd w:id="534"/>
      <w:bookmarkEnd w:id="535"/>
      <w:bookmarkEnd w:id="536"/>
      <w:bookmarkEnd w:id="537"/>
      <w:bookmarkEnd w:id="538"/>
      <w:bookmarkEnd w:id="539"/>
    </w:p>
    <w:p w14:paraId="667A89DD" w14:textId="77777777" w:rsidR="00874242" w:rsidRDefault="00874242" w:rsidP="00874242">
      <w:r>
        <w:t>The PG Model and the updates for the 2018 effort rely on the mining sector inputs established in previous studies.</w:t>
      </w:r>
      <w:r>
        <w:rPr>
          <w:rStyle w:val="FootnoteReference"/>
        </w:rPr>
        <w:footnoteReference w:id="74"/>
      </w:r>
      <w:r>
        <w:t xml:space="preserve"> Navigant defined the mining sector inputs using a bottom-up approach consistent with the other AIMS sectors. The team sourced data from several sources including region-specific information on oil and gas extraction activities from the California Department of Conservation.</w:t>
      </w:r>
      <w:r>
        <w:rPr>
          <w:rStyle w:val="FootnoteReference"/>
        </w:rPr>
        <w:footnoteReference w:id="75"/>
      </w:r>
      <w:r>
        <w:t xml:space="preserve"> This data provided the number of active and idle wells; the amount of oil and water produced from wells; the amount of steam and hot water generated for mining operations; and the number new wells created.</w:t>
      </w:r>
      <w:r>
        <w:rPr>
          <w:rStyle w:val="FootnoteReference"/>
        </w:rPr>
        <w:footnoteReference w:id="76"/>
      </w:r>
    </w:p>
    <w:p w14:paraId="0607D016" w14:textId="77777777" w:rsidR="00874242" w:rsidRDefault="00874242" w:rsidP="00874242"/>
    <w:p w14:paraId="74C68593" w14:textId="77777777" w:rsidR="001523B0" w:rsidRDefault="00874242" w:rsidP="00412E8E">
      <w:r>
        <w:t xml:space="preserve">The Navigant team also used consumption data from the CPUC and other secondary sources, including IOU program data, and industry-specific reports and studies. These sources inform estimates for energy savings, costs, EUL, and NTG. Navigant also updated select model inputs such as equipment stocks, sector consumption, and saturations of efficient equipment. </w:t>
      </w:r>
    </w:p>
    <w:p w14:paraId="7EFF5155" w14:textId="77777777" w:rsidR="001523B0" w:rsidRPr="00E510BB" w:rsidRDefault="001523B0" w:rsidP="001523B0">
      <w:pPr>
        <w:pStyle w:val="Heading3"/>
      </w:pPr>
      <w:bookmarkStart w:id="540" w:name="_Toc479768594"/>
      <w:bookmarkStart w:id="541" w:name="_Toc482357315"/>
      <w:bookmarkStart w:id="542" w:name="_Toc482634290"/>
      <w:bookmarkStart w:id="543" w:name="_Toc482626422"/>
      <w:bookmarkStart w:id="544" w:name="_Toc484092493"/>
      <w:bookmarkStart w:id="545" w:name="_Toc484172697"/>
      <w:bookmarkStart w:id="546" w:name="_Toc484183033"/>
      <w:bookmarkStart w:id="547" w:name="_Toc490225796"/>
      <w:r w:rsidRPr="00E510BB">
        <w:t>Street Lighting</w:t>
      </w:r>
      <w:bookmarkEnd w:id="540"/>
      <w:r w:rsidR="00874242" w:rsidRPr="00E510BB">
        <w:t xml:space="preserve"> Sector</w:t>
      </w:r>
      <w:bookmarkEnd w:id="541"/>
      <w:bookmarkEnd w:id="542"/>
      <w:bookmarkEnd w:id="543"/>
      <w:bookmarkEnd w:id="544"/>
      <w:bookmarkEnd w:id="545"/>
      <w:bookmarkEnd w:id="546"/>
      <w:bookmarkEnd w:id="547"/>
    </w:p>
    <w:p w14:paraId="23E030AD" w14:textId="77777777" w:rsidR="00874242" w:rsidRDefault="003F4950" w:rsidP="00874242">
      <w:r>
        <w:t>Like</w:t>
      </w:r>
      <w:r w:rsidR="00874242">
        <w:t xml:space="preserve"> the </w:t>
      </w:r>
      <w:r w:rsidR="00E510BB">
        <w:t>m</w:t>
      </w:r>
      <w:r w:rsidR="00874242">
        <w:t xml:space="preserve">ining sector, </w:t>
      </w:r>
      <w:r w:rsidR="00E510BB">
        <w:t>t</w:t>
      </w:r>
      <w:r w:rsidR="00874242">
        <w:t>he PG Mod</w:t>
      </w:r>
      <w:r w:rsidR="00E510BB">
        <w:t>el and the updates for the 2018</w:t>
      </w:r>
      <w:r w:rsidR="00874242">
        <w:t xml:space="preserve"> Street Lighting effort rely on the inputs established in previous studies.</w:t>
      </w:r>
      <w:r w:rsidR="00874242">
        <w:rPr>
          <w:rStyle w:val="FootnoteReference"/>
        </w:rPr>
        <w:footnoteReference w:id="77"/>
      </w:r>
      <w:r w:rsidR="00874242">
        <w:t xml:space="preserve"> </w:t>
      </w:r>
      <w:r w:rsidR="00E510BB">
        <w:t xml:space="preserve">The team also used a </w:t>
      </w:r>
      <w:r w:rsidR="00874242">
        <w:t xml:space="preserve">bottom-up approach </w:t>
      </w:r>
      <w:r w:rsidR="00E510BB">
        <w:t>to define sector inputs.</w:t>
      </w:r>
      <w:r w:rsidR="00874242">
        <w:t xml:space="preserve"> </w:t>
      </w:r>
      <w:r w:rsidR="00E510BB">
        <w:t>I</w:t>
      </w:r>
      <w:r w:rsidR="00874242">
        <w:t>nformation prov</w:t>
      </w:r>
      <w:r w:rsidR="00E510BB">
        <w:t>ided directly by the IOUs served</w:t>
      </w:r>
      <w:r w:rsidR="00874242">
        <w:t xml:space="preserve"> as the primary basis for </w:t>
      </w:r>
      <w:r w:rsidR="00E510BB">
        <w:t xml:space="preserve">street lighting </w:t>
      </w:r>
      <w:r w:rsidR="00874242">
        <w:t>inputs</w:t>
      </w:r>
      <w:r w:rsidR="00E510BB">
        <w:t>,</w:t>
      </w:r>
      <w:r w:rsidR="00874242">
        <w:t xml:space="preserve"> </w:t>
      </w:r>
      <w:r w:rsidR="00E510BB">
        <w:t>s</w:t>
      </w:r>
      <w:r w:rsidR="00874242">
        <w:t>pecifically</w:t>
      </w:r>
      <w:r w:rsidR="00E510BB">
        <w:t xml:space="preserve"> the </w:t>
      </w:r>
      <w:r w:rsidR="00874242">
        <w:t xml:space="preserve">inventories of customer-owned and IOU-owned street lights </w:t>
      </w:r>
      <w:r w:rsidR="00E510BB">
        <w:t xml:space="preserve">included in </w:t>
      </w:r>
      <w:r w:rsidR="00874242">
        <w:t>the LS-1 and LS-2 rate classes.</w:t>
      </w:r>
      <w:r w:rsidR="00874242">
        <w:rPr>
          <w:rStyle w:val="FootnoteReference"/>
        </w:rPr>
        <w:footnoteReference w:id="78"/>
      </w:r>
      <w:r w:rsidR="00874242">
        <w:t xml:space="preserve"> The PG Model outputs reflect potential </w:t>
      </w:r>
      <w:r w:rsidR="00E510BB">
        <w:t xml:space="preserve">energy savings </w:t>
      </w:r>
      <w:r w:rsidR="00874242">
        <w:t xml:space="preserve">associated only with customer-owned lamps (LS-2 rate schedule). However, Navigant </w:t>
      </w:r>
      <w:r w:rsidR="00E510BB">
        <w:t>gathered</w:t>
      </w:r>
      <w:r w:rsidR="00874242">
        <w:t xml:space="preserve"> data on IOU-own lamps (LS-1 rate schedule) to aid </w:t>
      </w:r>
      <w:r w:rsidR="00E510BB">
        <w:t xml:space="preserve">with </w:t>
      </w:r>
      <w:r w:rsidR="00874242">
        <w:t xml:space="preserve">data vetting and </w:t>
      </w:r>
      <w:r w:rsidR="00E510BB">
        <w:t>quality control</w:t>
      </w:r>
      <w:r w:rsidR="00874242">
        <w:t xml:space="preserve">. </w:t>
      </w:r>
    </w:p>
    <w:p w14:paraId="6AB82DFE" w14:textId="77777777" w:rsidR="00874242" w:rsidRDefault="00874242" w:rsidP="00874242"/>
    <w:p w14:paraId="36C95E9D" w14:textId="77777777" w:rsidR="001523B0" w:rsidRDefault="00874242" w:rsidP="00412E8E">
      <w:r>
        <w:t>The IOU street lighting inventories inform several model inputs including equipment stocks, densities, and saturations of efficient equipment. Finally, Navigant also relied on secondary sources to update equipment costs. The team revised cost forecasts for LEDs with information from the DOE’s Solid State Lighting program.</w:t>
      </w:r>
      <w:r>
        <w:rPr>
          <w:rStyle w:val="FootnoteReference"/>
        </w:rPr>
        <w:footnoteReference w:id="79"/>
      </w:r>
    </w:p>
    <w:p w14:paraId="663F71BE" w14:textId="77777777" w:rsidR="008F576F" w:rsidRDefault="008F576F" w:rsidP="00181A55">
      <w:pPr>
        <w:pStyle w:val="Heading2"/>
        <w:keepLines/>
      </w:pPr>
      <w:bookmarkStart w:id="548" w:name="_Toc478990517"/>
      <w:bookmarkStart w:id="549" w:name="_Toc479768595"/>
      <w:bookmarkStart w:id="550" w:name="_Ref482355173"/>
      <w:bookmarkStart w:id="551" w:name="_Toc482357316"/>
      <w:bookmarkStart w:id="552" w:name="_Ref482543555"/>
      <w:bookmarkStart w:id="553" w:name="_Toc482634291"/>
      <w:bookmarkStart w:id="554" w:name="_Toc482626423"/>
      <w:bookmarkStart w:id="555" w:name="_Toc484092494"/>
      <w:bookmarkStart w:id="556" w:name="_Toc484172698"/>
      <w:bookmarkStart w:id="557" w:name="_Toc484183034"/>
      <w:bookmarkStart w:id="558" w:name="_Toc490225797"/>
      <w:r w:rsidRPr="00383D8B">
        <w:lastRenderedPageBreak/>
        <w:t>Industrial</w:t>
      </w:r>
      <w:r>
        <w:t xml:space="preserve"> </w:t>
      </w:r>
      <w:r w:rsidR="0097308A">
        <w:t>and Agriculture Custom Technologies</w:t>
      </w:r>
      <w:r>
        <w:t xml:space="preserve"> </w:t>
      </w:r>
      <w:r w:rsidR="00190AA0">
        <w:t>Data Sources</w:t>
      </w:r>
      <w:bookmarkEnd w:id="548"/>
      <w:bookmarkEnd w:id="549"/>
      <w:bookmarkEnd w:id="550"/>
      <w:bookmarkEnd w:id="551"/>
      <w:bookmarkEnd w:id="552"/>
      <w:bookmarkEnd w:id="553"/>
      <w:bookmarkEnd w:id="554"/>
      <w:bookmarkEnd w:id="555"/>
      <w:bookmarkEnd w:id="556"/>
      <w:bookmarkEnd w:id="557"/>
      <w:bookmarkEnd w:id="558"/>
    </w:p>
    <w:p w14:paraId="2AFB7585" w14:textId="77777777" w:rsidR="008F576F" w:rsidRDefault="0097308A" w:rsidP="00181A55">
      <w:pPr>
        <w:keepNext/>
        <w:keepLines/>
      </w:pPr>
      <w:r>
        <w:t>This section describes the data sources used to characterize the custom and emerging technologies for the Industrial and Agriculture sectors.</w:t>
      </w:r>
    </w:p>
    <w:p w14:paraId="0BD82D96" w14:textId="77777777" w:rsidR="0097308A" w:rsidRDefault="0097308A" w:rsidP="00181A55">
      <w:pPr>
        <w:pStyle w:val="Heading3"/>
        <w:keepLines/>
      </w:pPr>
      <w:bookmarkStart w:id="559" w:name="_Toc482357317"/>
      <w:bookmarkStart w:id="560" w:name="_Toc482634292"/>
      <w:bookmarkStart w:id="561" w:name="_Toc482626424"/>
      <w:bookmarkStart w:id="562" w:name="_Toc484092495"/>
      <w:bookmarkStart w:id="563" w:name="_Toc484172699"/>
      <w:bookmarkStart w:id="564" w:name="_Toc484183035"/>
      <w:bookmarkStart w:id="565" w:name="_Toc490225798"/>
      <w:r>
        <w:t>Generic Custom Measures</w:t>
      </w:r>
      <w:bookmarkEnd w:id="559"/>
      <w:bookmarkEnd w:id="560"/>
      <w:bookmarkEnd w:id="561"/>
      <w:bookmarkEnd w:id="562"/>
      <w:bookmarkEnd w:id="563"/>
      <w:bookmarkEnd w:id="564"/>
      <w:bookmarkEnd w:id="565"/>
    </w:p>
    <w:p w14:paraId="7F5984CB" w14:textId="77777777" w:rsidR="002D74A6" w:rsidRDefault="002D74A6" w:rsidP="002D74A6">
      <w:r w:rsidRPr="00A8475A">
        <w:t>Generic custom measures</w:t>
      </w:r>
      <w:r>
        <w:t xml:space="preserve"> in the industrial and agriculture market sectors are projects that tend to be specific to an industry segment or production method. Generic custom measures are often listed by non-descript names </w:t>
      </w:r>
      <w:r w:rsidRPr="00A8475A">
        <w:t>such as ‘Process-Other’</w:t>
      </w:r>
      <w:r>
        <w:t xml:space="preserve"> in publicly report IOU tracking data and they present several challenges within a potential forecast, including: </w:t>
      </w:r>
    </w:p>
    <w:p w14:paraId="28484D85" w14:textId="77777777" w:rsidR="002D74A6" w:rsidRDefault="002D74A6" w:rsidP="004E4E36">
      <w:pPr>
        <w:pStyle w:val="ListParagraph"/>
        <w:numPr>
          <w:ilvl w:val="0"/>
          <w:numId w:val="43"/>
        </w:numPr>
      </w:pPr>
      <w:r>
        <w:t>Having unique attributes that make them difficult to forecast within the diffusion based PG model</w:t>
      </w:r>
    </w:p>
    <w:p w14:paraId="78D29ED6" w14:textId="77777777" w:rsidR="002D74A6" w:rsidRDefault="002D74A6" w:rsidP="004E4E36">
      <w:pPr>
        <w:pStyle w:val="ListParagraph"/>
        <w:numPr>
          <w:ilvl w:val="0"/>
          <w:numId w:val="43"/>
        </w:numPr>
        <w:spacing w:before="0"/>
        <w:contextualSpacing/>
      </w:pPr>
      <w:r>
        <w:t xml:space="preserve">Being unlikely to </w:t>
      </w:r>
      <w:r w:rsidRPr="00BC4399">
        <w:t xml:space="preserve">saturate </w:t>
      </w:r>
      <w:r>
        <w:t xml:space="preserve">over time due to </w:t>
      </w:r>
      <w:r w:rsidRPr="00BC4399">
        <w:t>continual process changes</w:t>
      </w:r>
      <w:r>
        <w:t xml:space="preserve"> in the industrial and agricultural sectors</w:t>
      </w:r>
    </w:p>
    <w:p w14:paraId="4324686F" w14:textId="77777777" w:rsidR="002D74A6" w:rsidRDefault="002D74A6" w:rsidP="004E4E36">
      <w:pPr>
        <w:pStyle w:val="ListParagraph"/>
        <w:numPr>
          <w:ilvl w:val="0"/>
          <w:numId w:val="43"/>
        </w:numPr>
        <w:spacing w:before="0"/>
        <w:contextualSpacing/>
      </w:pPr>
      <w:r>
        <w:t>Often consisting of emerging technologies with little to no engineering details, market parameters, or work papers</w:t>
      </w:r>
    </w:p>
    <w:p w14:paraId="66C74B5B" w14:textId="77777777" w:rsidR="002D74A6" w:rsidRDefault="002D74A6" w:rsidP="002D74A6">
      <w:pPr>
        <w:contextualSpacing/>
      </w:pPr>
    </w:p>
    <w:p w14:paraId="06A2C485" w14:textId="77777777" w:rsidR="0097308A" w:rsidRDefault="0097308A" w:rsidP="00181A55">
      <w:pPr>
        <w:keepNext/>
        <w:keepLines/>
      </w:pPr>
      <w:r w:rsidRPr="00AE5A18">
        <w:t xml:space="preserve">Generic custom measures make-up a significant portion of the energy efficiency program portfolio. Based on an analysis portfolio level </w:t>
      </w:r>
      <w:r w:rsidR="0025094E">
        <w:t>EEStats</w:t>
      </w:r>
      <w:r w:rsidRPr="00AE5A18">
        <w:t xml:space="preserve"> data for the 2013 and 2014 </w:t>
      </w:r>
      <w:r w:rsidRPr="00983D0B">
        <w:t>portfolio, generic custom accounted for 36% of</w:t>
      </w:r>
      <w:r w:rsidRPr="001331E9">
        <w:t xml:space="preserve"> industrial savings and 58% of agricultural sector savings.</w:t>
      </w:r>
    </w:p>
    <w:p w14:paraId="2D59C95B" w14:textId="77777777" w:rsidR="002D74A6" w:rsidRDefault="002D74A6" w:rsidP="00181A55">
      <w:pPr>
        <w:keepNext/>
        <w:keepLines/>
      </w:pPr>
    </w:p>
    <w:p w14:paraId="688E73E2" w14:textId="77777777" w:rsidR="002D74A6" w:rsidRPr="00BC4399" w:rsidRDefault="002D74A6" w:rsidP="002D74A6">
      <w:pPr>
        <w:rPr>
          <w:szCs w:val="20"/>
        </w:rPr>
      </w:pPr>
      <w:r w:rsidRPr="00BC4399">
        <w:rPr>
          <w:szCs w:val="20"/>
        </w:rPr>
        <w:t>The 2018 potential model treats generic custom measures as a specific measure class</w:t>
      </w:r>
      <w:r>
        <w:rPr>
          <w:szCs w:val="20"/>
        </w:rPr>
        <w:t>.</w:t>
      </w:r>
      <w:r w:rsidRPr="00BC4399">
        <w:rPr>
          <w:szCs w:val="20"/>
        </w:rPr>
        <w:t xml:space="preserve"> </w:t>
      </w:r>
      <w:r w:rsidR="00A93CE5">
        <w:rPr>
          <w:szCs w:val="20"/>
        </w:rPr>
        <w:fldChar w:fldCharType="begin"/>
      </w:r>
      <w:r w:rsidR="00A93CE5">
        <w:rPr>
          <w:szCs w:val="20"/>
        </w:rPr>
        <w:instrText xml:space="preserve"> REF _Ref484634988 \h </w:instrText>
      </w:r>
      <w:r w:rsidR="00A93CE5">
        <w:rPr>
          <w:szCs w:val="20"/>
        </w:rPr>
      </w:r>
      <w:r w:rsidR="00A93CE5">
        <w:rPr>
          <w:szCs w:val="20"/>
        </w:rPr>
        <w:fldChar w:fldCharType="separate"/>
      </w:r>
      <w:r w:rsidR="007566B9">
        <w:t xml:space="preserve">Table </w:t>
      </w:r>
      <w:r w:rsidR="007566B9">
        <w:rPr>
          <w:noProof/>
        </w:rPr>
        <w:t>3</w:t>
      </w:r>
      <w:r w:rsidR="007566B9">
        <w:noBreakHyphen/>
      </w:r>
      <w:r w:rsidR="007566B9">
        <w:rPr>
          <w:noProof/>
        </w:rPr>
        <w:t>18</w:t>
      </w:r>
      <w:r w:rsidR="00A93CE5">
        <w:rPr>
          <w:szCs w:val="20"/>
        </w:rPr>
        <w:fldChar w:fldCharType="end"/>
      </w:r>
      <w:r w:rsidR="00A93CE5">
        <w:rPr>
          <w:szCs w:val="20"/>
        </w:rPr>
        <w:t xml:space="preserve"> </w:t>
      </w:r>
      <w:r>
        <w:rPr>
          <w:szCs w:val="20"/>
        </w:rPr>
        <w:t>provides the i</w:t>
      </w:r>
      <w:r w:rsidRPr="00BC4399">
        <w:rPr>
          <w:szCs w:val="20"/>
        </w:rPr>
        <w:t>nputs for electric</w:t>
      </w:r>
      <w:r>
        <w:rPr>
          <w:szCs w:val="20"/>
        </w:rPr>
        <w:t>ity</w:t>
      </w:r>
      <w:r w:rsidRPr="00BC4399">
        <w:rPr>
          <w:szCs w:val="20"/>
        </w:rPr>
        <w:t xml:space="preserve"> and natural gas </w:t>
      </w:r>
      <w:r>
        <w:rPr>
          <w:szCs w:val="20"/>
        </w:rPr>
        <w:t>f</w:t>
      </w:r>
      <w:r w:rsidRPr="00BC4399">
        <w:rPr>
          <w:szCs w:val="20"/>
        </w:rPr>
        <w:t>or these measures.</w:t>
      </w:r>
      <w:r>
        <w:rPr>
          <w:szCs w:val="20"/>
        </w:rPr>
        <w:t xml:space="preserve"> Navigant estimated s</w:t>
      </w:r>
      <w:r w:rsidRPr="00BC4399">
        <w:rPr>
          <w:szCs w:val="20"/>
        </w:rPr>
        <w:t xml:space="preserve">avings </w:t>
      </w:r>
      <w:r w:rsidRPr="00356E4C">
        <w:rPr>
          <w:szCs w:val="20"/>
        </w:rPr>
        <w:t>based on building type c</w:t>
      </w:r>
      <w:r>
        <w:rPr>
          <w:szCs w:val="20"/>
        </w:rPr>
        <w:t xml:space="preserve">onsumption (kWh or Therms/year), however since these technologies </w:t>
      </w:r>
      <w:r w:rsidRPr="00356E4C">
        <w:rPr>
          <w:szCs w:val="20"/>
        </w:rPr>
        <w:t>are forecast as a single class of measure, savings do not vary by market segment or IOU</w:t>
      </w:r>
      <w:r>
        <w:rPr>
          <w:szCs w:val="20"/>
        </w:rPr>
        <w:t xml:space="preserve">. Navigant does provide </w:t>
      </w:r>
      <w:r w:rsidRPr="00356E4C">
        <w:rPr>
          <w:szCs w:val="20"/>
        </w:rPr>
        <w:t xml:space="preserve">separate UES estimates for the industrial and agricultural market sectors. </w:t>
      </w:r>
      <w:r>
        <w:rPr>
          <w:szCs w:val="20"/>
        </w:rPr>
        <w:t xml:space="preserve">The team calculated the EUL for these measures at 15 years since they </w:t>
      </w:r>
      <w:r w:rsidRPr="00356E4C">
        <w:rPr>
          <w:szCs w:val="20"/>
        </w:rPr>
        <w:t xml:space="preserve">tend to be larger capital investments with long operating lives. Costs for electricity and natural gas savings are $0.33 /kWh and $2.25/therm. </w:t>
      </w:r>
      <w:r>
        <w:rPr>
          <w:szCs w:val="20"/>
        </w:rPr>
        <w:t>Navigant applied c</w:t>
      </w:r>
      <w:r w:rsidRPr="00356E4C">
        <w:rPr>
          <w:szCs w:val="20"/>
        </w:rPr>
        <w:t>ost and EUL values consistently across market segments within the industrial and agricultural sectors and across utilities.</w:t>
      </w:r>
    </w:p>
    <w:p w14:paraId="3C009E69" w14:textId="77777777" w:rsidR="002D74A6" w:rsidRDefault="002D74A6" w:rsidP="002D74A6"/>
    <w:p w14:paraId="7EC9FEE7" w14:textId="77777777" w:rsidR="004C69A3" w:rsidRDefault="004C69A3" w:rsidP="002D74A6"/>
    <w:p w14:paraId="2644DF2D" w14:textId="77777777" w:rsidR="004C69A3" w:rsidRDefault="004C69A3" w:rsidP="002D74A6"/>
    <w:p w14:paraId="3B32938B" w14:textId="77777777" w:rsidR="004C69A3" w:rsidRDefault="004C69A3" w:rsidP="002D74A6"/>
    <w:p w14:paraId="1E531F4E" w14:textId="77777777" w:rsidR="002D74A6" w:rsidRDefault="002D74A6" w:rsidP="002D74A6">
      <w:pPr>
        <w:pStyle w:val="Caption"/>
      </w:pPr>
      <w:bookmarkStart w:id="566" w:name="_Ref484634988"/>
      <w:bookmarkStart w:id="567" w:name="_Toc482634225"/>
      <w:bookmarkStart w:id="568" w:name="_Toc484436964"/>
      <w:bookmarkStart w:id="569" w:name="_Toc490560676"/>
      <w:r>
        <w:t xml:space="preserve">Table </w:t>
      </w:r>
      <w:fldSimple w:instr=" STYLEREF 1 \s ">
        <w:r w:rsidR="007566B9">
          <w:rPr>
            <w:noProof/>
          </w:rPr>
          <w:t>3</w:t>
        </w:r>
      </w:fldSimple>
      <w:r w:rsidR="00C17D59">
        <w:noBreakHyphen/>
      </w:r>
      <w:fldSimple w:instr=" SEQ Table \* ARABIC \s 1 ">
        <w:r w:rsidR="007566B9">
          <w:rPr>
            <w:noProof/>
          </w:rPr>
          <w:t>18</w:t>
        </w:r>
      </w:fldSimple>
      <w:bookmarkEnd w:id="566"/>
      <w:r>
        <w:t xml:space="preserve">. </w:t>
      </w:r>
      <w:r w:rsidRPr="006D42E2">
        <w:t>Generic Custom Measures</w:t>
      </w:r>
      <w:r w:rsidRPr="006D42E2" w:rsidDel="006D42E2">
        <w:t xml:space="preserve"> </w:t>
      </w:r>
      <w:r>
        <w:t>- Key Assumptions</w:t>
      </w:r>
      <w:bookmarkEnd w:id="567"/>
      <w:bookmarkEnd w:id="568"/>
      <w:bookmarkEnd w:id="569"/>
    </w:p>
    <w:tbl>
      <w:tblPr>
        <w:tblStyle w:val="ListTable3-Accent11"/>
        <w:tblW w:w="8936" w:type="dxa"/>
        <w:tblLayout w:type="fixed"/>
        <w:tblLook w:val="04A0" w:firstRow="1" w:lastRow="0" w:firstColumn="1" w:lastColumn="0" w:noHBand="0" w:noVBand="1"/>
      </w:tblPr>
      <w:tblGrid>
        <w:gridCol w:w="1172"/>
        <w:gridCol w:w="1168"/>
        <w:gridCol w:w="810"/>
        <w:gridCol w:w="1440"/>
        <w:gridCol w:w="1440"/>
        <w:gridCol w:w="752"/>
        <w:gridCol w:w="958"/>
        <w:gridCol w:w="1196"/>
      </w:tblGrid>
      <w:tr w:rsidR="002544A3" w:rsidRPr="00657865" w14:paraId="77BCFCF8" w14:textId="77777777" w:rsidTr="003E3C9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172" w:type="dxa"/>
            <w:vMerge w:val="restart"/>
            <w:shd w:val="clear" w:color="auto" w:fill="555759" w:themeFill="text2"/>
            <w:hideMark/>
          </w:tcPr>
          <w:p w14:paraId="75E4A4B6" w14:textId="77777777" w:rsidR="002D74A6" w:rsidRPr="00657865" w:rsidRDefault="002D74A6" w:rsidP="003E3C94">
            <w:pPr>
              <w:rPr>
                <w:rFonts w:ascii="Arial Narrow" w:hAnsi="Arial Narrow"/>
                <w:b w:val="0"/>
                <w:sz w:val="18"/>
                <w:szCs w:val="18"/>
              </w:rPr>
            </w:pPr>
            <w:r w:rsidRPr="00657865">
              <w:rPr>
                <w:rFonts w:ascii="Arial Narrow" w:hAnsi="Arial Narrow"/>
                <w:sz w:val="18"/>
                <w:szCs w:val="18"/>
              </w:rPr>
              <w:t>Sector</w:t>
            </w:r>
          </w:p>
        </w:tc>
        <w:tc>
          <w:tcPr>
            <w:tcW w:w="1168" w:type="dxa"/>
            <w:vMerge w:val="restart"/>
            <w:shd w:val="clear" w:color="auto" w:fill="555759" w:themeFill="text2"/>
            <w:hideMark/>
          </w:tcPr>
          <w:p w14:paraId="5F8FCEDB" w14:textId="77777777" w:rsidR="002D74A6" w:rsidRPr="00657865" w:rsidRDefault="002D74A6" w:rsidP="003E3C94">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657865">
              <w:rPr>
                <w:rFonts w:ascii="Arial Narrow" w:hAnsi="Arial Narrow"/>
                <w:sz w:val="18"/>
                <w:szCs w:val="18"/>
              </w:rPr>
              <w:t>Type</w:t>
            </w:r>
          </w:p>
        </w:tc>
        <w:tc>
          <w:tcPr>
            <w:tcW w:w="810" w:type="dxa"/>
            <w:vMerge w:val="restart"/>
            <w:shd w:val="clear" w:color="auto" w:fill="555759" w:themeFill="text2"/>
            <w:hideMark/>
          </w:tcPr>
          <w:p w14:paraId="2AFF8166" w14:textId="77777777" w:rsidR="002D74A6" w:rsidRPr="00657865" w:rsidRDefault="002D74A6" w:rsidP="003E3C94">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657865">
              <w:rPr>
                <w:rFonts w:ascii="Arial Narrow" w:hAnsi="Arial Narrow"/>
                <w:sz w:val="18"/>
                <w:szCs w:val="18"/>
              </w:rPr>
              <w:t>EUL years</w:t>
            </w:r>
          </w:p>
        </w:tc>
        <w:tc>
          <w:tcPr>
            <w:tcW w:w="2880" w:type="dxa"/>
            <w:gridSpan w:val="2"/>
            <w:tcBorders>
              <w:bottom w:val="single" w:sz="2" w:space="0" w:color="FFFFFF" w:themeColor="background1"/>
            </w:tcBorders>
            <w:shd w:val="clear" w:color="auto" w:fill="555759" w:themeFill="text2"/>
            <w:hideMark/>
          </w:tcPr>
          <w:p w14:paraId="2713F7BA" w14:textId="77777777" w:rsidR="002D74A6" w:rsidRPr="00657865" w:rsidRDefault="002D74A6" w:rsidP="003E3C94">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657865">
              <w:rPr>
                <w:rFonts w:ascii="Arial Narrow" w:hAnsi="Arial Narrow"/>
                <w:sz w:val="18"/>
                <w:szCs w:val="18"/>
              </w:rPr>
              <w:t>Savings Range</w:t>
            </w:r>
          </w:p>
        </w:tc>
        <w:tc>
          <w:tcPr>
            <w:tcW w:w="1710" w:type="dxa"/>
            <w:gridSpan w:val="2"/>
            <w:tcBorders>
              <w:bottom w:val="single" w:sz="2" w:space="0" w:color="FFFFFF" w:themeColor="background1"/>
            </w:tcBorders>
            <w:shd w:val="clear" w:color="auto" w:fill="555759" w:themeFill="text2"/>
            <w:hideMark/>
          </w:tcPr>
          <w:p w14:paraId="441373F6" w14:textId="77777777" w:rsidR="002D74A6" w:rsidRPr="00657865" w:rsidRDefault="002D74A6" w:rsidP="003E3C94">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657865">
              <w:rPr>
                <w:rFonts w:ascii="Arial Narrow" w:hAnsi="Arial Narrow"/>
                <w:sz w:val="18"/>
                <w:szCs w:val="18"/>
              </w:rPr>
              <w:t>Cost</w:t>
            </w:r>
          </w:p>
        </w:tc>
        <w:tc>
          <w:tcPr>
            <w:tcW w:w="1196" w:type="dxa"/>
            <w:vMerge w:val="restart"/>
            <w:shd w:val="clear" w:color="auto" w:fill="555759" w:themeFill="text2"/>
            <w:hideMark/>
          </w:tcPr>
          <w:p w14:paraId="39547298" w14:textId="77777777" w:rsidR="002D74A6" w:rsidRPr="00657865" w:rsidRDefault="002D74A6" w:rsidP="003E3C94">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657865">
              <w:rPr>
                <w:rFonts w:ascii="Arial Narrow" w:hAnsi="Arial Narrow"/>
                <w:sz w:val="18"/>
                <w:szCs w:val="18"/>
              </w:rPr>
              <w:t>kW/kWh Savings Ratio</w:t>
            </w:r>
          </w:p>
        </w:tc>
      </w:tr>
      <w:tr w:rsidR="002544A3" w:rsidRPr="00657865" w14:paraId="51645948" w14:textId="77777777" w:rsidTr="003E3C9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72" w:type="dxa"/>
            <w:vMerge/>
            <w:tcBorders>
              <w:bottom w:val="single" w:sz="12" w:space="0" w:color="95D600" w:themeColor="accent1"/>
            </w:tcBorders>
            <w:hideMark/>
          </w:tcPr>
          <w:p w14:paraId="2841A870" w14:textId="77777777" w:rsidR="002D74A6" w:rsidRPr="00657865" w:rsidRDefault="002D74A6" w:rsidP="003E3C94">
            <w:pPr>
              <w:rPr>
                <w:rFonts w:ascii="Arial Narrow" w:hAnsi="Arial Narrow"/>
                <w:sz w:val="18"/>
                <w:szCs w:val="18"/>
              </w:rPr>
            </w:pPr>
          </w:p>
        </w:tc>
        <w:tc>
          <w:tcPr>
            <w:tcW w:w="1168" w:type="dxa"/>
            <w:vMerge/>
            <w:tcBorders>
              <w:bottom w:val="single" w:sz="12" w:space="0" w:color="95D600" w:themeColor="accent1"/>
            </w:tcBorders>
            <w:hideMark/>
          </w:tcPr>
          <w:p w14:paraId="79E78B5A"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810" w:type="dxa"/>
            <w:vMerge/>
            <w:tcBorders>
              <w:bottom w:val="single" w:sz="12" w:space="0" w:color="95D600" w:themeColor="accent1"/>
            </w:tcBorders>
            <w:shd w:val="clear" w:color="auto" w:fill="555759" w:themeFill="text2"/>
            <w:hideMark/>
          </w:tcPr>
          <w:p w14:paraId="42DA0484"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440" w:type="dxa"/>
            <w:tcBorders>
              <w:top w:val="single" w:sz="2" w:space="0" w:color="FFFFFF" w:themeColor="background1"/>
              <w:bottom w:val="single" w:sz="12" w:space="0" w:color="95D600" w:themeColor="accent1"/>
            </w:tcBorders>
            <w:shd w:val="clear" w:color="auto" w:fill="555759" w:themeFill="text2"/>
            <w:hideMark/>
          </w:tcPr>
          <w:p w14:paraId="40EC0981"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8"/>
                <w:szCs w:val="18"/>
              </w:rPr>
            </w:pPr>
            <w:r w:rsidRPr="00657865">
              <w:rPr>
                <w:rFonts w:ascii="Arial Narrow" w:hAnsi="Arial Narrow"/>
                <w:b/>
                <w:color w:val="FFFFFF" w:themeColor="background1"/>
                <w:sz w:val="18"/>
                <w:szCs w:val="18"/>
              </w:rPr>
              <w:t>kWh</w:t>
            </w:r>
          </w:p>
        </w:tc>
        <w:tc>
          <w:tcPr>
            <w:tcW w:w="1440" w:type="dxa"/>
            <w:tcBorders>
              <w:top w:val="single" w:sz="2" w:space="0" w:color="FFFFFF" w:themeColor="background1"/>
              <w:bottom w:val="single" w:sz="12" w:space="0" w:color="95D600" w:themeColor="accent1"/>
            </w:tcBorders>
            <w:shd w:val="clear" w:color="auto" w:fill="555759" w:themeFill="text2"/>
            <w:hideMark/>
          </w:tcPr>
          <w:p w14:paraId="3A3573A1"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8"/>
                <w:szCs w:val="18"/>
              </w:rPr>
            </w:pPr>
            <w:r w:rsidRPr="00657865">
              <w:rPr>
                <w:rFonts w:ascii="Arial Narrow" w:hAnsi="Arial Narrow"/>
                <w:b/>
                <w:color w:val="FFFFFF" w:themeColor="background1"/>
                <w:sz w:val="18"/>
                <w:szCs w:val="18"/>
              </w:rPr>
              <w:t>Therm</w:t>
            </w:r>
          </w:p>
        </w:tc>
        <w:tc>
          <w:tcPr>
            <w:tcW w:w="752" w:type="dxa"/>
            <w:tcBorders>
              <w:top w:val="single" w:sz="2" w:space="0" w:color="FFFFFF" w:themeColor="background1"/>
              <w:bottom w:val="single" w:sz="12" w:space="0" w:color="95D600" w:themeColor="accent1"/>
            </w:tcBorders>
            <w:shd w:val="clear" w:color="auto" w:fill="555759" w:themeFill="text2"/>
            <w:hideMark/>
          </w:tcPr>
          <w:p w14:paraId="2FA1B231"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8"/>
                <w:szCs w:val="18"/>
              </w:rPr>
            </w:pPr>
            <w:r w:rsidRPr="00657865">
              <w:rPr>
                <w:rFonts w:ascii="Arial Narrow" w:hAnsi="Arial Narrow"/>
                <w:b/>
                <w:color w:val="FFFFFF" w:themeColor="background1"/>
                <w:sz w:val="18"/>
                <w:szCs w:val="18"/>
              </w:rPr>
              <w:t>kWh</w:t>
            </w:r>
          </w:p>
        </w:tc>
        <w:tc>
          <w:tcPr>
            <w:tcW w:w="958" w:type="dxa"/>
            <w:tcBorders>
              <w:top w:val="single" w:sz="2" w:space="0" w:color="FFFFFF" w:themeColor="background1"/>
              <w:bottom w:val="single" w:sz="12" w:space="0" w:color="95D600" w:themeColor="accent1"/>
            </w:tcBorders>
            <w:shd w:val="clear" w:color="auto" w:fill="555759" w:themeFill="text2"/>
            <w:hideMark/>
          </w:tcPr>
          <w:p w14:paraId="693DDF4F"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8"/>
                <w:szCs w:val="18"/>
              </w:rPr>
            </w:pPr>
            <w:r w:rsidRPr="00657865">
              <w:rPr>
                <w:rFonts w:ascii="Arial Narrow" w:hAnsi="Arial Narrow"/>
                <w:b/>
                <w:color w:val="FFFFFF" w:themeColor="background1"/>
                <w:sz w:val="18"/>
                <w:szCs w:val="18"/>
              </w:rPr>
              <w:t>Therm</w:t>
            </w:r>
          </w:p>
        </w:tc>
        <w:tc>
          <w:tcPr>
            <w:tcW w:w="1196" w:type="dxa"/>
            <w:vMerge/>
            <w:tcBorders>
              <w:bottom w:val="single" w:sz="12" w:space="0" w:color="95D600" w:themeColor="accent1"/>
            </w:tcBorders>
            <w:hideMark/>
          </w:tcPr>
          <w:p w14:paraId="05ACCDEB"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r>
      <w:tr w:rsidR="002D74A6" w:rsidRPr="00657865" w14:paraId="7FA3FF41" w14:textId="77777777" w:rsidTr="00AF21BE">
        <w:trPr>
          <w:trHeight w:val="738"/>
        </w:trPr>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95D600" w:themeColor="accent1"/>
            </w:tcBorders>
            <w:hideMark/>
          </w:tcPr>
          <w:p w14:paraId="11C1FFBE" w14:textId="77777777" w:rsidR="002D74A6" w:rsidRPr="00657865" w:rsidRDefault="002D74A6" w:rsidP="003E3C94">
            <w:pPr>
              <w:rPr>
                <w:rFonts w:ascii="Arial Narrow" w:hAnsi="Arial Narrow"/>
                <w:sz w:val="18"/>
                <w:szCs w:val="18"/>
              </w:rPr>
            </w:pPr>
            <w:r w:rsidRPr="00657865">
              <w:rPr>
                <w:rFonts w:ascii="Arial Narrow" w:hAnsi="Arial Narrow"/>
                <w:sz w:val="18"/>
                <w:szCs w:val="18"/>
              </w:rPr>
              <w:t>AIMS</w:t>
            </w:r>
          </w:p>
        </w:tc>
        <w:tc>
          <w:tcPr>
            <w:tcW w:w="0" w:type="dxa"/>
            <w:tcBorders>
              <w:top w:val="single" w:sz="12" w:space="0" w:color="95D600" w:themeColor="accent1"/>
            </w:tcBorders>
            <w:hideMark/>
          </w:tcPr>
          <w:p w14:paraId="5A7CD4AB"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Generic Custom</w:t>
            </w:r>
          </w:p>
        </w:tc>
        <w:tc>
          <w:tcPr>
            <w:tcW w:w="0" w:type="dxa"/>
            <w:tcBorders>
              <w:top w:val="single" w:sz="12" w:space="0" w:color="95D600" w:themeColor="accent1"/>
            </w:tcBorders>
            <w:hideMark/>
          </w:tcPr>
          <w:p w14:paraId="01F78A41"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15</w:t>
            </w:r>
          </w:p>
        </w:tc>
        <w:tc>
          <w:tcPr>
            <w:tcW w:w="0" w:type="dxa"/>
            <w:tcBorders>
              <w:top w:val="single" w:sz="12" w:space="0" w:color="95D600" w:themeColor="accent1"/>
            </w:tcBorders>
            <w:hideMark/>
          </w:tcPr>
          <w:p w14:paraId="107F82D5" w14:textId="77777777" w:rsidR="002D74A6" w:rsidRPr="00657865" w:rsidRDefault="002D74A6" w:rsidP="003E3C94">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rPr>
            </w:pPr>
            <w:r w:rsidRPr="00657865">
              <w:rPr>
                <w:rFonts w:ascii="Arial Narrow" w:hAnsi="Arial Narrow" w:cs="Calibri"/>
                <w:sz w:val="18"/>
                <w:szCs w:val="18"/>
              </w:rPr>
              <w:t>0.16% (Ind)</w:t>
            </w:r>
          </w:p>
          <w:p w14:paraId="06CAE719" w14:textId="77777777" w:rsidR="002D74A6" w:rsidRPr="00657865" w:rsidRDefault="002D74A6" w:rsidP="003E3C94">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0.28%</w:t>
            </w:r>
            <w:r w:rsidRPr="00657865" w:rsidDel="00FB41CB">
              <w:rPr>
                <w:rFonts w:ascii="Arial Narrow" w:hAnsi="Arial Narrow"/>
                <w:sz w:val="18"/>
                <w:szCs w:val="18"/>
              </w:rPr>
              <w:t xml:space="preserve"> </w:t>
            </w:r>
            <w:r w:rsidRPr="00657865">
              <w:rPr>
                <w:rFonts w:ascii="Arial Narrow" w:hAnsi="Arial Narrow"/>
                <w:sz w:val="18"/>
                <w:szCs w:val="18"/>
              </w:rPr>
              <w:t>(Ag)</w:t>
            </w:r>
          </w:p>
        </w:tc>
        <w:tc>
          <w:tcPr>
            <w:tcW w:w="0" w:type="dxa"/>
            <w:tcBorders>
              <w:top w:val="single" w:sz="12" w:space="0" w:color="95D600" w:themeColor="accent1"/>
            </w:tcBorders>
            <w:hideMark/>
          </w:tcPr>
          <w:p w14:paraId="311059AA" w14:textId="77777777" w:rsidR="002D74A6" w:rsidRPr="00657865" w:rsidRDefault="002D74A6" w:rsidP="003E3C94">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18"/>
                <w:szCs w:val="18"/>
              </w:rPr>
            </w:pPr>
            <w:r w:rsidRPr="00657865">
              <w:rPr>
                <w:rFonts w:ascii="Arial Narrow" w:hAnsi="Arial Narrow" w:cs="Calibri"/>
                <w:sz w:val="18"/>
                <w:szCs w:val="18"/>
              </w:rPr>
              <w:t>0.17% (Ind)</w:t>
            </w:r>
          </w:p>
          <w:p w14:paraId="5B4C8F58" w14:textId="77777777" w:rsidR="002D74A6" w:rsidRPr="00657865" w:rsidRDefault="002D74A6" w:rsidP="003E3C94">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1.19%</w:t>
            </w:r>
            <w:r w:rsidRPr="00657865" w:rsidDel="00FB41CB">
              <w:rPr>
                <w:rFonts w:ascii="Arial Narrow" w:hAnsi="Arial Narrow"/>
                <w:sz w:val="18"/>
                <w:szCs w:val="18"/>
              </w:rPr>
              <w:t xml:space="preserve"> </w:t>
            </w:r>
            <w:r w:rsidRPr="00657865">
              <w:rPr>
                <w:rFonts w:ascii="Arial Narrow" w:hAnsi="Arial Narrow"/>
                <w:sz w:val="18"/>
                <w:szCs w:val="18"/>
              </w:rPr>
              <w:t>(Ag)</w:t>
            </w:r>
          </w:p>
        </w:tc>
        <w:tc>
          <w:tcPr>
            <w:tcW w:w="0" w:type="dxa"/>
            <w:tcBorders>
              <w:top w:val="single" w:sz="12" w:space="0" w:color="95D600" w:themeColor="accent1"/>
            </w:tcBorders>
            <w:hideMark/>
          </w:tcPr>
          <w:p w14:paraId="232412D7"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$0.33 </w:t>
            </w:r>
          </w:p>
        </w:tc>
        <w:tc>
          <w:tcPr>
            <w:tcW w:w="0" w:type="dxa"/>
            <w:tcBorders>
              <w:top w:val="single" w:sz="12" w:space="0" w:color="95D600" w:themeColor="accent1"/>
            </w:tcBorders>
            <w:hideMark/>
          </w:tcPr>
          <w:p w14:paraId="39F37CDA"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highlight w:val="red"/>
              </w:rPr>
            </w:pPr>
            <w:r w:rsidRPr="00657865">
              <w:rPr>
                <w:rFonts w:ascii="Arial Narrow" w:hAnsi="Arial Narrow"/>
                <w:sz w:val="18"/>
                <w:szCs w:val="18"/>
              </w:rPr>
              <w:t>$2.25</w:t>
            </w:r>
          </w:p>
        </w:tc>
        <w:tc>
          <w:tcPr>
            <w:tcW w:w="0" w:type="dxa"/>
            <w:tcBorders>
              <w:top w:val="single" w:sz="12" w:space="0" w:color="95D600" w:themeColor="accent1"/>
            </w:tcBorders>
            <w:hideMark/>
          </w:tcPr>
          <w:p w14:paraId="4D097A41"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0.000195</w:t>
            </w:r>
          </w:p>
        </w:tc>
      </w:tr>
    </w:tbl>
    <w:p w14:paraId="5184532E" w14:textId="77777777" w:rsidR="002D74A6" w:rsidRDefault="002D74A6" w:rsidP="002D74A6">
      <w:pPr>
        <w:pStyle w:val="Source"/>
      </w:pPr>
      <w:r w:rsidRPr="00095E9B">
        <w:t>Source:</w:t>
      </w:r>
      <w:r w:rsidR="00A463AB" w:rsidRPr="00095E9B">
        <w:t xml:space="preserve"> Navigant team analysis</w:t>
      </w:r>
      <w:r w:rsidR="00A463AB">
        <w:t xml:space="preserve"> </w:t>
      </w:r>
    </w:p>
    <w:p w14:paraId="5C77DB35" w14:textId="77777777" w:rsidR="002D74A6" w:rsidRDefault="002D74A6" w:rsidP="002D74A6">
      <w:pPr>
        <w:rPr>
          <w:szCs w:val="20"/>
        </w:rPr>
      </w:pPr>
      <w:r>
        <w:t>Applicability of generic customer measures in the industrial and agricultural sectors is 100% because these measures are considered ubiquitous to all activities in all market segments. Because the forecasting approach assumes generic custom measures will produce a static level of savings each year</w:t>
      </w:r>
      <w:r>
        <w:rPr>
          <w:szCs w:val="20"/>
        </w:rPr>
        <w:t>, penetration rates are meant to ultimately reflect current savings levels and do not vary over the forecast period.</w:t>
      </w:r>
      <w:r w:rsidR="007238A0" w:rsidRPr="007238A0">
        <w:t xml:space="preserve"> </w:t>
      </w:r>
      <w:r w:rsidR="007238A0" w:rsidRPr="007238A0">
        <w:rPr>
          <w:szCs w:val="20"/>
        </w:rPr>
        <w:t xml:space="preserve">Penetration rates were held constant over the forecast horizon because industrial facilities </w:t>
      </w:r>
      <w:r w:rsidR="007238A0" w:rsidRPr="007238A0">
        <w:rPr>
          <w:szCs w:val="20"/>
        </w:rPr>
        <w:lastRenderedPageBreak/>
        <w:t>continually upgrade equipment and processes and it is likely that generic custom measures will be installed at the same rate as past program activity.</w:t>
      </w:r>
    </w:p>
    <w:p w14:paraId="7D2175BD" w14:textId="77777777" w:rsidR="007238A0" w:rsidRDefault="0097308A" w:rsidP="0097308A">
      <w:pPr>
        <w:rPr>
          <w:szCs w:val="20"/>
        </w:rPr>
      </w:pPr>
      <w:r w:rsidRPr="00356E4C">
        <w:rPr>
          <w:szCs w:val="20"/>
        </w:rPr>
        <w:t xml:space="preserve">Savings from generic custom measures are based on an analysis of portfolio level savings from data available through the California </w:t>
      </w:r>
      <w:r w:rsidR="0025094E">
        <w:t>EEStats</w:t>
      </w:r>
      <w:r w:rsidRPr="00356E4C">
        <w:rPr>
          <w:szCs w:val="20"/>
        </w:rPr>
        <w:t xml:space="preserve"> portal</w:t>
      </w:r>
      <w:r w:rsidRPr="00356E4C">
        <w:rPr>
          <w:rStyle w:val="FootnoteReference"/>
          <w:szCs w:val="20"/>
        </w:rPr>
        <w:footnoteReference w:id="80"/>
      </w:r>
      <w:r w:rsidRPr="00356E4C">
        <w:rPr>
          <w:szCs w:val="20"/>
        </w:rPr>
        <w:t xml:space="preserve"> for programs operating from 2006 through 2015. Over this period, generic custom measures contributed 42% of industrial and 62% of agricultural sector net electricity savings, with similar percentage contributions for natural gas.</w:t>
      </w:r>
      <w:r w:rsidR="00E372D9">
        <w:rPr>
          <w:szCs w:val="20"/>
        </w:rPr>
        <w:t xml:space="preserve"> Navigant based </w:t>
      </w:r>
      <w:r w:rsidR="00E372D9" w:rsidRPr="00356E4C">
        <w:rPr>
          <w:szCs w:val="20"/>
        </w:rPr>
        <w:t xml:space="preserve">the savings values in the 2018 PG model on an analysis of generic custom measures savings in </w:t>
      </w:r>
      <w:r w:rsidR="00E372D9">
        <w:rPr>
          <w:szCs w:val="20"/>
        </w:rPr>
        <w:t xml:space="preserve">EEStats for </w:t>
      </w:r>
      <w:r w:rsidR="00E372D9" w:rsidRPr="00356E4C">
        <w:rPr>
          <w:szCs w:val="20"/>
        </w:rPr>
        <w:t>the 2013 and 2014 program years</w:t>
      </w:r>
      <w:r w:rsidR="00E372D9">
        <w:rPr>
          <w:szCs w:val="20"/>
        </w:rPr>
        <w:t>.</w:t>
      </w:r>
      <w:r w:rsidR="007238A0">
        <w:rPr>
          <w:szCs w:val="20"/>
        </w:rPr>
        <w:t xml:space="preserve"> </w:t>
      </w:r>
      <w:r w:rsidR="007238A0" w:rsidRPr="007238A0">
        <w:rPr>
          <w:szCs w:val="20"/>
        </w:rPr>
        <w:t xml:space="preserve">Data for these program years provided the level of detail necessary to separate </w:t>
      </w:r>
      <w:r w:rsidR="00617FE0">
        <w:rPr>
          <w:szCs w:val="20"/>
        </w:rPr>
        <w:t xml:space="preserve">generic custom </w:t>
      </w:r>
      <w:r w:rsidR="007238A0" w:rsidRPr="007238A0">
        <w:rPr>
          <w:szCs w:val="20"/>
        </w:rPr>
        <w:t>measures from savings attributable to deemed measures, or other custom measures that could be defined and model</w:t>
      </w:r>
      <w:r w:rsidR="007238A0">
        <w:rPr>
          <w:szCs w:val="20"/>
        </w:rPr>
        <w:t>led using a diffusion approach.</w:t>
      </w:r>
    </w:p>
    <w:p w14:paraId="07AECCAC" w14:textId="77777777" w:rsidR="007238A0" w:rsidRDefault="007238A0" w:rsidP="0097308A">
      <w:pPr>
        <w:rPr>
          <w:szCs w:val="20"/>
        </w:rPr>
      </w:pPr>
    </w:p>
    <w:p w14:paraId="57EEA372" w14:textId="77777777" w:rsidR="002D74A6" w:rsidRPr="00356E4C" w:rsidRDefault="007238A0" w:rsidP="0097308A">
      <w:pPr>
        <w:rPr>
          <w:szCs w:val="20"/>
        </w:rPr>
      </w:pPr>
      <w:r w:rsidRPr="007238A0">
        <w:rPr>
          <w:szCs w:val="20"/>
        </w:rPr>
        <w:t>Using historic savings values defined by the analysis of EEStats data and sector level consumption forecasts provided by CEC, the team determined that generic custom measures would save roughly 0.16% and 0.17% of annual Industrial sector electricity and natural gas usage, respectively. Using a similar methodology, Navigant forecasted savings from generic custom measures</w:t>
      </w:r>
      <w:r>
        <w:rPr>
          <w:szCs w:val="20"/>
        </w:rPr>
        <w:t xml:space="preserve"> in the Agricultural sector at </w:t>
      </w:r>
      <w:r w:rsidRPr="007238A0">
        <w:rPr>
          <w:szCs w:val="20"/>
        </w:rPr>
        <w:t xml:space="preserve">0.28% of annual electricity consumption, and 1.19% of annual gas usage. These percentages are used in both the reference or aggressive cases and remain constant throughout the forecast horizon. </w:t>
      </w:r>
      <w:r>
        <w:rPr>
          <w:szCs w:val="20"/>
        </w:rPr>
        <w:fldChar w:fldCharType="begin"/>
      </w:r>
      <w:r>
        <w:rPr>
          <w:szCs w:val="20"/>
        </w:rPr>
        <w:instrText xml:space="preserve"> REF _Ref482611464 \r \h </w:instrText>
      </w:r>
      <w:r>
        <w:rPr>
          <w:szCs w:val="20"/>
        </w:rPr>
      </w:r>
      <w:r>
        <w:rPr>
          <w:szCs w:val="20"/>
        </w:rPr>
        <w:fldChar w:fldCharType="separate"/>
      </w:r>
      <w:r w:rsidR="007566B9">
        <w:rPr>
          <w:szCs w:val="20"/>
        </w:rPr>
        <w:t>5.Appendix F</w:t>
      </w:r>
      <w:r>
        <w:rPr>
          <w:szCs w:val="20"/>
        </w:rPr>
        <w:fldChar w:fldCharType="end"/>
      </w:r>
      <w:r w:rsidRPr="007238A0">
        <w:rPr>
          <w:szCs w:val="20"/>
        </w:rPr>
        <w:t xml:space="preserve"> provides addition details on the </w:t>
      </w:r>
      <w:r w:rsidR="00617FE0">
        <w:rPr>
          <w:szCs w:val="20"/>
        </w:rPr>
        <w:t>generic custom</w:t>
      </w:r>
      <w:r w:rsidRPr="007238A0">
        <w:rPr>
          <w:szCs w:val="20"/>
        </w:rPr>
        <w:t xml:space="preserve"> analysis and forecast methodology.</w:t>
      </w:r>
    </w:p>
    <w:p w14:paraId="790138C2" w14:textId="77777777" w:rsidR="007D4A2A" w:rsidRDefault="007D4A2A" w:rsidP="002D74A6">
      <w:pPr>
        <w:rPr>
          <w:szCs w:val="20"/>
        </w:rPr>
      </w:pPr>
    </w:p>
    <w:p w14:paraId="3EEB5D58" w14:textId="77777777" w:rsidR="002D74A6" w:rsidRDefault="008F1039" w:rsidP="002D74A6">
      <w:pPr>
        <w:rPr>
          <w:szCs w:val="20"/>
        </w:rPr>
      </w:pPr>
      <w:r w:rsidRPr="008F1039">
        <w:rPr>
          <w:szCs w:val="20"/>
        </w:rPr>
        <w:t>Navigant</w:t>
      </w:r>
      <w:r>
        <w:rPr>
          <w:szCs w:val="20"/>
        </w:rPr>
        <w:t xml:space="preserve"> based c</w:t>
      </w:r>
      <w:r w:rsidRPr="008261F5">
        <w:rPr>
          <w:szCs w:val="20"/>
        </w:rPr>
        <w:t xml:space="preserve">osts for electricity and natural gas savings </w:t>
      </w:r>
      <w:r>
        <w:rPr>
          <w:szCs w:val="20"/>
        </w:rPr>
        <w:t xml:space="preserve">on an analysis of industrial and agricultural programs operating in California and across the nation throughout 2016. </w:t>
      </w:r>
      <w:r w:rsidR="002D74A6">
        <w:rPr>
          <w:szCs w:val="20"/>
        </w:rPr>
        <w:t>They</w:t>
      </w:r>
      <w:r w:rsidR="002D74A6" w:rsidRPr="008261F5">
        <w:rPr>
          <w:szCs w:val="20"/>
        </w:rPr>
        <w:t xml:space="preserve"> are estimated at $0.</w:t>
      </w:r>
      <w:r w:rsidR="002D74A6">
        <w:rPr>
          <w:szCs w:val="20"/>
        </w:rPr>
        <w:t>33</w:t>
      </w:r>
      <w:r w:rsidR="002D74A6" w:rsidRPr="008261F5">
        <w:rPr>
          <w:szCs w:val="20"/>
        </w:rPr>
        <w:t>/kWh and $</w:t>
      </w:r>
      <w:r w:rsidR="002D74A6">
        <w:rPr>
          <w:szCs w:val="20"/>
        </w:rPr>
        <w:t>2.25</w:t>
      </w:r>
      <w:r w:rsidR="002D74A6" w:rsidRPr="008261F5">
        <w:rPr>
          <w:szCs w:val="20"/>
        </w:rPr>
        <w:t xml:space="preserve">/therm, </w:t>
      </w:r>
      <w:r w:rsidR="002D74A6">
        <w:rPr>
          <w:szCs w:val="20"/>
        </w:rPr>
        <w:t xml:space="preserve">and they are </w:t>
      </w:r>
      <w:r w:rsidR="002D74A6" w:rsidRPr="008261F5">
        <w:rPr>
          <w:szCs w:val="20"/>
        </w:rPr>
        <w:t xml:space="preserve">applied consistently </w:t>
      </w:r>
      <w:r w:rsidR="002D74A6">
        <w:rPr>
          <w:szCs w:val="20"/>
        </w:rPr>
        <w:t>across</w:t>
      </w:r>
      <w:r w:rsidR="002D74A6" w:rsidRPr="008261F5">
        <w:rPr>
          <w:szCs w:val="20"/>
        </w:rPr>
        <w:t xml:space="preserve"> </w:t>
      </w:r>
      <w:r w:rsidR="002D74A6">
        <w:rPr>
          <w:szCs w:val="20"/>
        </w:rPr>
        <w:t>sectors and utilities</w:t>
      </w:r>
      <w:r w:rsidR="007238A0">
        <w:rPr>
          <w:szCs w:val="20"/>
        </w:rPr>
        <w:t xml:space="preserve"> through the 2018 study forecast horizon</w:t>
      </w:r>
      <w:r w:rsidR="002D74A6" w:rsidRPr="008261F5">
        <w:rPr>
          <w:szCs w:val="20"/>
        </w:rPr>
        <w:t>.</w:t>
      </w:r>
    </w:p>
    <w:p w14:paraId="6668BDFA" w14:textId="77777777" w:rsidR="002D74A6" w:rsidRDefault="002D74A6" w:rsidP="002D74A6">
      <w:pPr>
        <w:pStyle w:val="Heading3"/>
        <w:keepLines/>
      </w:pPr>
      <w:bookmarkStart w:id="570" w:name="_Ref482620537"/>
      <w:bookmarkStart w:id="571" w:name="_Toc482634293"/>
      <w:bookmarkStart w:id="572" w:name="_Toc482626425"/>
      <w:bookmarkStart w:id="573" w:name="_Toc484092496"/>
      <w:bookmarkStart w:id="574" w:name="_Toc484172700"/>
      <w:bookmarkStart w:id="575" w:name="_Toc484183036"/>
      <w:bookmarkStart w:id="576" w:name="_Toc490225799"/>
      <w:r>
        <w:t>Emerging AIMS Technologies</w:t>
      </w:r>
      <w:bookmarkEnd w:id="570"/>
      <w:bookmarkEnd w:id="571"/>
      <w:bookmarkEnd w:id="572"/>
      <w:bookmarkEnd w:id="573"/>
      <w:bookmarkEnd w:id="574"/>
      <w:bookmarkEnd w:id="575"/>
      <w:bookmarkEnd w:id="576"/>
    </w:p>
    <w:p w14:paraId="5B4D04D3" w14:textId="77777777" w:rsidR="002D74A6" w:rsidRDefault="002D74A6" w:rsidP="002D74A6">
      <w:pPr>
        <w:autoSpaceDE w:val="0"/>
        <w:autoSpaceDN w:val="0"/>
        <w:adjustRightInd w:val="0"/>
        <w:spacing w:line="240" w:lineRule="auto"/>
        <w:rPr>
          <w:szCs w:val="20"/>
        </w:rPr>
      </w:pPr>
      <w:r w:rsidRPr="00356E4C">
        <w:rPr>
          <w:szCs w:val="20"/>
        </w:rPr>
        <w:t>New emerging technologies (ET) to reduce energy use and energy demand are continually being introduced in the California marketplace. For the 201</w:t>
      </w:r>
      <w:r w:rsidR="007238A0">
        <w:rPr>
          <w:szCs w:val="20"/>
        </w:rPr>
        <w:t>8 study,</w:t>
      </w:r>
      <w:r w:rsidRPr="00356E4C">
        <w:rPr>
          <w:szCs w:val="20"/>
        </w:rPr>
        <w:t xml:space="preserve"> </w:t>
      </w:r>
      <w:r>
        <w:rPr>
          <w:szCs w:val="20"/>
        </w:rPr>
        <w:t xml:space="preserve">Navigant </w:t>
      </w:r>
      <w:r w:rsidRPr="00356E4C">
        <w:rPr>
          <w:szCs w:val="20"/>
        </w:rPr>
        <w:t>initially identified ap</w:t>
      </w:r>
      <w:r w:rsidR="00BA08BB">
        <w:rPr>
          <w:szCs w:val="20"/>
        </w:rPr>
        <w:t xml:space="preserve">proximately 1,500 potential ETs. These ETs were run through </w:t>
      </w:r>
      <w:r w:rsidR="007238A0">
        <w:rPr>
          <w:szCs w:val="20"/>
        </w:rPr>
        <w:t>a</w:t>
      </w:r>
      <w:r w:rsidR="00BA08BB">
        <w:rPr>
          <w:szCs w:val="20"/>
        </w:rPr>
        <w:t xml:space="preserve"> screening process </w:t>
      </w:r>
      <w:r w:rsidR="005A5DC8">
        <w:rPr>
          <w:szCs w:val="20"/>
        </w:rPr>
        <w:t>to rate e</w:t>
      </w:r>
      <w:r w:rsidR="005A5DC8" w:rsidRPr="000C0B0E">
        <w:rPr>
          <w:szCs w:val="20"/>
        </w:rPr>
        <w:t xml:space="preserve">nergy </w:t>
      </w:r>
      <w:r w:rsidR="005A5DC8">
        <w:rPr>
          <w:szCs w:val="20"/>
        </w:rPr>
        <w:t>t</w:t>
      </w:r>
      <w:r w:rsidR="005A5DC8" w:rsidRPr="000C0B0E">
        <w:rPr>
          <w:szCs w:val="20"/>
        </w:rPr>
        <w:t xml:space="preserve">echnical </w:t>
      </w:r>
      <w:r w:rsidR="005A5DC8">
        <w:rPr>
          <w:szCs w:val="20"/>
        </w:rPr>
        <w:t>p</w:t>
      </w:r>
      <w:r w:rsidR="005A5DC8" w:rsidRPr="000C0B0E">
        <w:rPr>
          <w:szCs w:val="20"/>
        </w:rPr>
        <w:t>otential</w:t>
      </w:r>
      <w:r w:rsidR="005A5DC8">
        <w:rPr>
          <w:szCs w:val="20"/>
        </w:rPr>
        <w:t>, e</w:t>
      </w:r>
      <w:r w:rsidR="005A5DC8" w:rsidRPr="000C0B0E">
        <w:rPr>
          <w:szCs w:val="20"/>
        </w:rPr>
        <w:t xml:space="preserve">nergy </w:t>
      </w:r>
      <w:r w:rsidR="005A5DC8">
        <w:rPr>
          <w:szCs w:val="20"/>
        </w:rPr>
        <w:t>m</w:t>
      </w:r>
      <w:r w:rsidR="005A5DC8" w:rsidRPr="000C0B0E">
        <w:rPr>
          <w:szCs w:val="20"/>
        </w:rPr>
        <w:t xml:space="preserve">arket </w:t>
      </w:r>
      <w:r w:rsidR="005A5DC8">
        <w:rPr>
          <w:szCs w:val="20"/>
        </w:rPr>
        <w:t>p</w:t>
      </w:r>
      <w:r w:rsidR="005A5DC8" w:rsidRPr="000C0B0E">
        <w:rPr>
          <w:szCs w:val="20"/>
        </w:rPr>
        <w:t>otential</w:t>
      </w:r>
      <w:r w:rsidR="005A5DC8">
        <w:rPr>
          <w:szCs w:val="20"/>
        </w:rPr>
        <w:t>, m</w:t>
      </w:r>
      <w:r w:rsidR="005A5DC8" w:rsidRPr="000C0B0E">
        <w:rPr>
          <w:szCs w:val="20"/>
        </w:rPr>
        <w:t xml:space="preserve">arket </w:t>
      </w:r>
      <w:r w:rsidR="005A5DC8">
        <w:rPr>
          <w:szCs w:val="20"/>
        </w:rPr>
        <w:t>r</w:t>
      </w:r>
      <w:r w:rsidR="005A5DC8" w:rsidRPr="000C0B0E">
        <w:rPr>
          <w:szCs w:val="20"/>
        </w:rPr>
        <w:t>isk</w:t>
      </w:r>
      <w:r w:rsidR="005A5DC8">
        <w:rPr>
          <w:szCs w:val="20"/>
        </w:rPr>
        <w:t>, t</w:t>
      </w:r>
      <w:r w:rsidR="005A5DC8" w:rsidRPr="000C0B0E">
        <w:rPr>
          <w:szCs w:val="20"/>
        </w:rPr>
        <w:t xml:space="preserve">echnical </w:t>
      </w:r>
      <w:r w:rsidR="005A5DC8">
        <w:rPr>
          <w:szCs w:val="20"/>
        </w:rPr>
        <w:t>r</w:t>
      </w:r>
      <w:r w:rsidR="005A5DC8" w:rsidRPr="000C0B0E">
        <w:rPr>
          <w:szCs w:val="20"/>
        </w:rPr>
        <w:t>isk</w:t>
      </w:r>
      <w:r w:rsidR="005A5DC8">
        <w:rPr>
          <w:szCs w:val="20"/>
        </w:rPr>
        <w:t>, and u</w:t>
      </w:r>
      <w:r w:rsidR="005A5DC8" w:rsidRPr="000C0B0E">
        <w:rPr>
          <w:szCs w:val="20"/>
        </w:rPr>
        <w:t xml:space="preserve">tility </w:t>
      </w:r>
      <w:r w:rsidR="005A5DC8">
        <w:rPr>
          <w:szCs w:val="20"/>
        </w:rPr>
        <w:t>a</w:t>
      </w:r>
      <w:r w:rsidR="005A5DC8" w:rsidRPr="000C0B0E">
        <w:rPr>
          <w:szCs w:val="20"/>
        </w:rPr>
        <w:t xml:space="preserve">bility to </w:t>
      </w:r>
      <w:r w:rsidR="005A5DC8">
        <w:rPr>
          <w:szCs w:val="20"/>
        </w:rPr>
        <w:t>i</w:t>
      </w:r>
      <w:r w:rsidR="005A5DC8" w:rsidRPr="000C0B0E">
        <w:rPr>
          <w:szCs w:val="20"/>
        </w:rPr>
        <w:t xml:space="preserve">mpact </w:t>
      </w:r>
      <w:r w:rsidR="005A5DC8">
        <w:rPr>
          <w:szCs w:val="20"/>
        </w:rPr>
        <w:t>m</w:t>
      </w:r>
      <w:r w:rsidR="005A5DC8" w:rsidRPr="000C0B0E">
        <w:rPr>
          <w:szCs w:val="20"/>
        </w:rPr>
        <w:t>arket</w:t>
      </w:r>
      <w:r w:rsidR="009D62A9">
        <w:rPr>
          <w:szCs w:val="20"/>
        </w:rPr>
        <w:t xml:space="preserve"> adoption. This process </w:t>
      </w:r>
      <w:r w:rsidRPr="00356E4C">
        <w:rPr>
          <w:szCs w:val="20"/>
        </w:rPr>
        <w:t>ultimately y</w:t>
      </w:r>
      <w:r>
        <w:rPr>
          <w:szCs w:val="20"/>
        </w:rPr>
        <w:t>ielded 169 emerging technology processes</w:t>
      </w:r>
      <w:r>
        <w:rPr>
          <w:rStyle w:val="FootnoteReference"/>
          <w:szCs w:val="20"/>
        </w:rPr>
        <w:footnoteReference w:id="81"/>
      </w:r>
      <w:r w:rsidRPr="00356E4C">
        <w:rPr>
          <w:szCs w:val="20"/>
        </w:rPr>
        <w:t xml:space="preserve"> for final consideration within the model. </w:t>
      </w:r>
      <w:r w:rsidR="00FE1146">
        <w:rPr>
          <w:szCs w:val="20"/>
        </w:rPr>
        <w:t xml:space="preserve">For a summary of the ET literature reviewed, and details on screening process and how this was used to define sub-sector potential, </w:t>
      </w:r>
      <w:r w:rsidRPr="00D92CC2">
        <w:rPr>
          <w:szCs w:val="20"/>
        </w:rPr>
        <w:t xml:space="preserve">see </w:t>
      </w:r>
      <w:r w:rsidR="00D92CC2" w:rsidRPr="00D92CC2">
        <w:rPr>
          <w:szCs w:val="20"/>
        </w:rPr>
        <w:fldChar w:fldCharType="begin"/>
      </w:r>
      <w:r w:rsidR="00D92CC2" w:rsidRPr="00D92CC2">
        <w:rPr>
          <w:szCs w:val="20"/>
        </w:rPr>
        <w:instrText xml:space="preserve"> REF _Ref482611464 \n \h </w:instrText>
      </w:r>
      <w:r w:rsidR="00D92CC2">
        <w:rPr>
          <w:szCs w:val="20"/>
        </w:rPr>
        <w:instrText xml:space="preserve"> \* MERGEFORMAT </w:instrText>
      </w:r>
      <w:r w:rsidR="00D92CC2" w:rsidRPr="00D92CC2">
        <w:rPr>
          <w:szCs w:val="20"/>
        </w:rPr>
      </w:r>
      <w:r w:rsidR="00D92CC2" w:rsidRPr="00D92CC2">
        <w:rPr>
          <w:szCs w:val="20"/>
        </w:rPr>
        <w:fldChar w:fldCharType="separate"/>
      </w:r>
      <w:r w:rsidR="007566B9">
        <w:rPr>
          <w:szCs w:val="20"/>
        </w:rPr>
        <w:t>Appendix F</w:t>
      </w:r>
      <w:r w:rsidR="00D92CC2" w:rsidRPr="00D92CC2">
        <w:rPr>
          <w:szCs w:val="20"/>
        </w:rPr>
        <w:fldChar w:fldCharType="end"/>
      </w:r>
      <w:r w:rsidRPr="00D92CC2">
        <w:rPr>
          <w:szCs w:val="20"/>
        </w:rPr>
        <w:t>.</w:t>
      </w:r>
      <w:r>
        <w:rPr>
          <w:szCs w:val="20"/>
        </w:rPr>
        <w:t xml:space="preserve"> </w:t>
      </w:r>
    </w:p>
    <w:p w14:paraId="34BEE6CC" w14:textId="77777777" w:rsidR="002D74A6" w:rsidRDefault="002D74A6" w:rsidP="002D74A6">
      <w:pPr>
        <w:autoSpaceDE w:val="0"/>
        <w:autoSpaceDN w:val="0"/>
        <w:adjustRightInd w:val="0"/>
        <w:spacing w:line="240" w:lineRule="auto"/>
        <w:rPr>
          <w:szCs w:val="20"/>
        </w:rPr>
      </w:pPr>
    </w:p>
    <w:p w14:paraId="1AA8F947" w14:textId="77777777" w:rsidR="002D74A6" w:rsidRDefault="00A93CE5" w:rsidP="002D74A6">
      <w:pPr>
        <w:autoSpaceDE w:val="0"/>
        <w:autoSpaceDN w:val="0"/>
        <w:adjustRightInd w:val="0"/>
        <w:spacing w:line="240" w:lineRule="auto"/>
        <w:rPr>
          <w:szCs w:val="20"/>
        </w:rPr>
      </w:pPr>
      <w:r>
        <w:rPr>
          <w:szCs w:val="20"/>
        </w:rPr>
        <w:fldChar w:fldCharType="begin"/>
      </w:r>
      <w:r>
        <w:rPr>
          <w:szCs w:val="20"/>
        </w:rPr>
        <w:instrText xml:space="preserve"> REF _Ref484634989 \h </w:instrText>
      </w:r>
      <w:r>
        <w:rPr>
          <w:szCs w:val="20"/>
        </w:rPr>
      </w:r>
      <w:r>
        <w:rPr>
          <w:szCs w:val="20"/>
        </w:rPr>
        <w:fldChar w:fldCharType="separate"/>
      </w:r>
      <w:r w:rsidR="007566B9">
        <w:t xml:space="preserve">Table </w:t>
      </w:r>
      <w:r w:rsidR="007566B9">
        <w:rPr>
          <w:noProof/>
        </w:rPr>
        <w:t>3</w:t>
      </w:r>
      <w:r w:rsidR="007566B9">
        <w:noBreakHyphen/>
      </w:r>
      <w:r w:rsidR="007566B9">
        <w:rPr>
          <w:noProof/>
        </w:rPr>
        <w:t>19</w:t>
      </w:r>
      <w:r>
        <w:rPr>
          <w:szCs w:val="20"/>
        </w:rPr>
        <w:fldChar w:fldCharType="end"/>
      </w:r>
      <w:r>
        <w:rPr>
          <w:szCs w:val="20"/>
        </w:rPr>
        <w:t xml:space="preserve"> </w:t>
      </w:r>
      <w:r w:rsidR="00EA339D">
        <w:rPr>
          <w:szCs w:val="20"/>
        </w:rPr>
        <w:t>summarize</w:t>
      </w:r>
      <w:r w:rsidR="007D4A2A">
        <w:rPr>
          <w:szCs w:val="20"/>
        </w:rPr>
        <w:t xml:space="preserve">s </w:t>
      </w:r>
      <w:r w:rsidR="00EA339D">
        <w:rPr>
          <w:szCs w:val="20"/>
        </w:rPr>
        <w:t>the resulting savings and cost factors.</w:t>
      </w:r>
      <w:r w:rsidR="002D74A6" w:rsidRPr="00356E4C">
        <w:rPr>
          <w:szCs w:val="20"/>
        </w:rPr>
        <w:t xml:space="preserve"> </w:t>
      </w:r>
      <w:r w:rsidR="002D74A6">
        <w:rPr>
          <w:szCs w:val="20"/>
        </w:rPr>
        <w:t>Navigant applied s</w:t>
      </w:r>
      <w:r w:rsidR="002D74A6" w:rsidRPr="00356E4C">
        <w:rPr>
          <w:szCs w:val="20"/>
        </w:rPr>
        <w:t>egment-specific electric and gas savings</w:t>
      </w:r>
      <w:r w:rsidR="002D74A6">
        <w:rPr>
          <w:szCs w:val="20"/>
        </w:rPr>
        <w:t>, as well as c</w:t>
      </w:r>
      <w:r w:rsidR="002D74A6" w:rsidRPr="00356E4C">
        <w:rPr>
          <w:szCs w:val="20"/>
        </w:rPr>
        <w:t xml:space="preserve">osts, EUL, and </w:t>
      </w:r>
      <w:r w:rsidR="002D74A6">
        <w:rPr>
          <w:szCs w:val="20"/>
        </w:rPr>
        <w:t xml:space="preserve">the </w:t>
      </w:r>
      <w:r w:rsidR="002D74A6" w:rsidRPr="00356E4C">
        <w:rPr>
          <w:szCs w:val="20"/>
        </w:rPr>
        <w:t>kW/kWh savings ratio consistently across all utilities.</w:t>
      </w:r>
      <w:r w:rsidR="002D74A6">
        <w:rPr>
          <w:szCs w:val="20"/>
        </w:rPr>
        <w:t xml:space="preserve"> </w:t>
      </w:r>
    </w:p>
    <w:p w14:paraId="5F6FD21D" w14:textId="77777777" w:rsidR="002D74A6" w:rsidRDefault="002D74A6" w:rsidP="002D74A6">
      <w:pPr>
        <w:autoSpaceDE w:val="0"/>
        <w:autoSpaceDN w:val="0"/>
        <w:adjustRightInd w:val="0"/>
        <w:spacing w:line="240" w:lineRule="auto"/>
        <w:rPr>
          <w:szCs w:val="20"/>
        </w:rPr>
      </w:pPr>
    </w:p>
    <w:p w14:paraId="5FDC7AA6" w14:textId="77777777" w:rsidR="002D74A6" w:rsidRPr="00FA3818" w:rsidRDefault="002D74A6" w:rsidP="002D74A6">
      <w:pPr>
        <w:pStyle w:val="Caption"/>
        <w:rPr>
          <w:b w:val="0"/>
        </w:rPr>
      </w:pPr>
      <w:bookmarkStart w:id="577" w:name="_Ref484634989"/>
      <w:bookmarkStart w:id="578" w:name="_Toc482634226"/>
      <w:bookmarkStart w:id="579" w:name="_Toc484436965"/>
      <w:bookmarkStart w:id="580" w:name="_Toc490560677"/>
      <w:r>
        <w:t xml:space="preserve">Table </w:t>
      </w:r>
      <w:fldSimple w:instr=" STYLEREF 1 \s ">
        <w:r w:rsidR="007566B9">
          <w:rPr>
            <w:noProof/>
          </w:rPr>
          <w:t>3</w:t>
        </w:r>
      </w:fldSimple>
      <w:r w:rsidR="00C17D59">
        <w:noBreakHyphen/>
      </w:r>
      <w:fldSimple w:instr=" SEQ Table \* ARABIC \s 1 ">
        <w:r w:rsidR="007566B9">
          <w:rPr>
            <w:noProof/>
          </w:rPr>
          <w:t>19</w:t>
        </w:r>
      </w:fldSimple>
      <w:bookmarkEnd w:id="577"/>
      <w:r>
        <w:t>. Emerging Technologies - Key Assumptions</w:t>
      </w:r>
      <w:bookmarkEnd w:id="578"/>
      <w:bookmarkEnd w:id="579"/>
      <w:bookmarkEnd w:id="580"/>
    </w:p>
    <w:tbl>
      <w:tblPr>
        <w:tblStyle w:val="ListTable3-Accent11"/>
        <w:tblW w:w="9580" w:type="dxa"/>
        <w:tblLook w:val="04A0" w:firstRow="1" w:lastRow="0" w:firstColumn="1" w:lastColumn="0" w:noHBand="0" w:noVBand="1"/>
      </w:tblPr>
      <w:tblGrid>
        <w:gridCol w:w="939"/>
        <w:gridCol w:w="1429"/>
        <w:gridCol w:w="832"/>
        <w:gridCol w:w="1390"/>
        <w:gridCol w:w="1432"/>
        <w:gridCol w:w="804"/>
        <w:gridCol w:w="1347"/>
        <w:gridCol w:w="1407"/>
      </w:tblGrid>
      <w:tr w:rsidR="002544A3" w:rsidRPr="00657865" w14:paraId="12FF7834" w14:textId="77777777" w:rsidTr="003E3C9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939" w:type="dxa"/>
            <w:vMerge w:val="restart"/>
            <w:shd w:val="clear" w:color="auto" w:fill="555759" w:themeFill="text2"/>
            <w:hideMark/>
          </w:tcPr>
          <w:p w14:paraId="285A2386" w14:textId="77777777" w:rsidR="002D74A6" w:rsidRPr="00657865" w:rsidRDefault="002D74A6" w:rsidP="003E3C94">
            <w:pPr>
              <w:rPr>
                <w:rFonts w:ascii="Arial Narrow" w:hAnsi="Arial Narrow"/>
                <w:b w:val="0"/>
                <w:sz w:val="18"/>
                <w:szCs w:val="18"/>
              </w:rPr>
            </w:pPr>
            <w:r w:rsidRPr="00657865">
              <w:rPr>
                <w:rFonts w:ascii="Arial Narrow" w:hAnsi="Arial Narrow"/>
                <w:sz w:val="18"/>
                <w:szCs w:val="18"/>
              </w:rPr>
              <w:t>Sector</w:t>
            </w:r>
          </w:p>
        </w:tc>
        <w:tc>
          <w:tcPr>
            <w:tcW w:w="1429" w:type="dxa"/>
            <w:vMerge w:val="restart"/>
            <w:shd w:val="clear" w:color="auto" w:fill="555759" w:themeFill="text2"/>
            <w:hideMark/>
          </w:tcPr>
          <w:p w14:paraId="251190C4" w14:textId="77777777" w:rsidR="002D74A6" w:rsidRPr="00657865" w:rsidRDefault="002D74A6" w:rsidP="003E3C94">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657865">
              <w:rPr>
                <w:rFonts w:ascii="Arial Narrow" w:hAnsi="Arial Narrow"/>
                <w:sz w:val="18"/>
                <w:szCs w:val="18"/>
              </w:rPr>
              <w:t>Type</w:t>
            </w:r>
          </w:p>
        </w:tc>
        <w:tc>
          <w:tcPr>
            <w:tcW w:w="832" w:type="dxa"/>
            <w:vMerge w:val="restart"/>
            <w:shd w:val="clear" w:color="auto" w:fill="555759" w:themeFill="text2"/>
            <w:hideMark/>
          </w:tcPr>
          <w:p w14:paraId="2DEB74D0" w14:textId="77777777" w:rsidR="002D74A6" w:rsidRPr="00657865" w:rsidRDefault="002D74A6" w:rsidP="003E3C94">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657865">
              <w:rPr>
                <w:rFonts w:ascii="Arial Narrow" w:hAnsi="Arial Narrow"/>
                <w:sz w:val="18"/>
                <w:szCs w:val="18"/>
              </w:rPr>
              <w:t>EUL years</w:t>
            </w:r>
          </w:p>
        </w:tc>
        <w:tc>
          <w:tcPr>
            <w:tcW w:w="2822" w:type="dxa"/>
            <w:gridSpan w:val="2"/>
            <w:tcBorders>
              <w:bottom w:val="single" w:sz="2" w:space="0" w:color="FFFFFF" w:themeColor="background1"/>
            </w:tcBorders>
            <w:shd w:val="clear" w:color="auto" w:fill="555759" w:themeFill="text2"/>
            <w:hideMark/>
          </w:tcPr>
          <w:p w14:paraId="3CED1F96" w14:textId="77777777" w:rsidR="002D74A6" w:rsidRPr="00657865" w:rsidRDefault="002D74A6" w:rsidP="003E3C94">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657865">
              <w:rPr>
                <w:rFonts w:ascii="Arial Narrow" w:hAnsi="Arial Narrow"/>
                <w:sz w:val="18"/>
                <w:szCs w:val="18"/>
              </w:rPr>
              <w:t>Savings Range</w:t>
            </w:r>
            <w:r w:rsidR="00EA339D" w:rsidRPr="00657865">
              <w:rPr>
                <w:rFonts w:ascii="Arial Narrow" w:hAnsi="Arial Narrow"/>
                <w:sz w:val="18"/>
                <w:szCs w:val="18"/>
              </w:rPr>
              <w:t xml:space="preserve"> (Percent of Building Energy Consumption)</w:t>
            </w:r>
          </w:p>
        </w:tc>
        <w:tc>
          <w:tcPr>
            <w:tcW w:w="2151" w:type="dxa"/>
            <w:gridSpan w:val="2"/>
            <w:tcBorders>
              <w:bottom w:val="single" w:sz="2" w:space="0" w:color="FFFFFF" w:themeColor="background1"/>
            </w:tcBorders>
            <w:shd w:val="clear" w:color="auto" w:fill="555759" w:themeFill="text2"/>
            <w:hideMark/>
          </w:tcPr>
          <w:p w14:paraId="6FE19707" w14:textId="77777777" w:rsidR="002D74A6" w:rsidRPr="00657865" w:rsidRDefault="002D74A6" w:rsidP="003E3C94">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657865">
              <w:rPr>
                <w:rFonts w:ascii="Arial Narrow" w:hAnsi="Arial Narrow"/>
                <w:sz w:val="18"/>
                <w:szCs w:val="18"/>
              </w:rPr>
              <w:t>Cost</w:t>
            </w:r>
          </w:p>
        </w:tc>
        <w:tc>
          <w:tcPr>
            <w:tcW w:w="1407" w:type="dxa"/>
            <w:vMerge w:val="restart"/>
            <w:shd w:val="clear" w:color="auto" w:fill="555759" w:themeFill="text2"/>
            <w:hideMark/>
          </w:tcPr>
          <w:p w14:paraId="3C6BEA12" w14:textId="77777777" w:rsidR="002D74A6" w:rsidRPr="00657865" w:rsidRDefault="002D74A6" w:rsidP="003E3C94">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657865">
              <w:rPr>
                <w:rFonts w:ascii="Arial Narrow" w:hAnsi="Arial Narrow"/>
                <w:sz w:val="18"/>
                <w:szCs w:val="18"/>
              </w:rPr>
              <w:t>kW/kWh Savings Ratio</w:t>
            </w:r>
          </w:p>
        </w:tc>
      </w:tr>
      <w:tr w:rsidR="002544A3" w:rsidRPr="00657865" w14:paraId="364BC579" w14:textId="77777777" w:rsidTr="003E3C9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39" w:type="dxa"/>
            <w:vMerge/>
            <w:tcBorders>
              <w:bottom w:val="single" w:sz="12" w:space="0" w:color="95D600" w:themeColor="accent1"/>
            </w:tcBorders>
            <w:hideMark/>
          </w:tcPr>
          <w:p w14:paraId="6DB31730" w14:textId="77777777" w:rsidR="002D74A6" w:rsidRPr="00657865" w:rsidRDefault="002D74A6" w:rsidP="003E3C94">
            <w:pPr>
              <w:rPr>
                <w:rFonts w:ascii="Arial Narrow" w:hAnsi="Arial Narrow"/>
                <w:sz w:val="18"/>
                <w:szCs w:val="18"/>
              </w:rPr>
            </w:pPr>
          </w:p>
        </w:tc>
        <w:tc>
          <w:tcPr>
            <w:tcW w:w="1429" w:type="dxa"/>
            <w:vMerge/>
            <w:tcBorders>
              <w:bottom w:val="single" w:sz="12" w:space="0" w:color="95D600" w:themeColor="accent1"/>
            </w:tcBorders>
            <w:hideMark/>
          </w:tcPr>
          <w:p w14:paraId="0A8D8467"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832" w:type="dxa"/>
            <w:vMerge/>
            <w:tcBorders>
              <w:bottom w:val="single" w:sz="12" w:space="0" w:color="95D600" w:themeColor="accent1"/>
            </w:tcBorders>
            <w:shd w:val="clear" w:color="auto" w:fill="555759" w:themeFill="text2"/>
            <w:hideMark/>
          </w:tcPr>
          <w:p w14:paraId="721D0F8C"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390" w:type="dxa"/>
            <w:tcBorders>
              <w:top w:val="single" w:sz="2" w:space="0" w:color="FFFFFF" w:themeColor="background1"/>
              <w:bottom w:val="single" w:sz="12" w:space="0" w:color="95D600" w:themeColor="accent1"/>
            </w:tcBorders>
            <w:shd w:val="clear" w:color="auto" w:fill="555759" w:themeFill="text2"/>
            <w:hideMark/>
          </w:tcPr>
          <w:p w14:paraId="5FEA6D89"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8"/>
                <w:szCs w:val="18"/>
              </w:rPr>
            </w:pPr>
            <w:r w:rsidRPr="00657865">
              <w:rPr>
                <w:rFonts w:ascii="Arial Narrow" w:hAnsi="Arial Narrow"/>
                <w:b/>
                <w:color w:val="FFFFFF" w:themeColor="background1"/>
                <w:sz w:val="18"/>
                <w:szCs w:val="18"/>
              </w:rPr>
              <w:t>kWh</w:t>
            </w:r>
          </w:p>
        </w:tc>
        <w:tc>
          <w:tcPr>
            <w:tcW w:w="1432" w:type="dxa"/>
            <w:tcBorders>
              <w:top w:val="single" w:sz="2" w:space="0" w:color="FFFFFF" w:themeColor="background1"/>
              <w:bottom w:val="single" w:sz="12" w:space="0" w:color="95D600" w:themeColor="accent1"/>
            </w:tcBorders>
            <w:shd w:val="clear" w:color="auto" w:fill="555759" w:themeFill="text2"/>
            <w:hideMark/>
          </w:tcPr>
          <w:p w14:paraId="3F790E64"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8"/>
                <w:szCs w:val="18"/>
              </w:rPr>
            </w:pPr>
            <w:r w:rsidRPr="00657865">
              <w:rPr>
                <w:rFonts w:ascii="Arial Narrow" w:hAnsi="Arial Narrow"/>
                <w:b/>
                <w:color w:val="FFFFFF" w:themeColor="background1"/>
                <w:sz w:val="18"/>
                <w:szCs w:val="18"/>
              </w:rPr>
              <w:t>Therm</w:t>
            </w:r>
          </w:p>
        </w:tc>
        <w:tc>
          <w:tcPr>
            <w:tcW w:w="804" w:type="dxa"/>
            <w:tcBorders>
              <w:top w:val="single" w:sz="2" w:space="0" w:color="FFFFFF" w:themeColor="background1"/>
              <w:bottom w:val="single" w:sz="12" w:space="0" w:color="95D600" w:themeColor="accent1"/>
            </w:tcBorders>
            <w:shd w:val="clear" w:color="auto" w:fill="555759" w:themeFill="text2"/>
            <w:hideMark/>
          </w:tcPr>
          <w:p w14:paraId="2229E234"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8"/>
                <w:szCs w:val="18"/>
              </w:rPr>
            </w:pPr>
            <w:r w:rsidRPr="00657865">
              <w:rPr>
                <w:rFonts w:ascii="Arial Narrow" w:hAnsi="Arial Narrow"/>
                <w:b/>
                <w:color w:val="FFFFFF" w:themeColor="background1"/>
                <w:sz w:val="18"/>
                <w:szCs w:val="18"/>
              </w:rPr>
              <w:t>kWh</w:t>
            </w:r>
          </w:p>
        </w:tc>
        <w:tc>
          <w:tcPr>
            <w:tcW w:w="1347" w:type="dxa"/>
            <w:tcBorders>
              <w:top w:val="single" w:sz="2" w:space="0" w:color="FFFFFF" w:themeColor="background1"/>
              <w:bottom w:val="single" w:sz="12" w:space="0" w:color="95D600" w:themeColor="accent1"/>
            </w:tcBorders>
            <w:shd w:val="clear" w:color="auto" w:fill="555759" w:themeFill="text2"/>
            <w:hideMark/>
          </w:tcPr>
          <w:p w14:paraId="3BD7B07E"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8"/>
                <w:szCs w:val="18"/>
              </w:rPr>
            </w:pPr>
            <w:r w:rsidRPr="00657865">
              <w:rPr>
                <w:rFonts w:ascii="Arial Narrow" w:hAnsi="Arial Narrow"/>
                <w:b/>
                <w:color w:val="FFFFFF" w:themeColor="background1"/>
                <w:sz w:val="18"/>
                <w:szCs w:val="18"/>
              </w:rPr>
              <w:t>Therm</w:t>
            </w:r>
          </w:p>
        </w:tc>
        <w:tc>
          <w:tcPr>
            <w:tcW w:w="1407" w:type="dxa"/>
            <w:vMerge/>
            <w:tcBorders>
              <w:bottom w:val="single" w:sz="12" w:space="0" w:color="95D600" w:themeColor="accent1"/>
            </w:tcBorders>
            <w:hideMark/>
          </w:tcPr>
          <w:p w14:paraId="5C9AB62D" w14:textId="77777777" w:rsidR="002D74A6" w:rsidRPr="00657865" w:rsidRDefault="002D74A6" w:rsidP="003E3C9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r>
      <w:tr w:rsidR="002D74A6" w:rsidRPr="00657865" w14:paraId="4EC304DC" w14:textId="77777777" w:rsidTr="00AF21BE">
        <w:trPr>
          <w:trHeight w:val="738"/>
        </w:trPr>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95D600" w:themeColor="accent1"/>
            </w:tcBorders>
            <w:hideMark/>
          </w:tcPr>
          <w:p w14:paraId="13E386BB" w14:textId="77777777" w:rsidR="002D74A6" w:rsidRPr="00657865" w:rsidRDefault="002D74A6" w:rsidP="003E3C94">
            <w:pPr>
              <w:rPr>
                <w:rFonts w:ascii="Arial Narrow" w:hAnsi="Arial Narrow"/>
                <w:sz w:val="18"/>
                <w:szCs w:val="18"/>
              </w:rPr>
            </w:pPr>
            <w:r w:rsidRPr="00657865">
              <w:rPr>
                <w:rFonts w:ascii="Arial Narrow" w:hAnsi="Arial Narrow"/>
                <w:sz w:val="18"/>
                <w:szCs w:val="18"/>
              </w:rPr>
              <w:t>AIMS</w:t>
            </w:r>
          </w:p>
        </w:tc>
        <w:tc>
          <w:tcPr>
            <w:tcW w:w="0" w:type="dxa"/>
            <w:tcBorders>
              <w:top w:val="single" w:sz="12" w:space="0" w:color="95D600" w:themeColor="accent1"/>
            </w:tcBorders>
            <w:hideMark/>
          </w:tcPr>
          <w:p w14:paraId="1AB46A42"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Emerging Technologies</w:t>
            </w:r>
          </w:p>
        </w:tc>
        <w:tc>
          <w:tcPr>
            <w:tcW w:w="0" w:type="dxa"/>
            <w:tcBorders>
              <w:top w:val="single" w:sz="12" w:space="0" w:color="95D600" w:themeColor="accent1"/>
            </w:tcBorders>
            <w:hideMark/>
          </w:tcPr>
          <w:p w14:paraId="165D33E8"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15</w:t>
            </w:r>
          </w:p>
        </w:tc>
        <w:tc>
          <w:tcPr>
            <w:tcW w:w="0" w:type="dxa"/>
            <w:tcBorders>
              <w:top w:val="single" w:sz="12" w:space="0" w:color="95D600" w:themeColor="accent1"/>
            </w:tcBorders>
            <w:hideMark/>
          </w:tcPr>
          <w:p w14:paraId="109CFB2A"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0.18% - 4.8%</w:t>
            </w:r>
          </w:p>
        </w:tc>
        <w:tc>
          <w:tcPr>
            <w:tcW w:w="0" w:type="dxa"/>
            <w:tcBorders>
              <w:top w:val="single" w:sz="12" w:space="0" w:color="95D600" w:themeColor="accent1"/>
            </w:tcBorders>
            <w:hideMark/>
          </w:tcPr>
          <w:p w14:paraId="715C305A"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0.44% - 9.5%</w:t>
            </w:r>
          </w:p>
        </w:tc>
        <w:tc>
          <w:tcPr>
            <w:tcW w:w="0" w:type="dxa"/>
            <w:tcBorders>
              <w:top w:val="single" w:sz="12" w:space="0" w:color="95D600" w:themeColor="accent1"/>
            </w:tcBorders>
            <w:hideMark/>
          </w:tcPr>
          <w:p w14:paraId="78B7F270"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$0.42 </w:t>
            </w:r>
          </w:p>
        </w:tc>
        <w:tc>
          <w:tcPr>
            <w:tcW w:w="0" w:type="dxa"/>
            <w:tcBorders>
              <w:top w:val="single" w:sz="12" w:space="0" w:color="95D600" w:themeColor="accent1"/>
            </w:tcBorders>
            <w:hideMark/>
          </w:tcPr>
          <w:p w14:paraId="43DCBBBB"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highlight w:val="red"/>
              </w:rPr>
            </w:pPr>
            <w:r w:rsidRPr="00657865">
              <w:rPr>
                <w:rFonts w:ascii="Arial Narrow" w:hAnsi="Arial Narrow"/>
                <w:sz w:val="18"/>
                <w:szCs w:val="18"/>
              </w:rPr>
              <w:t>$2.83</w:t>
            </w:r>
          </w:p>
        </w:tc>
        <w:tc>
          <w:tcPr>
            <w:tcW w:w="0" w:type="dxa"/>
            <w:tcBorders>
              <w:top w:val="single" w:sz="12" w:space="0" w:color="95D600" w:themeColor="accent1"/>
            </w:tcBorders>
            <w:hideMark/>
          </w:tcPr>
          <w:p w14:paraId="061AD751" w14:textId="77777777" w:rsidR="002D74A6" w:rsidRPr="00657865" w:rsidRDefault="002D74A6" w:rsidP="003E3C9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0.000195</w:t>
            </w:r>
          </w:p>
        </w:tc>
      </w:tr>
    </w:tbl>
    <w:p w14:paraId="2A9E3BDF" w14:textId="77777777" w:rsidR="007D4A2A" w:rsidRDefault="007D4A2A" w:rsidP="007D4A2A"/>
    <w:p w14:paraId="136BAC96" w14:textId="77777777" w:rsidR="002D74A6" w:rsidRDefault="002D74A6" w:rsidP="007D4A2A">
      <w:r>
        <w:lastRenderedPageBreak/>
        <w:t>Emerging technologies apply to different industrial and agricultural sectors in varying degrees. However, because Navigant conducted sector-specific technology applicability calculations during the screening process, the team assign</w:t>
      </w:r>
      <w:r w:rsidR="00EA339D">
        <w:t>ed</w:t>
      </w:r>
      <w:r>
        <w:t xml:space="preserve"> each sector a 100% eligibility factor for modeling purposes. This was possible because the forecasted savings for that sector are derived only from those technologies that are relevant to the end uses within that respective industrial or agricultural sector. </w:t>
      </w:r>
    </w:p>
    <w:p w14:paraId="24C8B06A" w14:textId="77777777" w:rsidR="007D4A2A" w:rsidRDefault="007D4A2A" w:rsidP="007D4A2A">
      <w:pPr>
        <w:rPr>
          <w:szCs w:val="20"/>
        </w:rPr>
      </w:pPr>
    </w:p>
    <w:p w14:paraId="422495A5" w14:textId="77777777" w:rsidR="002D74A6" w:rsidRDefault="00FE1146" w:rsidP="007D4A2A">
      <w:pPr>
        <w:rPr>
          <w:szCs w:val="20"/>
        </w:rPr>
      </w:pPr>
      <w:r>
        <w:rPr>
          <w:szCs w:val="20"/>
        </w:rPr>
        <w:t>Electric savings range from 0.18</w:t>
      </w:r>
      <w:r w:rsidRPr="0044100C">
        <w:rPr>
          <w:szCs w:val="20"/>
        </w:rPr>
        <w:t>%</w:t>
      </w:r>
      <w:r>
        <w:rPr>
          <w:szCs w:val="20"/>
        </w:rPr>
        <w:t xml:space="preserve"> to 4.8</w:t>
      </w:r>
      <w:r w:rsidRPr="0044100C">
        <w:rPr>
          <w:szCs w:val="20"/>
        </w:rPr>
        <w:t>%</w:t>
      </w:r>
      <w:r>
        <w:rPr>
          <w:szCs w:val="20"/>
        </w:rPr>
        <w:t>, with an average of 1.74%.</w:t>
      </w:r>
      <w:r w:rsidR="00914FC1">
        <w:rPr>
          <w:szCs w:val="20"/>
        </w:rPr>
        <w:t xml:space="preserve"> Natural g</w:t>
      </w:r>
      <w:r>
        <w:rPr>
          <w:szCs w:val="20"/>
        </w:rPr>
        <w:t xml:space="preserve">as savings </w:t>
      </w:r>
      <w:r w:rsidRPr="00B86184">
        <w:rPr>
          <w:szCs w:val="20"/>
        </w:rPr>
        <w:t xml:space="preserve">range from </w:t>
      </w:r>
      <w:r w:rsidR="00914FC1">
        <w:rPr>
          <w:szCs w:val="20"/>
        </w:rPr>
        <w:t xml:space="preserve">0.44% </w:t>
      </w:r>
      <w:r w:rsidRPr="00B86184">
        <w:rPr>
          <w:szCs w:val="20"/>
        </w:rPr>
        <w:t>to 9.</w:t>
      </w:r>
      <w:r w:rsidR="00914FC1">
        <w:rPr>
          <w:szCs w:val="20"/>
        </w:rPr>
        <w:t>5</w:t>
      </w:r>
      <w:r w:rsidRPr="00B86184">
        <w:rPr>
          <w:szCs w:val="20"/>
        </w:rPr>
        <w:t xml:space="preserve">%, with an average of 3.99%. </w:t>
      </w:r>
    </w:p>
    <w:p w14:paraId="108DAB31" w14:textId="77777777" w:rsidR="002D74A6" w:rsidRDefault="002D74A6" w:rsidP="007D4A2A">
      <w:pPr>
        <w:rPr>
          <w:szCs w:val="20"/>
        </w:rPr>
      </w:pPr>
    </w:p>
    <w:p w14:paraId="25ED3EE2" w14:textId="77777777" w:rsidR="002D74A6" w:rsidRDefault="002D74A6" w:rsidP="007D4A2A">
      <w:r w:rsidRPr="00FD415E">
        <w:t xml:space="preserve">The model uses </w:t>
      </w:r>
      <w:r>
        <w:t>a universal</w:t>
      </w:r>
      <w:r w:rsidRPr="00FD415E">
        <w:t xml:space="preserve"> EUL of 15 years to accommodate </w:t>
      </w:r>
      <w:r>
        <w:t xml:space="preserve">the broad range of </w:t>
      </w:r>
      <w:r w:rsidRPr="00FD415E">
        <w:t xml:space="preserve">emerging technology adoption curves. </w:t>
      </w:r>
      <w:r>
        <w:t>Similarly, a universal</w:t>
      </w:r>
      <w:r w:rsidRPr="00FD415E">
        <w:t xml:space="preserve"> 0.000195</w:t>
      </w:r>
      <w:r>
        <w:t xml:space="preserve"> </w:t>
      </w:r>
      <w:r w:rsidRPr="00FD415E">
        <w:rPr>
          <w:szCs w:val="20"/>
        </w:rPr>
        <w:t xml:space="preserve">ratio of kW to kWh </w:t>
      </w:r>
      <w:r w:rsidRPr="00FD415E">
        <w:t>was applied to all three electric utilities. This is same value used for SEM, and it based on an analysis of several third-party SEM programs operating in California during the 2014-2015 portfolio cycle.</w:t>
      </w:r>
      <w:r>
        <w:t xml:space="preserve"> Actual ET-specific EULs and kW/kWh are presently unknown and </w:t>
      </w:r>
      <w:r w:rsidR="009D62A9">
        <w:t>can</w:t>
      </w:r>
      <w:r>
        <w:t xml:space="preserve"> be refined during future </w:t>
      </w:r>
      <w:r w:rsidR="009D62A9">
        <w:t>ET market studies as</w:t>
      </w:r>
      <w:r w:rsidRPr="00FD415E">
        <w:t xml:space="preserve"> additional information becomes available.</w:t>
      </w:r>
    </w:p>
    <w:p w14:paraId="199233E7" w14:textId="77777777" w:rsidR="007D4A2A" w:rsidRPr="00FD415E" w:rsidRDefault="007D4A2A" w:rsidP="007D4A2A">
      <w:pPr>
        <w:rPr>
          <w:szCs w:val="20"/>
        </w:rPr>
      </w:pPr>
    </w:p>
    <w:p w14:paraId="18DDE98E" w14:textId="77777777" w:rsidR="00EA339D" w:rsidRDefault="00EA339D" w:rsidP="007D4A2A">
      <w:r>
        <w:t xml:space="preserve">Adoption of future ETs will vary by technology. Some ETs will gain widespread customer acceptance and capture broad market share based on price, energy savings, and other customer-driven factors, while other ETs will see a more limited adoption. Although Navigant assigned unique risk factors to each new technology during the screening process, it is impossible to definitively predetermine which technology will be successful. Therefore, the model considers all emerging technologies in aggregate and applies a consistent participation rate to all ETs. As such, penetration forecasts for both the industrial and agricultural sectors begin with a saturation level of 1% for the reference case and follow a compound annual growth rate of 2.95%, yielding a target saturation of </w:t>
      </w:r>
      <w:r w:rsidRPr="00550C38">
        <w:t>21.17%</w:t>
      </w:r>
      <w:r>
        <w:t xml:space="preserve"> by 2030. The 2030 target saturation of the portfolio of AIMS relevant ETs of approximately 20% is an estimate that acknowledges the timeline over which new technologies move through the adoption cycle to reach 80% saturation (typically ranging from 10 to 30 years), and the relatively slow turnover of the diverse set of production equipment associated with many industrial processes.</w:t>
      </w:r>
    </w:p>
    <w:p w14:paraId="1455AEC0" w14:textId="77777777" w:rsidR="007D4A2A" w:rsidRDefault="007D4A2A" w:rsidP="007D4A2A">
      <w:pPr>
        <w:rPr>
          <w:szCs w:val="20"/>
        </w:rPr>
      </w:pPr>
    </w:p>
    <w:p w14:paraId="361DBE23" w14:textId="77777777" w:rsidR="002D74A6" w:rsidRDefault="00FE1146" w:rsidP="007D4A2A">
      <w:pPr>
        <w:rPr>
          <w:szCs w:val="20"/>
        </w:rPr>
      </w:pPr>
      <w:r>
        <w:rPr>
          <w:szCs w:val="20"/>
        </w:rPr>
        <w:t>Navigant estimated c</w:t>
      </w:r>
      <w:r w:rsidRPr="008261F5">
        <w:rPr>
          <w:szCs w:val="20"/>
        </w:rPr>
        <w:t xml:space="preserve">osts for electricity and natural gas </w:t>
      </w:r>
      <w:r>
        <w:rPr>
          <w:szCs w:val="20"/>
        </w:rPr>
        <w:t xml:space="preserve">ET </w:t>
      </w:r>
      <w:r w:rsidRPr="008261F5">
        <w:rPr>
          <w:szCs w:val="20"/>
        </w:rPr>
        <w:t xml:space="preserve">savings </w:t>
      </w:r>
      <w:r>
        <w:rPr>
          <w:szCs w:val="20"/>
        </w:rPr>
        <w:t xml:space="preserve">based on an analysis of industrial and agricultural programs operating throughout 2016. </w:t>
      </w:r>
      <w:r w:rsidRPr="00EB5927">
        <w:rPr>
          <w:szCs w:val="20"/>
        </w:rPr>
        <w:t xml:space="preserve">Costs for electricity and natural gas savings are estimated at $0.42/kWh and $2.83/therm, and are applied consistently for all utilities and across all industrial and agricultural </w:t>
      </w:r>
      <w:r w:rsidRPr="00FE1146">
        <w:rPr>
          <w:szCs w:val="20"/>
        </w:rPr>
        <w:t xml:space="preserve">sectors. Additional information on the methodology used to derives UES values and costs for ET measure can be found in </w:t>
      </w:r>
      <w:r w:rsidRPr="00FE1146">
        <w:rPr>
          <w:szCs w:val="20"/>
        </w:rPr>
        <w:fldChar w:fldCharType="begin"/>
      </w:r>
      <w:r w:rsidRPr="00FE1146">
        <w:rPr>
          <w:szCs w:val="20"/>
        </w:rPr>
        <w:instrText xml:space="preserve"> REF _Ref482611464 \n \h </w:instrText>
      </w:r>
      <w:r>
        <w:rPr>
          <w:szCs w:val="20"/>
        </w:rPr>
        <w:instrText xml:space="preserve"> \* MERGEFORMAT </w:instrText>
      </w:r>
      <w:r w:rsidRPr="00FE1146">
        <w:rPr>
          <w:szCs w:val="20"/>
        </w:rPr>
      </w:r>
      <w:r w:rsidRPr="00FE1146">
        <w:rPr>
          <w:szCs w:val="20"/>
        </w:rPr>
        <w:fldChar w:fldCharType="separate"/>
      </w:r>
      <w:r w:rsidR="007566B9">
        <w:rPr>
          <w:szCs w:val="20"/>
        </w:rPr>
        <w:t>Appendix F</w:t>
      </w:r>
      <w:r w:rsidRPr="00FE1146">
        <w:rPr>
          <w:szCs w:val="20"/>
        </w:rPr>
        <w:fldChar w:fldCharType="end"/>
      </w:r>
      <w:r w:rsidRPr="00FE1146">
        <w:rPr>
          <w:szCs w:val="20"/>
        </w:rPr>
        <w:t>.</w:t>
      </w:r>
    </w:p>
    <w:p w14:paraId="2E141C02" w14:textId="77777777" w:rsidR="00412E8E" w:rsidRDefault="00412E8E" w:rsidP="00412E8E">
      <w:pPr>
        <w:pStyle w:val="Heading2"/>
      </w:pPr>
      <w:bookmarkStart w:id="581" w:name="_Toc478990518"/>
      <w:bookmarkStart w:id="582" w:name="_Toc479768596"/>
      <w:bookmarkStart w:id="583" w:name="_Toc482357319"/>
      <w:bookmarkStart w:id="584" w:name="_Toc482634294"/>
      <w:bookmarkStart w:id="585" w:name="_Toc482626426"/>
      <w:bookmarkStart w:id="586" w:name="_Toc484092497"/>
      <w:bookmarkStart w:id="587" w:name="_Toc484172701"/>
      <w:bookmarkStart w:id="588" w:name="_Toc484183037"/>
      <w:bookmarkStart w:id="589" w:name="_Toc490225800"/>
      <w:r>
        <w:t>Whole Building Initiatives</w:t>
      </w:r>
      <w:bookmarkEnd w:id="581"/>
      <w:bookmarkEnd w:id="582"/>
      <w:bookmarkEnd w:id="583"/>
      <w:bookmarkEnd w:id="584"/>
      <w:bookmarkEnd w:id="585"/>
      <w:bookmarkEnd w:id="586"/>
      <w:bookmarkEnd w:id="587"/>
      <w:bookmarkEnd w:id="588"/>
      <w:bookmarkEnd w:id="589"/>
    </w:p>
    <w:p w14:paraId="548343A7" w14:textId="77777777" w:rsidR="00412E8E" w:rsidRPr="00CB6DF9" w:rsidRDefault="00412E8E" w:rsidP="007D4A2A">
      <w:r w:rsidRPr="00412E8E">
        <w:t>Whole</w:t>
      </w:r>
      <w:r w:rsidR="003F4F34">
        <w:t xml:space="preserve"> </w:t>
      </w:r>
      <w:r w:rsidRPr="00412E8E">
        <w:t xml:space="preserve">building initiatives aim to deliver savings to residential and commercial customers as a </w:t>
      </w:r>
      <w:r w:rsidR="004610B0">
        <w:t>package</w:t>
      </w:r>
      <w:r w:rsidR="004610B0" w:rsidRPr="00412E8E">
        <w:t xml:space="preserve"> </w:t>
      </w:r>
      <w:r w:rsidRPr="00412E8E">
        <w:t>of multiple efficiency measures that are all installed at th</w:t>
      </w:r>
      <w:r>
        <w:t>e same time. Th</w:t>
      </w:r>
      <w:r w:rsidRPr="00412E8E">
        <w:t>e</w:t>
      </w:r>
      <w:r w:rsidRPr="00412E8E" w:rsidDel="004610B0">
        <w:t xml:space="preserve"> </w:t>
      </w:r>
      <w:r w:rsidR="004610B0" w:rsidRPr="00412E8E">
        <w:t>201</w:t>
      </w:r>
      <w:r w:rsidR="004610B0">
        <w:t>8</w:t>
      </w:r>
      <w:r w:rsidR="004610B0" w:rsidRPr="00412E8E">
        <w:t xml:space="preserve"> </w:t>
      </w:r>
      <w:r w:rsidRPr="00412E8E">
        <w:t xml:space="preserve">Study </w:t>
      </w:r>
      <w:r w:rsidR="003F4F34">
        <w:t xml:space="preserve">models </w:t>
      </w:r>
      <w:r w:rsidRPr="00CB6DF9">
        <w:t>whole</w:t>
      </w:r>
      <w:r w:rsidR="003F4F34">
        <w:t xml:space="preserve"> </w:t>
      </w:r>
      <w:r w:rsidRPr="00CB6DF9">
        <w:t xml:space="preserve">building initiatives </w:t>
      </w:r>
      <w:r w:rsidR="003F4F34">
        <w:t xml:space="preserve">via the technology levels </w:t>
      </w:r>
      <w:r w:rsidRPr="00CB6DF9">
        <w:t xml:space="preserve">indicated in </w:t>
      </w:r>
      <w:r w:rsidR="005C3B4A" w:rsidRPr="005C3B4A">
        <w:fldChar w:fldCharType="begin"/>
      </w:r>
      <w:r w:rsidR="005C3B4A" w:rsidRPr="005C3B4A">
        <w:instrText xml:space="preserve"> REF _Ref482351520 \h </w:instrText>
      </w:r>
      <w:r w:rsidR="005C3B4A">
        <w:instrText xml:space="preserve"> \* MERGEFORMAT </w:instrText>
      </w:r>
      <w:r w:rsidR="005C3B4A" w:rsidRPr="005C3B4A">
        <w:fldChar w:fldCharType="separate"/>
      </w:r>
      <w:r w:rsidR="007566B9" w:rsidRPr="00CB6DF9">
        <w:t xml:space="preserve">Table </w:t>
      </w:r>
      <w:r w:rsidR="007566B9">
        <w:rPr>
          <w:noProof/>
        </w:rPr>
        <w:t>3</w:t>
      </w:r>
      <w:r w:rsidR="007566B9">
        <w:rPr>
          <w:noProof/>
        </w:rPr>
        <w:noBreakHyphen/>
        <w:t>20</w:t>
      </w:r>
      <w:r w:rsidR="005C3B4A" w:rsidRPr="005C3B4A">
        <w:fldChar w:fldCharType="end"/>
      </w:r>
      <w:r w:rsidRPr="005C3B4A">
        <w:t>.</w:t>
      </w:r>
      <w:r w:rsidR="003F4F34">
        <w:t xml:space="preserve"> </w:t>
      </w:r>
      <w:r w:rsidR="004610B0">
        <w:t xml:space="preserve">As described in section </w:t>
      </w:r>
      <w:r w:rsidR="004610B0">
        <w:fldChar w:fldCharType="begin"/>
      </w:r>
      <w:r w:rsidR="004610B0">
        <w:instrText xml:space="preserve"> REF _Ref477347831 \n \h </w:instrText>
      </w:r>
      <w:r w:rsidR="007D4A2A">
        <w:instrText xml:space="preserve"> \* MERGEFORMAT </w:instrText>
      </w:r>
      <w:r w:rsidR="004610B0">
        <w:fldChar w:fldCharType="separate"/>
      </w:r>
      <w:r w:rsidR="007566B9">
        <w:t>2.1.1.2</w:t>
      </w:r>
      <w:r w:rsidR="004610B0">
        <w:fldChar w:fldCharType="end"/>
      </w:r>
      <w:r w:rsidR="005C3B4A">
        <w:t>,</w:t>
      </w:r>
      <w:r w:rsidR="004610B0">
        <w:t xml:space="preserve"> t</w:t>
      </w:r>
      <w:r w:rsidR="003F4F34">
        <w:t xml:space="preserve">he technology levels </w:t>
      </w:r>
      <w:r w:rsidR="004610B0">
        <w:t>within the technology group include ex</w:t>
      </w:r>
      <w:r w:rsidR="005C3B4A">
        <w:t>is</w:t>
      </w:r>
      <w:r w:rsidR="004610B0">
        <w:t>t</w:t>
      </w:r>
      <w:r w:rsidR="005C3B4A">
        <w:t>i</w:t>
      </w:r>
      <w:r w:rsidR="004610B0">
        <w:t xml:space="preserve">ng </w:t>
      </w:r>
      <w:r w:rsidR="003F4F34">
        <w:t>baseline</w:t>
      </w:r>
      <w:r w:rsidR="004610B0">
        <w:t xml:space="preserve">, code baseline, </w:t>
      </w:r>
      <w:r w:rsidR="003F4F34">
        <w:t xml:space="preserve">and the efficient result of a whole building initiative. </w:t>
      </w:r>
    </w:p>
    <w:p w14:paraId="4AC75015" w14:textId="77777777" w:rsidR="00412E8E" w:rsidRPr="00CB6DF9" w:rsidRDefault="00412E8E" w:rsidP="00412E8E"/>
    <w:p w14:paraId="5B581D7A" w14:textId="77777777" w:rsidR="00412E8E" w:rsidRPr="00CB6DF9" w:rsidRDefault="00412E8E" w:rsidP="00412E8E">
      <w:pPr>
        <w:pStyle w:val="Caption"/>
      </w:pPr>
      <w:bookmarkStart w:id="590" w:name="_Ref474593561"/>
      <w:bookmarkStart w:id="591" w:name="_Ref482351520"/>
      <w:bookmarkStart w:id="592" w:name="_Toc482634227"/>
      <w:bookmarkStart w:id="593" w:name="_Toc484436966"/>
      <w:bookmarkStart w:id="594" w:name="_Toc490560678"/>
      <w:r w:rsidRPr="00CB6DF9">
        <w:lastRenderedPageBreak/>
        <w:t xml:space="preserve">Table </w:t>
      </w:r>
      <w:bookmarkEnd w:id="590"/>
      <w:r w:rsidR="00C17D59">
        <w:fldChar w:fldCharType="begin"/>
      </w:r>
      <w:r w:rsidR="00C17D59">
        <w:instrText xml:space="preserve"> STYLEREF 1 \s </w:instrText>
      </w:r>
      <w:r w:rsidR="00C17D59">
        <w:fldChar w:fldCharType="separate"/>
      </w:r>
      <w:r w:rsidR="007566B9">
        <w:rPr>
          <w:noProof/>
        </w:rPr>
        <w:t>3</w:t>
      </w:r>
      <w:r w:rsidR="00C17D59">
        <w:fldChar w:fldCharType="end"/>
      </w:r>
      <w:r w:rsidR="00C17D59">
        <w:noBreakHyphen/>
      </w:r>
      <w:fldSimple w:instr=" SEQ Table \* ARABIC \s 1 ">
        <w:r w:rsidR="007566B9">
          <w:rPr>
            <w:noProof/>
          </w:rPr>
          <w:t>20</w:t>
        </w:r>
      </w:fldSimple>
      <w:bookmarkEnd w:id="591"/>
      <w:r w:rsidRPr="00CB6DF9">
        <w:t xml:space="preserve">. </w:t>
      </w:r>
      <w:r w:rsidR="009B63B0">
        <w:t xml:space="preserve">Whole Building </w:t>
      </w:r>
      <w:r w:rsidR="003F4F34">
        <w:t>Technology Levels</w:t>
      </w:r>
      <w:bookmarkEnd w:id="592"/>
      <w:bookmarkEnd w:id="593"/>
      <w:bookmarkEnd w:id="594"/>
    </w:p>
    <w:tbl>
      <w:tblPr>
        <w:tblStyle w:val="EnergyTable1"/>
        <w:tblW w:w="9360" w:type="dxa"/>
        <w:tblLayout w:type="fixed"/>
        <w:tblLook w:val="06A0" w:firstRow="1" w:lastRow="0" w:firstColumn="1" w:lastColumn="0" w:noHBand="1" w:noVBand="1"/>
      </w:tblPr>
      <w:tblGrid>
        <w:gridCol w:w="3120"/>
        <w:gridCol w:w="3120"/>
        <w:gridCol w:w="3120"/>
      </w:tblGrid>
      <w:tr w:rsidR="009B63B0" w:rsidRPr="00657865" w14:paraId="63EF89AB" w14:textId="77777777" w:rsidTr="00AF21B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dxa"/>
          </w:tcPr>
          <w:p w14:paraId="5E6FC815" w14:textId="77777777" w:rsidR="009B63B0" w:rsidRPr="00657865" w:rsidRDefault="004610B0" w:rsidP="00CB6DF9">
            <w:pPr>
              <w:keepNext/>
              <w:keepLines/>
              <w:rPr>
                <w:rFonts w:ascii="Arial Narrow" w:hAnsi="Arial Narrow"/>
                <w:sz w:val="18"/>
                <w:szCs w:val="18"/>
              </w:rPr>
            </w:pPr>
            <w:r w:rsidRPr="00657865">
              <w:rPr>
                <w:rFonts w:ascii="Arial Narrow" w:hAnsi="Arial Narrow"/>
                <w:sz w:val="18"/>
                <w:szCs w:val="18"/>
              </w:rPr>
              <w:t>Technology Group</w:t>
            </w:r>
          </w:p>
        </w:tc>
        <w:tc>
          <w:tcPr>
            <w:tcW w:w="0" w:type="dxa"/>
            <w:noWrap/>
          </w:tcPr>
          <w:p w14:paraId="015BA3A7" w14:textId="77777777" w:rsidR="009B63B0" w:rsidRPr="00657865" w:rsidRDefault="009B63B0" w:rsidP="00CB6DF9">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Residential</w:t>
            </w:r>
            <w:r w:rsidR="004610B0" w:rsidRPr="00657865">
              <w:rPr>
                <w:rFonts w:ascii="Arial Narrow" w:hAnsi="Arial Narrow"/>
                <w:sz w:val="18"/>
                <w:szCs w:val="18"/>
              </w:rPr>
              <w:t xml:space="preserve"> Technology Level</w:t>
            </w:r>
          </w:p>
        </w:tc>
        <w:tc>
          <w:tcPr>
            <w:tcW w:w="0" w:type="dxa"/>
          </w:tcPr>
          <w:p w14:paraId="33A1DEDD" w14:textId="77777777" w:rsidR="009B63B0" w:rsidRPr="00657865" w:rsidRDefault="009B63B0" w:rsidP="00CB6DF9">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Commercial</w:t>
            </w:r>
            <w:r w:rsidR="004610B0" w:rsidRPr="00657865">
              <w:rPr>
                <w:rFonts w:ascii="Arial Narrow" w:hAnsi="Arial Narrow"/>
                <w:sz w:val="18"/>
                <w:szCs w:val="18"/>
              </w:rPr>
              <w:t xml:space="preserve"> Technology Level</w:t>
            </w:r>
          </w:p>
        </w:tc>
      </w:tr>
      <w:tr w:rsidR="009B63B0" w:rsidRPr="00657865" w14:paraId="5372E728" w14:textId="77777777" w:rsidTr="00AF21BE">
        <w:trPr>
          <w:trHeight w:val="300"/>
        </w:trPr>
        <w:tc>
          <w:tcPr>
            <w:cnfStyle w:val="001000000000" w:firstRow="0" w:lastRow="0" w:firstColumn="1" w:lastColumn="0" w:oddVBand="0" w:evenVBand="0" w:oddHBand="0" w:evenHBand="0" w:firstRowFirstColumn="0" w:firstRowLastColumn="0" w:lastRowFirstColumn="0" w:lastRowLastColumn="0"/>
            <w:tcW w:w="0" w:type="dxa"/>
            <w:vMerge w:val="restart"/>
          </w:tcPr>
          <w:p w14:paraId="7781521A" w14:textId="77777777" w:rsidR="009B63B0" w:rsidRPr="00657865" w:rsidRDefault="009B63B0" w:rsidP="009B63B0">
            <w:pPr>
              <w:keepNext/>
              <w:keepLines/>
              <w:rPr>
                <w:rFonts w:ascii="Arial Narrow" w:hAnsi="Arial Narrow"/>
                <w:sz w:val="18"/>
                <w:szCs w:val="18"/>
              </w:rPr>
            </w:pPr>
            <w:r w:rsidRPr="00657865">
              <w:rPr>
                <w:rFonts w:ascii="Arial Narrow" w:hAnsi="Arial Narrow"/>
                <w:sz w:val="18"/>
                <w:szCs w:val="18"/>
              </w:rPr>
              <w:t>New Construction</w:t>
            </w:r>
          </w:p>
        </w:tc>
        <w:tc>
          <w:tcPr>
            <w:tcW w:w="0" w:type="dxa"/>
            <w:noWrap/>
          </w:tcPr>
          <w:p w14:paraId="3737A409"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Title 24 2008 Code</w:t>
            </w:r>
          </w:p>
        </w:tc>
        <w:tc>
          <w:tcPr>
            <w:tcW w:w="0" w:type="dxa"/>
          </w:tcPr>
          <w:p w14:paraId="6C9CB905"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Title 24 2008 Code</w:t>
            </w:r>
          </w:p>
        </w:tc>
      </w:tr>
      <w:tr w:rsidR="009B63B0" w:rsidRPr="00657865" w14:paraId="594617BC" w14:textId="77777777" w:rsidTr="00AF21BE">
        <w:trPr>
          <w:trHeight w:val="300"/>
        </w:trPr>
        <w:tc>
          <w:tcPr>
            <w:cnfStyle w:val="001000000000" w:firstRow="0" w:lastRow="0" w:firstColumn="1" w:lastColumn="0" w:oddVBand="0" w:evenVBand="0" w:oddHBand="0" w:evenHBand="0" w:firstRowFirstColumn="0" w:firstRowLastColumn="0" w:lastRowFirstColumn="0" w:lastRowLastColumn="0"/>
            <w:tcW w:w="0" w:type="dxa"/>
            <w:vMerge/>
          </w:tcPr>
          <w:p w14:paraId="7A1ACA8F" w14:textId="77777777" w:rsidR="009B63B0" w:rsidRPr="00657865" w:rsidRDefault="009B63B0" w:rsidP="009B63B0">
            <w:pPr>
              <w:keepNext/>
              <w:keepLines/>
              <w:rPr>
                <w:rFonts w:ascii="Arial Narrow" w:hAnsi="Arial Narrow"/>
                <w:sz w:val="18"/>
                <w:szCs w:val="18"/>
              </w:rPr>
            </w:pPr>
          </w:p>
        </w:tc>
        <w:tc>
          <w:tcPr>
            <w:tcW w:w="0" w:type="dxa"/>
            <w:noWrap/>
          </w:tcPr>
          <w:p w14:paraId="70D9D8C4"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Title 24 2013 Code</w:t>
            </w:r>
          </w:p>
        </w:tc>
        <w:tc>
          <w:tcPr>
            <w:tcW w:w="0" w:type="dxa"/>
          </w:tcPr>
          <w:p w14:paraId="705DCB1D"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Title 24 2013 Code</w:t>
            </w:r>
          </w:p>
        </w:tc>
      </w:tr>
      <w:tr w:rsidR="009B63B0" w:rsidRPr="00657865" w14:paraId="478CCAF1" w14:textId="77777777" w:rsidTr="00AF21BE">
        <w:trPr>
          <w:trHeight w:val="300"/>
        </w:trPr>
        <w:tc>
          <w:tcPr>
            <w:cnfStyle w:val="001000000000" w:firstRow="0" w:lastRow="0" w:firstColumn="1" w:lastColumn="0" w:oddVBand="0" w:evenVBand="0" w:oddHBand="0" w:evenHBand="0" w:firstRowFirstColumn="0" w:firstRowLastColumn="0" w:lastRowFirstColumn="0" w:lastRowLastColumn="0"/>
            <w:tcW w:w="0" w:type="dxa"/>
            <w:vMerge/>
          </w:tcPr>
          <w:p w14:paraId="71097F67" w14:textId="77777777" w:rsidR="009B63B0" w:rsidRPr="00657865" w:rsidRDefault="009B63B0" w:rsidP="009B63B0">
            <w:pPr>
              <w:keepNext/>
              <w:keepLines/>
              <w:rPr>
                <w:rFonts w:ascii="Arial Narrow" w:hAnsi="Arial Narrow"/>
                <w:sz w:val="18"/>
                <w:szCs w:val="18"/>
              </w:rPr>
            </w:pPr>
          </w:p>
        </w:tc>
        <w:tc>
          <w:tcPr>
            <w:tcW w:w="0" w:type="dxa"/>
            <w:noWrap/>
          </w:tcPr>
          <w:p w14:paraId="14699924"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Title 24 2016 Code</w:t>
            </w:r>
          </w:p>
        </w:tc>
        <w:tc>
          <w:tcPr>
            <w:tcW w:w="0" w:type="dxa"/>
          </w:tcPr>
          <w:p w14:paraId="3224C455"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Title 24 2016 Code</w:t>
            </w:r>
          </w:p>
        </w:tc>
      </w:tr>
      <w:tr w:rsidR="009B63B0" w:rsidRPr="00657865" w14:paraId="36B85D06" w14:textId="77777777" w:rsidTr="00AF21BE">
        <w:trPr>
          <w:trHeight w:val="300"/>
        </w:trPr>
        <w:tc>
          <w:tcPr>
            <w:cnfStyle w:val="001000000000" w:firstRow="0" w:lastRow="0" w:firstColumn="1" w:lastColumn="0" w:oddVBand="0" w:evenVBand="0" w:oddHBand="0" w:evenHBand="0" w:firstRowFirstColumn="0" w:firstRowLastColumn="0" w:lastRowFirstColumn="0" w:lastRowLastColumn="0"/>
            <w:tcW w:w="0" w:type="dxa"/>
            <w:vMerge/>
          </w:tcPr>
          <w:p w14:paraId="7F526620" w14:textId="77777777" w:rsidR="009B63B0" w:rsidRPr="00657865" w:rsidRDefault="009B63B0" w:rsidP="009B63B0">
            <w:pPr>
              <w:keepNext/>
              <w:keepLines/>
              <w:rPr>
                <w:rFonts w:ascii="Arial Narrow" w:hAnsi="Arial Narrow"/>
                <w:sz w:val="18"/>
                <w:szCs w:val="18"/>
              </w:rPr>
            </w:pPr>
          </w:p>
        </w:tc>
        <w:tc>
          <w:tcPr>
            <w:tcW w:w="0" w:type="dxa"/>
            <w:noWrap/>
          </w:tcPr>
          <w:p w14:paraId="1724CD04"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Title 24 2019 Code</w:t>
            </w:r>
          </w:p>
        </w:tc>
        <w:tc>
          <w:tcPr>
            <w:tcW w:w="0" w:type="dxa"/>
          </w:tcPr>
          <w:p w14:paraId="79D9E1CD"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Title 24 2019 Code</w:t>
            </w:r>
          </w:p>
        </w:tc>
      </w:tr>
      <w:tr w:rsidR="009B63B0" w:rsidRPr="00657865" w14:paraId="4A48D404" w14:textId="77777777" w:rsidTr="00AF21BE">
        <w:trPr>
          <w:trHeight w:val="300"/>
        </w:trPr>
        <w:tc>
          <w:tcPr>
            <w:cnfStyle w:val="001000000000" w:firstRow="0" w:lastRow="0" w:firstColumn="1" w:lastColumn="0" w:oddVBand="0" w:evenVBand="0" w:oddHBand="0" w:evenHBand="0" w:firstRowFirstColumn="0" w:firstRowLastColumn="0" w:lastRowFirstColumn="0" w:lastRowLastColumn="0"/>
            <w:tcW w:w="0" w:type="dxa"/>
            <w:vMerge/>
          </w:tcPr>
          <w:p w14:paraId="59D58A37" w14:textId="77777777" w:rsidR="009B63B0" w:rsidRPr="00657865" w:rsidRDefault="009B63B0" w:rsidP="009B63B0">
            <w:pPr>
              <w:keepNext/>
              <w:keepLines/>
              <w:rPr>
                <w:rFonts w:ascii="Arial Narrow" w:hAnsi="Arial Narrow"/>
                <w:sz w:val="18"/>
                <w:szCs w:val="18"/>
              </w:rPr>
            </w:pPr>
          </w:p>
        </w:tc>
        <w:tc>
          <w:tcPr>
            <w:tcW w:w="0" w:type="dxa"/>
            <w:noWrap/>
          </w:tcPr>
          <w:p w14:paraId="7024546B"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ZNE</w:t>
            </w:r>
          </w:p>
        </w:tc>
        <w:tc>
          <w:tcPr>
            <w:tcW w:w="0" w:type="dxa"/>
          </w:tcPr>
          <w:p w14:paraId="3CC7710D"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ZNE</w:t>
            </w:r>
          </w:p>
        </w:tc>
      </w:tr>
      <w:tr w:rsidR="009B63B0" w:rsidRPr="00657865" w14:paraId="24D89BF5" w14:textId="77777777" w:rsidTr="00AF21BE">
        <w:trPr>
          <w:trHeight w:val="300"/>
        </w:trPr>
        <w:tc>
          <w:tcPr>
            <w:cnfStyle w:val="001000000000" w:firstRow="0" w:lastRow="0" w:firstColumn="1" w:lastColumn="0" w:oddVBand="0" w:evenVBand="0" w:oddHBand="0" w:evenHBand="0" w:firstRowFirstColumn="0" w:firstRowLastColumn="0" w:lastRowFirstColumn="0" w:lastRowLastColumn="0"/>
            <w:tcW w:w="0" w:type="dxa"/>
            <w:vMerge w:val="restart"/>
          </w:tcPr>
          <w:p w14:paraId="66FA848D" w14:textId="77777777" w:rsidR="009B63B0" w:rsidRPr="00657865" w:rsidRDefault="009B63B0" w:rsidP="009B63B0">
            <w:pPr>
              <w:keepNext/>
              <w:keepLines/>
              <w:rPr>
                <w:rFonts w:ascii="Arial Narrow" w:hAnsi="Arial Narrow"/>
                <w:sz w:val="18"/>
                <w:szCs w:val="18"/>
              </w:rPr>
            </w:pPr>
            <w:r w:rsidRPr="00657865">
              <w:rPr>
                <w:rFonts w:ascii="Arial Narrow" w:hAnsi="Arial Narrow"/>
                <w:sz w:val="18"/>
                <w:szCs w:val="18"/>
              </w:rPr>
              <w:t>Retrofit</w:t>
            </w:r>
          </w:p>
        </w:tc>
        <w:tc>
          <w:tcPr>
            <w:tcW w:w="0" w:type="dxa"/>
            <w:noWrap/>
          </w:tcPr>
          <w:p w14:paraId="33BC1307"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Existing Building – No Retrofit</w:t>
            </w:r>
          </w:p>
        </w:tc>
        <w:tc>
          <w:tcPr>
            <w:tcW w:w="0" w:type="dxa"/>
          </w:tcPr>
          <w:p w14:paraId="5132CC68"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Existing Building – No Retrofit</w:t>
            </w:r>
          </w:p>
        </w:tc>
      </w:tr>
      <w:tr w:rsidR="009B63B0" w:rsidRPr="00657865" w14:paraId="25A2AAF3" w14:textId="77777777" w:rsidTr="00AF21BE">
        <w:trPr>
          <w:trHeight w:val="300"/>
        </w:trPr>
        <w:tc>
          <w:tcPr>
            <w:cnfStyle w:val="001000000000" w:firstRow="0" w:lastRow="0" w:firstColumn="1" w:lastColumn="0" w:oddVBand="0" w:evenVBand="0" w:oddHBand="0" w:evenHBand="0" w:firstRowFirstColumn="0" w:firstRowLastColumn="0" w:lastRowFirstColumn="0" w:lastRowLastColumn="0"/>
            <w:tcW w:w="0" w:type="dxa"/>
            <w:vMerge/>
          </w:tcPr>
          <w:p w14:paraId="24E3C83E" w14:textId="77777777" w:rsidR="009B63B0" w:rsidRPr="00657865" w:rsidRDefault="009B63B0" w:rsidP="009B63B0">
            <w:pPr>
              <w:keepNext/>
              <w:keepLines/>
              <w:rPr>
                <w:rFonts w:ascii="Arial Narrow" w:hAnsi="Arial Narrow"/>
                <w:sz w:val="18"/>
                <w:szCs w:val="18"/>
              </w:rPr>
            </w:pPr>
          </w:p>
        </w:tc>
        <w:tc>
          <w:tcPr>
            <w:tcW w:w="0" w:type="dxa"/>
            <w:noWrap/>
          </w:tcPr>
          <w:p w14:paraId="5185BBE1"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Energy Upgrade CA - Basic</w:t>
            </w:r>
          </w:p>
        </w:tc>
        <w:tc>
          <w:tcPr>
            <w:tcW w:w="0" w:type="dxa"/>
          </w:tcPr>
          <w:p w14:paraId="128579E9"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Retrofit – 15% Savings</w:t>
            </w:r>
          </w:p>
        </w:tc>
      </w:tr>
      <w:tr w:rsidR="009B63B0" w:rsidRPr="00657865" w14:paraId="5A6E4B37" w14:textId="77777777" w:rsidTr="00AF21BE">
        <w:trPr>
          <w:trHeight w:val="300"/>
        </w:trPr>
        <w:tc>
          <w:tcPr>
            <w:cnfStyle w:val="001000000000" w:firstRow="0" w:lastRow="0" w:firstColumn="1" w:lastColumn="0" w:oddVBand="0" w:evenVBand="0" w:oddHBand="0" w:evenHBand="0" w:firstRowFirstColumn="0" w:firstRowLastColumn="0" w:lastRowFirstColumn="0" w:lastRowLastColumn="0"/>
            <w:tcW w:w="0" w:type="dxa"/>
            <w:vMerge/>
          </w:tcPr>
          <w:p w14:paraId="6C84F4CE" w14:textId="77777777" w:rsidR="009B63B0" w:rsidRPr="00657865" w:rsidRDefault="009B63B0" w:rsidP="009B63B0">
            <w:pPr>
              <w:keepNext/>
              <w:keepLines/>
              <w:rPr>
                <w:rFonts w:ascii="Arial Narrow" w:hAnsi="Arial Narrow"/>
                <w:sz w:val="18"/>
                <w:szCs w:val="18"/>
              </w:rPr>
            </w:pPr>
          </w:p>
        </w:tc>
        <w:tc>
          <w:tcPr>
            <w:tcW w:w="0" w:type="dxa"/>
            <w:noWrap/>
          </w:tcPr>
          <w:p w14:paraId="43B07C72"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Energy Upgrade CA - Advanced</w:t>
            </w:r>
          </w:p>
        </w:tc>
        <w:tc>
          <w:tcPr>
            <w:tcW w:w="0" w:type="dxa"/>
          </w:tcPr>
          <w:p w14:paraId="64A2F3C2" w14:textId="77777777" w:rsidR="009B63B0" w:rsidRPr="00657865" w:rsidRDefault="009B63B0" w:rsidP="009B63B0">
            <w:pPr>
              <w:keepNext/>
              <w:keepLines/>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r>
    </w:tbl>
    <w:p w14:paraId="544872D7" w14:textId="77777777" w:rsidR="00412E8E" w:rsidRPr="00CB6DF9" w:rsidRDefault="00412E8E" w:rsidP="007D4A2A">
      <w:pPr>
        <w:pStyle w:val="Source"/>
        <w:jc w:val="center"/>
      </w:pPr>
      <w:r w:rsidRPr="00CB6DF9">
        <w:t>Source: Navigant team analysis, 2017.</w:t>
      </w:r>
    </w:p>
    <w:p w14:paraId="7A6A9797" w14:textId="77777777" w:rsidR="004A3B26" w:rsidRPr="008567A0" w:rsidRDefault="00A07F57" w:rsidP="00412E8E">
      <w:r>
        <w:t xml:space="preserve">The Navigant team presented measures and methodology overviews at the Demand Analysis Working Group (DAWG) Meeting on November 4, 2016 and requested additional data sources of stakeholders. </w:t>
      </w:r>
      <w:r w:rsidR="008567A0">
        <w:t xml:space="preserve">No additional data sources were provided to support this analysis. </w:t>
      </w:r>
      <w:r w:rsidR="00412E8E" w:rsidRPr="00CB6DF9">
        <w:t xml:space="preserve">The following sections discuss the </w:t>
      </w:r>
      <w:r w:rsidR="00FF140D">
        <w:t xml:space="preserve">technology levels used in the </w:t>
      </w:r>
      <w:r w:rsidR="00BB59F5">
        <w:t>2018</w:t>
      </w:r>
      <w:r w:rsidR="00412E8E" w:rsidRPr="00CB6DF9">
        <w:t xml:space="preserve"> Study. The final values for savings, cost, measure life, and other key model inputs can be found in the MICS spreadsheet.</w:t>
      </w:r>
    </w:p>
    <w:p w14:paraId="664674DD" w14:textId="77777777" w:rsidR="00FF140D" w:rsidRDefault="00FF140D" w:rsidP="00412E8E">
      <w:pPr>
        <w:pStyle w:val="Heading3"/>
      </w:pPr>
      <w:bookmarkStart w:id="595" w:name="_Ref478377041"/>
      <w:bookmarkStart w:id="596" w:name="_Toc478990519"/>
      <w:bookmarkStart w:id="597" w:name="_Toc479768597"/>
      <w:bookmarkStart w:id="598" w:name="_Toc482357320"/>
      <w:bookmarkStart w:id="599" w:name="_Toc482634295"/>
      <w:bookmarkStart w:id="600" w:name="_Toc482626427"/>
      <w:bookmarkStart w:id="601" w:name="_Toc484092498"/>
      <w:bookmarkStart w:id="602" w:name="_Toc484172702"/>
      <w:bookmarkStart w:id="603" w:name="_Toc484183038"/>
      <w:bookmarkStart w:id="604" w:name="_Toc490225801"/>
      <w:r>
        <w:t>New Construction</w:t>
      </w:r>
      <w:bookmarkEnd w:id="595"/>
      <w:bookmarkEnd w:id="596"/>
      <w:bookmarkEnd w:id="597"/>
      <w:bookmarkEnd w:id="598"/>
      <w:bookmarkEnd w:id="599"/>
      <w:bookmarkEnd w:id="600"/>
      <w:bookmarkEnd w:id="601"/>
      <w:bookmarkEnd w:id="602"/>
      <w:bookmarkEnd w:id="603"/>
      <w:bookmarkEnd w:id="604"/>
    </w:p>
    <w:p w14:paraId="37FE299D" w14:textId="77777777" w:rsidR="003623AB" w:rsidRPr="003623AB" w:rsidRDefault="003623AB" w:rsidP="003623AB">
      <w:r>
        <w:t>The 201</w:t>
      </w:r>
      <w:r w:rsidR="00D55732">
        <w:t>8</w:t>
      </w:r>
      <w:r>
        <w:t xml:space="preserve"> Study refines results to represent each Title 24 code level as it becomes the baseline for ZNE construction as the efficient measure, with energy consumption in absolute terms and costs represented as incremental to 2008 Title 24 levels. </w:t>
      </w:r>
      <w:r w:rsidR="00D55732">
        <w:t xml:space="preserve">Though analysis is ongoing, communications with the CEC indicate that 10 percent energy savings are expected for 2019 Title 24 over 2016 Title 24. </w:t>
      </w:r>
      <w:r>
        <w:t xml:space="preserve"> </w:t>
      </w:r>
    </w:p>
    <w:p w14:paraId="2C8F3205" w14:textId="77777777" w:rsidR="00FF140D" w:rsidRDefault="00661D3D" w:rsidP="00661D3D">
      <w:pPr>
        <w:pStyle w:val="Heading4"/>
      </w:pPr>
      <w:r>
        <w:t>Commercial</w:t>
      </w:r>
    </w:p>
    <w:p w14:paraId="0C7EB652" w14:textId="77777777" w:rsidR="002E53FD" w:rsidRDefault="003623AB" w:rsidP="00583EE2">
      <w:r>
        <w:fldChar w:fldCharType="begin"/>
      </w:r>
      <w:r>
        <w:instrText xml:space="preserve"> REF _Ref482351664 \h </w:instrText>
      </w:r>
      <w:r>
        <w:fldChar w:fldCharType="separate"/>
      </w:r>
      <w:r w:rsidR="007566B9">
        <w:t xml:space="preserve">Table </w:t>
      </w:r>
      <w:r w:rsidR="007566B9">
        <w:rPr>
          <w:noProof/>
        </w:rPr>
        <w:t>3</w:t>
      </w:r>
      <w:r w:rsidR="007566B9">
        <w:noBreakHyphen/>
      </w:r>
      <w:r w:rsidR="007566B9">
        <w:rPr>
          <w:noProof/>
        </w:rPr>
        <w:t>21</w:t>
      </w:r>
      <w:r>
        <w:fldChar w:fldCharType="end"/>
      </w:r>
      <w:r w:rsidR="002E53FD">
        <w:t xml:space="preserve"> provides the sources for the characterization of commercial new construction whole building initiatives. </w:t>
      </w:r>
      <w:r w:rsidR="007D4A2A">
        <w:t xml:space="preserve">These represent the best and usable data sets available to the team at the time of characterization. </w:t>
      </w:r>
      <w:r w:rsidR="002E53FD">
        <w:t>Of particular value was the data from the 2016 CBECC-Com software, which provided variability by climate zone.</w:t>
      </w:r>
      <w:r w:rsidR="00583EE2" w:rsidRPr="00583EE2">
        <w:t xml:space="preserve"> </w:t>
      </w:r>
    </w:p>
    <w:p w14:paraId="74252CB8" w14:textId="77777777" w:rsidR="003F5D19" w:rsidRDefault="003F5D19" w:rsidP="003F5D19"/>
    <w:p w14:paraId="5131933E" w14:textId="77777777" w:rsidR="002E53FD" w:rsidRDefault="002E53FD" w:rsidP="007D4A2A">
      <w:pPr>
        <w:pStyle w:val="Caption"/>
      </w:pPr>
      <w:bookmarkStart w:id="605" w:name="_Ref478029707"/>
      <w:bookmarkStart w:id="606" w:name="_Ref482351664"/>
      <w:bookmarkStart w:id="607" w:name="_Toc482634228"/>
      <w:bookmarkStart w:id="608" w:name="_Toc484436967"/>
      <w:bookmarkStart w:id="609" w:name="_Toc490560679"/>
      <w:r>
        <w:lastRenderedPageBreak/>
        <w:t xml:space="preserve">Table </w:t>
      </w:r>
      <w:bookmarkEnd w:id="605"/>
      <w:r w:rsidR="00C17D59">
        <w:fldChar w:fldCharType="begin"/>
      </w:r>
      <w:r w:rsidR="00C17D59">
        <w:instrText xml:space="preserve"> STYLEREF 1 \s </w:instrText>
      </w:r>
      <w:r w:rsidR="00C17D59">
        <w:fldChar w:fldCharType="separate"/>
      </w:r>
      <w:r w:rsidR="007566B9">
        <w:rPr>
          <w:noProof/>
        </w:rPr>
        <w:t>3</w:t>
      </w:r>
      <w:r w:rsidR="00C17D59">
        <w:fldChar w:fldCharType="end"/>
      </w:r>
      <w:r w:rsidR="00C17D59">
        <w:noBreakHyphen/>
      </w:r>
      <w:fldSimple w:instr=" SEQ Table \* ARABIC \s 1 ">
        <w:r w:rsidR="007566B9">
          <w:rPr>
            <w:noProof/>
          </w:rPr>
          <w:t>21</w:t>
        </w:r>
      </w:fldSimple>
      <w:bookmarkEnd w:id="606"/>
      <w:r>
        <w:t xml:space="preserve">. Commercial New Construction </w:t>
      </w:r>
      <w:r w:rsidR="003E10D5">
        <w:t xml:space="preserve">Whole Building </w:t>
      </w:r>
      <w:r>
        <w:t xml:space="preserve">Data </w:t>
      </w:r>
      <w:r w:rsidR="00526C1F">
        <w:t>Sources</w:t>
      </w:r>
      <w:bookmarkEnd w:id="607"/>
      <w:bookmarkEnd w:id="608"/>
      <w:bookmarkEnd w:id="609"/>
    </w:p>
    <w:tbl>
      <w:tblPr>
        <w:tblStyle w:val="EnergyTable14"/>
        <w:tblW w:w="0" w:type="auto"/>
        <w:tblLayout w:type="fixed"/>
        <w:tblLook w:val="04A0" w:firstRow="1" w:lastRow="0" w:firstColumn="1" w:lastColumn="0" w:noHBand="0" w:noVBand="1"/>
      </w:tblPr>
      <w:tblGrid>
        <w:gridCol w:w="1835"/>
        <w:gridCol w:w="1834"/>
        <w:gridCol w:w="5691"/>
      </w:tblGrid>
      <w:tr w:rsidR="004C69A3" w:rsidRPr="004C69A3" w14:paraId="5859181A" w14:textId="77777777" w:rsidTr="00FA33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5" w:type="dxa"/>
          </w:tcPr>
          <w:p w14:paraId="75EA89DC" w14:textId="77777777" w:rsidR="004C69A3" w:rsidRPr="004C69A3" w:rsidRDefault="004C69A3" w:rsidP="004C69A3">
            <w:pPr>
              <w:keepNext/>
              <w:rPr>
                <w:rFonts w:ascii="Arial Narrow" w:hAnsi="Arial Narrow"/>
                <w:sz w:val="18"/>
                <w:szCs w:val="18"/>
              </w:rPr>
            </w:pPr>
            <w:r w:rsidRPr="004C69A3">
              <w:rPr>
                <w:rFonts w:ascii="Arial Narrow" w:hAnsi="Arial Narrow"/>
                <w:sz w:val="18"/>
                <w:szCs w:val="18"/>
              </w:rPr>
              <w:t>Data Category</w:t>
            </w:r>
          </w:p>
        </w:tc>
        <w:tc>
          <w:tcPr>
            <w:tcW w:w="1834" w:type="dxa"/>
          </w:tcPr>
          <w:p w14:paraId="41B7C30B" w14:textId="77777777" w:rsidR="004C69A3" w:rsidRPr="004C69A3" w:rsidRDefault="004C69A3" w:rsidP="004C69A3">
            <w:pPr>
              <w:keepNext/>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4C69A3">
              <w:rPr>
                <w:rFonts w:ascii="Arial Narrow" w:hAnsi="Arial Narrow"/>
                <w:sz w:val="18"/>
                <w:szCs w:val="18"/>
              </w:rPr>
              <w:t>Data Items</w:t>
            </w:r>
          </w:p>
        </w:tc>
        <w:tc>
          <w:tcPr>
            <w:tcW w:w="5691" w:type="dxa"/>
          </w:tcPr>
          <w:p w14:paraId="41C25C3B" w14:textId="77777777" w:rsidR="004C69A3" w:rsidRPr="004C69A3" w:rsidRDefault="004C69A3" w:rsidP="004C69A3">
            <w:pPr>
              <w:keepNext/>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4C69A3">
              <w:rPr>
                <w:rFonts w:ascii="Arial Narrow" w:hAnsi="Arial Narrow"/>
                <w:sz w:val="18"/>
                <w:szCs w:val="18"/>
              </w:rPr>
              <w:t>Data Sources</w:t>
            </w:r>
          </w:p>
        </w:tc>
      </w:tr>
      <w:tr w:rsidR="004C69A3" w:rsidRPr="004C69A3" w14:paraId="2E425276" w14:textId="77777777" w:rsidTr="00FA3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vMerge w:val="restart"/>
          </w:tcPr>
          <w:p w14:paraId="6CFE8106" w14:textId="77777777" w:rsidR="004C69A3" w:rsidRPr="004C69A3" w:rsidRDefault="004C69A3" w:rsidP="004C69A3">
            <w:pPr>
              <w:keepNext/>
              <w:rPr>
                <w:rFonts w:ascii="Arial Narrow" w:hAnsi="Arial Narrow"/>
                <w:b/>
                <w:sz w:val="18"/>
                <w:szCs w:val="18"/>
              </w:rPr>
            </w:pPr>
            <w:r w:rsidRPr="004C69A3">
              <w:rPr>
                <w:rFonts w:ascii="Arial Narrow" w:hAnsi="Arial Narrow"/>
                <w:b/>
                <w:sz w:val="18"/>
                <w:szCs w:val="18"/>
              </w:rPr>
              <w:t>Cost</w:t>
            </w:r>
          </w:p>
        </w:tc>
        <w:tc>
          <w:tcPr>
            <w:tcW w:w="1834" w:type="dxa"/>
          </w:tcPr>
          <w:p w14:paraId="7AA8AC60" w14:textId="77777777" w:rsidR="004C69A3" w:rsidRPr="004C69A3" w:rsidRDefault="004C69A3" w:rsidP="004C69A3">
            <w:pPr>
              <w:keepNex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C69A3">
              <w:rPr>
                <w:rFonts w:ascii="Arial Narrow" w:hAnsi="Arial Narrow"/>
                <w:sz w:val="18"/>
                <w:szCs w:val="18"/>
              </w:rPr>
              <w:t xml:space="preserve">Incremental Cost of </w:t>
            </w:r>
            <w:r w:rsidRPr="004C69A3">
              <w:rPr>
                <w:rFonts w:ascii="Arial Narrow" w:hAnsi="Arial Narrow"/>
                <w:sz w:val="18"/>
                <w:szCs w:val="18"/>
              </w:rPr>
              <w:br/>
              <w:t>2013 Title 24 over 2008 Title 24</w:t>
            </w:r>
          </w:p>
        </w:tc>
        <w:tc>
          <w:tcPr>
            <w:tcW w:w="5691" w:type="dxa"/>
          </w:tcPr>
          <w:p w14:paraId="33E9DFFA" w14:textId="77777777" w:rsidR="004C69A3" w:rsidRPr="004C69A3" w:rsidRDefault="004C69A3" w:rsidP="004C69A3">
            <w:pPr>
              <w:keepNex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C69A3">
              <w:rPr>
                <w:rFonts w:ascii="Arial Narrow" w:hAnsi="Arial Narrow"/>
                <w:sz w:val="18"/>
                <w:szCs w:val="18"/>
              </w:rPr>
              <w:t xml:space="preserve">California Energy Commission, 2013 Standard Cost Impact Analysis: </w:t>
            </w:r>
            <w:hyperlink r:id="rId40" w:history="1">
              <w:r w:rsidRPr="004C69A3">
                <w:rPr>
                  <w:rFonts w:ascii="Arial Narrow" w:hAnsi="Arial Narrow"/>
                  <w:color w:val="95D600"/>
                  <w:sz w:val="18"/>
                  <w:szCs w:val="18"/>
                  <w:u w:val="single"/>
                </w:rPr>
                <w:t>http://www.energy.ca.gov/title24/2013standards/rulemaking/documents/final_rulemaking_documents/05_Impact_Analysis.pdf</w:t>
              </w:r>
            </w:hyperlink>
          </w:p>
        </w:tc>
      </w:tr>
      <w:tr w:rsidR="004C69A3" w:rsidRPr="004C69A3" w14:paraId="4BB624C4" w14:textId="77777777" w:rsidTr="00FA33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vMerge/>
          </w:tcPr>
          <w:p w14:paraId="41624E23" w14:textId="77777777" w:rsidR="004C69A3" w:rsidRPr="004C69A3" w:rsidRDefault="004C69A3" w:rsidP="004C69A3">
            <w:pPr>
              <w:keepNext/>
              <w:rPr>
                <w:rFonts w:ascii="Arial Narrow" w:hAnsi="Arial Narrow"/>
                <w:sz w:val="18"/>
                <w:szCs w:val="18"/>
              </w:rPr>
            </w:pPr>
          </w:p>
        </w:tc>
        <w:tc>
          <w:tcPr>
            <w:tcW w:w="1834" w:type="dxa"/>
          </w:tcPr>
          <w:p w14:paraId="735C6350" w14:textId="77777777" w:rsidR="004C69A3" w:rsidRPr="004C69A3" w:rsidRDefault="004C69A3" w:rsidP="004C69A3">
            <w:pPr>
              <w:keepNex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C69A3">
              <w:rPr>
                <w:rFonts w:ascii="Arial Narrow" w:hAnsi="Arial Narrow"/>
                <w:sz w:val="18"/>
                <w:szCs w:val="18"/>
              </w:rPr>
              <w:t xml:space="preserve">Incremental Cost of </w:t>
            </w:r>
            <w:r w:rsidRPr="004C69A3">
              <w:rPr>
                <w:rFonts w:ascii="Arial Narrow" w:hAnsi="Arial Narrow"/>
                <w:sz w:val="18"/>
                <w:szCs w:val="18"/>
              </w:rPr>
              <w:br/>
              <w:t>2016 Title 24 over 2013 Title 24</w:t>
            </w:r>
          </w:p>
        </w:tc>
        <w:tc>
          <w:tcPr>
            <w:tcW w:w="5691" w:type="dxa"/>
          </w:tcPr>
          <w:p w14:paraId="3A5AE2A8" w14:textId="77777777" w:rsidR="004C69A3" w:rsidRPr="004C69A3" w:rsidRDefault="004C69A3" w:rsidP="004C69A3">
            <w:pPr>
              <w:keepNex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C69A3">
              <w:rPr>
                <w:rFonts w:ascii="Arial Narrow" w:hAnsi="Arial Narrow"/>
                <w:sz w:val="18"/>
                <w:szCs w:val="18"/>
              </w:rPr>
              <w:t xml:space="preserve">California Energy Commission, 2016 Notice of Proposed Action: </w:t>
            </w:r>
            <w:hyperlink r:id="rId41" w:history="1">
              <w:r w:rsidRPr="004C69A3">
                <w:rPr>
                  <w:rFonts w:ascii="Arial Narrow" w:hAnsi="Arial Narrow"/>
                  <w:color w:val="95D600"/>
                  <w:sz w:val="18"/>
                  <w:szCs w:val="18"/>
                  <w:u w:val="single"/>
                </w:rPr>
                <w:t>http://www.energy.ca.gov/title24/2016standards/rulemaking/documents/NOPA_title24_parts_01_06.pdf</w:t>
              </w:r>
            </w:hyperlink>
          </w:p>
        </w:tc>
      </w:tr>
      <w:tr w:rsidR="004C69A3" w:rsidRPr="004C69A3" w14:paraId="034A9CF3" w14:textId="77777777" w:rsidTr="00FA3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25AD55F6" w14:textId="77777777" w:rsidR="004C69A3" w:rsidRPr="004C69A3" w:rsidRDefault="004C69A3" w:rsidP="004C69A3">
            <w:pPr>
              <w:keepNext/>
              <w:rPr>
                <w:rFonts w:ascii="Arial Narrow" w:hAnsi="Arial Narrow"/>
                <w:sz w:val="18"/>
                <w:szCs w:val="18"/>
              </w:rPr>
            </w:pPr>
          </w:p>
        </w:tc>
        <w:tc>
          <w:tcPr>
            <w:tcW w:w="1834" w:type="dxa"/>
          </w:tcPr>
          <w:p w14:paraId="05C78148" w14:textId="77777777" w:rsidR="004C69A3" w:rsidRPr="004C69A3" w:rsidRDefault="004C69A3" w:rsidP="004C69A3">
            <w:pPr>
              <w:keepNex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C69A3">
              <w:rPr>
                <w:rFonts w:ascii="Arial Narrow" w:hAnsi="Arial Narrow"/>
                <w:sz w:val="18"/>
                <w:szCs w:val="18"/>
              </w:rPr>
              <w:t xml:space="preserve">Incremental Cost of </w:t>
            </w:r>
            <w:r w:rsidRPr="004C69A3">
              <w:rPr>
                <w:rFonts w:ascii="Arial Narrow" w:hAnsi="Arial Narrow"/>
                <w:sz w:val="18"/>
                <w:szCs w:val="18"/>
              </w:rPr>
              <w:br/>
              <w:t>2019 Title 24 over 2016 Title 24</w:t>
            </w:r>
          </w:p>
        </w:tc>
        <w:tc>
          <w:tcPr>
            <w:tcW w:w="5691" w:type="dxa"/>
          </w:tcPr>
          <w:p w14:paraId="51B76280" w14:textId="77777777" w:rsidR="004C69A3" w:rsidRPr="004C69A3" w:rsidRDefault="004C69A3" w:rsidP="004C69A3">
            <w:pPr>
              <w:keepNex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C69A3">
              <w:rPr>
                <w:rFonts w:ascii="Arial Narrow" w:hAnsi="Arial Narrow"/>
                <w:sz w:val="18"/>
                <w:szCs w:val="18"/>
              </w:rPr>
              <w:t>Navigant extrapolation based on 2016 T24</w:t>
            </w:r>
          </w:p>
        </w:tc>
      </w:tr>
      <w:tr w:rsidR="004C69A3" w:rsidRPr="004C69A3" w14:paraId="1C29BE75" w14:textId="77777777" w:rsidTr="00FA33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6073BE96" w14:textId="77777777" w:rsidR="004C69A3" w:rsidRPr="004C69A3" w:rsidRDefault="004C69A3" w:rsidP="004C69A3">
            <w:pPr>
              <w:keepNext/>
              <w:rPr>
                <w:rFonts w:ascii="Arial Narrow" w:hAnsi="Arial Narrow"/>
                <w:sz w:val="18"/>
                <w:szCs w:val="18"/>
              </w:rPr>
            </w:pPr>
          </w:p>
        </w:tc>
        <w:tc>
          <w:tcPr>
            <w:tcW w:w="1834" w:type="dxa"/>
          </w:tcPr>
          <w:p w14:paraId="5363760E" w14:textId="77777777" w:rsidR="004C69A3" w:rsidRPr="004C69A3" w:rsidRDefault="004C69A3" w:rsidP="004C69A3">
            <w:pPr>
              <w:keepNex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C69A3">
              <w:rPr>
                <w:rFonts w:ascii="Arial Narrow" w:hAnsi="Arial Narrow"/>
                <w:sz w:val="18"/>
                <w:szCs w:val="18"/>
              </w:rPr>
              <w:t>Incremental Cost of ZNE over</w:t>
            </w:r>
            <w:r w:rsidRPr="004C69A3">
              <w:rPr>
                <w:rFonts w:ascii="Arial Narrow" w:hAnsi="Arial Narrow"/>
                <w:sz w:val="18"/>
                <w:szCs w:val="18"/>
              </w:rPr>
              <w:br/>
              <w:t>2013 Title 24</w:t>
            </w:r>
          </w:p>
        </w:tc>
        <w:tc>
          <w:tcPr>
            <w:tcW w:w="5691" w:type="dxa"/>
          </w:tcPr>
          <w:p w14:paraId="29B4E7B4" w14:textId="77777777" w:rsidR="004C69A3" w:rsidRPr="004C69A3" w:rsidRDefault="004C69A3" w:rsidP="004C69A3">
            <w:pPr>
              <w:keepNex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C69A3">
              <w:rPr>
                <w:rFonts w:ascii="Arial Narrow" w:hAnsi="Arial Narrow"/>
                <w:sz w:val="18"/>
                <w:szCs w:val="18"/>
              </w:rPr>
              <w:t xml:space="preserve">Calculated using the following: </w:t>
            </w:r>
            <w:r w:rsidRPr="004C69A3">
              <w:rPr>
                <w:rFonts w:ascii="Arial Narrow" w:hAnsi="Arial Narrow"/>
                <w:sz w:val="18"/>
                <w:szCs w:val="18"/>
              </w:rPr>
              <w:br/>
              <w:t xml:space="preserve">New Building Institute, Getting to Zero 2012 Status Update: A First Look at the Costs and Features of Zero Energy Commercial Buildings: </w:t>
            </w:r>
            <w:hyperlink r:id="rId42" w:history="1">
              <w:r w:rsidRPr="004C69A3">
                <w:rPr>
                  <w:rFonts w:ascii="Arial Narrow" w:hAnsi="Arial Narrow"/>
                  <w:color w:val="95D600"/>
                  <w:sz w:val="18"/>
                  <w:szCs w:val="18"/>
                  <w:u w:val="single"/>
                </w:rPr>
                <w:t>http://newbuildings.org/getting-zero-2012-status-update-first-look-costs-and-features-zero-energy-commercial-buildings</w:t>
              </w:r>
            </w:hyperlink>
            <w:r w:rsidRPr="004C69A3">
              <w:rPr>
                <w:rFonts w:ascii="Arial Narrow" w:hAnsi="Arial Narrow"/>
                <w:sz w:val="18"/>
                <w:szCs w:val="18"/>
              </w:rPr>
              <w:br/>
              <w:t>Comm. RE Specialists, Cost Per Square Foot For New Commercial Construction, 2013.</w:t>
            </w:r>
            <w:r w:rsidRPr="004C69A3">
              <w:rPr>
                <w:rFonts w:ascii="Arial Narrow" w:hAnsi="Arial Narrow"/>
                <w:sz w:val="18"/>
                <w:szCs w:val="18"/>
              </w:rPr>
              <w:br/>
              <w:t xml:space="preserve">Reed Construction Data Inc., RS Means Square Foot Estimator, 2013: </w:t>
            </w:r>
            <w:hyperlink r:id="rId43" w:history="1">
              <w:r w:rsidRPr="004C69A3">
                <w:rPr>
                  <w:rFonts w:ascii="Arial Narrow" w:hAnsi="Arial Narrow"/>
                  <w:color w:val="95D600"/>
                  <w:sz w:val="18"/>
                  <w:szCs w:val="18"/>
                  <w:u w:val="single"/>
                </w:rPr>
                <w:t>http://www.rsmeansonline.com</w:t>
              </w:r>
            </w:hyperlink>
          </w:p>
        </w:tc>
      </w:tr>
      <w:tr w:rsidR="004C69A3" w:rsidRPr="004C69A3" w14:paraId="6AB4DFF8" w14:textId="77777777" w:rsidTr="00FA3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vMerge w:val="restart"/>
          </w:tcPr>
          <w:p w14:paraId="087C4EB9" w14:textId="77777777" w:rsidR="004C69A3" w:rsidRPr="004C69A3" w:rsidRDefault="004C69A3" w:rsidP="004C69A3">
            <w:pPr>
              <w:keepNext/>
              <w:rPr>
                <w:rFonts w:ascii="Arial Narrow" w:hAnsi="Arial Narrow"/>
                <w:b/>
                <w:sz w:val="18"/>
                <w:szCs w:val="18"/>
              </w:rPr>
            </w:pPr>
            <w:r w:rsidRPr="004C69A3">
              <w:rPr>
                <w:rFonts w:ascii="Arial Narrow" w:hAnsi="Arial Narrow"/>
                <w:b/>
                <w:sz w:val="18"/>
                <w:szCs w:val="18"/>
              </w:rPr>
              <w:t>Energy Consumption and Savings</w:t>
            </w:r>
          </w:p>
        </w:tc>
        <w:tc>
          <w:tcPr>
            <w:tcW w:w="1834" w:type="dxa"/>
          </w:tcPr>
          <w:p w14:paraId="23E4B5DF" w14:textId="77777777" w:rsidR="004C69A3" w:rsidRPr="004C69A3" w:rsidRDefault="004C69A3" w:rsidP="004C69A3">
            <w:pPr>
              <w:keepNex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C69A3">
              <w:rPr>
                <w:rFonts w:ascii="Arial Narrow" w:hAnsi="Arial Narrow"/>
                <w:sz w:val="18"/>
                <w:szCs w:val="18"/>
              </w:rPr>
              <w:t>2016 Title 24 Energy Consumption</w:t>
            </w:r>
          </w:p>
        </w:tc>
        <w:tc>
          <w:tcPr>
            <w:tcW w:w="5691" w:type="dxa"/>
          </w:tcPr>
          <w:p w14:paraId="1821FB5D" w14:textId="77777777" w:rsidR="004C69A3" w:rsidRPr="004C69A3" w:rsidRDefault="004C69A3" w:rsidP="004C69A3">
            <w:pPr>
              <w:keepNex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C69A3">
              <w:rPr>
                <w:rFonts w:ascii="Arial Narrow" w:hAnsi="Arial Narrow"/>
                <w:sz w:val="18"/>
                <w:szCs w:val="18"/>
              </w:rPr>
              <w:t xml:space="preserve">California Energy Commission, CBECC-Com 2016 Std. Design Results, January, 2017. </w:t>
            </w:r>
          </w:p>
        </w:tc>
      </w:tr>
      <w:tr w:rsidR="004C69A3" w:rsidRPr="004C69A3" w14:paraId="6D66E0EC" w14:textId="77777777" w:rsidTr="00FA33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vMerge/>
          </w:tcPr>
          <w:p w14:paraId="38012E59" w14:textId="77777777" w:rsidR="004C69A3" w:rsidRPr="004C69A3" w:rsidRDefault="004C69A3" w:rsidP="004C69A3">
            <w:pPr>
              <w:keepNext/>
              <w:rPr>
                <w:rFonts w:ascii="Arial Narrow" w:hAnsi="Arial Narrow"/>
                <w:sz w:val="18"/>
                <w:szCs w:val="18"/>
              </w:rPr>
            </w:pPr>
          </w:p>
        </w:tc>
        <w:tc>
          <w:tcPr>
            <w:tcW w:w="1834" w:type="dxa"/>
          </w:tcPr>
          <w:p w14:paraId="205BCC79" w14:textId="77777777" w:rsidR="004C69A3" w:rsidRPr="004C69A3" w:rsidRDefault="004C69A3" w:rsidP="004C69A3">
            <w:pPr>
              <w:keepNex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C69A3">
              <w:rPr>
                <w:rFonts w:ascii="Arial Narrow" w:hAnsi="Arial Narrow"/>
                <w:sz w:val="18"/>
                <w:szCs w:val="18"/>
              </w:rPr>
              <w:t xml:space="preserve">Incremental Energy Savings of </w:t>
            </w:r>
            <w:r w:rsidRPr="004C69A3">
              <w:rPr>
                <w:rFonts w:ascii="Arial Narrow" w:hAnsi="Arial Narrow"/>
                <w:sz w:val="18"/>
                <w:szCs w:val="18"/>
              </w:rPr>
              <w:br/>
              <w:t>2013 Title 24 over 2008 Title 24</w:t>
            </w:r>
          </w:p>
        </w:tc>
        <w:tc>
          <w:tcPr>
            <w:tcW w:w="5691" w:type="dxa"/>
          </w:tcPr>
          <w:p w14:paraId="7CC00403" w14:textId="77777777" w:rsidR="004C69A3" w:rsidRPr="004C69A3" w:rsidRDefault="004C69A3" w:rsidP="004C69A3">
            <w:pPr>
              <w:keepNex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C69A3">
              <w:rPr>
                <w:rFonts w:ascii="Arial Narrow" w:hAnsi="Arial Narrow"/>
                <w:sz w:val="18"/>
                <w:szCs w:val="18"/>
              </w:rPr>
              <w:t xml:space="preserve">California Energy Commission, 2013 Impact Analysis: </w:t>
            </w:r>
            <w:hyperlink r:id="rId44" w:history="1">
              <w:r w:rsidRPr="004C69A3">
                <w:rPr>
                  <w:rFonts w:ascii="Arial Narrow" w:hAnsi="Arial Narrow"/>
                  <w:color w:val="95D600"/>
                  <w:sz w:val="18"/>
                  <w:szCs w:val="18"/>
                  <w:u w:val="single"/>
                </w:rPr>
                <w:t>http://www.energy.ca.gov/2013publications/CEC-400-2013-008/CEC-400-2013-008.pdf</w:t>
              </w:r>
            </w:hyperlink>
          </w:p>
        </w:tc>
      </w:tr>
      <w:tr w:rsidR="004C69A3" w:rsidRPr="004C69A3" w14:paraId="30BDD7DC" w14:textId="77777777" w:rsidTr="00FA3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vMerge/>
          </w:tcPr>
          <w:p w14:paraId="1ECFA510" w14:textId="77777777" w:rsidR="004C69A3" w:rsidRPr="004C69A3" w:rsidRDefault="004C69A3" w:rsidP="004C69A3">
            <w:pPr>
              <w:keepNext/>
              <w:rPr>
                <w:rFonts w:ascii="Arial Narrow" w:hAnsi="Arial Narrow"/>
                <w:sz w:val="18"/>
                <w:szCs w:val="18"/>
              </w:rPr>
            </w:pPr>
          </w:p>
        </w:tc>
        <w:tc>
          <w:tcPr>
            <w:tcW w:w="1834" w:type="dxa"/>
          </w:tcPr>
          <w:p w14:paraId="1EFC1CDF" w14:textId="77777777" w:rsidR="004C69A3" w:rsidRPr="004C69A3" w:rsidRDefault="004C69A3" w:rsidP="004C69A3">
            <w:pPr>
              <w:keepNex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C69A3">
              <w:rPr>
                <w:rFonts w:ascii="Arial Narrow" w:hAnsi="Arial Narrow"/>
                <w:sz w:val="18"/>
                <w:szCs w:val="18"/>
              </w:rPr>
              <w:t xml:space="preserve">Incremental Energy Savings of </w:t>
            </w:r>
            <w:r w:rsidRPr="004C69A3">
              <w:rPr>
                <w:rFonts w:ascii="Arial Narrow" w:hAnsi="Arial Narrow"/>
                <w:sz w:val="18"/>
                <w:szCs w:val="18"/>
              </w:rPr>
              <w:br/>
              <w:t>2016 Title 24 over 2013 Title 24</w:t>
            </w:r>
          </w:p>
        </w:tc>
        <w:tc>
          <w:tcPr>
            <w:tcW w:w="5691" w:type="dxa"/>
          </w:tcPr>
          <w:p w14:paraId="48EC6A7B" w14:textId="77777777" w:rsidR="004C69A3" w:rsidRPr="004C69A3" w:rsidRDefault="004C69A3" w:rsidP="004C69A3">
            <w:pPr>
              <w:keepNex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C69A3">
              <w:rPr>
                <w:rFonts w:ascii="Arial Narrow" w:hAnsi="Arial Narrow"/>
                <w:sz w:val="18"/>
                <w:szCs w:val="18"/>
              </w:rPr>
              <w:t xml:space="preserve">California Energy Commission, 2016 Impact Analysis: </w:t>
            </w:r>
            <w:hyperlink r:id="rId45" w:history="1">
              <w:r w:rsidRPr="004C69A3">
                <w:rPr>
                  <w:rFonts w:ascii="Arial Narrow" w:hAnsi="Arial Narrow"/>
                  <w:color w:val="95D600"/>
                  <w:sz w:val="18"/>
                  <w:szCs w:val="18"/>
                  <w:u w:val="single"/>
                </w:rPr>
                <w:t>http://www.energy.ca.gov/title24/2016standards/rulemaking/documents/15-day_language/impact_analysis/2016_Impact_Analysis_2015-06-03.pdf</w:t>
              </w:r>
            </w:hyperlink>
          </w:p>
        </w:tc>
      </w:tr>
      <w:tr w:rsidR="004C69A3" w:rsidRPr="004C69A3" w14:paraId="075B2FA7" w14:textId="77777777" w:rsidTr="00FA33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vMerge/>
          </w:tcPr>
          <w:p w14:paraId="7E0EF154" w14:textId="77777777" w:rsidR="004C69A3" w:rsidRPr="004C69A3" w:rsidRDefault="004C69A3" w:rsidP="004C69A3">
            <w:pPr>
              <w:keepNext/>
              <w:rPr>
                <w:rFonts w:ascii="Arial Narrow" w:hAnsi="Arial Narrow"/>
                <w:sz w:val="18"/>
                <w:szCs w:val="18"/>
              </w:rPr>
            </w:pPr>
          </w:p>
        </w:tc>
        <w:tc>
          <w:tcPr>
            <w:tcW w:w="1834" w:type="dxa"/>
          </w:tcPr>
          <w:p w14:paraId="1E4D1EA0" w14:textId="77777777" w:rsidR="004C69A3" w:rsidRPr="004C69A3" w:rsidRDefault="004C69A3" w:rsidP="004C69A3">
            <w:pPr>
              <w:keepNex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C69A3">
              <w:rPr>
                <w:rFonts w:ascii="Arial Narrow" w:hAnsi="Arial Narrow"/>
                <w:sz w:val="18"/>
                <w:szCs w:val="18"/>
              </w:rPr>
              <w:t xml:space="preserve">Incremental Energy Savings of </w:t>
            </w:r>
            <w:r w:rsidRPr="004C69A3">
              <w:rPr>
                <w:rFonts w:ascii="Arial Narrow" w:hAnsi="Arial Narrow"/>
                <w:sz w:val="18"/>
                <w:szCs w:val="18"/>
              </w:rPr>
              <w:br/>
              <w:t>2019 Title 24 over 2016 Title 24</w:t>
            </w:r>
          </w:p>
        </w:tc>
        <w:tc>
          <w:tcPr>
            <w:tcW w:w="5691" w:type="dxa"/>
          </w:tcPr>
          <w:p w14:paraId="0F9CA463" w14:textId="77777777" w:rsidR="004C69A3" w:rsidRPr="004C69A3" w:rsidRDefault="004C69A3" w:rsidP="004C69A3">
            <w:pPr>
              <w:keepNex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C69A3">
              <w:rPr>
                <w:rFonts w:ascii="Arial Narrow" w:hAnsi="Arial Narrow"/>
                <w:sz w:val="18"/>
                <w:szCs w:val="18"/>
              </w:rPr>
              <w:t>Communications with the California Energy Commission, January, 2017.</w:t>
            </w:r>
          </w:p>
        </w:tc>
      </w:tr>
      <w:tr w:rsidR="004C69A3" w:rsidRPr="004C69A3" w14:paraId="13DC3D9F" w14:textId="77777777" w:rsidTr="00FA3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vMerge/>
          </w:tcPr>
          <w:p w14:paraId="503FCA4C" w14:textId="77777777" w:rsidR="004C69A3" w:rsidRPr="004C69A3" w:rsidRDefault="004C69A3" w:rsidP="004C69A3">
            <w:pPr>
              <w:rPr>
                <w:rFonts w:ascii="Arial Narrow" w:hAnsi="Arial Narrow"/>
                <w:sz w:val="18"/>
                <w:szCs w:val="18"/>
              </w:rPr>
            </w:pPr>
          </w:p>
        </w:tc>
        <w:tc>
          <w:tcPr>
            <w:tcW w:w="1834" w:type="dxa"/>
          </w:tcPr>
          <w:p w14:paraId="3A409B07" w14:textId="77777777" w:rsidR="004C69A3" w:rsidRPr="004C69A3" w:rsidRDefault="004C69A3" w:rsidP="004C69A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C69A3">
              <w:rPr>
                <w:rFonts w:ascii="Arial Narrow" w:hAnsi="Arial Narrow"/>
                <w:sz w:val="18"/>
                <w:szCs w:val="18"/>
              </w:rPr>
              <w:t xml:space="preserve">Incremental Energy Savings of </w:t>
            </w:r>
            <w:r w:rsidRPr="004C69A3">
              <w:rPr>
                <w:rFonts w:ascii="Arial Narrow" w:hAnsi="Arial Narrow"/>
                <w:sz w:val="18"/>
                <w:szCs w:val="18"/>
              </w:rPr>
              <w:br/>
              <w:t xml:space="preserve">ZNE over </w:t>
            </w:r>
            <w:r w:rsidRPr="004C69A3">
              <w:rPr>
                <w:rFonts w:ascii="Arial Narrow" w:hAnsi="Arial Narrow"/>
                <w:sz w:val="18"/>
                <w:szCs w:val="18"/>
              </w:rPr>
              <w:br/>
              <w:t>2013 Title 24</w:t>
            </w:r>
          </w:p>
        </w:tc>
        <w:tc>
          <w:tcPr>
            <w:tcW w:w="5691" w:type="dxa"/>
          </w:tcPr>
          <w:p w14:paraId="5B883814" w14:textId="77777777" w:rsidR="004C69A3" w:rsidRPr="004C69A3" w:rsidRDefault="004C69A3" w:rsidP="004C69A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C69A3">
              <w:rPr>
                <w:rFonts w:ascii="Arial Narrow" w:hAnsi="Arial Narrow"/>
                <w:sz w:val="18"/>
                <w:szCs w:val="18"/>
              </w:rPr>
              <w:t xml:space="preserve">ARUP, The Technical Feasibility of Zero Net Energy Buildings in California, December, 2012. </w:t>
            </w:r>
          </w:p>
        </w:tc>
      </w:tr>
    </w:tbl>
    <w:p w14:paraId="0334B4E3" w14:textId="77777777" w:rsidR="004C69A3" w:rsidRPr="004C69A3" w:rsidRDefault="004C69A3" w:rsidP="004C69A3"/>
    <w:p w14:paraId="180C1DD1" w14:textId="77777777" w:rsidR="00827A6C" w:rsidRDefault="00827A6C" w:rsidP="008271BF">
      <w:pPr>
        <w:pStyle w:val="Heading4"/>
        <w:ind w:left="900"/>
      </w:pPr>
      <w:r>
        <w:t>Residential</w:t>
      </w:r>
    </w:p>
    <w:p w14:paraId="23E09AFE" w14:textId="77777777" w:rsidR="005E6E11" w:rsidRDefault="00B55315" w:rsidP="005E6E11">
      <w:r>
        <w:fldChar w:fldCharType="begin"/>
      </w:r>
      <w:r>
        <w:instrText xml:space="preserve"> REF _Ref482351860 \h </w:instrText>
      </w:r>
      <w:r>
        <w:fldChar w:fldCharType="separate"/>
      </w:r>
      <w:r w:rsidR="007566B9">
        <w:t xml:space="preserve">Table </w:t>
      </w:r>
      <w:r w:rsidR="007566B9">
        <w:rPr>
          <w:noProof/>
        </w:rPr>
        <w:t>3</w:t>
      </w:r>
      <w:r w:rsidR="007566B9">
        <w:noBreakHyphen/>
      </w:r>
      <w:r w:rsidR="007566B9">
        <w:rPr>
          <w:noProof/>
        </w:rPr>
        <w:t>22</w:t>
      </w:r>
      <w:r>
        <w:fldChar w:fldCharType="end"/>
      </w:r>
      <w:r w:rsidR="005E6E11">
        <w:t xml:space="preserve"> provides the sources for energy consumption</w:t>
      </w:r>
      <w:r w:rsidR="00F370D9">
        <w:t xml:space="preserve"> and cost</w:t>
      </w:r>
      <w:r w:rsidR="005E6E11">
        <w:t xml:space="preserve"> data. </w:t>
      </w:r>
      <w:r w:rsidR="00196112">
        <w:t xml:space="preserve">By using the percent savings values rather than absolute energy consumption reported by different sources, the </w:t>
      </w:r>
      <w:r w:rsidR="008A25E0">
        <w:t xml:space="preserve">2018 </w:t>
      </w:r>
      <w:r w:rsidR="00196112">
        <w:t xml:space="preserve">Study accounts for inconsistencies in simulation assumptions across data sources. This results in lower electricity consumption and higher natural gas consumption in comparison to the 2015 Study. </w:t>
      </w:r>
    </w:p>
    <w:p w14:paraId="7AA6D85D" w14:textId="77777777" w:rsidR="005E6E11" w:rsidRDefault="005E6E11" w:rsidP="005E6E11"/>
    <w:p w14:paraId="6DC75CAC" w14:textId="77777777" w:rsidR="005E6E11" w:rsidRDefault="005E6E11" w:rsidP="005E6E11">
      <w:pPr>
        <w:pStyle w:val="Caption"/>
      </w:pPr>
      <w:bookmarkStart w:id="610" w:name="_Ref478030572"/>
      <w:bookmarkStart w:id="611" w:name="_Ref482351860"/>
      <w:bookmarkStart w:id="612" w:name="_Toc482634229"/>
      <w:bookmarkStart w:id="613" w:name="_Toc484436968"/>
      <w:bookmarkStart w:id="614" w:name="_Toc490560680"/>
      <w:r>
        <w:lastRenderedPageBreak/>
        <w:t xml:space="preserve">Table </w:t>
      </w:r>
      <w:bookmarkEnd w:id="610"/>
      <w:r w:rsidR="00C17D59">
        <w:fldChar w:fldCharType="begin"/>
      </w:r>
      <w:r w:rsidR="00C17D59">
        <w:instrText xml:space="preserve"> STYLEREF 1 \s </w:instrText>
      </w:r>
      <w:r w:rsidR="00C17D59">
        <w:fldChar w:fldCharType="separate"/>
      </w:r>
      <w:r w:rsidR="007566B9">
        <w:rPr>
          <w:noProof/>
        </w:rPr>
        <w:t>3</w:t>
      </w:r>
      <w:r w:rsidR="00C17D59">
        <w:fldChar w:fldCharType="end"/>
      </w:r>
      <w:r w:rsidR="00C17D59">
        <w:noBreakHyphen/>
      </w:r>
      <w:fldSimple w:instr=" SEQ Table \* ARABIC \s 1 ">
        <w:r w:rsidR="007566B9">
          <w:rPr>
            <w:noProof/>
          </w:rPr>
          <w:t>22</w:t>
        </w:r>
      </w:fldSimple>
      <w:bookmarkEnd w:id="611"/>
      <w:r>
        <w:t xml:space="preserve">. Residential New Construction </w:t>
      </w:r>
      <w:r w:rsidR="003E10D5">
        <w:t xml:space="preserve">Whole Building </w:t>
      </w:r>
      <w:r>
        <w:t xml:space="preserve">Data </w:t>
      </w:r>
      <w:r w:rsidR="00B55315">
        <w:t>Sources</w:t>
      </w:r>
      <w:bookmarkEnd w:id="612"/>
      <w:bookmarkEnd w:id="613"/>
      <w:bookmarkEnd w:id="614"/>
    </w:p>
    <w:tbl>
      <w:tblPr>
        <w:tblStyle w:val="EnergyTable1"/>
        <w:tblW w:w="9090" w:type="dxa"/>
        <w:tblLayout w:type="fixed"/>
        <w:tblLook w:val="04A0" w:firstRow="1" w:lastRow="0" w:firstColumn="1" w:lastColumn="0" w:noHBand="0" w:noVBand="1"/>
      </w:tblPr>
      <w:tblGrid>
        <w:gridCol w:w="2340"/>
        <w:gridCol w:w="3090"/>
        <w:gridCol w:w="3660"/>
      </w:tblGrid>
      <w:tr w:rsidR="008A25E0" w:rsidRPr="00657865" w14:paraId="367E606C" w14:textId="77777777" w:rsidTr="001413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0" w:type="dxa"/>
          </w:tcPr>
          <w:p w14:paraId="143B1A1D" w14:textId="77777777" w:rsidR="008A25E0" w:rsidRPr="00657865" w:rsidRDefault="008A25E0" w:rsidP="0035722A">
            <w:pPr>
              <w:rPr>
                <w:rFonts w:ascii="Arial Narrow" w:hAnsi="Arial Narrow"/>
                <w:sz w:val="18"/>
                <w:szCs w:val="18"/>
              </w:rPr>
            </w:pPr>
            <w:r w:rsidRPr="00657865">
              <w:rPr>
                <w:rFonts w:ascii="Arial Narrow" w:hAnsi="Arial Narrow"/>
                <w:sz w:val="18"/>
                <w:szCs w:val="18"/>
              </w:rPr>
              <w:t>Data Category</w:t>
            </w:r>
          </w:p>
        </w:tc>
        <w:tc>
          <w:tcPr>
            <w:tcW w:w="3090" w:type="dxa"/>
          </w:tcPr>
          <w:p w14:paraId="3A65861B" w14:textId="77777777" w:rsidR="008A25E0" w:rsidRPr="00657865" w:rsidRDefault="008A25E0" w:rsidP="0035722A">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Data Items</w:t>
            </w:r>
          </w:p>
        </w:tc>
        <w:tc>
          <w:tcPr>
            <w:tcW w:w="3660" w:type="dxa"/>
          </w:tcPr>
          <w:p w14:paraId="63D67CCB" w14:textId="77777777" w:rsidR="008A25E0" w:rsidRPr="00657865" w:rsidRDefault="008A25E0" w:rsidP="0035722A">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Data Sources</w:t>
            </w:r>
          </w:p>
        </w:tc>
      </w:tr>
      <w:tr w:rsidR="008A25E0" w:rsidRPr="00657865" w14:paraId="1E6ED75F" w14:textId="77777777" w:rsidTr="001413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Merge w:val="restart"/>
          </w:tcPr>
          <w:p w14:paraId="2945DF8F" w14:textId="77777777" w:rsidR="008A25E0" w:rsidRPr="00657865" w:rsidRDefault="008A25E0" w:rsidP="008A25E0">
            <w:pPr>
              <w:rPr>
                <w:rFonts w:ascii="Arial Narrow" w:hAnsi="Arial Narrow"/>
                <w:b/>
                <w:sz w:val="18"/>
                <w:szCs w:val="18"/>
              </w:rPr>
            </w:pPr>
            <w:r w:rsidRPr="00657865">
              <w:rPr>
                <w:rFonts w:ascii="Arial Narrow" w:hAnsi="Arial Narrow"/>
                <w:b/>
                <w:sz w:val="18"/>
                <w:szCs w:val="18"/>
              </w:rPr>
              <w:t>Cost</w:t>
            </w:r>
          </w:p>
        </w:tc>
        <w:tc>
          <w:tcPr>
            <w:tcW w:w="3090" w:type="dxa"/>
          </w:tcPr>
          <w:p w14:paraId="789E3FFF" w14:textId="77777777" w:rsidR="008A25E0" w:rsidRPr="00657865" w:rsidRDefault="008A25E0" w:rsidP="0097026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Incremental Cost of </w:t>
            </w:r>
            <w:r w:rsidRPr="00657865">
              <w:rPr>
                <w:rFonts w:ascii="Arial Narrow" w:hAnsi="Arial Narrow"/>
                <w:sz w:val="18"/>
                <w:szCs w:val="18"/>
              </w:rPr>
              <w:br/>
              <w:t>2013 Title 24 over 2008 Title 24</w:t>
            </w:r>
          </w:p>
        </w:tc>
        <w:tc>
          <w:tcPr>
            <w:tcW w:w="3660" w:type="dxa"/>
          </w:tcPr>
          <w:p w14:paraId="6A0A0BAD" w14:textId="77777777" w:rsidR="008A25E0" w:rsidRPr="00657865" w:rsidRDefault="008A25E0" w:rsidP="008A25E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California Energy Commission, 2013 Standard Cost Impact Analysis: </w:t>
            </w:r>
            <w:hyperlink r:id="rId46" w:history="1">
              <w:r w:rsidRPr="00657865">
                <w:rPr>
                  <w:rStyle w:val="Hyperlink"/>
                  <w:rFonts w:ascii="Arial Narrow" w:hAnsi="Arial Narrow"/>
                  <w:sz w:val="18"/>
                  <w:szCs w:val="18"/>
                </w:rPr>
                <w:t>http://www.energy.ca.gov/title24/2013standards/rulemaking/documents/final_rulemaking_documents/05_Impact_Analysis.pdf</w:t>
              </w:r>
            </w:hyperlink>
          </w:p>
        </w:tc>
      </w:tr>
      <w:tr w:rsidR="008A25E0" w:rsidRPr="00657865" w14:paraId="34940E78" w14:textId="77777777" w:rsidTr="001413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Merge/>
          </w:tcPr>
          <w:p w14:paraId="1D492417" w14:textId="77777777" w:rsidR="008A25E0" w:rsidRPr="00657865" w:rsidRDefault="008A25E0" w:rsidP="00F370D9">
            <w:pPr>
              <w:rPr>
                <w:rFonts w:ascii="Arial Narrow" w:hAnsi="Arial Narrow"/>
                <w:sz w:val="18"/>
                <w:szCs w:val="18"/>
              </w:rPr>
            </w:pPr>
          </w:p>
        </w:tc>
        <w:tc>
          <w:tcPr>
            <w:tcW w:w="3090" w:type="dxa"/>
          </w:tcPr>
          <w:p w14:paraId="19FA5243" w14:textId="77777777" w:rsidR="008A25E0" w:rsidRPr="00657865" w:rsidRDefault="008A25E0" w:rsidP="00F370D9">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Incremental Cost of </w:t>
            </w:r>
            <w:r w:rsidRPr="00657865">
              <w:rPr>
                <w:rFonts w:ascii="Arial Narrow" w:hAnsi="Arial Narrow"/>
                <w:sz w:val="18"/>
                <w:szCs w:val="18"/>
              </w:rPr>
              <w:br/>
              <w:t>2016 Title 24 over 2013 Title 24</w:t>
            </w:r>
          </w:p>
        </w:tc>
        <w:tc>
          <w:tcPr>
            <w:tcW w:w="3660" w:type="dxa"/>
          </w:tcPr>
          <w:p w14:paraId="333287E4" w14:textId="77777777" w:rsidR="008A25E0" w:rsidRPr="00657865" w:rsidRDefault="008A25E0" w:rsidP="008A25E0">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California Energy Commission, 2016 Notice of Proposed Action: </w:t>
            </w:r>
            <w:hyperlink r:id="rId47" w:history="1">
              <w:r w:rsidRPr="00657865">
                <w:rPr>
                  <w:rStyle w:val="Hyperlink"/>
                  <w:rFonts w:ascii="Arial Narrow" w:hAnsi="Arial Narrow"/>
                  <w:sz w:val="18"/>
                  <w:szCs w:val="18"/>
                </w:rPr>
                <w:t>http://www.energy.ca.gov/title24/2016standards/rulemaking/documents/NOPA_title24_parts_01_06.pdf</w:t>
              </w:r>
            </w:hyperlink>
          </w:p>
        </w:tc>
      </w:tr>
      <w:tr w:rsidR="00B55315" w:rsidRPr="00657865" w14:paraId="08557067" w14:textId="77777777" w:rsidTr="001413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Merge/>
          </w:tcPr>
          <w:p w14:paraId="2EFBE6DD" w14:textId="77777777" w:rsidR="00B55315" w:rsidRPr="00657865" w:rsidRDefault="00B55315" w:rsidP="00F370D9">
            <w:pPr>
              <w:rPr>
                <w:rFonts w:ascii="Arial Narrow" w:hAnsi="Arial Narrow"/>
                <w:sz w:val="18"/>
                <w:szCs w:val="18"/>
              </w:rPr>
            </w:pPr>
          </w:p>
        </w:tc>
        <w:tc>
          <w:tcPr>
            <w:tcW w:w="3090" w:type="dxa"/>
          </w:tcPr>
          <w:p w14:paraId="10D47AE3" w14:textId="77777777" w:rsidR="00B55315" w:rsidRPr="00657865" w:rsidRDefault="00B55315" w:rsidP="00F370D9">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Incremental Cost of </w:t>
            </w:r>
            <w:r w:rsidRPr="00657865">
              <w:rPr>
                <w:rFonts w:ascii="Arial Narrow" w:hAnsi="Arial Narrow"/>
                <w:sz w:val="18"/>
                <w:szCs w:val="18"/>
              </w:rPr>
              <w:br/>
              <w:t>2019 Title 24 over 2016 Title 24</w:t>
            </w:r>
          </w:p>
        </w:tc>
        <w:tc>
          <w:tcPr>
            <w:tcW w:w="3660" w:type="dxa"/>
          </w:tcPr>
          <w:p w14:paraId="427B1EB2" w14:textId="77777777" w:rsidR="00B55315" w:rsidRPr="00657865" w:rsidRDefault="00B55315" w:rsidP="008A25E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Navigant extrapolation based on 2016 T24</w:t>
            </w:r>
          </w:p>
        </w:tc>
      </w:tr>
      <w:tr w:rsidR="008A25E0" w:rsidRPr="00657865" w14:paraId="0E058A35" w14:textId="77777777" w:rsidTr="001413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Merge/>
          </w:tcPr>
          <w:p w14:paraId="50C5DBCF" w14:textId="77777777" w:rsidR="008A25E0" w:rsidRPr="00657865" w:rsidRDefault="008A25E0" w:rsidP="00F370D9">
            <w:pPr>
              <w:rPr>
                <w:rFonts w:ascii="Arial Narrow" w:hAnsi="Arial Narrow"/>
                <w:sz w:val="18"/>
                <w:szCs w:val="18"/>
              </w:rPr>
            </w:pPr>
          </w:p>
        </w:tc>
        <w:tc>
          <w:tcPr>
            <w:tcW w:w="3090" w:type="dxa"/>
          </w:tcPr>
          <w:p w14:paraId="518E7D79" w14:textId="77777777" w:rsidR="008A25E0" w:rsidRPr="00657865" w:rsidRDefault="008A25E0" w:rsidP="00F370D9">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Incremental Cost of </w:t>
            </w:r>
            <w:r w:rsidRPr="00657865">
              <w:rPr>
                <w:rFonts w:ascii="Arial Narrow" w:hAnsi="Arial Narrow"/>
                <w:sz w:val="18"/>
                <w:szCs w:val="18"/>
              </w:rPr>
              <w:br/>
              <w:t xml:space="preserve">ZNE over </w:t>
            </w:r>
            <w:r w:rsidRPr="00657865">
              <w:rPr>
                <w:rFonts w:ascii="Arial Narrow" w:hAnsi="Arial Narrow"/>
                <w:sz w:val="18"/>
                <w:szCs w:val="18"/>
              </w:rPr>
              <w:br/>
              <w:t>2013 Title 24</w:t>
            </w:r>
          </w:p>
        </w:tc>
        <w:tc>
          <w:tcPr>
            <w:tcW w:w="3660" w:type="dxa"/>
          </w:tcPr>
          <w:p w14:paraId="62706CA9" w14:textId="77777777" w:rsidR="008A25E0" w:rsidRPr="00657865" w:rsidRDefault="008A25E0" w:rsidP="00F370D9">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CEC Draft Title 24 Code Update Analysis provided to Navigant</w:t>
            </w:r>
          </w:p>
        </w:tc>
      </w:tr>
      <w:tr w:rsidR="008A25E0" w:rsidRPr="00657865" w14:paraId="04317064" w14:textId="77777777" w:rsidTr="001413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Merge w:val="restart"/>
          </w:tcPr>
          <w:p w14:paraId="0593BB92" w14:textId="77777777" w:rsidR="008A25E0" w:rsidRPr="00657865" w:rsidRDefault="008A25E0" w:rsidP="008A25E0">
            <w:pPr>
              <w:rPr>
                <w:rFonts w:ascii="Arial Narrow" w:hAnsi="Arial Narrow"/>
                <w:b/>
                <w:sz w:val="18"/>
                <w:szCs w:val="18"/>
              </w:rPr>
            </w:pPr>
            <w:r w:rsidRPr="00657865">
              <w:rPr>
                <w:rFonts w:ascii="Arial Narrow" w:hAnsi="Arial Narrow"/>
                <w:b/>
                <w:sz w:val="18"/>
                <w:szCs w:val="18"/>
              </w:rPr>
              <w:t>Energy Consumption and Savings</w:t>
            </w:r>
          </w:p>
          <w:p w14:paraId="0F8F78E1" w14:textId="77777777" w:rsidR="008A25E0" w:rsidRPr="00657865" w:rsidRDefault="008A25E0" w:rsidP="008A25E0">
            <w:pPr>
              <w:rPr>
                <w:rFonts w:ascii="Arial Narrow" w:hAnsi="Arial Narrow"/>
                <w:sz w:val="18"/>
                <w:szCs w:val="18"/>
              </w:rPr>
            </w:pPr>
          </w:p>
        </w:tc>
        <w:tc>
          <w:tcPr>
            <w:tcW w:w="3090" w:type="dxa"/>
          </w:tcPr>
          <w:p w14:paraId="0E1D02FE" w14:textId="77777777" w:rsidR="008A25E0" w:rsidRPr="00657865" w:rsidRDefault="008A25E0" w:rsidP="0097026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Incremental Energy Savings of </w:t>
            </w:r>
            <w:r w:rsidRPr="00657865">
              <w:rPr>
                <w:rFonts w:ascii="Arial Narrow" w:hAnsi="Arial Narrow"/>
                <w:sz w:val="18"/>
                <w:szCs w:val="18"/>
              </w:rPr>
              <w:br/>
              <w:t>2013 Title 24 over 2008 Title 24</w:t>
            </w:r>
          </w:p>
        </w:tc>
        <w:tc>
          <w:tcPr>
            <w:tcW w:w="3660" w:type="dxa"/>
          </w:tcPr>
          <w:p w14:paraId="0A08870B" w14:textId="77777777" w:rsidR="008A25E0" w:rsidRPr="00657865" w:rsidRDefault="008A25E0" w:rsidP="008A25E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California Energy Commission, 2013 Standard Cost Impact Analysis: </w:t>
            </w:r>
            <w:hyperlink r:id="rId48" w:history="1">
              <w:r w:rsidRPr="00657865">
                <w:rPr>
                  <w:rStyle w:val="Hyperlink"/>
                  <w:rFonts w:ascii="Arial Narrow" w:hAnsi="Arial Narrow"/>
                  <w:sz w:val="18"/>
                  <w:szCs w:val="18"/>
                </w:rPr>
                <w:t>http://www.energy.ca.gov/title24/2013standards/rulemaking/documents/final_rulemaking_documents/05_Impact_Analysis.pdf</w:t>
              </w:r>
            </w:hyperlink>
          </w:p>
        </w:tc>
      </w:tr>
      <w:tr w:rsidR="008A25E0" w:rsidRPr="00657865" w14:paraId="2D99C828" w14:textId="77777777" w:rsidTr="001413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Merge/>
          </w:tcPr>
          <w:p w14:paraId="77B15310" w14:textId="77777777" w:rsidR="008A25E0" w:rsidRPr="00657865" w:rsidRDefault="008A25E0" w:rsidP="00970267">
            <w:pPr>
              <w:rPr>
                <w:rFonts w:ascii="Arial Narrow" w:hAnsi="Arial Narrow"/>
                <w:sz w:val="18"/>
                <w:szCs w:val="18"/>
              </w:rPr>
            </w:pPr>
          </w:p>
        </w:tc>
        <w:tc>
          <w:tcPr>
            <w:tcW w:w="3090" w:type="dxa"/>
          </w:tcPr>
          <w:p w14:paraId="68CC897E" w14:textId="77777777" w:rsidR="008A25E0" w:rsidRPr="00657865" w:rsidRDefault="008A25E0" w:rsidP="0097026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2013 Title 24 Energy Consumption</w:t>
            </w:r>
          </w:p>
        </w:tc>
        <w:tc>
          <w:tcPr>
            <w:tcW w:w="3660" w:type="dxa"/>
          </w:tcPr>
          <w:p w14:paraId="09C38A35" w14:textId="77777777" w:rsidR="008A25E0" w:rsidRPr="00657865" w:rsidRDefault="008A25E0" w:rsidP="0097026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California Energy Commission, CBECC-Res 2013 Std. Design Results, 2015. </w:t>
            </w:r>
          </w:p>
        </w:tc>
      </w:tr>
      <w:tr w:rsidR="008A25E0" w:rsidRPr="00657865" w14:paraId="74A4C660" w14:textId="77777777" w:rsidTr="001413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Merge/>
          </w:tcPr>
          <w:p w14:paraId="7FA06325" w14:textId="77777777" w:rsidR="008A25E0" w:rsidRPr="00657865" w:rsidRDefault="008A25E0" w:rsidP="00970267">
            <w:pPr>
              <w:rPr>
                <w:rFonts w:ascii="Arial Narrow" w:hAnsi="Arial Narrow"/>
                <w:sz w:val="18"/>
                <w:szCs w:val="18"/>
              </w:rPr>
            </w:pPr>
          </w:p>
        </w:tc>
        <w:tc>
          <w:tcPr>
            <w:tcW w:w="3090" w:type="dxa"/>
          </w:tcPr>
          <w:p w14:paraId="4708809F" w14:textId="77777777" w:rsidR="008A25E0" w:rsidRPr="00657865" w:rsidRDefault="008A25E0" w:rsidP="0097026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2016 Title 24 Energy Consumption</w:t>
            </w:r>
          </w:p>
        </w:tc>
        <w:tc>
          <w:tcPr>
            <w:tcW w:w="3660" w:type="dxa"/>
          </w:tcPr>
          <w:p w14:paraId="2C3B291B" w14:textId="77777777" w:rsidR="008A25E0" w:rsidRPr="00657865" w:rsidRDefault="008A25E0" w:rsidP="0097026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California Energy Commission, CBECC-Res 2016 Std. Design Results, January, 2017. </w:t>
            </w:r>
          </w:p>
        </w:tc>
      </w:tr>
      <w:tr w:rsidR="008A25E0" w:rsidRPr="00657865" w14:paraId="549FE006" w14:textId="77777777" w:rsidTr="001413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Merge/>
          </w:tcPr>
          <w:p w14:paraId="705B3B58" w14:textId="77777777" w:rsidR="008A25E0" w:rsidRPr="00657865" w:rsidRDefault="008A25E0" w:rsidP="00970267">
            <w:pPr>
              <w:rPr>
                <w:rFonts w:ascii="Arial Narrow" w:hAnsi="Arial Narrow"/>
                <w:sz w:val="18"/>
                <w:szCs w:val="18"/>
              </w:rPr>
            </w:pPr>
          </w:p>
        </w:tc>
        <w:tc>
          <w:tcPr>
            <w:tcW w:w="3090" w:type="dxa"/>
          </w:tcPr>
          <w:p w14:paraId="7700A384" w14:textId="77777777" w:rsidR="008A25E0" w:rsidRPr="00657865" w:rsidRDefault="008A25E0" w:rsidP="0097026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Incremental Energy Savings of </w:t>
            </w:r>
            <w:r w:rsidRPr="00657865">
              <w:rPr>
                <w:rFonts w:ascii="Arial Narrow" w:hAnsi="Arial Narrow"/>
                <w:sz w:val="18"/>
                <w:szCs w:val="18"/>
              </w:rPr>
              <w:br/>
              <w:t>2019 Title 24 over 2016 Title 24</w:t>
            </w:r>
          </w:p>
        </w:tc>
        <w:tc>
          <w:tcPr>
            <w:tcW w:w="3660" w:type="dxa"/>
          </w:tcPr>
          <w:p w14:paraId="6E8DE53A" w14:textId="77777777" w:rsidR="008A25E0" w:rsidRPr="00657865" w:rsidRDefault="008A25E0" w:rsidP="0097026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57865">
              <w:rPr>
                <w:rFonts w:ascii="Arial Narrow" w:hAnsi="Arial Narrow"/>
                <w:sz w:val="18"/>
                <w:szCs w:val="18"/>
              </w:rPr>
              <w:t>Communications with the California Energy Commission, January, 2017.</w:t>
            </w:r>
          </w:p>
        </w:tc>
      </w:tr>
      <w:tr w:rsidR="008A25E0" w:rsidRPr="00657865" w14:paraId="431946FB" w14:textId="77777777" w:rsidTr="001413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Merge/>
          </w:tcPr>
          <w:p w14:paraId="14622D0F" w14:textId="77777777" w:rsidR="008A25E0" w:rsidRPr="00657865" w:rsidRDefault="008A25E0" w:rsidP="00970267">
            <w:pPr>
              <w:rPr>
                <w:rFonts w:ascii="Arial Narrow" w:hAnsi="Arial Narrow"/>
                <w:sz w:val="18"/>
                <w:szCs w:val="18"/>
              </w:rPr>
            </w:pPr>
          </w:p>
        </w:tc>
        <w:tc>
          <w:tcPr>
            <w:tcW w:w="3090" w:type="dxa"/>
          </w:tcPr>
          <w:p w14:paraId="15675AFD" w14:textId="77777777" w:rsidR="008A25E0" w:rsidRPr="00657865" w:rsidRDefault="008A25E0" w:rsidP="0097026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Incremental Energy Savings of </w:t>
            </w:r>
            <w:r w:rsidRPr="00657865">
              <w:rPr>
                <w:rFonts w:ascii="Arial Narrow" w:hAnsi="Arial Narrow"/>
                <w:sz w:val="18"/>
                <w:szCs w:val="18"/>
              </w:rPr>
              <w:br/>
              <w:t xml:space="preserve">ZNE over </w:t>
            </w:r>
            <w:r w:rsidRPr="00657865">
              <w:rPr>
                <w:rFonts w:ascii="Arial Narrow" w:hAnsi="Arial Narrow"/>
                <w:sz w:val="18"/>
                <w:szCs w:val="18"/>
              </w:rPr>
              <w:br/>
              <w:t>2013 Title 24</w:t>
            </w:r>
          </w:p>
        </w:tc>
        <w:tc>
          <w:tcPr>
            <w:tcW w:w="3660" w:type="dxa"/>
          </w:tcPr>
          <w:p w14:paraId="391A5AC7" w14:textId="77777777" w:rsidR="008A25E0" w:rsidRPr="00657865" w:rsidRDefault="008A25E0" w:rsidP="0097026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57865">
              <w:rPr>
                <w:rFonts w:ascii="Arial Narrow" w:hAnsi="Arial Narrow"/>
                <w:sz w:val="18"/>
                <w:szCs w:val="18"/>
              </w:rPr>
              <w:t xml:space="preserve">ARUP, The Technical Feasibility of Zero Net Energy Buildings in California, December, 2012. </w:t>
            </w:r>
          </w:p>
        </w:tc>
      </w:tr>
    </w:tbl>
    <w:p w14:paraId="3BC4D7FC" w14:textId="77777777" w:rsidR="00412E8E" w:rsidRPr="00CB6DF9" w:rsidRDefault="00827A6C" w:rsidP="00827A6C">
      <w:pPr>
        <w:pStyle w:val="Heading3"/>
      </w:pPr>
      <w:r>
        <w:t xml:space="preserve"> </w:t>
      </w:r>
      <w:bookmarkStart w:id="615" w:name="_Toc478990520"/>
      <w:bookmarkStart w:id="616" w:name="_Toc479768598"/>
      <w:bookmarkStart w:id="617" w:name="_Toc482357321"/>
      <w:bookmarkStart w:id="618" w:name="_Toc482634296"/>
      <w:bookmarkStart w:id="619" w:name="_Toc482626428"/>
      <w:bookmarkStart w:id="620" w:name="_Toc484092499"/>
      <w:bookmarkStart w:id="621" w:name="_Toc484172703"/>
      <w:bookmarkStart w:id="622" w:name="_Toc484183039"/>
      <w:bookmarkStart w:id="623" w:name="_Toc490225802"/>
      <w:r w:rsidR="00FF140D">
        <w:t>Retrofit</w:t>
      </w:r>
      <w:bookmarkEnd w:id="615"/>
      <w:bookmarkEnd w:id="616"/>
      <w:bookmarkEnd w:id="617"/>
      <w:bookmarkEnd w:id="618"/>
      <w:bookmarkEnd w:id="619"/>
      <w:bookmarkEnd w:id="620"/>
      <w:bookmarkEnd w:id="621"/>
      <w:bookmarkEnd w:id="622"/>
      <w:bookmarkEnd w:id="623"/>
    </w:p>
    <w:p w14:paraId="099EBF5C" w14:textId="77777777" w:rsidR="00A25643" w:rsidRPr="00A25643" w:rsidRDefault="00A25643" w:rsidP="00A25643">
      <w:r>
        <w:t xml:space="preserve">Characterization of both commercial and residential whole building retrofits reflects the encouragement of to-code savings in existing buildings expressed in </w:t>
      </w:r>
      <w:r w:rsidRPr="00A25643">
        <w:t>AB802</w:t>
      </w:r>
      <w:r>
        <w:t>.</w:t>
      </w:r>
    </w:p>
    <w:p w14:paraId="2A1FD39C" w14:textId="77777777" w:rsidR="00661D3D" w:rsidRDefault="00661D3D" w:rsidP="00661D3D">
      <w:pPr>
        <w:pStyle w:val="Heading4"/>
      </w:pPr>
      <w:r>
        <w:t>Commercial</w:t>
      </w:r>
    </w:p>
    <w:p w14:paraId="2205E170" w14:textId="77777777" w:rsidR="005037D7" w:rsidRDefault="00661D3D" w:rsidP="00DF1DEF">
      <w:r>
        <w:t>In the 2015 Study, bundles of electric and gas measures were assembled from the MICS to represent the weighted average installation of measures by a typical participant. This 201</w:t>
      </w:r>
      <w:r w:rsidR="008C53A6">
        <w:t>8</w:t>
      </w:r>
      <w:r>
        <w:t xml:space="preserve"> Study moves away from this bottom-up approach, and instead uses a top-down approach with a goal of </w:t>
      </w:r>
      <w:r w:rsidR="00DF1DEF">
        <w:t xml:space="preserve">saving </w:t>
      </w:r>
      <w:r>
        <w:t>15 percent</w:t>
      </w:r>
      <w:r w:rsidR="00DF1DEF">
        <w:t xml:space="preserve"> of consumption at the whole building level</w:t>
      </w:r>
      <w:r>
        <w:t>.</w:t>
      </w:r>
      <w:r w:rsidR="00DF1DEF">
        <w:t xml:space="preserve"> </w:t>
      </w:r>
      <w:r w:rsidR="00B53BEC">
        <w:t xml:space="preserve">This target was selected in response to feedback collected at the November DAWG Meeting that indicated that whole building retrofits needed to achieve 15% savings </w:t>
      </w:r>
      <w:r w:rsidR="001940EB">
        <w:t>to</w:t>
      </w:r>
      <w:r w:rsidR="00B53BEC">
        <w:t xml:space="preserve"> </w:t>
      </w:r>
      <w:r w:rsidR="00B53BEC">
        <w:lastRenderedPageBreak/>
        <w:t xml:space="preserve">be able to differentiate savings from noise </w:t>
      </w:r>
      <w:r w:rsidR="005037D7">
        <w:t>when using normalized metered energy consumption (NMEC) methods</w:t>
      </w:r>
      <w:r w:rsidR="008C53A6">
        <w:t xml:space="preserve"> and reflect deeper energy savings from multi-measure approach</w:t>
      </w:r>
      <w:r w:rsidR="00D11473">
        <w:t>es</w:t>
      </w:r>
      <w:r w:rsidR="00B53BEC">
        <w:t>.</w:t>
      </w:r>
      <w:r w:rsidR="0055163F">
        <w:rPr>
          <w:rStyle w:val="FootnoteReference"/>
        </w:rPr>
        <w:footnoteReference w:id="82"/>
      </w:r>
      <w:r>
        <w:t xml:space="preserve"> </w:t>
      </w:r>
      <w:r w:rsidR="000E2057">
        <w:t xml:space="preserve"> </w:t>
      </w:r>
    </w:p>
    <w:p w14:paraId="56A65064" w14:textId="77777777" w:rsidR="002B0003" w:rsidRDefault="002B0003" w:rsidP="00DF1DEF"/>
    <w:p w14:paraId="4566E9D7" w14:textId="77777777" w:rsidR="00914621" w:rsidRDefault="00DF1DEF" w:rsidP="00DF1DEF">
      <w:r>
        <w:t>Navigant verif</w:t>
      </w:r>
      <w:r w:rsidR="008733D9">
        <w:t>ied</w:t>
      </w:r>
      <w:r>
        <w:t xml:space="preserve"> that this level of savings could be achieved by addressing cooling, ventilation, lighting, and refrigeration electric end-uses and heating, water heating, and food service gas end-uses.</w:t>
      </w:r>
      <w:r w:rsidR="003E10D5">
        <w:rPr>
          <w:rStyle w:val="FootnoteReference"/>
        </w:rPr>
        <w:footnoteReference w:id="83"/>
      </w:r>
      <w:r>
        <w:t xml:space="preserve"> </w:t>
      </w:r>
      <w:r w:rsidR="000E2057">
        <w:fldChar w:fldCharType="begin"/>
      </w:r>
      <w:r w:rsidR="000E2057">
        <w:instrText xml:space="preserve"> REF _Ref481052268 \h </w:instrText>
      </w:r>
      <w:r w:rsidR="000E2057">
        <w:fldChar w:fldCharType="separate"/>
      </w:r>
      <w:r w:rsidR="007566B9">
        <w:t xml:space="preserve">Figure </w:t>
      </w:r>
      <w:r w:rsidR="007566B9">
        <w:rPr>
          <w:noProof/>
        </w:rPr>
        <w:t>3</w:t>
      </w:r>
      <w:r w:rsidR="007566B9">
        <w:noBreakHyphen/>
      </w:r>
      <w:r w:rsidR="007566B9">
        <w:rPr>
          <w:noProof/>
        </w:rPr>
        <w:t>6</w:t>
      </w:r>
      <w:r w:rsidR="000E2057">
        <w:fldChar w:fldCharType="end"/>
      </w:r>
      <w:r w:rsidR="000E2057">
        <w:t xml:space="preserve"> uses the example of colleges in PG&amp;E’s territory to demonstrate the calculations conducted </w:t>
      </w:r>
      <w:r w:rsidR="000D3A30">
        <w:t xml:space="preserve">for each building type </w:t>
      </w:r>
      <w:r w:rsidR="000E2057">
        <w:t xml:space="preserve">to ensure feasibility of </w:t>
      </w:r>
      <w:r w:rsidR="00DB3CD4">
        <w:t>the 15% savings</w:t>
      </w:r>
      <w:r w:rsidR="000E2057">
        <w:t xml:space="preserve"> target. </w:t>
      </w:r>
      <w:r w:rsidR="000D3A30">
        <w:t xml:space="preserve">After defining the total savings target, these savings are distributed among the end uses listed above. The distribution was derived by starting with the percent savings exhibited by each end use in the 2013-2015 California energy efficiency portfolio. These had to be modified in an </w:t>
      </w:r>
      <w:r w:rsidR="000D3A30" w:rsidRPr="008733D9">
        <w:t xml:space="preserve">iterative process using the </w:t>
      </w:r>
      <w:r w:rsidR="008733D9" w:rsidRPr="007D4A2A">
        <w:t>following parameters</w:t>
      </w:r>
      <w:r w:rsidR="008733D9" w:rsidRPr="008733D9">
        <w:t xml:space="preserve"> </w:t>
      </w:r>
      <w:r w:rsidR="000D3A30" w:rsidRPr="008733D9">
        <w:t>to ensure that</w:t>
      </w:r>
      <w:r w:rsidR="00A74EDF" w:rsidRPr="008733D9">
        <w:t xml:space="preserve"> reasonable savings were expected from each end use</w:t>
      </w:r>
      <w:r w:rsidR="007D4A2A">
        <w:t>:</w:t>
      </w:r>
      <w:r w:rsidR="00A74EDF" w:rsidRPr="008733D9">
        <w:t xml:space="preserve"> Navigant</w:t>
      </w:r>
      <w:r w:rsidR="00A74EDF">
        <w:t xml:space="preserve"> kept savings at or below </w:t>
      </w:r>
      <w:r w:rsidR="003E10D5">
        <w:t xml:space="preserve">50% for lighting and </w:t>
      </w:r>
      <w:r w:rsidR="00A74EDF">
        <w:t xml:space="preserve">at or below </w:t>
      </w:r>
      <w:r w:rsidR="003E10D5">
        <w:t xml:space="preserve">20% on all other end-uses with minimal exceptions. </w:t>
      </w:r>
    </w:p>
    <w:p w14:paraId="1825AAF5" w14:textId="77777777" w:rsidR="00DB3CD4" w:rsidRDefault="00DB3CD4" w:rsidP="00DF1DEF"/>
    <w:p w14:paraId="781C4846" w14:textId="77777777" w:rsidR="004578E3" w:rsidRDefault="00DB3CD4" w:rsidP="00DB3CD4">
      <w:pPr>
        <w:pStyle w:val="Caption"/>
      </w:pPr>
      <w:bookmarkStart w:id="624" w:name="_Ref481052268"/>
      <w:bookmarkStart w:id="625" w:name="_Toc482634252"/>
      <w:bookmarkStart w:id="626" w:name="_Toc482626460"/>
      <w:bookmarkStart w:id="627" w:name="_Toc484437004"/>
      <w:bookmarkStart w:id="628" w:name="_Toc490491730"/>
      <w:r>
        <w:t xml:space="preserve">Figure </w:t>
      </w:r>
      <w:fldSimple w:instr=" STYLEREF 1 \s ">
        <w:r w:rsidR="007566B9">
          <w:rPr>
            <w:noProof/>
          </w:rPr>
          <w:t>3</w:t>
        </w:r>
      </w:fldSimple>
      <w:r w:rsidR="00CE124F">
        <w:noBreakHyphen/>
      </w:r>
      <w:fldSimple w:instr=" SEQ Figure \* ARABIC \s 1 ">
        <w:r w:rsidR="007566B9">
          <w:rPr>
            <w:noProof/>
          </w:rPr>
          <w:t>6</w:t>
        </w:r>
      </w:fldSimple>
      <w:bookmarkEnd w:id="624"/>
      <w:r>
        <w:t>. Whole Building Retrofit Savings Calculation and Viability Check</w:t>
      </w:r>
      <w:bookmarkEnd w:id="625"/>
      <w:bookmarkEnd w:id="626"/>
      <w:bookmarkEnd w:id="627"/>
      <w:bookmarkEnd w:id="628"/>
      <w:r w:rsidR="000E2057" w:rsidRPr="000E2057">
        <w:rPr>
          <w:noProof/>
        </w:rPr>
        <w:t xml:space="preserve"> </w:t>
      </w:r>
    </w:p>
    <w:p w14:paraId="700DAC5F" w14:textId="77777777" w:rsidR="00DB3CD4" w:rsidRDefault="00483510" w:rsidP="00483510">
      <w:pPr>
        <w:jc w:val="center"/>
        <w:rPr>
          <w:noProof/>
        </w:rPr>
      </w:pPr>
      <w:r>
        <w:rPr>
          <w:noProof/>
        </w:rPr>
        <w:drawing>
          <wp:inline distT="0" distB="0" distL="0" distR="0" wp14:anchorId="1FA24860" wp14:editId="2FBF5821">
            <wp:extent cx="4925060" cy="428688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25060" cy="4286885"/>
                    </a:xfrm>
                    <a:prstGeom prst="rect">
                      <a:avLst/>
                    </a:prstGeom>
                    <a:noFill/>
                  </pic:spPr>
                </pic:pic>
              </a:graphicData>
            </a:graphic>
          </wp:inline>
        </w:drawing>
      </w:r>
    </w:p>
    <w:p w14:paraId="579ABDF5" w14:textId="77777777" w:rsidR="008733D9" w:rsidRDefault="008733D9" w:rsidP="00DE2A8D">
      <w:pPr>
        <w:rPr>
          <w:noProof/>
        </w:rPr>
      </w:pPr>
    </w:p>
    <w:p w14:paraId="66764D2C" w14:textId="77777777" w:rsidR="00827A6C" w:rsidRDefault="00B571B1" w:rsidP="00DE2A8D">
      <w:r>
        <w:rPr>
          <w:noProof/>
        </w:rPr>
        <w:t xml:space="preserve">Costs were applied to these energy savings using an average unit energy savings ($/kWh or $/therm) associated with each end use across the 2013-2015 California energy efficiency portfolio. </w:t>
      </w:r>
      <w:r w:rsidR="004A6E30">
        <w:t xml:space="preserve">The data </w:t>
      </w:r>
      <w:r w:rsidR="004A6E30">
        <w:lastRenderedPageBreak/>
        <w:t xml:space="preserve">sources listed in </w:t>
      </w:r>
      <w:r>
        <w:fldChar w:fldCharType="begin"/>
      </w:r>
      <w:r>
        <w:instrText xml:space="preserve"> REF _Ref481069725 \h </w:instrText>
      </w:r>
      <w:r>
        <w:fldChar w:fldCharType="separate"/>
      </w:r>
      <w:r w:rsidR="007566B9">
        <w:t xml:space="preserve">Table </w:t>
      </w:r>
      <w:r w:rsidR="007566B9">
        <w:rPr>
          <w:noProof/>
        </w:rPr>
        <w:t>3</w:t>
      </w:r>
      <w:r w:rsidR="007566B9">
        <w:noBreakHyphen/>
      </w:r>
      <w:r w:rsidR="007566B9">
        <w:rPr>
          <w:noProof/>
        </w:rPr>
        <w:t>23</w:t>
      </w:r>
      <w:r>
        <w:fldChar w:fldCharType="end"/>
      </w:r>
      <w:r w:rsidR="00DB3CD4">
        <w:t xml:space="preserve"> </w:t>
      </w:r>
      <w:r w:rsidR="004A6E30">
        <w:t xml:space="preserve">were used for this analysis. </w:t>
      </w:r>
      <w:r w:rsidR="00DE2A8D">
        <w:t>This approach yields increased demand savings and comparable energy savings</w:t>
      </w:r>
      <w:r>
        <w:t xml:space="preserve"> to the 2015 Study analysis.</w:t>
      </w:r>
    </w:p>
    <w:p w14:paraId="637B83C6" w14:textId="77777777" w:rsidR="002B0003" w:rsidRDefault="002B0003" w:rsidP="00DE2A8D"/>
    <w:p w14:paraId="147B2743" w14:textId="77777777" w:rsidR="003E10D5" w:rsidRDefault="003E10D5" w:rsidP="00211361">
      <w:pPr>
        <w:pStyle w:val="Caption"/>
        <w:rPr>
          <w:noProof/>
        </w:rPr>
      </w:pPr>
      <w:bookmarkStart w:id="629" w:name="_Ref478121273"/>
      <w:bookmarkStart w:id="630" w:name="_Ref481069725"/>
      <w:bookmarkStart w:id="631" w:name="_Toc482634230"/>
      <w:bookmarkStart w:id="632" w:name="_Toc484436969"/>
      <w:bookmarkStart w:id="633" w:name="_Toc490560681"/>
      <w:r>
        <w:t xml:space="preserve">Table </w:t>
      </w:r>
      <w:bookmarkEnd w:id="629"/>
      <w:r w:rsidR="00C17D59">
        <w:fldChar w:fldCharType="begin"/>
      </w:r>
      <w:r w:rsidR="00C17D59">
        <w:instrText xml:space="preserve"> STYLEREF 1 \s </w:instrText>
      </w:r>
      <w:r w:rsidR="00C17D59">
        <w:fldChar w:fldCharType="separate"/>
      </w:r>
      <w:r w:rsidR="007566B9">
        <w:rPr>
          <w:noProof/>
        </w:rPr>
        <w:t>3</w:t>
      </w:r>
      <w:r w:rsidR="00C17D59">
        <w:fldChar w:fldCharType="end"/>
      </w:r>
      <w:r w:rsidR="00C17D59">
        <w:noBreakHyphen/>
      </w:r>
      <w:fldSimple w:instr=" SEQ Table \* ARABIC \s 1 ">
        <w:r w:rsidR="007566B9">
          <w:rPr>
            <w:noProof/>
          </w:rPr>
          <w:t>23</w:t>
        </w:r>
      </w:fldSimple>
      <w:bookmarkEnd w:id="630"/>
      <w:r>
        <w:t xml:space="preserve">. </w:t>
      </w:r>
      <w:r>
        <w:rPr>
          <w:noProof/>
        </w:rPr>
        <w:t>Commercial Retrofit Whole Building Data Sources</w:t>
      </w:r>
      <w:bookmarkEnd w:id="631"/>
      <w:bookmarkEnd w:id="632"/>
      <w:bookmarkEnd w:id="633"/>
    </w:p>
    <w:tbl>
      <w:tblPr>
        <w:tblStyle w:val="EnergyTable15"/>
        <w:tblW w:w="0" w:type="auto"/>
        <w:tblLayout w:type="fixed"/>
        <w:tblLook w:val="04A0" w:firstRow="1" w:lastRow="0" w:firstColumn="1" w:lastColumn="0" w:noHBand="0" w:noVBand="1"/>
      </w:tblPr>
      <w:tblGrid>
        <w:gridCol w:w="2250"/>
        <w:gridCol w:w="7110"/>
      </w:tblGrid>
      <w:tr w:rsidR="00702E97" w:rsidRPr="00702E97" w14:paraId="2B298FD6" w14:textId="77777777" w:rsidTr="00FA33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539DF122" w14:textId="77777777" w:rsidR="00702E97" w:rsidRPr="00702E97" w:rsidRDefault="00702E97" w:rsidP="00702E97">
            <w:pPr>
              <w:keepNext/>
              <w:rPr>
                <w:rFonts w:ascii="Arial Narrow" w:hAnsi="Arial Narrow"/>
                <w:sz w:val="18"/>
                <w:szCs w:val="18"/>
              </w:rPr>
            </w:pPr>
            <w:r w:rsidRPr="00702E97">
              <w:rPr>
                <w:rFonts w:ascii="Arial Narrow" w:hAnsi="Arial Narrow"/>
                <w:sz w:val="18"/>
                <w:szCs w:val="18"/>
              </w:rPr>
              <w:t>Data Items</w:t>
            </w:r>
          </w:p>
        </w:tc>
        <w:tc>
          <w:tcPr>
            <w:tcW w:w="7110" w:type="dxa"/>
          </w:tcPr>
          <w:p w14:paraId="6D387D3D" w14:textId="77777777" w:rsidR="00702E97" w:rsidRPr="00702E97" w:rsidRDefault="00702E97" w:rsidP="00702E97">
            <w:pPr>
              <w:keepNext/>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702E97">
              <w:rPr>
                <w:rFonts w:ascii="Arial Narrow" w:hAnsi="Arial Narrow"/>
                <w:sz w:val="18"/>
                <w:szCs w:val="18"/>
              </w:rPr>
              <w:t>Data Sources</w:t>
            </w:r>
          </w:p>
        </w:tc>
      </w:tr>
      <w:tr w:rsidR="00702E97" w:rsidRPr="00702E97" w14:paraId="70EAFD41" w14:textId="77777777" w:rsidTr="00FA3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47FD630" w14:textId="77777777" w:rsidR="00702E97" w:rsidRPr="00702E97" w:rsidRDefault="00702E97" w:rsidP="00702E97">
            <w:pPr>
              <w:keepNext/>
              <w:rPr>
                <w:rFonts w:ascii="Arial Narrow" w:hAnsi="Arial Narrow"/>
                <w:sz w:val="18"/>
                <w:szCs w:val="18"/>
              </w:rPr>
            </w:pPr>
            <w:r w:rsidRPr="00702E97">
              <w:rPr>
                <w:rFonts w:ascii="Arial Narrow" w:hAnsi="Arial Narrow"/>
                <w:sz w:val="18"/>
                <w:szCs w:val="18"/>
              </w:rPr>
              <w:t xml:space="preserve">Energy Intensity by End-Use and </w:t>
            </w:r>
            <w:r w:rsidRPr="00702E97">
              <w:rPr>
                <w:rFonts w:ascii="Arial Narrow" w:hAnsi="Arial Narrow"/>
                <w:sz w:val="18"/>
                <w:szCs w:val="18"/>
              </w:rPr>
              <w:br/>
              <w:t>Building Type</w:t>
            </w:r>
          </w:p>
        </w:tc>
        <w:tc>
          <w:tcPr>
            <w:tcW w:w="7110" w:type="dxa"/>
          </w:tcPr>
          <w:p w14:paraId="6748DA48" w14:textId="77777777" w:rsidR="00702E97" w:rsidRPr="00702E97" w:rsidRDefault="00702E97" w:rsidP="00702E97">
            <w:pPr>
              <w:keepNex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702E97">
              <w:rPr>
                <w:rFonts w:ascii="Arial Narrow" w:hAnsi="Arial Narrow"/>
                <w:sz w:val="18"/>
                <w:szCs w:val="18"/>
              </w:rPr>
              <w:t xml:space="preserve">California Energy Commission, California Commercial End-Use Survey, March, 2006. </w:t>
            </w:r>
          </w:p>
        </w:tc>
      </w:tr>
      <w:tr w:rsidR="00702E97" w:rsidRPr="00702E97" w14:paraId="17598B94" w14:textId="77777777" w:rsidTr="00FA33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202A58C" w14:textId="77777777" w:rsidR="00702E97" w:rsidRPr="00702E97" w:rsidRDefault="00702E97" w:rsidP="00702E97">
            <w:pPr>
              <w:keepNext/>
              <w:rPr>
                <w:rFonts w:ascii="Arial Narrow" w:hAnsi="Arial Narrow"/>
                <w:sz w:val="18"/>
                <w:szCs w:val="18"/>
              </w:rPr>
            </w:pPr>
            <w:r w:rsidRPr="00702E97">
              <w:rPr>
                <w:rFonts w:ascii="Arial Narrow" w:hAnsi="Arial Narrow"/>
                <w:sz w:val="18"/>
                <w:szCs w:val="18"/>
              </w:rPr>
              <w:t>Floorspace</w:t>
            </w:r>
          </w:p>
        </w:tc>
        <w:tc>
          <w:tcPr>
            <w:tcW w:w="7110" w:type="dxa"/>
          </w:tcPr>
          <w:p w14:paraId="3A9593F2" w14:textId="77777777" w:rsidR="00702E97" w:rsidRPr="00702E97" w:rsidRDefault="00702E97" w:rsidP="00702E97">
            <w:pPr>
              <w:keepNex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702E97">
              <w:rPr>
                <w:rFonts w:ascii="Arial Narrow" w:hAnsi="Arial Narrow"/>
                <w:sz w:val="18"/>
                <w:szCs w:val="18"/>
              </w:rPr>
              <w:t>California Energy Commission, 2016 Integrated Energy Policy Report.</w:t>
            </w:r>
          </w:p>
        </w:tc>
      </w:tr>
      <w:tr w:rsidR="00702E97" w:rsidRPr="00702E97" w14:paraId="1C481A42" w14:textId="77777777" w:rsidTr="00FA3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14C5D05" w14:textId="77777777" w:rsidR="00702E97" w:rsidRPr="00702E97" w:rsidRDefault="00702E97" w:rsidP="00702E97">
            <w:pPr>
              <w:rPr>
                <w:rFonts w:ascii="Arial Narrow" w:hAnsi="Arial Narrow"/>
                <w:sz w:val="18"/>
                <w:szCs w:val="18"/>
              </w:rPr>
            </w:pPr>
            <w:r w:rsidRPr="00702E97">
              <w:rPr>
                <w:rFonts w:ascii="Arial Narrow" w:hAnsi="Arial Narrow"/>
                <w:sz w:val="18"/>
                <w:szCs w:val="18"/>
              </w:rPr>
              <w:t>Costs</w:t>
            </w:r>
          </w:p>
        </w:tc>
        <w:tc>
          <w:tcPr>
            <w:tcW w:w="7110" w:type="dxa"/>
          </w:tcPr>
          <w:p w14:paraId="499961C2" w14:textId="77777777" w:rsidR="00702E97" w:rsidRPr="00702E97" w:rsidRDefault="00702E97" w:rsidP="00702E9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702E97">
              <w:rPr>
                <w:rFonts w:ascii="Arial Narrow" w:hAnsi="Arial Narrow"/>
                <w:sz w:val="18"/>
                <w:szCs w:val="18"/>
              </w:rPr>
              <w:t>California Public Utilities Commission, California Energy Efficiency Statistics, 2013-2015 Program Cycle.</w:t>
            </w:r>
          </w:p>
        </w:tc>
      </w:tr>
    </w:tbl>
    <w:p w14:paraId="15241418" w14:textId="77777777" w:rsidR="00702E97" w:rsidRPr="00702E97" w:rsidRDefault="00702E97" w:rsidP="00702E97"/>
    <w:p w14:paraId="2423A673" w14:textId="77777777" w:rsidR="00827A6C" w:rsidRDefault="00827A6C" w:rsidP="00B53BEC">
      <w:pPr>
        <w:pStyle w:val="Heading4"/>
        <w:ind w:left="900"/>
      </w:pPr>
      <w:r>
        <w:t>Residential</w:t>
      </w:r>
    </w:p>
    <w:p w14:paraId="06B5596E" w14:textId="77777777" w:rsidR="004A6E30" w:rsidRDefault="00B571B1" w:rsidP="004A6E30">
      <w:r>
        <w:fldChar w:fldCharType="begin"/>
      </w:r>
      <w:r>
        <w:instrText xml:space="preserve"> REF _Ref481069982 \h </w:instrText>
      </w:r>
      <w:r>
        <w:fldChar w:fldCharType="separate"/>
      </w:r>
      <w:r w:rsidR="007566B9">
        <w:t xml:space="preserve">Table </w:t>
      </w:r>
      <w:r w:rsidR="007566B9">
        <w:rPr>
          <w:noProof/>
        </w:rPr>
        <w:t>3</w:t>
      </w:r>
      <w:r w:rsidR="007566B9">
        <w:noBreakHyphen/>
      </w:r>
      <w:r w:rsidR="007566B9">
        <w:rPr>
          <w:noProof/>
        </w:rPr>
        <w:t>24</w:t>
      </w:r>
      <w:r>
        <w:fldChar w:fldCharType="end"/>
      </w:r>
      <w:r>
        <w:t xml:space="preserve"> </w:t>
      </w:r>
      <w:r w:rsidR="004A6E30">
        <w:t xml:space="preserve">provides the sources of data </w:t>
      </w:r>
      <w:r>
        <w:t xml:space="preserve">used </w:t>
      </w:r>
      <w:r w:rsidR="004A6E30">
        <w:t xml:space="preserve">in characterizing the Energy Upgrade California program. </w:t>
      </w:r>
      <w:r>
        <w:rPr>
          <w:noProof/>
        </w:rPr>
        <w:t xml:space="preserve">Costs were applied to the energy savings using an average unit energy savings ($/kWh or $/therm) as derived from the program metrics reported by all Energy Upgrade California IOU programs. </w:t>
      </w:r>
      <w:r w:rsidR="004A6E30">
        <w:t xml:space="preserve">The </w:t>
      </w:r>
      <w:r w:rsidR="00BB59F5">
        <w:t>2018</w:t>
      </w:r>
      <w:r w:rsidR="004A6E30">
        <w:t xml:space="preserve"> Study results indicate higher multifamily costs than the 2015 Study as well as higher energy savings. </w:t>
      </w:r>
    </w:p>
    <w:p w14:paraId="763487A8" w14:textId="77777777" w:rsidR="003E4E1A" w:rsidRDefault="003E4E1A" w:rsidP="003E4E1A"/>
    <w:p w14:paraId="584528CC" w14:textId="77777777" w:rsidR="003E4E1A" w:rsidRDefault="003E4E1A" w:rsidP="003E4E1A">
      <w:pPr>
        <w:pStyle w:val="Caption"/>
      </w:pPr>
      <w:bookmarkStart w:id="634" w:name="_Ref478121285"/>
      <w:bookmarkStart w:id="635" w:name="_Ref481069982"/>
      <w:bookmarkStart w:id="636" w:name="_Toc482634231"/>
      <w:bookmarkStart w:id="637" w:name="_Toc484436970"/>
      <w:bookmarkStart w:id="638" w:name="_Toc490560682"/>
      <w:r>
        <w:t xml:space="preserve">Table </w:t>
      </w:r>
      <w:bookmarkEnd w:id="634"/>
      <w:r w:rsidR="00C17D59">
        <w:fldChar w:fldCharType="begin"/>
      </w:r>
      <w:r w:rsidR="00C17D59">
        <w:instrText xml:space="preserve"> STYLEREF 1 \s </w:instrText>
      </w:r>
      <w:r w:rsidR="00C17D59">
        <w:fldChar w:fldCharType="separate"/>
      </w:r>
      <w:r w:rsidR="007566B9">
        <w:rPr>
          <w:noProof/>
        </w:rPr>
        <w:t>3</w:t>
      </w:r>
      <w:r w:rsidR="00C17D59">
        <w:fldChar w:fldCharType="end"/>
      </w:r>
      <w:r w:rsidR="00C17D59">
        <w:noBreakHyphen/>
      </w:r>
      <w:fldSimple w:instr=" SEQ Table \* ARABIC \s 1 ">
        <w:r w:rsidR="007566B9">
          <w:rPr>
            <w:noProof/>
          </w:rPr>
          <w:t>24</w:t>
        </w:r>
      </w:fldSimple>
      <w:bookmarkEnd w:id="635"/>
      <w:r>
        <w:t>. Residential Retrofit Whole Building Data Updates</w:t>
      </w:r>
      <w:bookmarkEnd w:id="636"/>
      <w:bookmarkEnd w:id="637"/>
      <w:bookmarkEnd w:id="638"/>
    </w:p>
    <w:tbl>
      <w:tblPr>
        <w:tblStyle w:val="EnergyTable16"/>
        <w:tblW w:w="0" w:type="auto"/>
        <w:tblLayout w:type="fixed"/>
        <w:tblLook w:val="04A0" w:firstRow="1" w:lastRow="0" w:firstColumn="1" w:lastColumn="0" w:noHBand="0" w:noVBand="1"/>
      </w:tblPr>
      <w:tblGrid>
        <w:gridCol w:w="2250"/>
        <w:gridCol w:w="7110"/>
      </w:tblGrid>
      <w:tr w:rsidR="00702E97" w:rsidRPr="00702E97" w14:paraId="13C814E5" w14:textId="77777777" w:rsidTr="00FA33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703B022F" w14:textId="77777777" w:rsidR="00702E97" w:rsidRPr="00702E97" w:rsidRDefault="00702E97" w:rsidP="00702E97">
            <w:pPr>
              <w:rPr>
                <w:rFonts w:ascii="Arial Narrow" w:hAnsi="Arial Narrow"/>
                <w:sz w:val="18"/>
                <w:szCs w:val="18"/>
              </w:rPr>
            </w:pPr>
            <w:r w:rsidRPr="00702E97">
              <w:rPr>
                <w:rFonts w:ascii="Arial Narrow" w:hAnsi="Arial Narrow"/>
                <w:sz w:val="18"/>
                <w:szCs w:val="18"/>
              </w:rPr>
              <w:t>Data Items</w:t>
            </w:r>
          </w:p>
        </w:tc>
        <w:tc>
          <w:tcPr>
            <w:tcW w:w="7110" w:type="dxa"/>
          </w:tcPr>
          <w:p w14:paraId="22CFAA61" w14:textId="77777777" w:rsidR="00702E97" w:rsidRPr="00702E97" w:rsidRDefault="00702E97" w:rsidP="00702E97">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702E97">
              <w:rPr>
                <w:rFonts w:ascii="Arial Narrow" w:hAnsi="Arial Narrow"/>
                <w:sz w:val="18"/>
                <w:szCs w:val="18"/>
              </w:rPr>
              <w:t>Data Sources</w:t>
            </w:r>
          </w:p>
        </w:tc>
      </w:tr>
      <w:tr w:rsidR="00702E97" w:rsidRPr="00702E97" w14:paraId="4D25E945" w14:textId="77777777" w:rsidTr="00FA3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DD65DDE" w14:textId="77777777" w:rsidR="00702E97" w:rsidRPr="00702E97" w:rsidRDefault="00702E97" w:rsidP="00702E97">
            <w:pPr>
              <w:rPr>
                <w:rFonts w:ascii="Arial Narrow" w:hAnsi="Arial Narrow"/>
                <w:sz w:val="18"/>
                <w:szCs w:val="18"/>
              </w:rPr>
            </w:pPr>
            <w:r w:rsidRPr="00702E97">
              <w:rPr>
                <w:rFonts w:ascii="Arial Narrow" w:hAnsi="Arial Narrow"/>
                <w:sz w:val="18"/>
                <w:szCs w:val="18"/>
              </w:rPr>
              <w:t>Single Family Savings</w:t>
            </w:r>
          </w:p>
        </w:tc>
        <w:tc>
          <w:tcPr>
            <w:tcW w:w="7110" w:type="dxa"/>
          </w:tcPr>
          <w:p w14:paraId="23DC1532" w14:textId="77777777" w:rsidR="00702E97" w:rsidRPr="00702E97" w:rsidRDefault="00702E97" w:rsidP="00702E9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702E97">
              <w:rPr>
                <w:rFonts w:ascii="Arial Narrow" w:hAnsi="Arial Narrow"/>
                <w:sz w:val="18"/>
                <w:szCs w:val="18"/>
              </w:rPr>
              <w:t xml:space="preserve">DNV GL, Focused Impact Evaluation of the 2013-2014 Home Upgrade Program, CALMAC ID: CPU0118.01. </w:t>
            </w:r>
            <w:r w:rsidRPr="00702E97">
              <w:rPr>
                <w:rFonts w:ascii="Arial Narrow" w:hAnsi="Arial Narrow"/>
                <w:sz w:val="18"/>
                <w:szCs w:val="18"/>
              </w:rPr>
              <w:br/>
            </w:r>
            <w:hyperlink r:id="rId50" w:history="1">
              <w:r w:rsidRPr="00702E97">
                <w:rPr>
                  <w:rFonts w:ascii="Arial Narrow" w:hAnsi="Arial Narrow"/>
                  <w:color w:val="95D600"/>
                  <w:sz w:val="18"/>
                  <w:szCs w:val="18"/>
                  <w:u w:val="single"/>
                </w:rPr>
                <w:t>http://www.calmac.org/publications/CPUC_HUP_Focused_Evaluation-FINAL_05-03-16atr.pdf</w:t>
              </w:r>
            </w:hyperlink>
          </w:p>
        </w:tc>
      </w:tr>
      <w:tr w:rsidR="00702E97" w:rsidRPr="00702E97" w14:paraId="15AD160B" w14:textId="77777777" w:rsidTr="00FA33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272C832" w14:textId="77777777" w:rsidR="00702E97" w:rsidRPr="00702E97" w:rsidRDefault="00702E97" w:rsidP="00702E97">
            <w:pPr>
              <w:rPr>
                <w:rFonts w:ascii="Arial Narrow" w:hAnsi="Arial Narrow"/>
                <w:sz w:val="18"/>
                <w:szCs w:val="18"/>
              </w:rPr>
            </w:pPr>
            <w:r w:rsidRPr="00702E97">
              <w:rPr>
                <w:rFonts w:ascii="Arial Narrow" w:hAnsi="Arial Narrow"/>
                <w:sz w:val="18"/>
                <w:szCs w:val="18"/>
              </w:rPr>
              <w:t>Multifamily Savings</w:t>
            </w:r>
          </w:p>
        </w:tc>
        <w:tc>
          <w:tcPr>
            <w:tcW w:w="7110" w:type="dxa"/>
          </w:tcPr>
          <w:p w14:paraId="4876EE9F" w14:textId="77777777" w:rsidR="00702E97" w:rsidRPr="00702E97" w:rsidRDefault="00702E97" w:rsidP="00702E9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702E97">
              <w:rPr>
                <w:rFonts w:ascii="Arial Narrow" w:hAnsi="Arial Narrow"/>
                <w:sz w:val="18"/>
                <w:szCs w:val="18"/>
              </w:rPr>
              <w:t xml:space="preserve">Apex Analytics, Draft Results of 2015 Impact Evaluation.  </w:t>
            </w:r>
          </w:p>
        </w:tc>
      </w:tr>
      <w:tr w:rsidR="00702E97" w:rsidRPr="00702E97" w14:paraId="415888E8" w14:textId="77777777" w:rsidTr="00FA3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C335407" w14:textId="77777777" w:rsidR="00702E97" w:rsidRPr="00702E97" w:rsidRDefault="00702E97" w:rsidP="00702E97">
            <w:pPr>
              <w:rPr>
                <w:rFonts w:ascii="Arial Narrow" w:hAnsi="Arial Narrow"/>
                <w:sz w:val="18"/>
                <w:szCs w:val="18"/>
              </w:rPr>
            </w:pPr>
            <w:r w:rsidRPr="00702E97">
              <w:rPr>
                <w:rFonts w:ascii="Arial Narrow" w:hAnsi="Arial Narrow"/>
                <w:sz w:val="18"/>
                <w:szCs w:val="18"/>
              </w:rPr>
              <w:t>Costs</w:t>
            </w:r>
          </w:p>
        </w:tc>
        <w:tc>
          <w:tcPr>
            <w:tcW w:w="7110" w:type="dxa"/>
          </w:tcPr>
          <w:p w14:paraId="482B5494" w14:textId="77777777" w:rsidR="00702E97" w:rsidRPr="00702E97" w:rsidRDefault="00702E97" w:rsidP="00702E9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702E97">
              <w:rPr>
                <w:rFonts w:ascii="Arial Narrow" w:hAnsi="Arial Narrow"/>
                <w:sz w:val="18"/>
                <w:szCs w:val="18"/>
              </w:rPr>
              <w:t>California Public Utilities Commission, California Energy Efficiency Statistics, 2013-2015 Program Cycle.</w:t>
            </w:r>
          </w:p>
        </w:tc>
      </w:tr>
    </w:tbl>
    <w:p w14:paraId="7C890FA2" w14:textId="77777777" w:rsidR="00702E97" w:rsidRPr="00702E97" w:rsidRDefault="00702E97" w:rsidP="00702E97"/>
    <w:p w14:paraId="3129B483" w14:textId="77777777" w:rsidR="00412E8E" w:rsidRDefault="00827A6C" w:rsidP="00827A6C">
      <w:pPr>
        <w:pStyle w:val="Heading2"/>
      </w:pPr>
      <w:r>
        <w:t xml:space="preserve"> </w:t>
      </w:r>
      <w:bookmarkStart w:id="639" w:name="_Toc478990521"/>
      <w:bookmarkStart w:id="640" w:name="_Toc479768599"/>
      <w:bookmarkStart w:id="641" w:name="_Toc482353520"/>
      <w:bookmarkStart w:id="642" w:name="_Toc482357322"/>
      <w:bookmarkStart w:id="643" w:name="_Toc482634297"/>
      <w:bookmarkStart w:id="644" w:name="_Toc482626429"/>
      <w:bookmarkStart w:id="645" w:name="_Toc484092500"/>
      <w:bookmarkStart w:id="646" w:name="_Toc484172704"/>
      <w:bookmarkStart w:id="647" w:name="_Toc484183040"/>
      <w:bookmarkStart w:id="648" w:name="_Toc490225803"/>
      <w:r w:rsidR="00412E8E">
        <w:t>Codes and Standards</w:t>
      </w:r>
      <w:bookmarkEnd w:id="639"/>
      <w:bookmarkEnd w:id="640"/>
      <w:bookmarkEnd w:id="641"/>
      <w:bookmarkEnd w:id="642"/>
      <w:bookmarkEnd w:id="643"/>
      <w:bookmarkEnd w:id="644"/>
      <w:bookmarkEnd w:id="645"/>
      <w:bookmarkEnd w:id="646"/>
      <w:bookmarkEnd w:id="647"/>
      <w:bookmarkEnd w:id="648"/>
    </w:p>
    <w:p w14:paraId="27FEC668" w14:textId="77777777" w:rsidR="006B44D0" w:rsidRDefault="006B44D0" w:rsidP="006B44D0">
      <w:r>
        <w:t xml:space="preserve">C&amp;S modeled in the PG study use data from multiple sources. </w:t>
      </w:r>
      <w:r w:rsidRPr="00243365">
        <w:t xml:space="preserve">For </w:t>
      </w:r>
      <w:r>
        <w:t>evaluated C&amp;S</w:t>
      </w:r>
      <w:r w:rsidRPr="00243365">
        <w:t xml:space="preserve"> the </w:t>
      </w:r>
      <w:r>
        <w:t>201</w:t>
      </w:r>
      <w:r w:rsidR="00682288">
        <w:t>8</w:t>
      </w:r>
      <w:r>
        <w:t xml:space="preserve"> PG M</w:t>
      </w:r>
      <w:r w:rsidRPr="00243365">
        <w:t>odel uses ISSM</w:t>
      </w:r>
      <w:r w:rsidRPr="00243365">
        <w:rPr>
          <w:rStyle w:val="FootnoteReference"/>
        </w:rPr>
        <w:footnoteReference w:id="84"/>
      </w:r>
      <w:r w:rsidRPr="00243365">
        <w:t xml:space="preserve"> </w:t>
      </w:r>
      <w:r>
        <w:t xml:space="preserve">as its </w:t>
      </w:r>
      <w:r w:rsidRPr="00243365">
        <w:t>data</w:t>
      </w:r>
      <w:r>
        <w:t xml:space="preserve"> source</w:t>
      </w:r>
      <w:r w:rsidRPr="00243365">
        <w:t xml:space="preserve">. </w:t>
      </w:r>
      <w:r>
        <w:t>For certain unevaluated C&amp;S, the 201</w:t>
      </w:r>
      <w:r w:rsidR="00682288">
        <w:t>8</w:t>
      </w:r>
      <w:r>
        <w:t xml:space="preserve"> PG model uses data provided by PG&amp;E</w:t>
      </w:r>
      <w:r>
        <w:rPr>
          <w:rStyle w:val="FootnoteReference"/>
        </w:rPr>
        <w:footnoteReference w:id="85"/>
      </w:r>
      <w:r>
        <w:t xml:space="preserve">. </w:t>
      </w:r>
      <w:r w:rsidRPr="00243365">
        <w:t xml:space="preserve">For all other </w:t>
      </w:r>
      <w:r>
        <w:t>C&amp;S</w:t>
      </w:r>
      <w:r w:rsidRPr="00243365">
        <w:t xml:space="preserve">, the </w:t>
      </w:r>
      <w:r>
        <w:t>201</w:t>
      </w:r>
      <w:r w:rsidR="00682288">
        <w:t>8</w:t>
      </w:r>
      <w:r>
        <w:t xml:space="preserve"> PG M</w:t>
      </w:r>
      <w:r w:rsidRPr="00243365">
        <w:t>odel uses data from the 201</w:t>
      </w:r>
      <w:r>
        <w:t>5</w:t>
      </w:r>
      <w:r w:rsidRPr="00243365">
        <w:t xml:space="preserve"> Potential and Goals Study</w:t>
      </w:r>
      <w:r w:rsidRPr="00243365">
        <w:rPr>
          <w:rStyle w:val="FootnoteReference"/>
        </w:rPr>
        <w:footnoteReference w:id="86"/>
      </w:r>
      <w:r>
        <w:t xml:space="preserve"> or additional assumptions made by Navigant</w:t>
      </w:r>
      <w:r w:rsidRPr="00243365">
        <w:t>.</w:t>
      </w:r>
    </w:p>
    <w:p w14:paraId="740E3BD3" w14:textId="77777777" w:rsidR="006B44D0" w:rsidRDefault="006B44D0" w:rsidP="006B44D0"/>
    <w:p w14:paraId="611A08C2" w14:textId="77777777" w:rsidR="006B44D0" w:rsidRDefault="006B44D0" w:rsidP="006B44D0">
      <w:r>
        <w:fldChar w:fldCharType="begin"/>
      </w:r>
      <w:r>
        <w:instrText xml:space="preserve"> REF _Ref477169260 \h </w:instrText>
      </w:r>
      <w:r>
        <w:fldChar w:fldCharType="separate"/>
      </w:r>
      <w:r w:rsidR="007566B9">
        <w:t xml:space="preserve">Table </w:t>
      </w:r>
      <w:r w:rsidR="007566B9">
        <w:rPr>
          <w:noProof/>
        </w:rPr>
        <w:t>3</w:t>
      </w:r>
      <w:r w:rsidR="007566B9">
        <w:noBreakHyphen/>
      </w:r>
      <w:r w:rsidR="007566B9">
        <w:rPr>
          <w:noProof/>
        </w:rPr>
        <w:t>25</w:t>
      </w:r>
      <w:r>
        <w:fldChar w:fldCharType="end"/>
      </w:r>
      <w:r>
        <w:t xml:space="preserve"> lists the number and type of codes and standards and their data source. A full list of the modeled C&amp;S, their compliance rates, effective dates, and policy status (on the books, possible, or expected) are listed in </w:t>
      </w:r>
      <w:r w:rsidR="00690039">
        <w:fldChar w:fldCharType="begin"/>
      </w:r>
      <w:r w:rsidR="00690039">
        <w:instrText xml:space="preserve"> REF _Ref477351448 \n \h </w:instrText>
      </w:r>
      <w:r w:rsidR="00690039">
        <w:fldChar w:fldCharType="separate"/>
      </w:r>
      <w:r w:rsidR="007566B9">
        <w:t>Appendix E</w:t>
      </w:r>
      <w:r w:rsidR="00690039">
        <w:fldChar w:fldCharType="end"/>
      </w:r>
      <w:r w:rsidR="00690039">
        <w:t>.</w:t>
      </w:r>
    </w:p>
    <w:p w14:paraId="3ECEE51A" w14:textId="77777777" w:rsidR="006B44D0" w:rsidRDefault="006B44D0" w:rsidP="006B44D0"/>
    <w:p w14:paraId="2237DC21" w14:textId="77777777" w:rsidR="006B44D0" w:rsidRPr="00B00224" w:rsidRDefault="006B44D0" w:rsidP="00503231">
      <w:pPr>
        <w:pStyle w:val="Caption"/>
        <w:widowControl w:val="0"/>
      </w:pPr>
      <w:bookmarkStart w:id="649" w:name="_Ref477169260"/>
      <w:bookmarkStart w:id="650" w:name="_Toc482634232"/>
      <w:bookmarkStart w:id="651" w:name="_Toc484436971"/>
      <w:bookmarkStart w:id="652" w:name="_Toc490560683"/>
      <w:r>
        <w:lastRenderedPageBreak/>
        <w:t xml:space="preserve">Table </w:t>
      </w:r>
      <w:fldSimple w:instr=" STYLEREF 1 \s ">
        <w:r w:rsidR="007566B9">
          <w:rPr>
            <w:noProof/>
          </w:rPr>
          <w:t>3</w:t>
        </w:r>
      </w:fldSimple>
      <w:r w:rsidR="00C17D59">
        <w:noBreakHyphen/>
      </w:r>
      <w:fldSimple w:instr=" SEQ Table \* ARABIC \s 1 ">
        <w:r w:rsidR="007566B9">
          <w:rPr>
            <w:noProof/>
          </w:rPr>
          <w:t>25</w:t>
        </w:r>
      </w:fldSimple>
      <w:bookmarkEnd w:id="649"/>
      <w:r>
        <w:t xml:space="preserve"> C&amp;S Data Source Summary</w:t>
      </w:r>
      <w:bookmarkEnd w:id="650"/>
      <w:bookmarkEnd w:id="651"/>
      <w:bookmarkEnd w:id="652"/>
    </w:p>
    <w:p w14:paraId="5404B4FB" w14:textId="77777777" w:rsidR="006B44D0" w:rsidRDefault="006B44D0" w:rsidP="00503231">
      <w:pPr>
        <w:keepNext/>
        <w:widowControl w:val="0"/>
        <w:overflowPunct w:val="0"/>
        <w:autoSpaceDE w:val="0"/>
        <w:autoSpaceDN w:val="0"/>
        <w:spacing w:before="4"/>
        <w:rPr>
          <w:b/>
          <w:bCs/>
          <w:sz w:val="3"/>
          <w:szCs w:val="3"/>
        </w:rPr>
      </w:pPr>
    </w:p>
    <w:tbl>
      <w:tblPr>
        <w:tblStyle w:val="EnergyTable17"/>
        <w:tblW w:w="0" w:type="auto"/>
        <w:tblLook w:val="04A0" w:firstRow="1" w:lastRow="0" w:firstColumn="1" w:lastColumn="0" w:noHBand="0" w:noVBand="1"/>
      </w:tblPr>
      <w:tblGrid>
        <w:gridCol w:w="2402"/>
        <w:gridCol w:w="3448"/>
        <w:gridCol w:w="2610"/>
      </w:tblGrid>
      <w:tr w:rsidR="00702E97" w:rsidRPr="00702E97" w14:paraId="66C4B6C1" w14:textId="77777777" w:rsidTr="00FA33C3">
        <w:trPr>
          <w:cnfStyle w:val="100000000000" w:firstRow="1" w:lastRow="0" w:firstColumn="0" w:lastColumn="0" w:oddVBand="0" w:evenVBand="0" w:oddHBand="0" w:evenHBand="0" w:firstRowFirstColumn="0" w:firstRowLastColumn="0" w:lastRowFirstColumn="0" w:lastRowLastColumn="0"/>
          <w:trHeight w:hRule="exact" w:val="578"/>
        </w:trPr>
        <w:tc>
          <w:tcPr>
            <w:cnfStyle w:val="001000000000" w:firstRow="0" w:lastRow="0" w:firstColumn="1" w:lastColumn="0" w:oddVBand="0" w:evenVBand="0" w:oddHBand="0" w:evenHBand="0" w:firstRowFirstColumn="0" w:firstRowLastColumn="0" w:lastRowFirstColumn="0" w:lastRowLastColumn="0"/>
            <w:tcW w:w="2402" w:type="dxa"/>
            <w:hideMark/>
          </w:tcPr>
          <w:p w14:paraId="539FD69A" w14:textId="77777777" w:rsidR="00702E97" w:rsidRPr="00702E97" w:rsidRDefault="00702E97" w:rsidP="00702E97">
            <w:pPr>
              <w:keepNext/>
              <w:widowControl w:val="0"/>
              <w:overflowPunct w:val="0"/>
              <w:autoSpaceDE w:val="0"/>
              <w:autoSpaceDN w:val="0"/>
              <w:spacing w:before="25"/>
              <w:rPr>
                <w:rFonts w:ascii="Arial Narrow" w:hAnsi="Arial Narrow"/>
                <w:sz w:val="18"/>
                <w:szCs w:val="18"/>
              </w:rPr>
            </w:pPr>
            <w:r w:rsidRPr="00702E97">
              <w:rPr>
                <w:rFonts w:ascii="Arial Narrow" w:hAnsi="Arial Narrow"/>
                <w:bCs/>
                <w:sz w:val="18"/>
                <w:szCs w:val="18"/>
              </w:rPr>
              <w:t>IOU</w:t>
            </w:r>
            <w:r w:rsidRPr="00702E97">
              <w:rPr>
                <w:rFonts w:ascii="Arial Narrow" w:hAnsi="Arial Narrow"/>
                <w:bCs/>
                <w:spacing w:val="-7"/>
                <w:sz w:val="18"/>
                <w:szCs w:val="18"/>
              </w:rPr>
              <w:t xml:space="preserve"> </w:t>
            </w:r>
            <w:r w:rsidRPr="00702E97">
              <w:rPr>
                <w:rFonts w:ascii="Arial Narrow" w:hAnsi="Arial Narrow"/>
                <w:bCs/>
                <w:sz w:val="18"/>
                <w:szCs w:val="18"/>
              </w:rPr>
              <w:t>C&amp;S</w:t>
            </w:r>
            <w:r w:rsidRPr="00702E97">
              <w:rPr>
                <w:rFonts w:ascii="Arial Narrow" w:hAnsi="Arial Narrow"/>
                <w:bCs/>
                <w:spacing w:val="-7"/>
                <w:sz w:val="18"/>
                <w:szCs w:val="18"/>
              </w:rPr>
              <w:t xml:space="preserve"> </w:t>
            </w:r>
            <w:r w:rsidRPr="00702E97">
              <w:rPr>
                <w:rFonts w:ascii="Arial Narrow" w:hAnsi="Arial Narrow"/>
                <w:bCs/>
                <w:sz w:val="18"/>
                <w:szCs w:val="18"/>
              </w:rPr>
              <w:t>Group</w:t>
            </w:r>
          </w:p>
        </w:tc>
        <w:tc>
          <w:tcPr>
            <w:tcW w:w="3448" w:type="dxa"/>
            <w:hideMark/>
          </w:tcPr>
          <w:p w14:paraId="35F8AE7C" w14:textId="77777777" w:rsidR="00702E97" w:rsidRPr="00702E97" w:rsidRDefault="00702E97" w:rsidP="00702E97">
            <w:pPr>
              <w:keepNext/>
              <w:widowControl w:val="0"/>
              <w:overflowPunct w:val="0"/>
              <w:autoSpaceDE w:val="0"/>
              <w:autoSpaceDN w:val="0"/>
              <w:spacing w:before="25"/>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702E97">
              <w:rPr>
                <w:rFonts w:ascii="Arial Narrow" w:hAnsi="Arial Narrow"/>
                <w:bCs/>
                <w:sz w:val="18"/>
                <w:szCs w:val="18"/>
              </w:rPr>
              <w:t>Number</w:t>
            </w:r>
            <w:r w:rsidRPr="00702E97">
              <w:rPr>
                <w:rFonts w:ascii="Arial Narrow" w:hAnsi="Arial Narrow"/>
                <w:bCs/>
                <w:spacing w:val="-7"/>
                <w:sz w:val="18"/>
                <w:szCs w:val="18"/>
              </w:rPr>
              <w:t xml:space="preserve"> </w:t>
            </w:r>
            <w:r w:rsidRPr="00702E97">
              <w:rPr>
                <w:rFonts w:ascii="Arial Narrow" w:hAnsi="Arial Narrow"/>
                <w:bCs/>
                <w:sz w:val="18"/>
                <w:szCs w:val="18"/>
              </w:rPr>
              <w:t>and</w:t>
            </w:r>
            <w:r w:rsidRPr="00702E97">
              <w:rPr>
                <w:rFonts w:ascii="Arial Narrow" w:hAnsi="Arial Narrow"/>
                <w:bCs/>
                <w:spacing w:val="-5"/>
                <w:sz w:val="18"/>
                <w:szCs w:val="18"/>
              </w:rPr>
              <w:t xml:space="preserve"> </w:t>
            </w:r>
            <w:r w:rsidRPr="00702E97">
              <w:rPr>
                <w:rFonts w:ascii="Arial Narrow" w:hAnsi="Arial Narrow"/>
                <w:bCs/>
                <w:sz w:val="18"/>
                <w:szCs w:val="18"/>
              </w:rPr>
              <w:t>Type</w:t>
            </w:r>
            <w:r w:rsidRPr="00702E97">
              <w:rPr>
                <w:rFonts w:ascii="Arial Narrow" w:hAnsi="Arial Narrow"/>
                <w:bCs/>
                <w:spacing w:val="-5"/>
                <w:sz w:val="18"/>
                <w:szCs w:val="18"/>
              </w:rPr>
              <w:t xml:space="preserve"> </w:t>
            </w:r>
            <w:r w:rsidRPr="00702E97">
              <w:rPr>
                <w:rFonts w:ascii="Arial Narrow" w:hAnsi="Arial Narrow"/>
                <w:bCs/>
                <w:sz w:val="18"/>
                <w:szCs w:val="18"/>
              </w:rPr>
              <w:t>of</w:t>
            </w:r>
            <w:r w:rsidRPr="00702E97">
              <w:rPr>
                <w:rFonts w:ascii="Arial Narrow" w:hAnsi="Arial Narrow"/>
                <w:bCs/>
                <w:spacing w:val="-5"/>
                <w:sz w:val="18"/>
                <w:szCs w:val="18"/>
              </w:rPr>
              <w:t xml:space="preserve"> </w:t>
            </w:r>
            <w:r w:rsidRPr="00702E97">
              <w:rPr>
                <w:rFonts w:ascii="Arial Narrow" w:hAnsi="Arial Narrow"/>
                <w:bCs/>
                <w:sz w:val="18"/>
                <w:szCs w:val="18"/>
              </w:rPr>
              <w:t>Codes</w:t>
            </w:r>
            <w:r w:rsidRPr="00702E97">
              <w:rPr>
                <w:rFonts w:ascii="Arial Narrow" w:hAnsi="Arial Narrow"/>
                <w:bCs/>
                <w:spacing w:val="-5"/>
                <w:sz w:val="18"/>
                <w:szCs w:val="18"/>
              </w:rPr>
              <w:t xml:space="preserve"> </w:t>
            </w:r>
            <w:r w:rsidRPr="00702E97">
              <w:rPr>
                <w:rFonts w:ascii="Arial Narrow" w:hAnsi="Arial Narrow"/>
                <w:bCs/>
                <w:spacing w:val="-2"/>
                <w:sz w:val="18"/>
                <w:szCs w:val="18"/>
              </w:rPr>
              <w:t>and</w:t>
            </w:r>
            <w:r w:rsidRPr="00702E97">
              <w:rPr>
                <w:rFonts w:ascii="Arial Narrow" w:hAnsi="Arial Narrow"/>
                <w:bCs/>
                <w:spacing w:val="-5"/>
                <w:sz w:val="18"/>
                <w:szCs w:val="18"/>
              </w:rPr>
              <w:t xml:space="preserve"> </w:t>
            </w:r>
            <w:r w:rsidRPr="00702E97">
              <w:rPr>
                <w:rFonts w:ascii="Arial Narrow" w:hAnsi="Arial Narrow"/>
                <w:bCs/>
                <w:sz w:val="18"/>
                <w:szCs w:val="18"/>
              </w:rPr>
              <w:t>Standards</w:t>
            </w:r>
          </w:p>
        </w:tc>
        <w:tc>
          <w:tcPr>
            <w:tcW w:w="2610" w:type="dxa"/>
            <w:hideMark/>
          </w:tcPr>
          <w:p w14:paraId="204A8B0A" w14:textId="77777777" w:rsidR="00702E97" w:rsidRPr="00702E97" w:rsidRDefault="00702E97" w:rsidP="00702E97">
            <w:pPr>
              <w:keepNext/>
              <w:widowControl w:val="0"/>
              <w:overflowPunct w:val="0"/>
              <w:autoSpaceDE w:val="0"/>
              <w:autoSpaceDN w:val="0"/>
              <w:spacing w:before="25"/>
              <w:ind w:left="5"/>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702E97">
              <w:rPr>
                <w:rFonts w:ascii="Arial Narrow" w:hAnsi="Arial Narrow"/>
                <w:bCs/>
                <w:sz w:val="18"/>
                <w:szCs w:val="18"/>
              </w:rPr>
              <w:t>Data Source</w:t>
            </w:r>
          </w:p>
        </w:tc>
      </w:tr>
      <w:tr w:rsidR="00702E97" w:rsidRPr="00702E97" w14:paraId="37072470" w14:textId="77777777" w:rsidTr="00FA33C3">
        <w:trPr>
          <w:cnfStyle w:val="000000100000" w:firstRow="0" w:lastRow="0" w:firstColumn="0" w:lastColumn="0" w:oddVBand="0" w:evenVBand="0" w:oddHBand="1" w:evenHBand="0"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2402" w:type="dxa"/>
            <w:hideMark/>
          </w:tcPr>
          <w:p w14:paraId="23A3E5D4" w14:textId="77777777" w:rsidR="00702E97" w:rsidRPr="00702E97" w:rsidRDefault="00702E97" w:rsidP="00702E97">
            <w:pPr>
              <w:keepNext/>
              <w:widowControl w:val="0"/>
              <w:overflowPunct w:val="0"/>
              <w:autoSpaceDE w:val="0"/>
              <w:autoSpaceDN w:val="0"/>
              <w:spacing w:before="25"/>
              <w:rPr>
                <w:rFonts w:ascii="Arial Narrow" w:hAnsi="Arial Narrow"/>
                <w:spacing w:val="-1"/>
                <w:sz w:val="18"/>
                <w:szCs w:val="18"/>
              </w:rPr>
            </w:pPr>
            <w:r w:rsidRPr="00702E97">
              <w:rPr>
                <w:rFonts w:ascii="Arial Narrow" w:hAnsi="Arial Narrow"/>
                <w:spacing w:val="-1"/>
                <w:sz w:val="18"/>
                <w:szCs w:val="18"/>
              </w:rPr>
              <w:t>2005 Title 20</w:t>
            </w:r>
          </w:p>
        </w:tc>
        <w:tc>
          <w:tcPr>
            <w:tcW w:w="3448" w:type="dxa"/>
            <w:hideMark/>
          </w:tcPr>
          <w:p w14:paraId="61B4B614" w14:textId="77777777" w:rsidR="00702E97" w:rsidRPr="00702E97" w:rsidRDefault="00702E97" w:rsidP="00702E97">
            <w:pPr>
              <w:keepNext/>
              <w:widowControl w:val="0"/>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702E97">
              <w:rPr>
                <w:rFonts w:ascii="Arial Narrow" w:hAnsi="Arial Narrow"/>
                <w:spacing w:val="-1"/>
                <w:sz w:val="18"/>
                <w:szCs w:val="18"/>
              </w:rPr>
              <w:t>22 appliance standards</w:t>
            </w:r>
          </w:p>
        </w:tc>
        <w:tc>
          <w:tcPr>
            <w:tcW w:w="2610" w:type="dxa"/>
            <w:hideMark/>
          </w:tcPr>
          <w:p w14:paraId="6CBA02B7" w14:textId="77777777" w:rsidR="00702E97" w:rsidRPr="00702E97" w:rsidRDefault="00702E97" w:rsidP="00702E97">
            <w:pPr>
              <w:keepNext/>
              <w:widowControl w:val="0"/>
              <w:overflowPunct w:val="0"/>
              <w:autoSpaceDE w:val="0"/>
              <w:autoSpaceDN w:val="0"/>
              <w:spacing w:before="25"/>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702E97">
              <w:rPr>
                <w:rFonts w:ascii="Arial Narrow" w:hAnsi="Arial Narrow"/>
                <w:spacing w:val="-1"/>
                <w:sz w:val="18"/>
                <w:szCs w:val="18"/>
              </w:rPr>
              <w:t>ISSM</w:t>
            </w:r>
          </w:p>
        </w:tc>
      </w:tr>
      <w:tr w:rsidR="00702E97" w:rsidRPr="00702E97" w14:paraId="3F8E5FB4" w14:textId="77777777" w:rsidTr="00FA33C3">
        <w:trPr>
          <w:cnfStyle w:val="000000010000" w:firstRow="0" w:lastRow="0" w:firstColumn="0" w:lastColumn="0" w:oddVBand="0" w:evenVBand="0" w:oddHBand="0" w:evenHBand="1"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2402" w:type="dxa"/>
            <w:hideMark/>
          </w:tcPr>
          <w:p w14:paraId="280D9D34" w14:textId="77777777" w:rsidR="00702E97" w:rsidRPr="00702E97" w:rsidRDefault="00702E97" w:rsidP="00702E97">
            <w:pPr>
              <w:keepNext/>
              <w:widowControl w:val="0"/>
              <w:overflowPunct w:val="0"/>
              <w:autoSpaceDE w:val="0"/>
              <w:autoSpaceDN w:val="0"/>
              <w:spacing w:before="25"/>
              <w:rPr>
                <w:rFonts w:ascii="Arial Narrow" w:hAnsi="Arial Narrow"/>
                <w:spacing w:val="-1"/>
                <w:sz w:val="18"/>
                <w:szCs w:val="18"/>
              </w:rPr>
            </w:pPr>
            <w:r w:rsidRPr="00702E97">
              <w:rPr>
                <w:rFonts w:ascii="Arial Narrow" w:hAnsi="Arial Narrow"/>
                <w:spacing w:val="-1"/>
                <w:sz w:val="18"/>
                <w:szCs w:val="18"/>
              </w:rPr>
              <w:t>2006-2009 Title 20</w:t>
            </w:r>
          </w:p>
        </w:tc>
        <w:tc>
          <w:tcPr>
            <w:tcW w:w="3448" w:type="dxa"/>
            <w:hideMark/>
          </w:tcPr>
          <w:p w14:paraId="2D54966E" w14:textId="77777777" w:rsidR="00702E97" w:rsidRPr="00702E97" w:rsidRDefault="00702E97" w:rsidP="00702E97">
            <w:pPr>
              <w:keepNext/>
              <w:widowControl w:val="0"/>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702E97">
              <w:rPr>
                <w:rFonts w:ascii="Arial Narrow" w:hAnsi="Arial Narrow"/>
                <w:spacing w:val="-1"/>
                <w:sz w:val="18"/>
                <w:szCs w:val="18"/>
              </w:rPr>
              <w:t>13 appliance standards</w:t>
            </w:r>
          </w:p>
        </w:tc>
        <w:tc>
          <w:tcPr>
            <w:tcW w:w="2610" w:type="dxa"/>
            <w:hideMark/>
          </w:tcPr>
          <w:p w14:paraId="211BB8D4" w14:textId="77777777" w:rsidR="00702E97" w:rsidRPr="00702E97" w:rsidRDefault="00702E97" w:rsidP="00702E97">
            <w:pPr>
              <w:keepNext/>
              <w:widowControl w:val="0"/>
              <w:overflowPunct w:val="0"/>
              <w:autoSpaceDE w:val="0"/>
              <w:autoSpaceDN w:val="0"/>
              <w:spacing w:before="25"/>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702E97">
              <w:rPr>
                <w:rFonts w:ascii="Arial Narrow" w:hAnsi="Arial Narrow"/>
                <w:spacing w:val="-1"/>
                <w:sz w:val="18"/>
                <w:szCs w:val="18"/>
              </w:rPr>
              <w:t>ISSM</w:t>
            </w:r>
          </w:p>
        </w:tc>
      </w:tr>
      <w:tr w:rsidR="00702E97" w:rsidRPr="00702E97" w14:paraId="26317F79" w14:textId="77777777" w:rsidTr="00FA33C3">
        <w:trPr>
          <w:cnfStyle w:val="000000100000" w:firstRow="0" w:lastRow="0" w:firstColumn="0" w:lastColumn="0" w:oddVBand="0" w:evenVBand="0" w:oddHBand="1" w:evenHBand="0"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2402" w:type="dxa"/>
          </w:tcPr>
          <w:p w14:paraId="53FA4931" w14:textId="77777777" w:rsidR="00702E97" w:rsidRPr="00702E97" w:rsidRDefault="00702E97" w:rsidP="00702E97">
            <w:pPr>
              <w:keepNext/>
              <w:widowControl w:val="0"/>
              <w:overflowPunct w:val="0"/>
              <w:autoSpaceDE w:val="0"/>
              <w:autoSpaceDN w:val="0"/>
              <w:spacing w:before="25"/>
              <w:rPr>
                <w:rFonts w:ascii="Arial Narrow" w:hAnsi="Arial Narrow"/>
                <w:spacing w:val="-1"/>
                <w:sz w:val="18"/>
                <w:szCs w:val="18"/>
              </w:rPr>
            </w:pPr>
            <w:r w:rsidRPr="00702E97">
              <w:rPr>
                <w:rFonts w:ascii="Arial Narrow" w:hAnsi="Arial Narrow"/>
                <w:spacing w:val="-1"/>
                <w:sz w:val="18"/>
                <w:szCs w:val="18"/>
              </w:rPr>
              <w:t>2011 Title 20</w:t>
            </w:r>
          </w:p>
        </w:tc>
        <w:tc>
          <w:tcPr>
            <w:tcW w:w="3448" w:type="dxa"/>
          </w:tcPr>
          <w:p w14:paraId="43D6BD9C" w14:textId="77777777" w:rsidR="00702E97" w:rsidRPr="00702E97" w:rsidRDefault="00702E97" w:rsidP="00702E97">
            <w:pPr>
              <w:keepNext/>
              <w:widowControl w:val="0"/>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702E97">
              <w:rPr>
                <w:rFonts w:ascii="Arial Narrow" w:hAnsi="Arial Narrow"/>
                <w:spacing w:val="-1"/>
                <w:sz w:val="18"/>
                <w:szCs w:val="18"/>
              </w:rPr>
              <w:t>4 appliance standards</w:t>
            </w:r>
          </w:p>
        </w:tc>
        <w:tc>
          <w:tcPr>
            <w:tcW w:w="2610" w:type="dxa"/>
          </w:tcPr>
          <w:p w14:paraId="2034D73A" w14:textId="77777777" w:rsidR="00702E97" w:rsidRPr="00702E97" w:rsidRDefault="00702E97" w:rsidP="00702E97">
            <w:pPr>
              <w:keepNext/>
              <w:widowControl w:val="0"/>
              <w:overflowPunct w:val="0"/>
              <w:autoSpaceDE w:val="0"/>
              <w:autoSpaceDN w:val="0"/>
              <w:spacing w:before="25"/>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702E97">
              <w:rPr>
                <w:rFonts w:ascii="Arial Narrow" w:hAnsi="Arial Narrow"/>
                <w:spacing w:val="-1"/>
                <w:sz w:val="18"/>
                <w:szCs w:val="18"/>
              </w:rPr>
              <w:t>ISSM</w:t>
            </w:r>
          </w:p>
        </w:tc>
      </w:tr>
      <w:tr w:rsidR="00702E97" w:rsidRPr="00702E97" w14:paraId="09EDECA1" w14:textId="77777777" w:rsidTr="00FA33C3">
        <w:trPr>
          <w:cnfStyle w:val="000000010000" w:firstRow="0" w:lastRow="0" w:firstColumn="0" w:lastColumn="0" w:oddVBand="0" w:evenVBand="0" w:oddHBand="0" w:evenHBand="1"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2402" w:type="dxa"/>
          </w:tcPr>
          <w:p w14:paraId="53F40FA9" w14:textId="77777777" w:rsidR="00702E97" w:rsidRPr="00702E97" w:rsidRDefault="00702E97" w:rsidP="00702E97">
            <w:pPr>
              <w:keepNext/>
              <w:widowControl w:val="0"/>
              <w:overflowPunct w:val="0"/>
              <w:autoSpaceDE w:val="0"/>
              <w:autoSpaceDN w:val="0"/>
              <w:spacing w:before="25"/>
              <w:rPr>
                <w:rFonts w:ascii="Arial Narrow" w:hAnsi="Arial Narrow"/>
                <w:spacing w:val="-1"/>
                <w:sz w:val="18"/>
                <w:szCs w:val="18"/>
              </w:rPr>
            </w:pPr>
            <w:r w:rsidRPr="00702E97">
              <w:rPr>
                <w:rFonts w:ascii="Arial Narrow" w:hAnsi="Arial Narrow"/>
                <w:spacing w:val="-1"/>
                <w:sz w:val="18"/>
                <w:szCs w:val="18"/>
              </w:rPr>
              <w:t>2015-2016 Title 20</w:t>
            </w:r>
          </w:p>
        </w:tc>
        <w:tc>
          <w:tcPr>
            <w:tcW w:w="3448" w:type="dxa"/>
          </w:tcPr>
          <w:p w14:paraId="5509A3E7" w14:textId="77777777" w:rsidR="00702E97" w:rsidRPr="00702E97" w:rsidRDefault="00702E97" w:rsidP="00702E97">
            <w:pPr>
              <w:keepNext/>
              <w:widowControl w:val="0"/>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702E97">
              <w:rPr>
                <w:rFonts w:ascii="Arial Narrow" w:hAnsi="Arial Narrow"/>
                <w:spacing w:val="-1"/>
                <w:sz w:val="18"/>
                <w:szCs w:val="18"/>
              </w:rPr>
              <w:t>14 appliance standards</w:t>
            </w:r>
          </w:p>
        </w:tc>
        <w:tc>
          <w:tcPr>
            <w:tcW w:w="2610" w:type="dxa"/>
          </w:tcPr>
          <w:p w14:paraId="6DE1C921" w14:textId="77777777" w:rsidR="00702E97" w:rsidRPr="00702E97" w:rsidRDefault="00702E97" w:rsidP="00702E97">
            <w:pPr>
              <w:keepNext/>
              <w:widowControl w:val="0"/>
              <w:overflowPunct w:val="0"/>
              <w:autoSpaceDE w:val="0"/>
              <w:autoSpaceDN w:val="0"/>
              <w:spacing w:before="25"/>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702E97">
              <w:rPr>
                <w:rFonts w:ascii="Arial Narrow" w:hAnsi="Arial Narrow"/>
                <w:spacing w:val="-1"/>
                <w:sz w:val="18"/>
                <w:szCs w:val="18"/>
              </w:rPr>
              <w:t>PG&amp;E</w:t>
            </w:r>
          </w:p>
        </w:tc>
      </w:tr>
      <w:tr w:rsidR="00702E97" w:rsidRPr="00702E97" w14:paraId="70B1D627" w14:textId="77777777" w:rsidTr="00FA33C3">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0" w:type="dxa"/>
          </w:tcPr>
          <w:p w14:paraId="079B96DC" w14:textId="77777777" w:rsidR="00702E97" w:rsidRPr="00702E97" w:rsidRDefault="00702E97" w:rsidP="00702E97">
            <w:pPr>
              <w:keepNext/>
              <w:widowControl w:val="0"/>
              <w:overflowPunct w:val="0"/>
              <w:autoSpaceDE w:val="0"/>
              <w:autoSpaceDN w:val="0"/>
              <w:spacing w:before="25"/>
              <w:rPr>
                <w:rFonts w:ascii="Arial Narrow" w:hAnsi="Arial Narrow"/>
                <w:spacing w:val="-1"/>
                <w:sz w:val="18"/>
                <w:szCs w:val="18"/>
              </w:rPr>
            </w:pPr>
            <w:r w:rsidRPr="00702E97">
              <w:rPr>
                <w:rFonts w:ascii="Arial Narrow" w:hAnsi="Arial Narrow"/>
                <w:spacing w:val="-1"/>
                <w:sz w:val="18"/>
                <w:szCs w:val="18"/>
              </w:rPr>
              <w:t>Future Title 20</w:t>
            </w:r>
          </w:p>
        </w:tc>
        <w:tc>
          <w:tcPr>
            <w:tcW w:w="0" w:type="dxa"/>
          </w:tcPr>
          <w:p w14:paraId="76F73C80" w14:textId="77777777" w:rsidR="00702E97" w:rsidRPr="00702E97" w:rsidRDefault="00702E97" w:rsidP="00702E97">
            <w:pPr>
              <w:keepNext/>
              <w:widowControl w:val="0"/>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702E97">
              <w:rPr>
                <w:rFonts w:ascii="Arial Narrow" w:hAnsi="Arial Narrow"/>
                <w:spacing w:val="-1"/>
                <w:sz w:val="18"/>
                <w:szCs w:val="18"/>
              </w:rPr>
              <w:t>15 appliance standards</w:t>
            </w:r>
          </w:p>
        </w:tc>
        <w:tc>
          <w:tcPr>
            <w:tcW w:w="0" w:type="dxa"/>
          </w:tcPr>
          <w:p w14:paraId="05D8FEC1" w14:textId="77777777" w:rsidR="00702E97" w:rsidRPr="00702E97" w:rsidRDefault="00702E97" w:rsidP="00702E97">
            <w:pPr>
              <w:keepNext/>
              <w:widowControl w:val="0"/>
              <w:overflowPunct w:val="0"/>
              <w:autoSpaceDE w:val="0"/>
              <w:autoSpaceDN w:val="0"/>
              <w:spacing w:before="25"/>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702E97">
              <w:rPr>
                <w:rFonts w:ascii="Arial Narrow" w:hAnsi="Arial Narrow"/>
                <w:spacing w:val="-1"/>
                <w:sz w:val="18"/>
                <w:szCs w:val="18"/>
              </w:rPr>
              <w:t>PG&amp;E, 2015 Model, Navigant Estimates</w:t>
            </w:r>
          </w:p>
        </w:tc>
      </w:tr>
      <w:tr w:rsidR="00702E97" w:rsidRPr="00702E97" w14:paraId="05E611D6" w14:textId="77777777" w:rsidTr="00FA33C3">
        <w:trPr>
          <w:cnfStyle w:val="000000010000" w:firstRow="0" w:lastRow="0" w:firstColumn="0" w:lastColumn="0" w:oddVBand="0" w:evenVBand="0" w:oddHBand="0" w:evenHBand="1"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2402" w:type="dxa"/>
            <w:hideMark/>
          </w:tcPr>
          <w:p w14:paraId="71717E2A" w14:textId="77777777" w:rsidR="00702E97" w:rsidRPr="00702E97" w:rsidRDefault="00702E97" w:rsidP="00702E97">
            <w:pPr>
              <w:keepNext/>
              <w:widowControl w:val="0"/>
              <w:overflowPunct w:val="0"/>
              <w:autoSpaceDE w:val="0"/>
              <w:autoSpaceDN w:val="0"/>
              <w:spacing w:before="25"/>
              <w:rPr>
                <w:rFonts w:ascii="Arial Narrow" w:hAnsi="Arial Narrow"/>
                <w:spacing w:val="-1"/>
                <w:sz w:val="18"/>
                <w:szCs w:val="18"/>
              </w:rPr>
            </w:pPr>
            <w:r w:rsidRPr="00702E97">
              <w:rPr>
                <w:rFonts w:ascii="Arial Narrow" w:hAnsi="Arial Narrow"/>
                <w:spacing w:val="-1"/>
                <w:sz w:val="18"/>
                <w:szCs w:val="18"/>
              </w:rPr>
              <w:t>Federal</w:t>
            </w:r>
          </w:p>
        </w:tc>
        <w:tc>
          <w:tcPr>
            <w:tcW w:w="3448" w:type="dxa"/>
            <w:hideMark/>
          </w:tcPr>
          <w:p w14:paraId="2A0215F5" w14:textId="77777777" w:rsidR="00702E97" w:rsidRPr="00702E97" w:rsidRDefault="00702E97" w:rsidP="00702E97">
            <w:pPr>
              <w:keepNext/>
              <w:widowControl w:val="0"/>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702E97">
              <w:rPr>
                <w:rFonts w:ascii="Arial Narrow" w:hAnsi="Arial Narrow"/>
                <w:spacing w:val="-1"/>
                <w:sz w:val="18"/>
                <w:szCs w:val="18"/>
              </w:rPr>
              <w:t>50 appliance standards</w:t>
            </w:r>
          </w:p>
        </w:tc>
        <w:tc>
          <w:tcPr>
            <w:tcW w:w="2610" w:type="dxa"/>
            <w:hideMark/>
          </w:tcPr>
          <w:p w14:paraId="2D1125DB" w14:textId="77777777" w:rsidR="00702E97" w:rsidRPr="00702E97" w:rsidRDefault="00702E97" w:rsidP="00702E97">
            <w:pPr>
              <w:keepNext/>
              <w:widowControl w:val="0"/>
              <w:overflowPunct w:val="0"/>
              <w:autoSpaceDE w:val="0"/>
              <w:autoSpaceDN w:val="0"/>
              <w:spacing w:before="25"/>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702E97">
              <w:rPr>
                <w:rFonts w:ascii="Arial Narrow" w:hAnsi="Arial Narrow"/>
                <w:spacing w:val="-1"/>
                <w:sz w:val="18"/>
                <w:szCs w:val="18"/>
              </w:rPr>
              <w:t>ISSM, PG&amp;E, 2015 Model</w:t>
            </w:r>
          </w:p>
        </w:tc>
      </w:tr>
      <w:tr w:rsidR="00702E97" w:rsidRPr="00702E97" w14:paraId="2FC7E8F2" w14:textId="77777777" w:rsidTr="00FA33C3">
        <w:trPr>
          <w:cnfStyle w:val="000000100000" w:firstRow="0" w:lastRow="0" w:firstColumn="0" w:lastColumn="0" w:oddVBand="0" w:evenVBand="0" w:oddHBand="1" w:evenHBand="0"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2402" w:type="dxa"/>
            <w:hideMark/>
          </w:tcPr>
          <w:p w14:paraId="6646F8F6" w14:textId="77777777" w:rsidR="00702E97" w:rsidRPr="00702E97" w:rsidRDefault="00702E97" w:rsidP="00702E97">
            <w:pPr>
              <w:keepNext/>
              <w:widowControl w:val="0"/>
              <w:overflowPunct w:val="0"/>
              <w:autoSpaceDE w:val="0"/>
              <w:autoSpaceDN w:val="0"/>
              <w:spacing w:before="27"/>
              <w:rPr>
                <w:rFonts w:ascii="Arial Narrow" w:hAnsi="Arial Narrow"/>
                <w:spacing w:val="-1"/>
                <w:sz w:val="18"/>
                <w:szCs w:val="18"/>
              </w:rPr>
            </w:pPr>
            <w:r w:rsidRPr="00702E97">
              <w:rPr>
                <w:rFonts w:ascii="Arial Narrow" w:hAnsi="Arial Narrow"/>
                <w:spacing w:val="-1"/>
                <w:sz w:val="18"/>
                <w:szCs w:val="18"/>
              </w:rPr>
              <w:t>2005 Title 24</w:t>
            </w:r>
          </w:p>
        </w:tc>
        <w:tc>
          <w:tcPr>
            <w:tcW w:w="3448" w:type="dxa"/>
            <w:hideMark/>
          </w:tcPr>
          <w:p w14:paraId="4BC9D460" w14:textId="77777777" w:rsidR="00702E97" w:rsidRPr="00702E97" w:rsidRDefault="00702E97" w:rsidP="00702E97">
            <w:pPr>
              <w:keepNext/>
              <w:widowControl w:val="0"/>
              <w:overflowPunct w:val="0"/>
              <w:autoSpaceDE w:val="0"/>
              <w:autoSpaceDN w:val="0"/>
              <w:spacing w:before="27"/>
              <w:ind w:right="1"/>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702E97">
              <w:rPr>
                <w:rFonts w:ascii="Arial Narrow" w:hAnsi="Arial Narrow"/>
                <w:spacing w:val="-1"/>
                <w:sz w:val="18"/>
                <w:szCs w:val="18"/>
              </w:rPr>
              <w:t>19 building codes</w:t>
            </w:r>
          </w:p>
        </w:tc>
        <w:tc>
          <w:tcPr>
            <w:tcW w:w="2610" w:type="dxa"/>
            <w:hideMark/>
          </w:tcPr>
          <w:p w14:paraId="18E54D01" w14:textId="77777777" w:rsidR="00702E97" w:rsidRPr="00702E97" w:rsidRDefault="00702E97" w:rsidP="00702E97">
            <w:pPr>
              <w:keepNext/>
              <w:widowControl w:val="0"/>
              <w:overflowPunct w:val="0"/>
              <w:autoSpaceDE w:val="0"/>
              <w:autoSpaceDN w:val="0"/>
              <w:spacing w:before="27"/>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702E97">
              <w:rPr>
                <w:rFonts w:ascii="Arial Narrow" w:hAnsi="Arial Narrow"/>
                <w:spacing w:val="-1"/>
                <w:sz w:val="18"/>
                <w:szCs w:val="18"/>
              </w:rPr>
              <w:t>ISSM</w:t>
            </w:r>
          </w:p>
        </w:tc>
      </w:tr>
      <w:tr w:rsidR="00702E97" w:rsidRPr="00702E97" w14:paraId="1A041F28" w14:textId="77777777" w:rsidTr="00FA33C3">
        <w:trPr>
          <w:cnfStyle w:val="000000010000" w:firstRow="0" w:lastRow="0" w:firstColumn="0" w:lastColumn="0" w:oddVBand="0" w:evenVBand="0" w:oddHBand="0" w:evenHBand="1"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2402" w:type="dxa"/>
            <w:hideMark/>
          </w:tcPr>
          <w:p w14:paraId="23404DA1" w14:textId="77777777" w:rsidR="00702E97" w:rsidRPr="00702E97" w:rsidRDefault="00702E97" w:rsidP="00702E97">
            <w:pPr>
              <w:keepNext/>
              <w:widowControl w:val="0"/>
              <w:overflowPunct w:val="0"/>
              <w:autoSpaceDE w:val="0"/>
              <w:autoSpaceDN w:val="0"/>
              <w:spacing w:before="27"/>
              <w:rPr>
                <w:rFonts w:ascii="Arial Narrow" w:hAnsi="Arial Narrow"/>
                <w:spacing w:val="-1"/>
                <w:sz w:val="18"/>
                <w:szCs w:val="18"/>
              </w:rPr>
            </w:pPr>
            <w:r w:rsidRPr="00702E97">
              <w:rPr>
                <w:rFonts w:ascii="Arial Narrow" w:hAnsi="Arial Narrow"/>
                <w:spacing w:val="-1"/>
                <w:sz w:val="18"/>
                <w:szCs w:val="18"/>
              </w:rPr>
              <w:t>2008 Title 24</w:t>
            </w:r>
          </w:p>
        </w:tc>
        <w:tc>
          <w:tcPr>
            <w:tcW w:w="3448" w:type="dxa"/>
            <w:hideMark/>
          </w:tcPr>
          <w:p w14:paraId="74EED86D" w14:textId="77777777" w:rsidR="00702E97" w:rsidRPr="00702E97" w:rsidRDefault="00702E97" w:rsidP="00702E97">
            <w:pPr>
              <w:keepNext/>
              <w:widowControl w:val="0"/>
              <w:overflowPunct w:val="0"/>
              <w:autoSpaceDE w:val="0"/>
              <w:autoSpaceDN w:val="0"/>
              <w:spacing w:before="27"/>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702E97">
              <w:rPr>
                <w:rFonts w:ascii="Arial Narrow" w:hAnsi="Arial Narrow"/>
                <w:spacing w:val="-1"/>
                <w:sz w:val="18"/>
                <w:szCs w:val="18"/>
              </w:rPr>
              <w:t>22 building codes</w:t>
            </w:r>
          </w:p>
        </w:tc>
        <w:tc>
          <w:tcPr>
            <w:tcW w:w="2610" w:type="dxa"/>
            <w:hideMark/>
          </w:tcPr>
          <w:p w14:paraId="09F1BD9E" w14:textId="77777777" w:rsidR="00702E97" w:rsidRPr="00702E97" w:rsidRDefault="00702E97" w:rsidP="00702E97">
            <w:pPr>
              <w:keepNext/>
              <w:widowControl w:val="0"/>
              <w:overflowPunct w:val="0"/>
              <w:autoSpaceDE w:val="0"/>
              <w:autoSpaceDN w:val="0"/>
              <w:spacing w:before="27"/>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702E97">
              <w:rPr>
                <w:rFonts w:ascii="Arial Narrow" w:hAnsi="Arial Narrow"/>
                <w:spacing w:val="-1"/>
                <w:sz w:val="18"/>
                <w:szCs w:val="18"/>
              </w:rPr>
              <w:t>ISSM</w:t>
            </w:r>
          </w:p>
        </w:tc>
      </w:tr>
      <w:tr w:rsidR="00702E97" w:rsidRPr="00702E97" w14:paraId="04086B5F" w14:textId="77777777" w:rsidTr="00FA33C3">
        <w:trPr>
          <w:cnfStyle w:val="000000100000" w:firstRow="0" w:lastRow="0" w:firstColumn="0" w:lastColumn="0" w:oddVBand="0" w:evenVBand="0" w:oddHBand="1" w:evenHBand="0"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2402" w:type="dxa"/>
          </w:tcPr>
          <w:p w14:paraId="2B2C0352" w14:textId="77777777" w:rsidR="00702E97" w:rsidRPr="00702E97" w:rsidRDefault="00702E97" w:rsidP="00702E97">
            <w:pPr>
              <w:keepNext/>
              <w:widowControl w:val="0"/>
              <w:overflowPunct w:val="0"/>
              <w:autoSpaceDE w:val="0"/>
              <w:autoSpaceDN w:val="0"/>
              <w:spacing w:before="27"/>
              <w:rPr>
                <w:rFonts w:ascii="Arial Narrow" w:hAnsi="Arial Narrow"/>
                <w:spacing w:val="-1"/>
                <w:sz w:val="18"/>
                <w:szCs w:val="18"/>
              </w:rPr>
            </w:pPr>
            <w:r w:rsidRPr="00702E97">
              <w:rPr>
                <w:rFonts w:ascii="Arial Narrow" w:hAnsi="Arial Narrow"/>
                <w:spacing w:val="-1"/>
                <w:sz w:val="18"/>
                <w:szCs w:val="18"/>
              </w:rPr>
              <w:t>2013 Title 24</w:t>
            </w:r>
          </w:p>
        </w:tc>
        <w:tc>
          <w:tcPr>
            <w:tcW w:w="3448" w:type="dxa"/>
          </w:tcPr>
          <w:p w14:paraId="528826B2" w14:textId="77777777" w:rsidR="00702E97" w:rsidRPr="00702E97" w:rsidRDefault="00702E97" w:rsidP="00702E97">
            <w:pPr>
              <w:keepNext/>
              <w:widowControl w:val="0"/>
              <w:overflowPunct w:val="0"/>
              <w:autoSpaceDE w:val="0"/>
              <w:autoSpaceDN w:val="0"/>
              <w:spacing w:before="27"/>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702E97">
              <w:rPr>
                <w:rFonts w:ascii="Arial Narrow" w:hAnsi="Arial Narrow"/>
                <w:spacing w:val="-1"/>
                <w:sz w:val="18"/>
                <w:szCs w:val="18"/>
              </w:rPr>
              <w:t>46 building codes</w:t>
            </w:r>
          </w:p>
        </w:tc>
        <w:tc>
          <w:tcPr>
            <w:tcW w:w="2610" w:type="dxa"/>
          </w:tcPr>
          <w:p w14:paraId="4C41668F" w14:textId="77777777" w:rsidR="00702E97" w:rsidRPr="00702E97" w:rsidRDefault="00702E97" w:rsidP="00702E97">
            <w:pPr>
              <w:keepNext/>
              <w:widowControl w:val="0"/>
              <w:overflowPunct w:val="0"/>
              <w:autoSpaceDE w:val="0"/>
              <w:autoSpaceDN w:val="0"/>
              <w:spacing w:before="27"/>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702E97">
              <w:rPr>
                <w:rFonts w:ascii="Arial Narrow" w:hAnsi="Arial Narrow"/>
                <w:spacing w:val="-1"/>
                <w:sz w:val="18"/>
                <w:szCs w:val="18"/>
              </w:rPr>
              <w:t>ISSM</w:t>
            </w:r>
          </w:p>
        </w:tc>
      </w:tr>
      <w:tr w:rsidR="00702E97" w:rsidRPr="00702E97" w14:paraId="48D8E8E2" w14:textId="77777777" w:rsidTr="00FA33C3">
        <w:trPr>
          <w:cnfStyle w:val="000000010000" w:firstRow="0" w:lastRow="0" w:firstColumn="0" w:lastColumn="0" w:oddVBand="0" w:evenVBand="0" w:oddHBand="0" w:evenHBand="1"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2402" w:type="dxa"/>
          </w:tcPr>
          <w:p w14:paraId="520BD2CF" w14:textId="77777777" w:rsidR="00702E97" w:rsidRPr="00702E97" w:rsidRDefault="00702E97" w:rsidP="00702E97">
            <w:pPr>
              <w:keepNext/>
              <w:widowControl w:val="0"/>
              <w:overflowPunct w:val="0"/>
              <w:autoSpaceDE w:val="0"/>
              <w:autoSpaceDN w:val="0"/>
              <w:spacing w:before="27"/>
              <w:rPr>
                <w:rFonts w:ascii="Arial Narrow" w:hAnsi="Arial Narrow"/>
                <w:spacing w:val="-1"/>
                <w:sz w:val="18"/>
                <w:szCs w:val="18"/>
              </w:rPr>
            </w:pPr>
            <w:r w:rsidRPr="00702E97">
              <w:rPr>
                <w:rFonts w:ascii="Arial Narrow" w:hAnsi="Arial Narrow"/>
                <w:spacing w:val="-1"/>
                <w:sz w:val="18"/>
                <w:szCs w:val="18"/>
              </w:rPr>
              <w:t>2016 Title 24</w:t>
            </w:r>
          </w:p>
        </w:tc>
        <w:tc>
          <w:tcPr>
            <w:tcW w:w="3448" w:type="dxa"/>
          </w:tcPr>
          <w:p w14:paraId="2AA32AFD" w14:textId="77777777" w:rsidR="00702E97" w:rsidRPr="00702E97" w:rsidRDefault="00702E97" w:rsidP="00702E97">
            <w:pPr>
              <w:keepNext/>
              <w:widowControl w:val="0"/>
              <w:overflowPunct w:val="0"/>
              <w:autoSpaceDE w:val="0"/>
              <w:autoSpaceDN w:val="0"/>
              <w:spacing w:before="27"/>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702E97">
              <w:rPr>
                <w:rFonts w:ascii="Arial Narrow" w:hAnsi="Arial Narrow"/>
                <w:spacing w:val="-1"/>
                <w:sz w:val="18"/>
                <w:szCs w:val="18"/>
              </w:rPr>
              <w:t>12 building codes</w:t>
            </w:r>
          </w:p>
        </w:tc>
        <w:tc>
          <w:tcPr>
            <w:tcW w:w="2610" w:type="dxa"/>
          </w:tcPr>
          <w:p w14:paraId="50B4F2F1" w14:textId="77777777" w:rsidR="00702E97" w:rsidRPr="00702E97" w:rsidRDefault="00702E97" w:rsidP="00702E97">
            <w:pPr>
              <w:keepNext/>
              <w:widowControl w:val="0"/>
              <w:overflowPunct w:val="0"/>
              <w:autoSpaceDE w:val="0"/>
              <w:autoSpaceDN w:val="0"/>
              <w:spacing w:before="27"/>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702E97">
              <w:rPr>
                <w:rFonts w:ascii="Arial Narrow" w:hAnsi="Arial Narrow"/>
                <w:spacing w:val="-1"/>
                <w:sz w:val="18"/>
                <w:szCs w:val="18"/>
              </w:rPr>
              <w:t>PG&amp;E</w:t>
            </w:r>
          </w:p>
        </w:tc>
      </w:tr>
      <w:tr w:rsidR="00702E97" w:rsidRPr="00702E97" w14:paraId="3167AE3D" w14:textId="77777777" w:rsidTr="00FA33C3">
        <w:trPr>
          <w:cnfStyle w:val="000000100000" w:firstRow="0" w:lastRow="0" w:firstColumn="0" w:lastColumn="0" w:oddVBand="0" w:evenVBand="0" w:oddHBand="1" w:evenHBand="0"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2402" w:type="dxa"/>
          </w:tcPr>
          <w:p w14:paraId="446AFE11" w14:textId="77777777" w:rsidR="00702E97" w:rsidRPr="00702E97" w:rsidRDefault="00702E97" w:rsidP="00702E97">
            <w:pPr>
              <w:keepNext/>
              <w:widowControl w:val="0"/>
              <w:overflowPunct w:val="0"/>
              <w:autoSpaceDE w:val="0"/>
              <w:autoSpaceDN w:val="0"/>
              <w:spacing w:before="27"/>
              <w:rPr>
                <w:rFonts w:ascii="Arial Narrow" w:hAnsi="Arial Narrow"/>
                <w:spacing w:val="-1"/>
                <w:sz w:val="18"/>
                <w:szCs w:val="18"/>
              </w:rPr>
            </w:pPr>
            <w:r w:rsidRPr="00702E97">
              <w:rPr>
                <w:rFonts w:ascii="Arial Narrow" w:hAnsi="Arial Narrow"/>
                <w:spacing w:val="-1"/>
                <w:sz w:val="18"/>
                <w:szCs w:val="18"/>
              </w:rPr>
              <w:t>Future Title 24</w:t>
            </w:r>
          </w:p>
        </w:tc>
        <w:tc>
          <w:tcPr>
            <w:tcW w:w="3448" w:type="dxa"/>
          </w:tcPr>
          <w:p w14:paraId="57A1B574" w14:textId="77777777" w:rsidR="00702E97" w:rsidRPr="00702E97" w:rsidRDefault="00702E97" w:rsidP="00702E97">
            <w:pPr>
              <w:keepNext/>
              <w:widowControl w:val="0"/>
              <w:overflowPunct w:val="0"/>
              <w:autoSpaceDE w:val="0"/>
              <w:autoSpaceDN w:val="0"/>
              <w:spacing w:before="27"/>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702E97">
              <w:rPr>
                <w:rFonts w:ascii="Arial Narrow" w:hAnsi="Arial Narrow"/>
                <w:spacing w:val="-1"/>
                <w:sz w:val="18"/>
                <w:szCs w:val="18"/>
              </w:rPr>
              <w:t>5 building codes</w:t>
            </w:r>
          </w:p>
        </w:tc>
        <w:tc>
          <w:tcPr>
            <w:tcW w:w="2610" w:type="dxa"/>
          </w:tcPr>
          <w:p w14:paraId="71BB16D4" w14:textId="77777777" w:rsidR="00702E97" w:rsidRPr="00702E97" w:rsidRDefault="00702E97" w:rsidP="00702E97">
            <w:pPr>
              <w:keepNext/>
              <w:widowControl w:val="0"/>
              <w:overflowPunct w:val="0"/>
              <w:autoSpaceDE w:val="0"/>
              <w:autoSpaceDN w:val="0"/>
              <w:spacing w:before="27"/>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702E97">
              <w:rPr>
                <w:rFonts w:ascii="Arial Narrow" w:hAnsi="Arial Narrow"/>
                <w:spacing w:val="-1"/>
                <w:sz w:val="18"/>
                <w:szCs w:val="18"/>
              </w:rPr>
              <w:t>Navigant Estimates</w:t>
            </w:r>
          </w:p>
        </w:tc>
      </w:tr>
    </w:tbl>
    <w:p w14:paraId="7194314D" w14:textId="77777777" w:rsidR="006B44D0" w:rsidRDefault="006B44D0" w:rsidP="006B44D0">
      <w:pPr>
        <w:pStyle w:val="Source"/>
        <w:jc w:val="center"/>
      </w:pPr>
      <w:r>
        <w:t xml:space="preserve">Sources: </w:t>
      </w:r>
      <w:r w:rsidRPr="00CF1057">
        <w:t>Cadmus</w:t>
      </w:r>
      <w:r w:rsidR="00827540">
        <w:t xml:space="preserve"> </w:t>
      </w:r>
      <w:r w:rsidRPr="00CF1057">
        <w:t>and DNV GL</w:t>
      </w:r>
      <w:r w:rsidRPr="00C7205C">
        <w:t>. Integrated</w:t>
      </w:r>
      <w:r>
        <w:t xml:space="preserve"> Standards Savings Model (ISSM</w:t>
      </w:r>
      <w:r w:rsidR="00F55251">
        <w:t>). 201</w:t>
      </w:r>
      <w:r w:rsidR="00D86A53">
        <w:t>7</w:t>
      </w:r>
      <w:r w:rsidR="00F55251">
        <w:t>.</w:t>
      </w:r>
      <w:r>
        <w:t>; Julie Liberzon. PG&amp;E. January 3, 2017. Personal email communication in response to CPUC data request.</w:t>
      </w:r>
    </w:p>
    <w:p w14:paraId="5D343A53" w14:textId="77777777" w:rsidR="0009749A" w:rsidRDefault="006B44D0" w:rsidP="006B44D0">
      <w:r>
        <w:t xml:space="preserve">The </w:t>
      </w:r>
      <w:r w:rsidR="0009749A">
        <w:t xml:space="preserve">2018 </w:t>
      </w:r>
      <w:r>
        <w:t xml:space="preserve">study </w:t>
      </w:r>
      <w:r w:rsidR="0009749A">
        <w:t>made several adjustments to the data obtained:</w:t>
      </w:r>
    </w:p>
    <w:p w14:paraId="37AE7CF6" w14:textId="77777777" w:rsidR="0009749A" w:rsidRDefault="0009749A" w:rsidP="004E4E36">
      <w:pPr>
        <w:pStyle w:val="ListParagraph"/>
        <w:numPr>
          <w:ilvl w:val="0"/>
          <w:numId w:val="57"/>
        </w:numPr>
      </w:pPr>
      <w:r>
        <w:t>An uncertainty</w:t>
      </w:r>
      <w:r w:rsidR="006B44D0">
        <w:t xml:space="preserve"> factor of 80% </w:t>
      </w:r>
      <w:r>
        <w:t xml:space="preserve">was applied </w:t>
      </w:r>
      <w:r w:rsidR="006B44D0">
        <w:t>to all unevaluated C&amp;S.</w:t>
      </w:r>
    </w:p>
    <w:p w14:paraId="3BFCB80B" w14:textId="77777777" w:rsidR="0009749A" w:rsidRDefault="0009749A" w:rsidP="004E4E36">
      <w:pPr>
        <w:pStyle w:val="ListParagraph"/>
        <w:numPr>
          <w:ilvl w:val="0"/>
          <w:numId w:val="57"/>
        </w:numPr>
      </w:pPr>
      <w:r>
        <w:t>IOUs provided claims for “T20 LED Quality” standards. This is a voluntary standard and thus was removed from the forecast to err on the side of conservatism</w:t>
      </w:r>
      <w:r w:rsidR="00C84C33">
        <w:t>.</w:t>
      </w:r>
    </w:p>
    <w:p w14:paraId="692D4D31" w14:textId="77777777" w:rsidR="00C45D99" w:rsidRDefault="00C45D99" w:rsidP="004E4E36">
      <w:pPr>
        <w:pStyle w:val="ListParagraph"/>
        <w:numPr>
          <w:ilvl w:val="0"/>
          <w:numId w:val="57"/>
        </w:numPr>
      </w:pPr>
      <w:r>
        <w:t>Per guidance from Cadmus, several 2013 Title 24 codes were removed from the analysis because their savings were already included in Whole Building codes</w:t>
      </w:r>
      <w:r w:rsidR="00827540">
        <w:rPr>
          <w:rStyle w:val="FootnoteReference"/>
        </w:rPr>
        <w:footnoteReference w:id="87"/>
      </w:r>
      <w:r>
        <w:t>.</w:t>
      </w:r>
      <w:r w:rsidR="00827540">
        <w:t xml:space="preserve"> </w:t>
      </w:r>
    </w:p>
    <w:p w14:paraId="09F750C8" w14:textId="77777777" w:rsidR="006B44D0" w:rsidRDefault="006B44D0" w:rsidP="00503231">
      <w:pPr>
        <w:ind w:firstLine="105"/>
      </w:pPr>
    </w:p>
    <w:p w14:paraId="6FE2C56C" w14:textId="77777777" w:rsidR="002E641C" w:rsidRDefault="00DB7E73" w:rsidP="006B44D0">
      <w:r>
        <w:t xml:space="preserve">For 2013 Title 24, </w:t>
      </w:r>
      <w:r w:rsidR="002E641C">
        <w:t xml:space="preserve">ISSM </w:t>
      </w:r>
      <w:r>
        <w:t>provides the option to use either "bounded" or "unbounded" energy savings adjustment factors (ESAF), which are analogous to compliance factors for appliance standards</w:t>
      </w:r>
      <w:r w:rsidR="00827540">
        <w:rPr>
          <w:rStyle w:val="FootnoteReference"/>
        </w:rPr>
        <w:footnoteReference w:id="88"/>
      </w:r>
      <w:r>
        <w:t>. "Unbounded" refers to the case where a building, project, or measure can consume less energy than the level established by the current Title 24 code, resulting in an ESAF greater than 100%. "Bounded" refers to limiting the ESAF values to a maximum of 100%. The 2018 PG study uses bounded values from ISSM.</w:t>
      </w:r>
    </w:p>
    <w:p w14:paraId="69BCA5FC" w14:textId="77777777" w:rsidR="002E641C" w:rsidRDefault="002E641C" w:rsidP="006B44D0"/>
    <w:p w14:paraId="0538A82A" w14:textId="77777777" w:rsidR="006B44D0" w:rsidRDefault="006B44D0" w:rsidP="006B44D0">
      <w:r>
        <w:t>The 201</w:t>
      </w:r>
      <w:r w:rsidR="00682288">
        <w:t>8</w:t>
      </w:r>
      <w:r>
        <w:t xml:space="preserve"> study re-evaluated the percentage of C&amp;S savings that occurs in new construction vs. building retrofits. The 2015 study assumed new construction percentages of 0-2% for appliance standards and 100% for building codes. The 201</w:t>
      </w:r>
      <w:r w:rsidR="00682288">
        <w:t>8</w:t>
      </w:r>
      <w:r>
        <w:t xml:space="preserve"> study, on the other hand, used new construction percentages for 2005 and 2008 Title 24 evaluated measures from the 2010-2012 impact evaluation report</w:t>
      </w:r>
      <w:r>
        <w:rPr>
          <w:rStyle w:val="FootnoteReference"/>
        </w:rPr>
        <w:footnoteReference w:id="89"/>
      </w:r>
      <w:r>
        <w:t>. For 2013 Title 24, each evaluated code name specified whether it was for new construction. For Title 20 and federal standards, the 201</w:t>
      </w:r>
      <w:r w:rsidR="00682288">
        <w:t>8</w:t>
      </w:r>
      <w:r>
        <w:t xml:space="preserve"> study calculated new construction percentages based on the average new </w:t>
      </w:r>
      <w:r>
        <w:lastRenderedPageBreak/>
        <w:t xml:space="preserve">construction rate for each standard’s sector and the retrofit lifetimes for each standard, as shown in </w:t>
      </w:r>
      <w:r>
        <w:fldChar w:fldCharType="begin"/>
      </w:r>
      <w:r>
        <w:instrText xml:space="preserve"> REF _Ref477270189 \h </w:instrText>
      </w:r>
      <w:r>
        <w:fldChar w:fldCharType="separate"/>
      </w:r>
      <w:r w:rsidR="007566B9">
        <w:t xml:space="preserve">Equation </w:t>
      </w:r>
      <w:r w:rsidR="007566B9">
        <w:rPr>
          <w:noProof/>
        </w:rPr>
        <w:t>3</w:t>
      </w:r>
      <w:r w:rsidR="007566B9">
        <w:noBreakHyphen/>
      </w:r>
      <w:r w:rsidR="007566B9">
        <w:rPr>
          <w:noProof/>
        </w:rPr>
        <w:t>1</w:t>
      </w:r>
      <w:r>
        <w:fldChar w:fldCharType="end"/>
      </w:r>
      <w:r>
        <w:t>.</w:t>
      </w:r>
    </w:p>
    <w:p w14:paraId="69981125" w14:textId="77777777" w:rsidR="006B44D0" w:rsidRDefault="006B44D0" w:rsidP="006B44D0"/>
    <w:p w14:paraId="09D6B9FF" w14:textId="77777777" w:rsidR="006B44D0" w:rsidRDefault="006B44D0" w:rsidP="006B44D0">
      <w:pPr>
        <w:pStyle w:val="Caption"/>
      </w:pPr>
      <w:bookmarkStart w:id="653" w:name="_Ref477270189"/>
      <w:r>
        <w:t xml:space="preserve">Equation </w:t>
      </w:r>
      <w:fldSimple w:instr=" STYLEREF 1 \s ">
        <w:r w:rsidR="007566B9">
          <w:rPr>
            <w:noProof/>
          </w:rPr>
          <w:t>3</w:t>
        </w:r>
      </w:fldSimple>
      <w:r w:rsidR="00D4736F">
        <w:noBreakHyphen/>
      </w:r>
      <w:fldSimple w:instr=" SEQ Equation \* ARABIC \s 1 ">
        <w:r w:rsidR="007566B9">
          <w:rPr>
            <w:noProof/>
          </w:rPr>
          <w:t>1</w:t>
        </w:r>
      </w:fldSimple>
      <w:bookmarkEnd w:id="653"/>
      <w:r w:rsidR="00BB59F5">
        <w:t>.</w:t>
      </w:r>
      <w:r>
        <w:t xml:space="preserve"> C&amp;S New Construction Percentage</w:t>
      </w:r>
    </w:p>
    <w:p w14:paraId="0DAA214A" w14:textId="77777777" w:rsidR="009B5EA8" w:rsidRPr="009B5EA8" w:rsidRDefault="009B5EA8" w:rsidP="009B5EA8"/>
    <w:p w14:paraId="52CBC975" w14:textId="77777777" w:rsidR="006B44D0" w:rsidRDefault="006B44D0" w:rsidP="006B44D0">
      <w:pPr>
        <w:jc w:val="center"/>
      </w:pPr>
      <m:oMathPara>
        <m:oMath>
          <m:r>
            <w:rPr>
              <w:rFonts w:ascii="Cambria Math" w:hAnsi="Cambria Math"/>
            </w:rPr>
            <m:t xml:space="preserve">New Construction Percentage= </m:t>
          </m:r>
          <m:f>
            <m:fPr>
              <m:ctrlPr>
                <w:rPr>
                  <w:rFonts w:ascii="Cambria Math" w:hAnsi="Cambria Math"/>
                  <w:i/>
                </w:rPr>
              </m:ctrlPr>
            </m:fPr>
            <m:num>
              <m:r>
                <w:rPr>
                  <w:rFonts w:ascii="Cambria Math" w:hAnsi="Cambria Math"/>
                </w:rPr>
                <m:t>Sector Population Annual Growth Rate</m:t>
              </m:r>
            </m:num>
            <m:den>
              <m:f>
                <m:fPr>
                  <m:type m:val="skw"/>
                  <m:ctrlPr>
                    <w:rPr>
                      <w:rFonts w:ascii="Cambria Math" w:hAnsi="Cambria Math"/>
                      <w:i/>
                    </w:rPr>
                  </m:ctrlPr>
                </m:fPr>
                <m:num>
                  <m:r>
                    <w:rPr>
                      <w:rFonts w:ascii="Cambria Math" w:hAnsi="Cambria Math"/>
                    </w:rPr>
                    <m:t>1</m:t>
                  </m:r>
                </m:num>
                <m:den>
                  <m:r>
                    <w:rPr>
                      <w:rFonts w:ascii="Cambria Math" w:hAnsi="Cambria Math"/>
                    </w:rPr>
                    <m:t>Measure EUL</m:t>
                  </m:r>
                </m:den>
              </m:f>
            </m:den>
          </m:f>
        </m:oMath>
      </m:oMathPara>
    </w:p>
    <w:p w14:paraId="6EFC6278" w14:textId="77777777" w:rsidR="006B44D0" w:rsidRDefault="006B44D0" w:rsidP="006B44D0"/>
    <w:p w14:paraId="635A950C" w14:textId="77777777" w:rsidR="00FC38CD" w:rsidRDefault="006B44D0" w:rsidP="006B44D0">
      <w:r>
        <w:t>The 201</w:t>
      </w:r>
      <w:r w:rsidR="00682288">
        <w:t>8</w:t>
      </w:r>
      <w:r>
        <w:t xml:space="preserve"> study determined new energy savings estimates for future Title 24 codes</w:t>
      </w:r>
      <w:r w:rsidR="00FB2D51">
        <w:t xml:space="preserve"> in 2019</w:t>
      </w:r>
      <w:r>
        <w:t xml:space="preserve">. </w:t>
      </w:r>
      <w:r w:rsidR="008C5AF6">
        <w:t>The 201</w:t>
      </w:r>
      <w:r w:rsidR="00682288">
        <w:t>8</w:t>
      </w:r>
      <w:r w:rsidR="008C5AF6">
        <w:t xml:space="preserve"> study </w:t>
      </w:r>
      <w:r w:rsidR="00927AEA">
        <w:t>has</w:t>
      </w:r>
      <w:r w:rsidR="008C5AF6">
        <w:t xml:space="preserve"> </w:t>
      </w:r>
      <w:r w:rsidR="00FC38CD">
        <w:t>unit energy savings (UES) inputs for 2013 and 2016 Title 24</w:t>
      </w:r>
      <w:r w:rsidR="00927AEA">
        <w:t xml:space="preserve"> from ISSM and PG&amp;E data sources</w:t>
      </w:r>
      <w:r w:rsidR="00FC38CD">
        <w:t>. The 201</w:t>
      </w:r>
      <w:r w:rsidR="00682288">
        <w:t>8</w:t>
      </w:r>
      <w:r w:rsidR="00FC38CD">
        <w:t xml:space="preserve"> study also had whole building energy use values for 2013, 2016, and 2019 Title 24</w:t>
      </w:r>
      <w:r w:rsidR="00927AEA">
        <w:t xml:space="preserve"> (discussed in further detail in section </w:t>
      </w:r>
      <w:r w:rsidR="00927AEA">
        <w:fldChar w:fldCharType="begin"/>
      </w:r>
      <w:r w:rsidR="00927AEA">
        <w:instrText xml:space="preserve"> REF _Ref478377041 \n \h </w:instrText>
      </w:r>
      <w:r w:rsidR="00927AEA">
        <w:fldChar w:fldCharType="separate"/>
      </w:r>
      <w:r w:rsidR="007566B9">
        <w:t>3.6.1</w:t>
      </w:r>
      <w:r w:rsidR="00927AEA">
        <w:fldChar w:fldCharType="end"/>
      </w:r>
      <w:r w:rsidR="00927AEA">
        <w:t>)</w:t>
      </w:r>
      <w:r w:rsidR="00FC38CD">
        <w:t xml:space="preserve">. </w:t>
      </w:r>
      <w:r w:rsidR="00AA58B2">
        <w:t>The team therefore use</w:t>
      </w:r>
      <w:r w:rsidR="0009749A">
        <w:t>d</w:t>
      </w:r>
      <w:r w:rsidR="00AA58B2">
        <w:t xml:space="preserve"> UES values and ratios of consumption values to estimate </w:t>
      </w:r>
      <w:r w:rsidR="00FC38CD">
        <w:t>2019 Title 24</w:t>
      </w:r>
      <w:r w:rsidR="00AA58B2">
        <w:t xml:space="preserve"> UES for C&amp;S analysis</w:t>
      </w:r>
      <w:r w:rsidR="0009749A">
        <w:t xml:space="preserve"> using </w:t>
      </w:r>
      <w:r w:rsidR="0009749A">
        <w:fldChar w:fldCharType="begin"/>
      </w:r>
      <w:r w:rsidR="0009749A">
        <w:instrText xml:space="preserve"> REF _Ref484165636 \h </w:instrText>
      </w:r>
      <w:r w:rsidR="0009749A">
        <w:fldChar w:fldCharType="separate"/>
      </w:r>
      <w:r w:rsidR="007566B9" w:rsidRPr="009B5EA8">
        <w:t xml:space="preserve">Equation </w:t>
      </w:r>
      <w:r w:rsidR="007566B9">
        <w:rPr>
          <w:noProof/>
        </w:rPr>
        <w:t>3</w:t>
      </w:r>
      <w:r w:rsidR="007566B9" w:rsidRPr="009B5EA8">
        <w:noBreakHyphen/>
      </w:r>
      <w:r w:rsidR="007566B9">
        <w:rPr>
          <w:noProof/>
        </w:rPr>
        <w:t>2</w:t>
      </w:r>
      <w:r w:rsidR="0009749A">
        <w:fldChar w:fldCharType="end"/>
      </w:r>
      <w:r w:rsidR="00AA58B2">
        <w:t>.</w:t>
      </w:r>
    </w:p>
    <w:p w14:paraId="2514C627" w14:textId="77777777" w:rsidR="00FC38CD" w:rsidRDefault="00FC38CD" w:rsidP="006B44D0"/>
    <w:p w14:paraId="29028303" w14:textId="77777777" w:rsidR="005A0BEF" w:rsidRPr="009B5EA8" w:rsidRDefault="005A0BEF" w:rsidP="005A0BEF">
      <w:pPr>
        <w:pStyle w:val="Caption"/>
        <w:rPr>
          <w:color w:val="auto"/>
        </w:rPr>
      </w:pPr>
      <w:bookmarkStart w:id="654" w:name="_Ref484165636"/>
      <w:r w:rsidRPr="009B5EA8">
        <w:rPr>
          <w:color w:val="auto"/>
        </w:rPr>
        <w:t xml:space="preserve">Equation </w:t>
      </w:r>
      <w:r w:rsidR="00D4736F" w:rsidRPr="009B5EA8">
        <w:rPr>
          <w:color w:val="auto"/>
        </w:rPr>
        <w:fldChar w:fldCharType="begin"/>
      </w:r>
      <w:r w:rsidR="00D4736F" w:rsidRPr="009B5EA8">
        <w:rPr>
          <w:color w:val="auto"/>
        </w:rPr>
        <w:instrText xml:space="preserve"> STYLEREF 1 \s </w:instrText>
      </w:r>
      <w:r w:rsidR="00D4736F" w:rsidRPr="009B5EA8">
        <w:rPr>
          <w:color w:val="auto"/>
        </w:rPr>
        <w:fldChar w:fldCharType="separate"/>
      </w:r>
      <w:r w:rsidR="007566B9">
        <w:rPr>
          <w:noProof/>
          <w:color w:val="auto"/>
        </w:rPr>
        <w:t>3</w:t>
      </w:r>
      <w:r w:rsidR="00D4736F" w:rsidRPr="009B5EA8">
        <w:rPr>
          <w:color w:val="auto"/>
        </w:rPr>
        <w:fldChar w:fldCharType="end"/>
      </w:r>
      <w:r w:rsidR="00D4736F" w:rsidRPr="009B5EA8">
        <w:rPr>
          <w:color w:val="auto"/>
        </w:rPr>
        <w:noBreakHyphen/>
      </w:r>
      <w:r w:rsidR="00D4736F" w:rsidRPr="009B5EA8">
        <w:rPr>
          <w:color w:val="auto"/>
        </w:rPr>
        <w:fldChar w:fldCharType="begin"/>
      </w:r>
      <w:r w:rsidR="00D4736F" w:rsidRPr="009B5EA8">
        <w:rPr>
          <w:color w:val="auto"/>
        </w:rPr>
        <w:instrText xml:space="preserve"> SEQ Equation \* ARABIC \s 1 </w:instrText>
      </w:r>
      <w:r w:rsidR="00D4736F" w:rsidRPr="009B5EA8">
        <w:rPr>
          <w:color w:val="auto"/>
        </w:rPr>
        <w:fldChar w:fldCharType="separate"/>
      </w:r>
      <w:r w:rsidR="007566B9">
        <w:rPr>
          <w:noProof/>
          <w:color w:val="auto"/>
        </w:rPr>
        <w:t>2</w:t>
      </w:r>
      <w:r w:rsidR="00D4736F" w:rsidRPr="009B5EA8">
        <w:rPr>
          <w:color w:val="auto"/>
        </w:rPr>
        <w:fldChar w:fldCharType="end"/>
      </w:r>
      <w:bookmarkEnd w:id="654"/>
      <w:r w:rsidR="00BB59F5">
        <w:rPr>
          <w:color w:val="auto"/>
        </w:rPr>
        <w:t>.</w:t>
      </w:r>
      <w:r w:rsidRPr="009B5EA8">
        <w:rPr>
          <w:color w:val="auto"/>
        </w:rPr>
        <w:t xml:space="preserve"> </w:t>
      </w:r>
      <w:r w:rsidR="003F2CAB" w:rsidRPr="009B5EA8">
        <w:rPr>
          <w:color w:val="auto"/>
        </w:rPr>
        <w:t>2019 Unit Energy Savings</w:t>
      </w:r>
    </w:p>
    <w:p w14:paraId="6068D072" w14:textId="77777777" w:rsidR="005A0BEF" w:rsidRPr="009B5EA8" w:rsidRDefault="005A0BEF" w:rsidP="006B44D0"/>
    <w:p w14:paraId="301194C2" w14:textId="77777777" w:rsidR="009B5EA8" w:rsidRPr="009B5EA8" w:rsidRDefault="009B5EA8" w:rsidP="009B5EA8">
      <w:pPr>
        <w:spacing w:after="120"/>
        <w:rPr>
          <w:rFonts w:asciiTheme="minorHAnsi" w:eastAsiaTheme="minorEastAsia" w:hAnsiTheme="minorHAnsi" w:cs="Arial"/>
        </w:rPr>
      </w:pPr>
      <m:oMathPara>
        <m:oMathParaPr>
          <m:jc m:val="center"/>
        </m:oMathParaPr>
        <m:oMath>
          <m:r>
            <w:rPr>
              <w:rFonts w:ascii="Cambria Math" w:hAnsi="Cambria Math"/>
            </w:rPr>
            <m:t>2019 UES=</m:t>
          </m:r>
          <m:f>
            <m:fPr>
              <m:ctrlPr>
                <w:rPr>
                  <w:rFonts w:ascii="Cambria Math" w:eastAsiaTheme="minorHAnsi" w:hAnsi="Cambria Math" w:cstheme="minorBidi"/>
                  <w:i/>
                  <w:sz w:val="22"/>
                  <w:szCs w:val="22"/>
                </w:rPr>
              </m:ctrlPr>
            </m:fPr>
            <m:num>
              <m:r>
                <w:rPr>
                  <w:rFonts w:ascii="Cambria Math" w:hAnsi="Cambria Math"/>
                </w:rPr>
                <m:t>(1-2016%savings)×(2019%savings)</m:t>
              </m:r>
            </m:num>
            <m:den>
              <m:r>
                <w:rPr>
                  <w:rFonts w:ascii="Cambria Math" w:hAnsi="Cambria Math"/>
                </w:rPr>
                <m:t>(2016%savings)</m:t>
              </m:r>
            </m:den>
          </m:f>
          <m:r>
            <w:rPr>
              <w:rFonts w:ascii="Cambria Math" w:hAnsi="Cambria Math"/>
            </w:rPr>
            <m:t>x 2016 UES</m:t>
          </m:r>
        </m:oMath>
      </m:oMathPara>
    </w:p>
    <w:p w14:paraId="2D84AD2C" w14:textId="77777777" w:rsidR="009B5EA8" w:rsidRPr="009B5EA8" w:rsidRDefault="009B5EA8" w:rsidP="009B5EA8">
      <w:pPr>
        <w:pStyle w:val="ListParagraph"/>
        <w:spacing w:after="120"/>
        <w:rPr>
          <w:rFonts w:eastAsiaTheme="minorEastAsia" w:cs="Arial"/>
        </w:rPr>
      </w:pPr>
      <w:r w:rsidRPr="009B5EA8">
        <w:rPr>
          <w:rFonts w:eastAsiaTheme="minorEastAsia" w:cs="Arial"/>
        </w:rPr>
        <w:t xml:space="preserve">Where </w:t>
      </w:r>
    </w:p>
    <w:p w14:paraId="55F42A87" w14:textId="77777777" w:rsidR="009B5EA8" w:rsidRPr="009B5EA8" w:rsidRDefault="009B5EA8" w:rsidP="009B5EA8">
      <w:pPr>
        <w:pStyle w:val="ListParagraph"/>
        <w:spacing w:after="120"/>
        <w:ind w:left="1440"/>
        <w:rPr>
          <w:rFonts w:eastAsiaTheme="minorEastAsia" w:cs="Arial"/>
        </w:rPr>
      </w:pPr>
      <w:r w:rsidRPr="009B5EA8">
        <w:rPr>
          <w:rFonts w:eastAsiaTheme="minorEastAsia" w:cs="Arial"/>
          <w:i/>
        </w:rPr>
        <w:t>2019%savings</w:t>
      </w:r>
      <w:r w:rsidRPr="009B5EA8">
        <w:rPr>
          <w:rFonts w:eastAsiaTheme="minorEastAsia" w:cs="Arial"/>
        </w:rPr>
        <w:t xml:space="preserve"> = expected percent savings of a 2019 T24-compliant relative to a 2016 T24-compliant building</w:t>
      </w:r>
    </w:p>
    <w:p w14:paraId="13106A11" w14:textId="77777777" w:rsidR="009B5EA8" w:rsidRPr="009B5EA8" w:rsidRDefault="009B5EA8" w:rsidP="009B5EA8">
      <w:pPr>
        <w:pStyle w:val="ListParagraph"/>
        <w:spacing w:after="120"/>
        <w:ind w:left="1440"/>
        <w:rPr>
          <w:rFonts w:eastAsiaTheme="minorEastAsia" w:cs="Arial"/>
        </w:rPr>
      </w:pPr>
      <w:r w:rsidRPr="009B5EA8">
        <w:rPr>
          <w:rFonts w:eastAsiaTheme="minorEastAsia" w:cs="Arial"/>
          <w:i/>
        </w:rPr>
        <w:t>2016%savings</w:t>
      </w:r>
      <w:r w:rsidRPr="009B5EA8">
        <w:rPr>
          <w:rFonts w:eastAsiaTheme="minorEastAsia" w:cs="Arial"/>
        </w:rPr>
        <w:t xml:space="preserve"> = expected percent savings of a 2016 T24-compliant relative to a 2013 T24-compliant building</w:t>
      </w:r>
    </w:p>
    <w:p w14:paraId="77C1CCAA" w14:textId="77777777" w:rsidR="009B5EA8" w:rsidRDefault="00702E97" w:rsidP="006B44D0">
      <w:r>
        <w:fldChar w:fldCharType="begin"/>
      </w:r>
      <w:r>
        <w:instrText xml:space="preserve"> REF _Ref490228490 \h </w:instrText>
      </w:r>
      <w:r>
        <w:fldChar w:fldCharType="separate"/>
      </w:r>
      <w:r>
        <w:t xml:space="preserve">Table </w:t>
      </w:r>
      <w:r>
        <w:rPr>
          <w:noProof/>
        </w:rPr>
        <w:t>3</w:t>
      </w:r>
      <w:r>
        <w:noBreakHyphen/>
      </w:r>
      <w:r>
        <w:rPr>
          <w:noProof/>
        </w:rPr>
        <w:t>26</w:t>
      </w:r>
      <w:r>
        <w:fldChar w:fldCharType="end"/>
      </w:r>
      <w:r>
        <w:t xml:space="preserve"> </w:t>
      </w:r>
      <w:r w:rsidR="00E172AA">
        <w:t xml:space="preserve">shows the savings percentages used in </w:t>
      </w:r>
      <w:r w:rsidR="00E172AA">
        <w:fldChar w:fldCharType="begin"/>
      </w:r>
      <w:r w:rsidR="00E172AA">
        <w:instrText xml:space="preserve"> REF _Ref484165636 \h </w:instrText>
      </w:r>
      <w:r w:rsidR="00E172AA">
        <w:fldChar w:fldCharType="separate"/>
      </w:r>
      <w:r w:rsidR="007566B9" w:rsidRPr="009B5EA8">
        <w:t xml:space="preserve">Equation </w:t>
      </w:r>
      <w:r w:rsidR="007566B9">
        <w:rPr>
          <w:noProof/>
        </w:rPr>
        <w:t>3</w:t>
      </w:r>
      <w:r w:rsidR="007566B9" w:rsidRPr="009B5EA8">
        <w:noBreakHyphen/>
      </w:r>
      <w:r w:rsidR="007566B9">
        <w:rPr>
          <w:noProof/>
        </w:rPr>
        <w:t>2</w:t>
      </w:r>
      <w:r w:rsidR="00E172AA">
        <w:fldChar w:fldCharType="end"/>
      </w:r>
      <w:r w:rsidR="00E172AA">
        <w:t>.</w:t>
      </w:r>
    </w:p>
    <w:p w14:paraId="60D58254" w14:textId="77777777" w:rsidR="00E172AA" w:rsidRDefault="00E172AA" w:rsidP="006B44D0"/>
    <w:p w14:paraId="79F5B1FE" w14:textId="77777777" w:rsidR="00E172AA" w:rsidRPr="00B00224" w:rsidRDefault="00E172AA" w:rsidP="00E172AA">
      <w:pPr>
        <w:pStyle w:val="Caption"/>
        <w:widowControl w:val="0"/>
      </w:pPr>
      <w:bookmarkStart w:id="655" w:name="_Ref487121000"/>
      <w:bookmarkStart w:id="656" w:name="_Ref490228490"/>
      <w:bookmarkStart w:id="657" w:name="_Toc490560684"/>
      <w:r>
        <w:lastRenderedPageBreak/>
        <w:t xml:space="preserve">Table </w:t>
      </w:r>
      <w:fldSimple w:instr=" STYLEREF 1 \s ">
        <w:r w:rsidR="007566B9">
          <w:rPr>
            <w:noProof/>
          </w:rPr>
          <w:t>3</w:t>
        </w:r>
      </w:fldSimple>
      <w:r w:rsidR="0078697B">
        <w:noBreakHyphen/>
      </w:r>
      <w:bookmarkEnd w:id="655"/>
      <w:r w:rsidR="00B206D8">
        <w:fldChar w:fldCharType="begin"/>
      </w:r>
      <w:r w:rsidR="00B206D8">
        <w:instrText xml:space="preserve"> SEQ Table \* ARABIC \s 1 </w:instrText>
      </w:r>
      <w:r w:rsidR="00B206D8">
        <w:fldChar w:fldCharType="separate"/>
      </w:r>
      <w:r w:rsidR="007566B9">
        <w:rPr>
          <w:noProof/>
        </w:rPr>
        <w:t>26</w:t>
      </w:r>
      <w:r w:rsidR="00B206D8">
        <w:rPr>
          <w:noProof/>
        </w:rPr>
        <w:fldChar w:fldCharType="end"/>
      </w:r>
      <w:bookmarkEnd w:id="656"/>
      <w:r>
        <w:t xml:space="preserve"> 2016 and 2019 Savings Percentages</w:t>
      </w:r>
      <w:bookmarkEnd w:id="657"/>
    </w:p>
    <w:p w14:paraId="61BA698A" w14:textId="77777777" w:rsidR="00E172AA" w:rsidRDefault="00E172AA" w:rsidP="00E172AA">
      <w:pPr>
        <w:keepNext/>
        <w:widowControl w:val="0"/>
        <w:overflowPunct w:val="0"/>
        <w:autoSpaceDE w:val="0"/>
        <w:autoSpaceDN w:val="0"/>
        <w:spacing w:before="4"/>
        <w:rPr>
          <w:b/>
          <w:bCs/>
          <w:sz w:val="3"/>
          <w:szCs w:val="3"/>
        </w:rPr>
      </w:pPr>
    </w:p>
    <w:tbl>
      <w:tblPr>
        <w:tblStyle w:val="EnergyTable1"/>
        <w:tblW w:w="0" w:type="auto"/>
        <w:tblLook w:val="04A0" w:firstRow="1" w:lastRow="0" w:firstColumn="1" w:lastColumn="0" w:noHBand="0" w:noVBand="1"/>
      </w:tblPr>
      <w:tblGrid>
        <w:gridCol w:w="2069"/>
        <w:gridCol w:w="2905"/>
        <w:gridCol w:w="2110"/>
        <w:gridCol w:w="2276"/>
      </w:tblGrid>
      <w:tr w:rsidR="002544A3" w:rsidRPr="00483510" w14:paraId="3EC62AE3" w14:textId="77777777" w:rsidTr="00E172AA">
        <w:trPr>
          <w:cnfStyle w:val="100000000000" w:firstRow="1" w:lastRow="0" w:firstColumn="0" w:lastColumn="0" w:oddVBand="0" w:evenVBand="0" w:oddHBand="0" w:evenHBand="0" w:firstRowFirstColumn="0" w:firstRowLastColumn="0" w:lastRowFirstColumn="0" w:lastRowLastColumn="0"/>
          <w:trHeight w:hRule="exact" w:val="578"/>
        </w:trPr>
        <w:tc>
          <w:tcPr>
            <w:cnfStyle w:val="001000000000" w:firstRow="0" w:lastRow="0" w:firstColumn="1" w:lastColumn="0" w:oddVBand="0" w:evenVBand="0" w:oddHBand="0" w:evenHBand="0" w:firstRowFirstColumn="0" w:firstRowLastColumn="0" w:lastRowFirstColumn="0" w:lastRowLastColumn="0"/>
            <w:tcW w:w="2069" w:type="dxa"/>
            <w:hideMark/>
          </w:tcPr>
          <w:p w14:paraId="476FAE2C" w14:textId="77777777" w:rsidR="00E172AA" w:rsidRPr="00483510" w:rsidRDefault="00E172AA" w:rsidP="00B70DF8">
            <w:pPr>
              <w:keepNext/>
              <w:widowControl w:val="0"/>
              <w:overflowPunct w:val="0"/>
              <w:autoSpaceDE w:val="0"/>
              <w:autoSpaceDN w:val="0"/>
              <w:spacing w:before="25"/>
              <w:rPr>
                <w:rFonts w:ascii="Arial Narrow" w:hAnsi="Arial Narrow"/>
                <w:sz w:val="18"/>
                <w:szCs w:val="18"/>
              </w:rPr>
            </w:pPr>
            <w:r>
              <w:rPr>
                <w:rFonts w:ascii="Arial Narrow" w:hAnsi="Arial Narrow"/>
                <w:bCs/>
                <w:sz w:val="18"/>
                <w:szCs w:val="18"/>
              </w:rPr>
              <w:t>Building Type</w:t>
            </w:r>
          </w:p>
        </w:tc>
        <w:tc>
          <w:tcPr>
            <w:tcW w:w="2905" w:type="dxa"/>
            <w:hideMark/>
          </w:tcPr>
          <w:p w14:paraId="22799C10" w14:textId="77777777" w:rsidR="00E172AA" w:rsidRPr="00483510" w:rsidRDefault="00E172AA" w:rsidP="00B70DF8">
            <w:pPr>
              <w:keepNext/>
              <w:widowControl w:val="0"/>
              <w:overflowPunct w:val="0"/>
              <w:autoSpaceDE w:val="0"/>
              <w:autoSpaceDN w:val="0"/>
              <w:spacing w:before="25"/>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bCs/>
                <w:sz w:val="18"/>
                <w:szCs w:val="18"/>
              </w:rPr>
              <w:t>Impact Type</w:t>
            </w:r>
          </w:p>
        </w:tc>
        <w:tc>
          <w:tcPr>
            <w:tcW w:w="2110" w:type="dxa"/>
          </w:tcPr>
          <w:p w14:paraId="2E64CFA1" w14:textId="77777777" w:rsidR="00E172AA" w:rsidRDefault="00E172AA" w:rsidP="00B70DF8">
            <w:pPr>
              <w:keepNext/>
              <w:widowControl w:val="0"/>
              <w:overflowPunct w:val="0"/>
              <w:autoSpaceDE w:val="0"/>
              <w:autoSpaceDN w:val="0"/>
              <w:spacing w:before="25"/>
              <w:ind w:left="5"/>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r>
              <w:rPr>
                <w:rFonts w:ascii="Arial Narrow" w:hAnsi="Arial Narrow"/>
                <w:bCs/>
                <w:sz w:val="18"/>
                <w:szCs w:val="18"/>
              </w:rPr>
              <w:t>Year</w:t>
            </w:r>
          </w:p>
        </w:tc>
        <w:tc>
          <w:tcPr>
            <w:tcW w:w="2276" w:type="dxa"/>
            <w:hideMark/>
          </w:tcPr>
          <w:p w14:paraId="6C7E27B5" w14:textId="77777777" w:rsidR="00E172AA" w:rsidRPr="00483510" w:rsidRDefault="00E172AA" w:rsidP="00B70DF8">
            <w:pPr>
              <w:keepNext/>
              <w:widowControl w:val="0"/>
              <w:overflowPunct w:val="0"/>
              <w:autoSpaceDE w:val="0"/>
              <w:autoSpaceDN w:val="0"/>
              <w:spacing w:before="25"/>
              <w:ind w:left="5"/>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bCs/>
                <w:sz w:val="18"/>
                <w:szCs w:val="18"/>
              </w:rPr>
              <w:t>Savings Percentage</w:t>
            </w:r>
          </w:p>
        </w:tc>
      </w:tr>
      <w:tr w:rsidR="00E172AA" w:rsidRPr="00483510" w14:paraId="3D2A413C" w14:textId="77777777" w:rsidTr="00AF21BE">
        <w:trPr>
          <w:cnfStyle w:val="000000100000" w:firstRow="0" w:lastRow="0" w:firstColumn="0" w:lastColumn="0" w:oddVBand="0" w:evenVBand="0" w:oddHBand="1" w:evenHBand="0"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0" w:type="dxa"/>
            <w:hideMark/>
          </w:tcPr>
          <w:p w14:paraId="5368221A" w14:textId="77777777" w:rsidR="00E172AA" w:rsidRPr="00483510" w:rsidRDefault="00E172AA" w:rsidP="00B70DF8">
            <w:pPr>
              <w:keepNext/>
              <w:widowControl w:val="0"/>
              <w:overflowPunct w:val="0"/>
              <w:autoSpaceDE w:val="0"/>
              <w:autoSpaceDN w:val="0"/>
              <w:spacing w:before="25"/>
              <w:rPr>
                <w:rFonts w:ascii="Arial Narrow" w:hAnsi="Arial Narrow"/>
                <w:spacing w:val="-1"/>
                <w:sz w:val="18"/>
                <w:szCs w:val="18"/>
              </w:rPr>
            </w:pPr>
            <w:r>
              <w:rPr>
                <w:rFonts w:ascii="Arial Narrow" w:hAnsi="Arial Narrow"/>
                <w:spacing w:val="-1"/>
                <w:sz w:val="18"/>
                <w:szCs w:val="18"/>
              </w:rPr>
              <w:t>Residential Multi Family</w:t>
            </w:r>
          </w:p>
        </w:tc>
        <w:tc>
          <w:tcPr>
            <w:tcW w:w="0" w:type="dxa"/>
            <w:hideMark/>
          </w:tcPr>
          <w:p w14:paraId="5CF11EE7" w14:textId="77777777" w:rsidR="00E172AA" w:rsidRPr="00483510" w:rsidRDefault="00E172AA" w:rsidP="00B70DF8">
            <w:pPr>
              <w:keepNext/>
              <w:widowControl w:val="0"/>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Electric Energy (kWh/year)</w:t>
            </w:r>
          </w:p>
        </w:tc>
        <w:tc>
          <w:tcPr>
            <w:tcW w:w="0" w:type="dxa"/>
          </w:tcPr>
          <w:p w14:paraId="293B6D7E" w14:textId="77777777" w:rsidR="00E172AA" w:rsidRPr="00483510" w:rsidRDefault="00E172AA" w:rsidP="00B70DF8">
            <w:pPr>
              <w:keepNext/>
              <w:widowControl w:val="0"/>
              <w:overflowPunct w:val="0"/>
              <w:autoSpaceDE w:val="0"/>
              <w:autoSpaceDN w:val="0"/>
              <w:spacing w:before="25"/>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2016</w:t>
            </w:r>
          </w:p>
        </w:tc>
        <w:tc>
          <w:tcPr>
            <w:tcW w:w="0" w:type="dxa"/>
            <w:hideMark/>
          </w:tcPr>
          <w:p w14:paraId="67E451FD" w14:textId="77777777" w:rsidR="00E172AA" w:rsidRPr="00483510" w:rsidRDefault="00E172AA" w:rsidP="00B70DF8">
            <w:pPr>
              <w:keepNext/>
              <w:widowControl w:val="0"/>
              <w:overflowPunct w:val="0"/>
              <w:autoSpaceDE w:val="0"/>
              <w:autoSpaceDN w:val="0"/>
              <w:spacing w:before="25"/>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34.5%</w:t>
            </w:r>
          </w:p>
        </w:tc>
      </w:tr>
      <w:tr w:rsidR="00E172AA" w:rsidRPr="00483510" w14:paraId="1399962D" w14:textId="77777777" w:rsidTr="00AF21BE">
        <w:trPr>
          <w:cnfStyle w:val="000000010000" w:firstRow="0" w:lastRow="0" w:firstColumn="0" w:lastColumn="0" w:oddVBand="0" w:evenVBand="0" w:oddHBand="0" w:evenHBand="1"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0" w:type="dxa"/>
          </w:tcPr>
          <w:p w14:paraId="19156AF9" w14:textId="77777777" w:rsidR="00E172AA" w:rsidRPr="00483510" w:rsidRDefault="00E172AA" w:rsidP="00E172AA">
            <w:pPr>
              <w:keepNext/>
              <w:widowControl w:val="0"/>
              <w:overflowPunct w:val="0"/>
              <w:autoSpaceDE w:val="0"/>
              <w:autoSpaceDN w:val="0"/>
              <w:spacing w:before="25"/>
              <w:rPr>
                <w:rFonts w:ascii="Arial Narrow" w:hAnsi="Arial Narrow"/>
                <w:spacing w:val="-1"/>
                <w:sz w:val="18"/>
                <w:szCs w:val="18"/>
              </w:rPr>
            </w:pPr>
            <w:r>
              <w:rPr>
                <w:rFonts w:ascii="Arial Narrow" w:hAnsi="Arial Narrow"/>
                <w:spacing w:val="-1"/>
                <w:sz w:val="18"/>
                <w:szCs w:val="18"/>
              </w:rPr>
              <w:t>Residential Multi Family</w:t>
            </w:r>
          </w:p>
        </w:tc>
        <w:tc>
          <w:tcPr>
            <w:tcW w:w="0" w:type="dxa"/>
          </w:tcPr>
          <w:p w14:paraId="65B59391" w14:textId="77777777" w:rsidR="00E172AA" w:rsidRPr="00483510" w:rsidRDefault="00E172AA" w:rsidP="00E172AA">
            <w:pPr>
              <w:keepNext/>
              <w:widowControl w:val="0"/>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Electric Energy (kWh/year)</w:t>
            </w:r>
          </w:p>
        </w:tc>
        <w:tc>
          <w:tcPr>
            <w:tcW w:w="0" w:type="dxa"/>
          </w:tcPr>
          <w:p w14:paraId="01EB1BF6" w14:textId="77777777" w:rsidR="00E172AA" w:rsidRPr="00483510" w:rsidRDefault="00E172AA" w:rsidP="00E172AA">
            <w:pPr>
              <w:keepNext/>
              <w:widowControl w:val="0"/>
              <w:overflowPunct w:val="0"/>
              <w:autoSpaceDE w:val="0"/>
              <w:autoSpaceDN w:val="0"/>
              <w:spacing w:before="25"/>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2019</w:t>
            </w:r>
          </w:p>
        </w:tc>
        <w:tc>
          <w:tcPr>
            <w:tcW w:w="0" w:type="dxa"/>
          </w:tcPr>
          <w:p w14:paraId="339C70A1" w14:textId="77777777" w:rsidR="00E172AA" w:rsidRPr="00483510" w:rsidRDefault="00E172AA" w:rsidP="00E172AA">
            <w:pPr>
              <w:keepNext/>
              <w:widowControl w:val="0"/>
              <w:overflowPunct w:val="0"/>
              <w:autoSpaceDE w:val="0"/>
              <w:autoSpaceDN w:val="0"/>
              <w:spacing w:before="25"/>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10%</w:t>
            </w:r>
          </w:p>
        </w:tc>
      </w:tr>
      <w:tr w:rsidR="00E172AA" w:rsidRPr="00483510" w14:paraId="543A4D38" w14:textId="77777777" w:rsidTr="00AF21BE">
        <w:trPr>
          <w:cnfStyle w:val="000000100000" w:firstRow="0" w:lastRow="0" w:firstColumn="0" w:lastColumn="0" w:oddVBand="0" w:evenVBand="0" w:oddHBand="1" w:evenHBand="0"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0" w:type="dxa"/>
          </w:tcPr>
          <w:p w14:paraId="062303FC" w14:textId="77777777" w:rsidR="00E172AA" w:rsidRPr="00483510" w:rsidRDefault="00E172AA" w:rsidP="00E172AA">
            <w:pPr>
              <w:keepNext/>
              <w:widowControl w:val="0"/>
              <w:overflowPunct w:val="0"/>
              <w:autoSpaceDE w:val="0"/>
              <w:autoSpaceDN w:val="0"/>
              <w:spacing w:before="25"/>
              <w:rPr>
                <w:rFonts w:ascii="Arial Narrow" w:hAnsi="Arial Narrow"/>
                <w:spacing w:val="-1"/>
                <w:sz w:val="18"/>
                <w:szCs w:val="18"/>
              </w:rPr>
            </w:pPr>
            <w:r>
              <w:rPr>
                <w:rFonts w:ascii="Arial Narrow" w:hAnsi="Arial Narrow"/>
                <w:spacing w:val="-1"/>
                <w:sz w:val="18"/>
                <w:szCs w:val="18"/>
              </w:rPr>
              <w:t>Residential Multi Family</w:t>
            </w:r>
          </w:p>
        </w:tc>
        <w:tc>
          <w:tcPr>
            <w:tcW w:w="0" w:type="dxa"/>
          </w:tcPr>
          <w:p w14:paraId="085C808A" w14:textId="77777777" w:rsidR="00E172AA" w:rsidRPr="00483510" w:rsidRDefault="00E172AA" w:rsidP="00E172AA">
            <w:pPr>
              <w:keepNext/>
              <w:widowControl w:val="0"/>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Electric Demand (kW)</w:t>
            </w:r>
          </w:p>
        </w:tc>
        <w:tc>
          <w:tcPr>
            <w:tcW w:w="0" w:type="dxa"/>
          </w:tcPr>
          <w:p w14:paraId="5FBBE521" w14:textId="77777777" w:rsidR="00E172AA" w:rsidRPr="00483510" w:rsidRDefault="00E172AA" w:rsidP="00E172AA">
            <w:pPr>
              <w:keepNext/>
              <w:widowControl w:val="0"/>
              <w:overflowPunct w:val="0"/>
              <w:autoSpaceDE w:val="0"/>
              <w:autoSpaceDN w:val="0"/>
              <w:spacing w:before="25"/>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2016</w:t>
            </w:r>
          </w:p>
        </w:tc>
        <w:tc>
          <w:tcPr>
            <w:tcW w:w="0" w:type="dxa"/>
          </w:tcPr>
          <w:p w14:paraId="46520944" w14:textId="77777777" w:rsidR="00E172AA" w:rsidRPr="00483510" w:rsidRDefault="00E172AA" w:rsidP="00E172AA">
            <w:pPr>
              <w:keepNext/>
              <w:widowControl w:val="0"/>
              <w:overflowPunct w:val="0"/>
              <w:autoSpaceDE w:val="0"/>
              <w:autoSpaceDN w:val="0"/>
              <w:spacing w:before="25"/>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27.3%</w:t>
            </w:r>
          </w:p>
        </w:tc>
      </w:tr>
      <w:tr w:rsidR="00E172AA" w:rsidRPr="00483510" w14:paraId="40D99297" w14:textId="77777777" w:rsidTr="00AF21BE">
        <w:trPr>
          <w:cnfStyle w:val="000000010000" w:firstRow="0" w:lastRow="0" w:firstColumn="0" w:lastColumn="0" w:oddVBand="0" w:evenVBand="0" w:oddHBand="0" w:evenHBand="1"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0" w:type="dxa"/>
          </w:tcPr>
          <w:p w14:paraId="5BB13D2D" w14:textId="77777777" w:rsidR="00E172AA" w:rsidRPr="00483510" w:rsidRDefault="00E172AA" w:rsidP="00E172AA">
            <w:pPr>
              <w:keepNext/>
              <w:widowControl w:val="0"/>
              <w:overflowPunct w:val="0"/>
              <w:autoSpaceDE w:val="0"/>
              <w:autoSpaceDN w:val="0"/>
              <w:spacing w:before="25"/>
              <w:rPr>
                <w:rFonts w:ascii="Arial Narrow" w:hAnsi="Arial Narrow"/>
                <w:spacing w:val="-1"/>
                <w:sz w:val="18"/>
                <w:szCs w:val="18"/>
              </w:rPr>
            </w:pPr>
            <w:r>
              <w:rPr>
                <w:rFonts w:ascii="Arial Narrow" w:hAnsi="Arial Narrow"/>
                <w:spacing w:val="-1"/>
                <w:sz w:val="18"/>
                <w:szCs w:val="18"/>
              </w:rPr>
              <w:t>Residential Multi Family</w:t>
            </w:r>
          </w:p>
        </w:tc>
        <w:tc>
          <w:tcPr>
            <w:tcW w:w="0" w:type="dxa"/>
          </w:tcPr>
          <w:p w14:paraId="3984CD67" w14:textId="77777777" w:rsidR="00E172AA" w:rsidRPr="00483510" w:rsidRDefault="00E172AA" w:rsidP="00E172AA">
            <w:pPr>
              <w:keepNext/>
              <w:widowControl w:val="0"/>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Electric Demand (kW)</w:t>
            </w:r>
          </w:p>
        </w:tc>
        <w:tc>
          <w:tcPr>
            <w:tcW w:w="0" w:type="dxa"/>
          </w:tcPr>
          <w:p w14:paraId="36C8AB08" w14:textId="77777777" w:rsidR="00E172AA" w:rsidRPr="00483510" w:rsidRDefault="00E172AA" w:rsidP="00E172AA">
            <w:pPr>
              <w:keepNext/>
              <w:widowControl w:val="0"/>
              <w:overflowPunct w:val="0"/>
              <w:autoSpaceDE w:val="0"/>
              <w:autoSpaceDN w:val="0"/>
              <w:spacing w:before="25"/>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2019</w:t>
            </w:r>
          </w:p>
        </w:tc>
        <w:tc>
          <w:tcPr>
            <w:tcW w:w="0" w:type="dxa"/>
          </w:tcPr>
          <w:p w14:paraId="4B5617BD" w14:textId="77777777" w:rsidR="00E172AA" w:rsidRPr="00483510" w:rsidRDefault="00E172AA" w:rsidP="00E172AA">
            <w:pPr>
              <w:keepNext/>
              <w:widowControl w:val="0"/>
              <w:overflowPunct w:val="0"/>
              <w:autoSpaceDE w:val="0"/>
              <w:autoSpaceDN w:val="0"/>
              <w:spacing w:before="25"/>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10%</w:t>
            </w:r>
          </w:p>
        </w:tc>
      </w:tr>
      <w:tr w:rsidR="00E172AA" w:rsidRPr="00483510" w14:paraId="08A57E8D" w14:textId="77777777" w:rsidTr="00AF21BE">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0" w:type="dxa"/>
          </w:tcPr>
          <w:p w14:paraId="75D97807" w14:textId="77777777" w:rsidR="00E172AA" w:rsidRPr="00483510" w:rsidRDefault="00E172AA" w:rsidP="00E172AA">
            <w:pPr>
              <w:keepNext/>
              <w:widowControl w:val="0"/>
              <w:overflowPunct w:val="0"/>
              <w:autoSpaceDE w:val="0"/>
              <w:autoSpaceDN w:val="0"/>
              <w:spacing w:before="25"/>
              <w:rPr>
                <w:rFonts w:ascii="Arial Narrow" w:hAnsi="Arial Narrow"/>
                <w:spacing w:val="-1"/>
                <w:sz w:val="18"/>
                <w:szCs w:val="18"/>
              </w:rPr>
            </w:pPr>
            <w:r>
              <w:rPr>
                <w:rFonts w:ascii="Arial Narrow" w:hAnsi="Arial Narrow"/>
                <w:spacing w:val="-1"/>
                <w:sz w:val="18"/>
                <w:szCs w:val="18"/>
              </w:rPr>
              <w:t>Residential Multi Family</w:t>
            </w:r>
          </w:p>
        </w:tc>
        <w:tc>
          <w:tcPr>
            <w:tcW w:w="0" w:type="dxa"/>
          </w:tcPr>
          <w:p w14:paraId="32DEA831" w14:textId="77777777" w:rsidR="00E172AA" w:rsidRPr="00483510" w:rsidRDefault="00E172AA" w:rsidP="00E172AA">
            <w:pPr>
              <w:keepNext/>
              <w:widowControl w:val="0"/>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Gas Energy (Therms/year)</w:t>
            </w:r>
          </w:p>
        </w:tc>
        <w:tc>
          <w:tcPr>
            <w:tcW w:w="0" w:type="dxa"/>
          </w:tcPr>
          <w:p w14:paraId="22E73F30" w14:textId="77777777" w:rsidR="00E172AA" w:rsidRPr="00483510" w:rsidRDefault="00E172AA" w:rsidP="00E172AA">
            <w:pPr>
              <w:keepNext/>
              <w:widowControl w:val="0"/>
              <w:overflowPunct w:val="0"/>
              <w:autoSpaceDE w:val="0"/>
              <w:autoSpaceDN w:val="0"/>
              <w:spacing w:before="25"/>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2016</w:t>
            </w:r>
          </w:p>
        </w:tc>
        <w:tc>
          <w:tcPr>
            <w:tcW w:w="0" w:type="dxa"/>
          </w:tcPr>
          <w:p w14:paraId="1C6FD0AF" w14:textId="77777777" w:rsidR="00E172AA" w:rsidRPr="00483510" w:rsidRDefault="00E172AA" w:rsidP="00E172AA">
            <w:pPr>
              <w:keepNext/>
              <w:widowControl w:val="0"/>
              <w:overflowPunct w:val="0"/>
              <w:autoSpaceDE w:val="0"/>
              <w:autoSpaceDN w:val="0"/>
              <w:spacing w:before="25"/>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31.2%</w:t>
            </w:r>
          </w:p>
        </w:tc>
      </w:tr>
      <w:tr w:rsidR="00E172AA" w:rsidRPr="00483510" w14:paraId="5A39802B" w14:textId="77777777" w:rsidTr="00AF21BE">
        <w:trPr>
          <w:cnfStyle w:val="000000010000" w:firstRow="0" w:lastRow="0" w:firstColumn="0" w:lastColumn="0" w:oddVBand="0" w:evenVBand="0" w:oddHBand="0" w:evenHBand="1"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0" w:type="dxa"/>
          </w:tcPr>
          <w:p w14:paraId="4FF4AACF" w14:textId="77777777" w:rsidR="00E172AA" w:rsidRPr="00483510" w:rsidRDefault="00E172AA" w:rsidP="00E172AA">
            <w:pPr>
              <w:keepNext/>
              <w:widowControl w:val="0"/>
              <w:overflowPunct w:val="0"/>
              <w:autoSpaceDE w:val="0"/>
              <w:autoSpaceDN w:val="0"/>
              <w:spacing w:before="25"/>
              <w:rPr>
                <w:rFonts w:ascii="Arial Narrow" w:hAnsi="Arial Narrow"/>
                <w:spacing w:val="-1"/>
                <w:sz w:val="18"/>
                <w:szCs w:val="18"/>
              </w:rPr>
            </w:pPr>
            <w:r>
              <w:rPr>
                <w:rFonts w:ascii="Arial Narrow" w:hAnsi="Arial Narrow"/>
                <w:spacing w:val="-1"/>
                <w:sz w:val="18"/>
                <w:szCs w:val="18"/>
              </w:rPr>
              <w:t>Residential Multi Family</w:t>
            </w:r>
          </w:p>
        </w:tc>
        <w:tc>
          <w:tcPr>
            <w:tcW w:w="0" w:type="dxa"/>
          </w:tcPr>
          <w:p w14:paraId="78499AE4" w14:textId="77777777" w:rsidR="00E172AA" w:rsidRPr="00483510" w:rsidRDefault="00E172AA" w:rsidP="00E172AA">
            <w:pPr>
              <w:keepNext/>
              <w:widowControl w:val="0"/>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Gas Energy (Therms/year)</w:t>
            </w:r>
          </w:p>
        </w:tc>
        <w:tc>
          <w:tcPr>
            <w:tcW w:w="0" w:type="dxa"/>
          </w:tcPr>
          <w:p w14:paraId="3AC818E9" w14:textId="77777777" w:rsidR="00E172AA" w:rsidRPr="00483510" w:rsidRDefault="00E172AA" w:rsidP="00E172AA">
            <w:pPr>
              <w:keepNext/>
              <w:widowControl w:val="0"/>
              <w:overflowPunct w:val="0"/>
              <w:autoSpaceDE w:val="0"/>
              <w:autoSpaceDN w:val="0"/>
              <w:spacing w:before="25"/>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2019</w:t>
            </w:r>
          </w:p>
        </w:tc>
        <w:tc>
          <w:tcPr>
            <w:tcW w:w="0" w:type="dxa"/>
          </w:tcPr>
          <w:p w14:paraId="297074B1" w14:textId="77777777" w:rsidR="00E172AA" w:rsidRPr="00483510" w:rsidRDefault="00E172AA" w:rsidP="00E172AA">
            <w:pPr>
              <w:keepNext/>
              <w:widowControl w:val="0"/>
              <w:overflowPunct w:val="0"/>
              <w:autoSpaceDE w:val="0"/>
              <w:autoSpaceDN w:val="0"/>
              <w:spacing w:before="25"/>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10%</w:t>
            </w:r>
          </w:p>
        </w:tc>
      </w:tr>
      <w:tr w:rsidR="00E172AA" w:rsidRPr="00483510" w14:paraId="18F1E072" w14:textId="77777777" w:rsidTr="00AF21BE">
        <w:trPr>
          <w:cnfStyle w:val="000000100000" w:firstRow="0" w:lastRow="0" w:firstColumn="0" w:lastColumn="0" w:oddVBand="0" w:evenVBand="0" w:oddHBand="1" w:evenHBand="0"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0" w:type="dxa"/>
          </w:tcPr>
          <w:p w14:paraId="6AF6D19A" w14:textId="77777777" w:rsidR="00E172AA" w:rsidRPr="00483510" w:rsidRDefault="00E172AA" w:rsidP="00544748">
            <w:pPr>
              <w:keepNext/>
              <w:widowControl w:val="0"/>
              <w:overflowPunct w:val="0"/>
              <w:autoSpaceDE w:val="0"/>
              <w:autoSpaceDN w:val="0"/>
              <w:spacing w:before="27"/>
              <w:rPr>
                <w:rFonts w:ascii="Arial Narrow" w:hAnsi="Arial Narrow"/>
                <w:spacing w:val="-1"/>
                <w:sz w:val="18"/>
                <w:szCs w:val="18"/>
              </w:rPr>
            </w:pPr>
            <w:r>
              <w:rPr>
                <w:rFonts w:ascii="Arial Narrow" w:hAnsi="Arial Narrow"/>
                <w:spacing w:val="-1"/>
                <w:sz w:val="18"/>
                <w:szCs w:val="18"/>
              </w:rPr>
              <w:t>Residential Single Family</w:t>
            </w:r>
          </w:p>
        </w:tc>
        <w:tc>
          <w:tcPr>
            <w:tcW w:w="0" w:type="dxa"/>
          </w:tcPr>
          <w:p w14:paraId="19D3F4F0" w14:textId="77777777" w:rsidR="00E172AA" w:rsidRPr="00483510" w:rsidRDefault="00E172AA" w:rsidP="00E172AA">
            <w:pPr>
              <w:keepNext/>
              <w:widowControl w:val="0"/>
              <w:overflowPunct w:val="0"/>
              <w:autoSpaceDE w:val="0"/>
              <w:autoSpaceDN w:val="0"/>
              <w:spacing w:before="27"/>
              <w:ind w:right="1"/>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Electric Energy (kWh/year)</w:t>
            </w:r>
          </w:p>
        </w:tc>
        <w:tc>
          <w:tcPr>
            <w:tcW w:w="0" w:type="dxa"/>
          </w:tcPr>
          <w:p w14:paraId="7368558E" w14:textId="77777777" w:rsidR="00E172AA" w:rsidRPr="00483510" w:rsidRDefault="00E172AA" w:rsidP="00E172AA">
            <w:pPr>
              <w:keepNext/>
              <w:widowControl w:val="0"/>
              <w:overflowPunct w:val="0"/>
              <w:autoSpaceDE w:val="0"/>
              <w:autoSpaceDN w:val="0"/>
              <w:spacing w:before="27"/>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2016</w:t>
            </w:r>
          </w:p>
        </w:tc>
        <w:tc>
          <w:tcPr>
            <w:tcW w:w="0" w:type="dxa"/>
          </w:tcPr>
          <w:p w14:paraId="04A71589" w14:textId="77777777" w:rsidR="00E172AA" w:rsidRPr="00483510" w:rsidRDefault="00E172AA" w:rsidP="00E172AA">
            <w:pPr>
              <w:keepNext/>
              <w:widowControl w:val="0"/>
              <w:overflowPunct w:val="0"/>
              <w:autoSpaceDE w:val="0"/>
              <w:autoSpaceDN w:val="0"/>
              <w:spacing w:before="27"/>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14.1%</w:t>
            </w:r>
          </w:p>
        </w:tc>
      </w:tr>
      <w:tr w:rsidR="002544A3" w:rsidRPr="00483510" w14:paraId="1B33C22B" w14:textId="77777777" w:rsidTr="00B70DF8">
        <w:trPr>
          <w:cnfStyle w:val="000000010000" w:firstRow="0" w:lastRow="0" w:firstColumn="0" w:lastColumn="0" w:oddVBand="0" w:evenVBand="0" w:oddHBand="0" w:evenHBand="1"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2069" w:type="dxa"/>
            <w:vAlign w:val="top"/>
          </w:tcPr>
          <w:p w14:paraId="123C2752" w14:textId="77777777" w:rsidR="00E172AA" w:rsidRPr="00483510" w:rsidRDefault="00E172AA" w:rsidP="00E172AA">
            <w:pPr>
              <w:keepNext/>
              <w:widowControl w:val="0"/>
              <w:overflowPunct w:val="0"/>
              <w:autoSpaceDE w:val="0"/>
              <w:autoSpaceDN w:val="0"/>
              <w:spacing w:before="27"/>
              <w:rPr>
                <w:rFonts w:ascii="Arial Narrow" w:hAnsi="Arial Narrow"/>
                <w:spacing w:val="-1"/>
                <w:sz w:val="18"/>
                <w:szCs w:val="18"/>
              </w:rPr>
            </w:pPr>
            <w:r w:rsidRPr="00B80CDC">
              <w:rPr>
                <w:rFonts w:ascii="Arial Narrow" w:hAnsi="Arial Narrow"/>
                <w:spacing w:val="-1"/>
                <w:sz w:val="18"/>
                <w:szCs w:val="18"/>
              </w:rPr>
              <w:t>Residential Single Family</w:t>
            </w:r>
          </w:p>
        </w:tc>
        <w:tc>
          <w:tcPr>
            <w:tcW w:w="2905" w:type="dxa"/>
          </w:tcPr>
          <w:p w14:paraId="28BD2738" w14:textId="77777777" w:rsidR="00E172AA" w:rsidRPr="00483510" w:rsidRDefault="00E172AA" w:rsidP="00E172AA">
            <w:pPr>
              <w:keepNext/>
              <w:widowControl w:val="0"/>
              <w:overflowPunct w:val="0"/>
              <w:autoSpaceDE w:val="0"/>
              <w:autoSpaceDN w:val="0"/>
              <w:spacing w:before="27"/>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Electric Energy (kWh/year)</w:t>
            </w:r>
          </w:p>
        </w:tc>
        <w:tc>
          <w:tcPr>
            <w:tcW w:w="2110" w:type="dxa"/>
          </w:tcPr>
          <w:p w14:paraId="7B964C2F" w14:textId="77777777" w:rsidR="00E172AA" w:rsidRPr="00483510" w:rsidRDefault="00E172AA" w:rsidP="00E172AA">
            <w:pPr>
              <w:keepNext/>
              <w:widowControl w:val="0"/>
              <w:overflowPunct w:val="0"/>
              <w:autoSpaceDE w:val="0"/>
              <w:autoSpaceDN w:val="0"/>
              <w:spacing w:before="27"/>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2019</w:t>
            </w:r>
          </w:p>
        </w:tc>
        <w:tc>
          <w:tcPr>
            <w:tcW w:w="2276" w:type="dxa"/>
          </w:tcPr>
          <w:p w14:paraId="4FF593CB" w14:textId="77777777" w:rsidR="00E172AA" w:rsidRPr="00483510" w:rsidRDefault="00E172AA" w:rsidP="00E172AA">
            <w:pPr>
              <w:keepNext/>
              <w:widowControl w:val="0"/>
              <w:overflowPunct w:val="0"/>
              <w:autoSpaceDE w:val="0"/>
              <w:autoSpaceDN w:val="0"/>
              <w:spacing w:before="27"/>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31.8%</w:t>
            </w:r>
          </w:p>
        </w:tc>
      </w:tr>
      <w:tr w:rsidR="00E172AA" w:rsidRPr="00483510" w14:paraId="55F028ED" w14:textId="77777777" w:rsidTr="00AF21BE">
        <w:trPr>
          <w:cnfStyle w:val="000000100000" w:firstRow="0" w:lastRow="0" w:firstColumn="0" w:lastColumn="0" w:oddVBand="0" w:evenVBand="0" w:oddHBand="1" w:evenHBand="0"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0" w:type="dxa"/>
            <w:vAlign w:val="top"/>
          </w:tcPr>
          <w:p w14:paraId="2BACA2EB" w14:textId="77777777" w:rsidR="00E172AA" w:rsidRPr="00483510" w:rsidRDefault="00E172AA" w:rsidP="00E172AA">
            <w:pPr>
              <w:keepNext/>
              <w:widowControl w:val="0"/>
              <w:overflowPunct w:val="0"/>
              <w:autoSpaceDE w:val="0"/>
              <w:autoSpaceDN w:val="0"/>
              <w:spacing w:before="27"/>
              <w:rPr>
                <w:rFonts w:ascii="Arial Narrow" w:hAnsi="Arial Narrow"/>
                <w:spacing w:val="-1"/>
                <w:sz w:val="18"/>
                <w:szCs w:val="18"/>
              </w:rPr>
            </w:pPr>
            <w:r w:rsidRPr="00B80CDC">
              <w:rPr>
                <w:rFonts w:ascii="Arial Narrow" w:hAnsi="Arial Narrow"/>
                <w:spacing w:val="-1"/>
                <w:sz w:val="18"/>
                <w:szCs w:val="18"/>
              </w:rPr>
              <w:t>Residential Single Family</w:t>
            </w:r>
          </w:p>
        </w:tc>
        <w:tc>
          <w:tcPr>
            <w:tcW w:w="0" w:type="dxa"/>
          </w:tcPr>
          <w:p w14:paraId="18F2ED29" w14:textId="77777777" w:rsidR="00E172AA" w:rsidRPr="00483510" w:rsidRDefault="00E172AA" w:rsidP="00E172AA">
            <w:pPr>
              <w:keepNext/>
              <w:widowControl w:val="0"/>
              <w:overflowPunct w:val="0"/>
              <w:autoSpaceDE w:val="0"/>
              <w:autoSpaceDN w:val="0"/>
              <w:spacing w:before="27"/>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Electric Demand (kW)</w:t>
            </w:r>
          </w:p>
        </w:tc>
        <w:tc>
          <w:tcPr>
            <w:tcW w:w="0" w:type="dxa"/>
          </w:tcPr>
          <w:p w14:paraId="3A8104ED" w14:textId="77777777" w:rsidR="00E172AA" w:rsidRPr="00483510" w:rsidRDefault="00E172AA" w:rsidP="00E172AA">
            <w:pPr>
              <w:keepNext/>
              <w:widowControl w:val="0"/>
              <w:overflowPunct w:val="0"/>
              <w:autoSpaceDE w:val="0"/>
              <w:autoSpaceDN w:val="0"/>
              <w:spacing w:before="27"/>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2016</w:t>
            </w:r>
          </w:p>
        </w:tc>
        <w:tc>
          <w:tcPr>
            <w:tcW w:w="0" w:type="dxa"/>
          </w:tcPr>
          <w:p w14:paraId="02A6D96F" w14:textId="77777777" w:rsidR="00E172AA" w:rsidRPr="00483510" w:rsidRDefault="00E172AA" w:rsidP="00E172AA">
            <w:pPr>
              <w:keepNext/>
              <w:widowControl w:val="0"/>
              <w:overflowPunct w:val="0"/>
              <w:autoSpaceDE w:val="0"/>
              <w:autoSpaceDN w:val="0"/>
              <w:spacing w:before="27"/>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11.7%</w:t>
            </w:r>
          </w:p>
        </w:tc>
      </w:tr>
      <w:tr w:rsidR="00E172AA" w:rsidRPr="00483510" w14:paraId="41463045" w14:textId="77777777" w:rsidTr="00AF21BE">
        <w:trPr>
          <w:cnfStyle w:val="000000010000" w:firstRow="0" w:lastRow="0" w:firstColumn="0" w:lastColumn="0" w:oddVBand="0" w:evenVBand="0" w:oddHBand="0" w:evenHBand="1"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0" w:type="dxa"/>
            <w:vAlign w:val="top"/>
          </w:tcPr>
          <w:p w14:paraId="795EEF60" w14:textId="77777777" w:rsidR="00E172AA" w:rsidRPr="00483510" w:rsidRDefault="00E172AA" w:rsidP="00E172AA">
            <w:pPr>
              <w:keepNext/>
              <w:widowControl w:val="0"/>
              <w:overflowPunct w:val="0"/>
              <w:autoSpaceDE w:val="0"/>
              <w:autoSpaceDN w:val="0"/>
              <w:spacing w:before="27"/>
              <w:rPr>
                <w:rFonts w:ascii="Arial Narrow" w:hAnsi="Arial Narrow"/>
                <w:spacing w:val="-1"/>
                <w:sz w:val="18"/>
                <w:szCs w:val="18"/>
              </w:rPr>
            </w:pPr>
            <w:r w:rsidRPr="00B80CDC">
              <w:rPr>
                <w:rFonts w:ascii="Arial Narrow" w:hAnsi="Arial Narrow"/>
                <w:spacing w:val="-1"/>
                <w:sz w:val="18"/>
                <w:szCs w:val="18"/>
              </w:rPr>
              <w:t>Residential Single Family</w:t>
            </w:r>
          </w:p>
        </w:tc>
        <w:tc>
          <w:tcPr>
            <w:tcW w:w="0" w:type="dxa"/>
          </w:tcPr>
          <w:p w14:paraId="4A124091" w14:textId="77777777" w:rsidR="00E172AA" w:rsidRPr="00483510" w:rsidRDefault="00E172AA" w:rsidP="00E172AA">
            <w:pPr>
              <w:keepNext/>
              <w:widowControl w:val="0"/>
              <w:overflowPunct w:val="0"/>
              <w:autoSpaceDE w:val="0"/>
              <w:autoSpaceDN w:val="0"/>
              <w:spacing w:before="27"/>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Electric Demand (kW)</w:t>
            </w:r>
          </w:p>
        </w:tc>
        <w:tc>
          <w:tcPr>
            <w:tcW w:w="0" w:type="dxa"/>
          </w:tcPr>
          <w:p w14:paraId="3943DCE8" w14:textId="77777777" w:rsidR="00E172AA" w:rsidRPr="00483510" w:rsidRDefault="00E172AA" w:rsidP="00E172AA">
            <w:pPr>
              <w:keepNext/>
              <w:widowControl w:val="0"/>
              <w:overflowPunct w:val="0"/>
              <w:autoSpaceDE w:val="0"/>
              <w:autoSpaceDN w:val="0"/>
              <w:spacing w:before="27"/>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2019</w:t>
            </w:r>
          </w:p>
        </w:tc>
        <w:tc>
          <w:tcPr>
            <w:tcW w:w="0" w:type="dxa"/>
          </w:tcPr>
          <w:p w14:paraId="7B7E8F23" w14:textId="77777777" w:rsidR="00E172AA" w:rsidRPr="00483510" w:rsidRDefault="00E172AA" w:rsidP="00E172AA">
            <w:pPr>
              <w:keepNext/>
              <w:widowControl w:val="0"/>
              <w:overflowPunct w:val="0"/>
              <w:autoSpaceDE w:val="0"/>
              <w:autoSpaceDN w:val="0"/>
              <w:spacing w:before="27"/>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32.9%</w:t>
            </w:r>
          </w:p>
        </w:tc>
      </w:tr>
      <w:tr w:rsidR="00E172AA" w:rsidRPr="00483510" w14:paraId="3E91D6FE" w14:textId="77777777" w:rsidTr="00AF21BE">
        <w:trPr>
          <w:cnfStyle w:val="000000100000" w:firstRow="0" w:lastRow="0" w:firstColumn="0" w:lastColumn="0" w:oddVBand="0" w:evenVBand="0" w:oddHBand="1" w:evenHBand="0"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0" w:type="dxa"/>
            <w:vAlign w:val="top"/>
          </w:tcPr>
          <w:p w14:paraId="3CB698F7" w14:textId="77777777" w:rsidR="00E172AA" w:rsidRPr="00483510" w:rsidRDefault="00E172AA" w:rsidP="00E172AA">
            <w:pPr>
              <w:keepNext/>
              <w:widowControl w:val="0"/>
              <w:overflowPunct w:val="0"/>
              <w:autoSpaceDE w:val="0"/>
              <w:autoSpaceDN w:val="0"/>
              <w:spacing w:before="27"/>
              <w:rPr>
                <w:rFonts w:ascii="Arial Narrow" w:hAnsi="Arial Narrow"/>
                <w:spacing w:val="-1"/>
                <w:sz w:val="18"/>
                <w:szCs w:val="18"/>
              </w:rPr>
            </w:pPr>
            <w:r w:rsidRPr="00B80CDC">
              <w:rPr>
                <w:rFonts w:ascii="Arial Narrow" w:hAnsi="Arial Narrow"/>
                <w:spacing w:val="-1"/>
                <w:sz w:val="18"/>
                <w:szCs w:val="18"/>
              </w:rPr>
              <w:t>Residential Single Family</w:t>
            </w:r>
          </w:p>
        </w:tc>
        <w:tc>
          <w:tcPr>
            <w:tcW w:w="0" w:type="dxa"/>
          </w:tcPr>
          <w:p w14:paraId="441703A9" w14:textId="77777777" w:rsidR="00E172AA" w:rsidRPr="00483510" w:rsidRDefault="00E172AA" w:rsidP="00E172AA">
            <w:pPr>
              <w:keepNext/>
              <w:widowControl w:val="0"/>
              <w:overflowPunct w:val="0"/>
              <w:autoSpaceDE w:val="0"/>
              <w:autoSpaceDN w:val="0"/>
              <w:spacing w:before="27"/>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Gas Energy (Therms/year)</w:t>
            </w:r>
          </w:p>
        </w:tc>
        <w:tc>
          <w:tcPr>
            <w:tcW w:w="0" w:type="dxa"/>
          </w:tcPr>
          <w:p w14:paraId="41F4529F" w14:textId="77777777" w:rsidR="00E172AA" w:rsidRPr="00483510" w:rsidRDefault="00E172AA" w:rsidP="00E172AA">
            <w:pPr>
              <w:keepNext/>
              <w:widowControl w:val="0"/>
              <w:overflowPunct w:val="0"/>
              <w:autoSpaceDE w:val="0"/>
              <w:autoSpaceDN w:val="0"/>
              <w:spacing w:before="27"/>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2016</w:t>
            </w:r>
          </w:p>
        </w:tc>
        <w:tc>
          <w:tcPr>
            <w:tcW w:w="0" w:type="dxa"/>
          </w:tcPr>
          <w:p w14:paraId="55126AA3" w14:textId="77777777" w:rsidR="00E172AA" w:rsidRPr="00483510" w:rsidRDefault="00E172AA" w:rsidP="00E172AA">
            <w:pPr>
              <w:keepNext/>
              <w:widowControl w:val="0"/>
              <w:overflowPunct w:val="0"/>
              <w:autoSpaceDE w:val="0"/>
              <w:autoSpaceDN w:val="0"/>
              <w:spacing w:before="27"/>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12.4%</w:t>
            </w:r>
          </w:p>
        </w:tc>
      </w:tr>
      <w:tr w:rsidR="00E172AA" w:rsidRPr="00483510" w14:paraId="18134554" w14:textId="77777777" w:rsidTr="00AF21BE">
        <w:trPr>
          <w:cnfStyle w:val="000000010000" w:firstRow="0" w:lastRow="0" w:firstColumn="0" w:lastColumn="0" w:oddVBand="0" w:evenVBand="0" w:oddHBand="0" w:evenHBand="1"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0" w:type="dxa"/>
            <w:vAlign w:val="top"/>
          </w:tcPr>
          <w:p w14:paraId="7BF197B3" w14:textId="77777777" w:rsidR="00E172AA" w:rsidRPr="00483510" w:rsidRDefault="00E172AA" w:rsidP="00E172AA">
            <w:pPr>
              <w:keepNext/>
              <w:widowControl w:val="0"/>
              <w:overflowPunct w:val="0"/>
              <w:autoSpaceDE w:val="0"/>
              <w:autoSpaceDN w:val="0"/>
              <w:spacing w:before="27"/>
              <w:rPr>
                <w:rFonts w:ascii="Arial Narrow" w:hAnsi="Arial Narrow"/>
                <w:spacing w:val="-1"/>
                <w:sz w:val="18"/>
                <w:szCs w:val="18"/>
              </w:rPr>
            </w:pPr>
            <w:r w:rsidRPr="00B80CDC">
              <w:rPr>
                <w:rFonts w:ascii="Arial Narrow" w:hAnsi="Arial Narrow"/>
                <w:spacing w:val="-1"/>
                <w:sz w:val="18"/>
                <w:szCs w:val="18"/>
              </w:rPr>
              <w:t>Residential Single Family</w:t>
            </w:r>
          </w:p>
        </w:tc>
        <w:tc>
          <w:tcPr>
            <w:tcW w:w="0" w:type="dxa"/>
          </w:tcPr>
          <w:p w14:paraId="7E55AE87" w14:textId="77777777" w:rsidR="00E172AA" w:rsidRPr="00483510" w:rsidRDefault="00E172AA" w:rsidP="00E172AA">
            <w:pPr>
              <w:keepNext/>
              <w:widowControl w:val="0"/>
              <w:overflowPunct w:val="0"/>
              <w:autoSpaceDE w:val="0"/>
              <w:autoSpaceDN w:val="0"/>
              <w:spacing w:before="27"/>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Gas Energy (Therms/year)</w:t>
            </w:r>
          </w:p>
        </w:tc>
        <w:tc>
          <w:tcPr>
            <w:tcW w:w="0" w:type="dxa"/>
          </w:tcPr>
          <w:p w14:paraId="38155EAA" w14:textId="77777777" w:rsidR="00E172AA" w:rsidRPr="00483510" w:rsidRDefault="00E172AA" w:rsidP="00E172AA">
            <w:pPr>
              <w:keepNext/>
              <w:widowControl w:val="0"/>
              <w:overflowPunct w:val="0"/>
              <w:autoSpaceDE w:val="0"/>
              <w:autoSpaceDN w:val="0"/>
              <w:spacing w:before="27"/>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2019</w:t>
            </w:r>
          </w:p>
        </w:tc>
        <w:tc>
          <w:tcPr>
            <w:tcW w:w="0" w:type="dxa"/>
          </w:tcPr>
          <w:p w14:paraId="26DD6FB5" w14:textId="77777777" w:rsidR="00E172AA" w:rsidRPr="00483510" w:rsidRDefault="00E172AA" w:rsidP="00E172AA">
            <w:pPr>
              <w:keepNext/>
              <w:widowControl w:val="0"/>
              <w:overflowPunct w:val="0"/>
              <w:autoSpaceDE w:val="0"/>
              <w:autoSpaceDN w:val="0"/>
              <w:spacing w:before="27"/>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32.5%</w:t>
            </w:r>
          </w:p>
        </w:tc>
      </w:tr>
      <w:tr w:rsidR="00E172AA" w:rsidRPr="00483510" w14:paraId="0C0A23CD" w14:textId="77777777" w:rsidTr="00AF21BE">
        <w:trPr>
          <w:cnfStyle w:val="000000100000" w:firstRow="0" w:lastRow="0" w:firstColumn="0" w:lastColumn="0" w:oddVBand="0" w:evenVBand="0" w:oddHBand="1" w:evenHBand="0"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0" w:type="dxa"/>
          </w:tcPr>
          <w:p w14:paraId="36576170" w14:textId="77777777" w:rsidR="00E172AA" w:rsidRPr="00483510" w:rsidRDefault="00E172AA" w:rsidP="00E172AA">
            <w:pPr>
              <w:keepNext/>
              <w:widowControl w:val="0"/>
              <w:overflowPunct w:val="0"/>
              <w:autoSpaceDE w:val="0"/>
              <w:autoSpaceDN w:val="0"/>
              <w:spacing w:before="27"/>
              <w:rPr>
                <w:rFonts w:ascii="Arial Narrow" w:hAnsi="Arial Narrow"/>
                <w:spacing w:val="-1"/>
                <w:sz w:val="18"/>
                <w:szCs w:val="18"/>
              </w:rPr>
            </w:pPr>
            <w:r>
              <w:rPr>
                <w:rFonts w:ascii="Arial Narrow" w:hAnsi="Arial Narrow"/>
                <w:spacing w:val="-1"/>
                <w:sz w:val="18"/>
                <w:szCs w:val="18"/>
              </w:rPr>
              <w:t>Commercial</w:t>
            </w:r>
          </w:p>
        </w:tc>
        <w:tc>
          <w:tcPr>
            <w:tcW w:w="0" w:type="dxa"/>
          </w:tcPr>
          <w:p w14:paraId="5141C8D3" w14:textId="77777777" w:rsidR="00E172AA" w:rsidRPr="00483510" w:rsidRDefault="00E172AA" w:rsidP="00E172AA">
            <w:pPr>
              <w:keepNext/>
              <w:widowControl w:val="0"/>
              <w:overflowPunct w:val="0"/>
              <w:autoSpaceDE w:val="0"/>
              <w:autoSpaceDN w:val="0"/>
              <w:spacing w:before="27"/>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Electric Energy (kWh/year)</w:t>
            </w:r>
          </w:p>
        </w:tc>
        <w:tc>
          <w:tcPr>
            <w:tcW w:w="0" w:type="dxa"/>
          </w:tcPr>
          <w:p w14:paraId="63C216E6" w14:textId="77777777" w:rsidR="00E172AA" w:rsidRPr="00483510" w:rsidRDefault="00E172AA" w:rsidP="00E172AA">
            <w:pPr>
              <w:keepNext/>
              <w:widowControl w:val="0"/>
              <w:overflowPunct w:val="0"/>
              <w:autoSpaceDE w:val="0"/>
              <w:autoSpaceDN w:val="0"/>
              <w:spacing w:before="27"/>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2016</w:t>
            </w:r>
          </w:p>
        </w:tc>
        <w:tc>
          <w:tcPr>
            <w:tcW w:w="0" w:type="dxa"/>
          </w:tcPr>
          <w:p w14:paraId="27F56400" w14:textId="77777777" w:rsidR="00E172AA" w:rsidRPr="00483510" w:rsidRDefault="00544748" w:rsidP="00E172AA">
            <w:pPr>
              <w:keepNext/>
              <w:widowControl w:val="0"/>
              <w:overflowPunct w:val="0"/>
              <w:autoSpaceDE w:val="0"/>
              <w:autoSpaceDN w:val="0"/>
              <w:spacing w:before="27"/>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4.6%</w:t>
            </w:r>
          </w:p>
        </w:tc>
      </w:tr>
      <w:tr w:rsidR="00E172AA" w:rsidRPr="00483510" w14:paraId="44568D59" w14:textId="77777777" w:rsidTr="00AF21BE">
        <w:trPr>
          <w:cnfStyle w:val="000000010000" w:firstRow="0" w:lastRow="0" w:firstColumn="0" w:lastColumn="0" w:oddVBand="0" w:evenVBand="0" w:oddHBand="0" w:evenHBand="1"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0" w:type="dxa"/>
          </w:tcPr>
          <w:p w14:paraId="7C0C341B" w14:textId="77777777" w:rsidR="00E172AA" w:rsidRPr="00483510" w:rsidRDefault="00E172AA" w:rsidP="00E172AA">
            <w:pPr>
              <w:keepNext/>
              <w:widowControl w:val="0"/>
              <w:overflowPunct w:val="0"/>
              <w:autoSpaceDE w:val="0"/>
              <w:autoSpaceDN w:val="0"/>
              <w:spacing w:before="27"/>
              <w:rPr>
                <w:rFonts w:ascii="Arial Narrow" w:hAnsi="Arial Narrow"/>
                <w:spacing w:val="-1"/>
                <w:sz w:val="18"/>
                <w:szCs w:val="18"/>
              </w:rPr>
            </w:pPr>
            <w:r>
              <w:rPr>
                <w:rFonts w:ascii="Arial Narrow" w:hAnsi="Arial Narrow"/>
                <w:spacing w:val="-1"/>
                <w:sz w:val="18"/>
                <w:szCs w:val="18"/>
              </w:rPr>
              <w:t>Commercial</w:t>
            </w:r>
          </w:p>
        </w:tc>
        <w:tc>
          <w:tcPr>
            <w:tcW w:w="0" w:type="dxa"/>
          </w:tcPr>
          <w:p w14:paraId="7B37D855" w14:textId="77777777" w:rsidR="00E172AA" w:rsidRPr="00483510" w:rsidRDefault="00E172AA" w:rsidP="00E172AA">
            <w:pPr>
              <w:keepNext/>
              <w:widowControl w:val="0"/>
              <w:overflowPunct w:val="0"/>
              <w:autoSpaceDE w:val="0"/>
              <w:autoSpaceDN w:val="0"/>
              <w:spacing w:before="27"/>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Electric Energy (kWh/year)</w:t>
            </w:r>
          </w:p>
        </w:tc>
        <w:tc>
          <w:tcPr>
            <w:tcW w:w="0" w:type="dxa"/>
          </w:tcPr>
          <w:p w14:paraId="28731DB5" w14:textId="77777777" w:rsidR="00E172AA" w:rsidRPr="00483510" w:rsidRDefault="00E172AA" w:rsidP="00E172AA">
            <w:pPr>
              <w:keepNext/>
              <w:widowControl w:val="0"/>
              <w:overflowPunct w:val="0"/>
              <w:autoSpaceDE w:val="0"/>
              <w:autoSpaceDN w:val="0"/>
              <w:spacing w:before="27"/>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2019</w:t>
            </w:r>
          </w:p>
        </w:tc>
        <w:tc>
          <w:tcPr>
            <w:tcW w:w="0" w:type="dxa"/>
          </w:tcPr>
          <w:p w14:paraId="634760B9" w14:textId="77777777" w:rsidR="00E172AA" w:rsidRPr="00483510" w:rsidRDefault="00544748" w:rsidP="00E172AA">
            <w:pPr>
              <w:keepNext/>
              <w:widowControl w:val="0"/>
              <w:overflowPunct w:val="0"/>
              <w:autoSpaceDE w:val="0"/>
              <w:autoSpaceDN w:val="0"/>
              <w:spacing w:before="27"/>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10%</w:t>
            </w:r>
          </w:p>
        </w:tc>
      </w:tr>
      <w:tr w:rsidR="00E172AA" w:rsidRPr="00483510" w14:paraId="203F0347" w14:textId="77777777" w:rsidTr="00AF21BE">
        <w:trPr>
          <w:cnfStyle w:val="000000100000" w:firstRow="0" w:lastRow="0" w:firstColumn="0" w:lastColumn="0" w:oddVBand="0" w:evenVBand="0" w:oddHBand="1" w:evenHBand="0"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0" w:type="dxa"/>
          </w:tcPr>
          <w:p w14:paraId="477957A3" w14:textId="77777777" w:rsidR="00E172AA" w:rsidRPr="00483510" w:rsidRDefault="00E172AA" w:rsidP="00E172AA">
            <w:pPr>
              <w:keepNext/>
              <w:widowControl w:val="0"/>
              <w:overflowPunct w:val="0"/>
              <w:autoSpaceDE w:val="0"/>
              <w:autoSpaceDN w:val="0"/>
              <w:spacing w:before="27"/>
              <w:rPr>
                <w:rFonts w:ascii="Arial Narrow" w:hAnsi="Arial Narrow"/>
                <w:spacing w:val="-1"/>
                <w:sz w:val="18"/>
                <w:szCs w:val="18"/>
              </w:rPr>
            </w:pPr>
            <w:r>
              <w:rPr>
                <w:rFonts w:ascii="Arial Narrow" w:hAnsi="Arial Narrow"/>
                <w:spacing w:val="-1"/>
                <w:sz w:val="18"/>
                <w:szCs w:val="18"/>
              </w:rPr>
              <w:t>Commercial</w:t>
            </w:r>
          </w:p>
        </w:tc>
        <w:tc>
          <w:tcPr>
            <w:tcW w:w="0" w:type="dxa"/>
          </w:tcPr>
          <w:p w14:paraId="1523ECEC" w14:textId="77777777" w:rsidR="00E172AA" w:rsidRPr="00483510" w:rsidRDefault="00E172AA" w:rsidP="00E172AA">
            <w:pPr>
              <w:keepNext/>
              <w:widowControl w:val="0"/>
              <w:overflowPunct w:val="0"/>
              <w:autoSpaceDE w:val="0"/>
              <w:autoSpaceDN w:val="0"/>
              <w:spacing w:before="27"/>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Electric Demand (kW)</w:t>
            </w:r>
          </w:p>
        </w:tc>
        <w:tc>
          <w:tcPr>
            <w:tcW w:w="0" w:type="dxa"/>
          </w:tcPr>
          <w:p w14:paraId="1E44D202" w14:textId="77777777" w:rsidR="00E172AA" w:rsidRPr="00483510" w:rsidRDefault="00E172AA" w:rsidP="00E172AA">
            <w:pPr>
              <w:keepNext/>
              <w:widowControl w:val="0"/>
              <w:overflowPunct w:val="0"/>
              <w:autoSpaceDE w:val="0"/>
              <w:autoSpaceDN w:val="0"/>
              <w:spacing w:before="27"/>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2016</w:t>
            </w:r>
          </w:p>
        </w:tc>
        <w:tc>
          <w:tcPr>
            <w:tcW w:w="0" w:type="dxa"/>
          </w:tcPr>
          <w:p w14:paraId="51395A03" w14:textId="77777777" w:rsidR="00E172AA" w:rsidRPr="00483510" w:rsidRDefault="00544748" w:rsidP="00E172AA">
            <w:pPr>
              <w:keepNext/>
              <w:widowControl w:val="0"/>
              <w:overflowPunct w:val="0"/>
              <w:autoSpaceDE w:val="0"/>
              <w:autoSpaceDN w:val="0"/>
              <w:spacing w:before="27"/>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4.4%</w:t>
            </w:r>
          </w:p>
        </w:tc>
      </w:tr>
      <w:tr w:rsidR="00E172AA" w:rsidRPr="00483510" w14:paraId="15D9A7A9" w14:textId="77777777" w:rsidTr="00AF21BE">
        <w:trPr>
          <w:cnfStyle w:val="000000010000" w:firstRow="0" w:lastRow="0" w:firstColumn="0" w:lastColumn="0" w:oddVBand="0" w:evenVBand="0" w:oddHBand="0" w:evenHBand="1"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0" w:type="dxa"/>
          </w:tcPr>
          <w:p w14:paraId="2C6D7AA2" w14:textId="77777777" w:rsidR="00E172AA" w:rsidRPr="00483510" w:rsidRDefault="00E172AA" w:rsidP="00E172AA">
            <w:pPr>
              <w:keepNext/>
              <w:widowControl w:val="0"/>
              <w:overflowPunct w:val="0"/>
              <w:autoSpaceDE w:val="0"/>
              <w:autoSpaceDN w:val="0"/>
              <w:spacing w:before="27"/>
              <w:rPr>
                <w:rFonts w:ascii="Arial Narrow" w:hAnsi="Arial Narrow"/>
                <w:spacing w:val="-1"/>
                <w:sz w:val="18"/>
                <w:szCs w:val="18"/>
              </w:rPr>
            </w:pPr>
            <w:r>
              <w:rPr>
                <w:rFonts w:ascii="Arial Narrow" w:hAnsi="Arial Narrow"/>
                <w:spacing w:val="-1"/>
                <w:sz w:val="18"/>
                <w:szCs w:val="18"/>
              </w:rPr>
              <w:t>Commercial</w:t>
            </w:r>
          </w:p>
        </w:tc>
        <w:tc>
          <w:tcPr>
            <w:tcW w:w="0" w:type="dxa"/>
          </w:tcPr>
          <w:p w14:paraId="7F066965" w14:textId="77777777" w:rsidR="00E172AA" w:rsidRPr="00483510" w:rsidRDefault="00E172AA" w:rsidP="00E172AA">
            <w:pPr>
              <w:keepNext/>
              <w:widowControl w:val="0"/>
              <w:overflowPunct w:val="0"/>
              <w:autoSpaceDE w:val="0"/>
              <w:autoSpaceDN w:val="0"/>
              <w:spacing w:before="27"/>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Electric Demand (kW)</w:t>
            </w:r>
          </w:p>
        </w:tc>
        <w:tc>
          <w:tcPr>
            <w:tcW w:w="0" w:type="dxa"/>
          </w:tcPr>
          <w:p w14:paraId="34065203" w14:textId="77777777" w:rsidR="00E172AA" w:rsidRPr="00483510" w:rsidRDefault="00E172AA" w:rsidP="00E172AA">
            <w:pPr>
              <w:keepNext/>
              <w:widowControl w:val="0"/>
              <w:overflowPunct w:val="0"/>
              <w:autoSpaceDE w:val="0"/>
              <w:autoSpaceDN w:val="0"/>
              <w:spacing w:before="27"/>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2019</w:t>
            </w:r>
          </w:p>
        </w:tc>
        <w:tc>
          <w:tcPr>
            <w:tcW w:w="0" w:type="dxa"/>
          </w:tcPr>
          <w:p w14:paraId="7184FC8D" w14:textId="77777777" w:rsidR="00E172AA" w:rsidRPr="00483510" w:rsidRDefault="00544748" w:rsidP="00E172AA">
            <w:pPr>
              <w:keepNext/>
              <w:widowControl w:val="0"/>
              <w:overflowPunct w:val="0"/>
              <w:autoSpaceDE w:val="0"/>
              <w:autoSpaceDN w:val="0"/>
              <w:spacing w:before="27"/>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10%</w:t>
            </w:r>
          </w:p>
        </w:tc>
      </w:tr>
      <w:tr w:rsidR="00E172AA" w:rsidRPr="00483510" w14:paraId="46D31DDB" w14:textId="77777777" w:rsidTr="00AF21BE">
        <w:trPr>
          <w:cnfStyle w:val="000000100000" w:firstRow="0" w:lastRow="0" w:firstColumn="0" w:lastColumn="0" w:oddVBand="0" w:evenVBand="0" w:oddHBand="1" w:evenHBand="0"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0" w:type="dxa"/>
          </w:tcPr>
          <w:p w14:paraId="5A01AA60" w14:textId="77777777" w:rsidR="00E172AA" w:rsidRPr="00483510" w:rsidRDefault="00E172AA" w:rsidP="00E172AA">
            <w:pPr>
              <w:keepNext/>
              <w:widowControl w:val="0"/>
              <w:overflowPunct w:val="0"/>
              <w:autoSpaceDE w:val="0"/>
              <w:autoSpaceDN w:val="0"/>
              <w:spacing w:before="27"/>
              <w:rPr>
                <w:rFonts w:ascii="Arial Narrow" w:hAnsi="Arial Narrow"/>
                <w:spacing w:val="-1"/>
                <w:sz w:val="18"/>
                <w:szCs w:val="18"/>
              </w:rPr>
            </w:pPr>
            <w:r>
              <w:rPr>
                <w:rFonts w:ascii="Arial Narrow" w:hAnsi="Arial Narrow"/>
                <w:spacing w:val="-1"/>
                <w:sz w:val="18"/>
                <w:szCs w:val="18"/>
              </w:rPr>
              <w:t>Commercial</w:t>
            </w:r>
          </w:p>
        </w:tc>
        <w:tc>
          <w:tcPr>
            <w:tcW w:w="0" w:type="dxa"/>
          </w:tcPr>
          <w:p w14:paraId="0CF2169F" w14:textId="77777777" w:rsidR="00E172AA" w:rsidRPr="00483510" w:rsidRDefault="00E172AA" w:rsidP="00E172AA">
            <w:pPr>
              <w:keepNext/>
              <w:widowControl w:val="0"/>
              <w:overflowPunct w:val="0"/>
              <w:autoSpaceDE w:val="0"/>
              <w:autoSpaceDN w:val="0"/>
              <w:spacing w:before="27"/>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Gas Energy (Therms/year)</w:t>
            </w:r>
          </w:p>
        </w:tc>
        <w:tc>
          <w:tcPr>
            <w:tcW w:w="0" w:type="dxa"/>
          </w:tcPr>
          <w:p w14:paraId="3E5A7AE6" w14:textId="77777777" w:rsidR="00E172AA" w:rsidRPr="00483510" w:rsidRDefault="00E172AA" w:rsidP="00E172AA">
            <w:pPr>
              <w:keepNext/>
              <w:widowControl w:val="0"/>
              <w:overflowPunct w:val="0"/>
              <w:autoSpaceDE w:val="0"/>
              <w:autoSpaceDN w:val="0"/>
              <w:spacing w:before="27"/>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2016</w:t>
            </w:r>
          </w:p>
        </w:tc>
        <w:tc>
          <w:tcPr>
            <w:tcW w:w="0" w:type="dxa"/>
          </w:tcPr>
          <w:p w14:paraId="302998AE" w14:textId="77777777" w:rsidR="00E172AA" w:rsidRPr="00483510" w:rsidRDefault="00544748" w:rsidP="00E172AA">
            <w:pPr>
              <w:keepNext/>
              <w:widowControl w:val="0"/>
              <w:overflowPunct w:val="0"/>
              <w:autoSpaceDE w:val="0"/>
              <w:autoSpaceDN w:val="0"/>
              <w:spacing w:before="27"/>
              <w:ind w:left="5" w:hanging="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4.6%</w:t>
            </w:r>
          </w:p>
        </w:tc>
      </w:tr>
      <w:tr w:rsidR="00E172AA" w:rsidRPr="00483510" w14:paraId="5387B705" w14:textId="77777777" w:rsidTr="00AF21BE">
        <w:trPr>
          <w:cnfStyle w:val="000000010000" w:firstRow="0" w:lastRow="0" w:firstColumn="0" w:lastColumn="0" w:oddVBand="0" w:evenVBand="0" w:oddHBand="0" w:evenHBand="1"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0" w:type="dxa"/>
          </w:tcPr>
          <w:p w14:paraId="2C2D41D0" w14:textId="77777777" w:rsidR="00E172AA" w:rsidRPr="00483510" w:rsidRDefault="00E172AA" w:rsidP="00E172AA">
            <w:pPr>
              <w:keepNext/>
              <w:widowControl w:val="0"/>
              <w:overflowPunct w:val="0"/>
              <w:autoSpaceDE w:val="0"/>
              <w:autoSpaceDN w:val="0"/>
              <w:spacing w:before="27"/>
              <w:rPr>
                <w:rFonts w:ascii="Arial Narrow" w:hAnsi="Arial Narrow"/>
                <w:spacing w:val="-1"/>
                <w:sz w:val="18"/>
                <w:szCs w:val="18"/>
              </w:rPr>
            </w:pPr>
            <w:r>
              <w:rPr>
                <w:rFonts w:ascii="Arial Narrow" w:hAnsi="Arial Narrow"/>
                <w:spacing w:val="-1"/>
                <w:sz w:val="18"/>
                <w:szCs w:val="18"/>
              </w:rPr>
              <w:t>Commercial</w:t>
            </w:r>
          </w:p>
        </w:tc>
        <w:tc>
          <w:tcPr>
            <w:tcW w:w="0" w:type="dxa"/>
          </w:tcPr>
          <w:p w14:paraId="5F428793" w14:textId="77777777" w:rsidR="00E172AA" w:rsidRPr="00483510" w:rsidRDefault="00E172AA" w:rsidP="00E172AA">
            <w:pPr>
              <w:keepNext/>
              <w:widowControl w:val="0"/>
              <w:overflowPunct w:val="0"/>
              <w:autoSpaceDE w:val="0"/>
              <w:autoSpaceDN w:val="0"/>
              <w:spacing w:before="27"/>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Gas Energy (Therms/year)</w:t>
            </w:r>
          </w:p>
        </w:tc>
        <w:tc>
          <w:tcPr>
            <w:tcW w:w="0" w:type="dxa"/>
          </w:tcPr>
          <w:p w14:paraId="16580964" w14:textId="77777777" w:rsidR="00E172AA" w:rsidRPr="00483510" w:rsidRDefault="00E172AA" w:rsidP="00E172AA">
            <w:pPr>
              <w:keepNext/>
              <w:widowControl w:val="0"/>
              <w:overflowPunct w:val="0"/>
              <w:autoSpaceDE w:val="0"/>
              <w:autoSpaceDN w:val="0"/>
              <w:spacing w:before="27"/>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2019</w:t>
            </w:r>
          </w:p>
        </w:tc>
        <w:tc>
          <w:tcPr>
            <w:tcW w:w="0" w:type="dxa"/>
          </w:tcPr>
          <w:p w14:paraId="4A6D05E3" w14:textId="77777777" w:rsidR="00E172AA" w:rsidRPr="00483510" w:rsidRDefault="00544748" w:rsidP="00E172AA">
            <w:pPr>
              <w:keepNext/>
              <w:widowControl w:val="0"/>
              <w:overflowPunct w:val="0"/>
              <w:autoSpaceDE w:val="0"/>
              <w:autoSpaceDN w:val="0"/>
              <w:spacing w:before="27"/>
              <w:ind w:left="5" w:hanging="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Pr>
                <w:rFonts w:ascii="Arial Narrow" w:hAnsi="Arial Narrow"/>
                <w:spacing w:val="-1"/>
                <w:sz w:val="18"/>
                <w:szCs w:val="18"/>
              </w:rPr>
              <w:t>10%</w:t>
            </w:r>
          </w:p>
        </w:tc>
      </w:tr>
    </w:tbl>
    <w:p w14:paraId="188527B1" w14:textId="77777777" w:rsidR="00E172AA" w:rsidRDefault="00544748" w:rsidP="00E172AA">
      <w:pPr>
        <w:pStyle w:val="Source"/>
        <w:jc w:val="center"/>
      </w:pPr>
      <w:r>
        <w:t>Source</w:t>
      </w:r>
      <w:r w:rsidR="00E172AA">
        <w:t xml:space="preserve">: </w:t>
      </w:r>
      <w:r>
        <w:t>Navigant analysis.</w:t>
      </w:r>
    </w:p>
    <w:p w14:paraId="475061DB" w14:textId="77777777" w:rsidR="009B5EA8" w:rsidRPr="009B5EA8" w:rsidRDefault="009B5EA8" w:rsidP="006B44D0"/>
    <w:p w14:paraId="71C6DD01" w14:textId="77777777" w:rsidR="0009749A" w:rsidRDefault="0009749A" w:rsidP="006B44D0">
      <w:bookmarkStart w:id="658" w:name="_Toc482357323"/>
      <w:bookmarkStart w:id="659" w:name="_Toc482634298"/>
      <w:bookmarkStart w:id="660" w:name="_Toc482626430"/>
      <w:bookmarkStart w:id="661" w:name="_Toc478990522"/>
      <w:bookmarkStart w:id="662" w:name="_Toc479768600"/>
      <w:bookmarkStart w:id="663" w:name="_Toc484092501"/>
      <w:bookmarkStart w:id="664" w:name="_Ref484071991"/>
      <w:r>
        <w:t xml:space="preserve">Title 24 codes beyond 2019 (for example, the 2022, 2025, and 2028 cycles) were not considered in the 2018 study forecast due to the highly uncertain nature of their savings. While California has a goal of all new commercial construction to be ZNE by 2030, the regulatory path towards requiring this by 2030 is uncertain. The 2015 study included a preliminary estimate of the savings from 2022 T24 using a similar process to </w:t>
      </w:r>
      <w:r>
        <w:fldChar w:fldCharType="begin"/>
      </w:r>
      <w:r>
        <w:instrText xml:space="preserve"> REF _Ref484165636 \h </w:instrText>
      </w:r>
      <w:r>
        <w:fldChar w:fldCharType="separate"/>
      </w:r>
      <w:r w:rsidR="007566B9" w:rsidRPr="009B5EA8">
        <w:t xml:space="preserve">Equation </w:t>
      </w:r>
      <w:r w:rsidR="007566B9">
        <w:rPr>
          <w:noProof/>
        </w:rPr>
        <w:t>3</w:t>
      </w:r>
      <w:r w:rsidR="007566B9" w:rsidRPr="009B5EA8">
        <w:noBreakHyphen/>
      </w:r>
      <w:r w:rsidR="007566B9">
        <w:rPr>
          <w:noProof/>
        </w:rPr>
        <w:t>2</w:t>
      </w:r>
      <w:r>
        <w:fldChar w:fldCharType="end"/>
      </w:r>
      <w:r>
        <w:t xml:space="preserve"> above. However, that estimate was ultimately excluded from the goal setting process. The updated assumptions used for 2019 T24 made in this study would necessarily change what remaining savings can be obtained from 2022 T24. However, CEC staff were unable to provide guidance on what savings may remain for 2022 T24. </w:t>
      </w:r>
    </w:p>
    <w:p w14:paraId="75197662" w14:textId="77777777" w:rsidR="00F74269" w:rsidRDefault="00F74269" w:rsidP="006B44D0"/>
    <w:p w14:paraId="6CDF73BA" w14:textId="77777777" w:rsidR="00F74269" w:rsidRPr="009B5EA8" w:rsidRDefault="00F74269" w:rsidP="006B44D0">
      <w:r>
        <w:t>The 2015 study applied a reduction factor to the number of units for 2013 and later Title 24 to account for the recession. The 2018 study removed the reduction factors after confirming with Cadmus that the 2013 Title 24 ISSM analysis</w:t>
      </w:r>
      <w:r w:rsidR="00827540">
        <w:rPr>
          <w:rStyle w:val="FootnoteReference"/>
        </w:rPr>
        <w:footnoteReference w:id="90"/>
      </w:r>
      <w:r>
        <w:t xml:space="preserve"> already accounted for the recession.</w:t>
      </w:r>
    </w:p>
    <w:p w14:paraId="53679696" w14:textId="77777777" w:rsidR="00A569BE" w:rsidRDefault="00A569BE" w:rsidP="00A569BE">
      <w:pPr>
        <w:pStyle w:val="Heading2"/>
      </w:pPr>
      <w:bookmarkStart w:id="665" w:name="_Toc490225804"/>
      <w:bookmarkStart w:id="666" w:name="_Toc484172705"/>
      <w:bookmarkStart w:id="667" w:name="_Toc484183041"/>
      <w:r>
        <w:lastRenderedPageBreak/>
        <w:t>Behavior</w:t>
      </w:r>
      <w:r w:rsidR="00894F4F">
        <w:t>,</w:t>
      </w:r>
      <w:r>
        <w:t xml:space="preserve"> </w:t>
      </w:r>
      <w:r w:rsidR="003A68A4">
        <w:t>Retrocommissioning</w:t>
      </w:r>
      <w:r w:rsidR="00894F4F">
        <w:t>,</w:t>
      </w:r>
      <w:r w:rsidR="003A68A4">
        <w:t xml:space="preserve"> and Operational (BROs) </w:t>
      </w:r>
      <w:r>
        <w:t>Energy Efficiency</w:t>
      </w:r>
      <w:bookmarkEnd w:id="658"/>
      <w:bookmarkEnd w:id="659"/>
      <w:bookmarkEnd w:id="660"/>
      <w:bookmarkEnd w:id="665"/>
      <w:r w:rsidR="008819AB">
        <w:t xml:space="preserve"> </w:t>
      </w:r>
      <w:bookmarkEnd w:id="661"/>
      <w:bookmarkEnd w:id="662"/>
      <w:bookmarkEnd w:id="663"/>
      <w:bookmarkEnd w:id="666"/>
      <w:bookmarkEnd w:id="667"/>
    </w:p>
    <w:bookmarkEnd w:id="664"/>
    <w:p w14:paraId="4808E79C" w14:textId="77777777" w:rsidR="00A6054A" w:rsidRPr="00A6054A" w:rsidRDefault="00A6054A" w:rsidP="00A6054A">
      <w:pPr>
        <w:rPr>
          <w:highlight w:val="yellow"/>
        </w:rPr>
      </w:pPr>
      <w:r>
        <w:t xml:space="preserve">To forecast customer behavioral energy savings, the Navigant team considered a wide range of behavioral intervention types for both residential and commercial customers. </w:t>
      </w:r>
      <w:r w:rsidR="004B466D">
        <w:t>Because this is an uncertain area that has been getting a lot of</w:t>
      </w:r>
      <w:r w:rsidR="007D4A2A">
        <w:t xml:space="preserve"> interest from the industry</w:t>
      </w:r>
      <w:r w:rsidR="004B466D">
        <w:t xml:space="preserve"> and </w:t>
      </w:r>
      <w:r w:rsidR="00526631">
        <w:t xml:space="preserve">was </w:t>
      </w:r>
      <w:r w:rsidR="004B466D">
        <w:t xml:space="preserve">called out in AB802 and SB350 as </w:t>
      </w:r>
      <w:r w:rsidR="00526631">
        <w:t xml:space="preserve">an </w:t>
      </w:r>
      <w:r w:rsidR="004B466D">
        <w:t xml:space="preserve">emerging area for increased opportunities given NMEC, we cast the net wide </w:t>
      </w:r>
      <w:r w:rsidR="007D4A2A">
        <w:t>in consideration of interventions and coordinate with stakeholder through the Demand Analysis Working Group</w:t>
      </w:r>
      <w:r w:rsidR="004B466D">
        <w:t>.</w:t>
      </w:r>
      <w:r>
        <w:t xml:space="preserve"> </w:t>
      </w:r>
      <w:r>
        <w:fldChar w:fldCharType="begin"/>
      </w:r>
      <w:r>
        <w:instrText xml:space="preserve"> REF _Ref482026867 \h </w:instrText>
      </w:r>
      <w:r>
        <w:fldChar w:fldCharType="separate"/>
      </w:r>
      <w:r w:rsidR="007566B9">
        <w:t xml:space="preserve">Figure </w:t>
      </w:r>
      <w:r w:rsidR="007566B9">
        <w:rPr>
          <w:noProof/>
        </w:rPr>
        <w:t>3</w:t>
      </w:r>
      <w:r w:rsidR="007566B9">
        <w:noBreakHyphen/>
      </w:r>
      <w:r w:rsidR="007566B9">
        <w:rPr>
          <w:noProof/>
        </w:rPr>
        <w:t>7</w:t>
      </w:r>
      <w:r>
        <w:fldChar w:fldCharType="end"/>
      </w:r>
      <w:r>
        <w:t xml:space="preserve"> illustrates the five-step selection process used to determine intervention types to include in the reference case scenario.</w:t>
      </w:r>
    </w:p>
    <w:p w14:paraId="18AA33D3" w14:textId="77777777" w:rsidR="00894F4F" w:rsidRDefault="00894F4F" w:rsidP="009F1024">
      <w:pPr>
        <w:rPr>
          <w:highlight w:val="yellow"/>
        </w:rPr>
      </w:pPr>
    </w:p>
    <w:p w14:paraId="5492EB8F" w14:textId="77777777" w:rsidR="00773ABB" w:rsidRDefault="00773ABB" w:rsidP="00500502">
      <w:pPr>
        <w:pStyle w:val="Caption"/>
      </w:pPr>
      <w:bookmarkStart w:id="668" w:name="_Ref482026867"/>
      <w:bookmarkStart w:id="669" w:name="_Ref481071148"/>
      <w:bookmarkStart w:id="670" w:name="_Toc482634253"/>
      <w:bookmarkStart w:id="671" w:name="_Toc482626461"/>
      <w:bookmarkStart w:id="672" w:name="_Toc484437005"/>
      <w:bookmarkStart w:id="673" w:name="_Toc490491731"/>
      <w:r>
        <w:t xml:space="preserve">Figure </w:t>
      </w:r>
      <w:fldSimple w:instr=" STYLEREF 1 \s ">
        <w:r w:rsidR="007566B9">
          <w:rPr>
            <w:noProof/>
          </w:rPr>
          <w:t>3</w:t>
        </w:r>
      </w:fldSimple>
      <w:r w:rsidR="00CE124F">
        <w:noBreakHyphen/>
      </w:r>
      <w:fldSimple w:instr=" SEQ Figure \* ARABIC \s 1 ">
        <w:r w:rsidR="007566B9">
          <w:rPr>
            <w:noProof/>
          </w:rPr>
          <w:t>7</w:t>
        </w:r>
      </w:fldSimple>
      <w:bookmarkEnd w:id="668"/>
      <w:bookmarkEnd w:id="669"/>
      <w:r>
        <w:t>. Selection Process for Residential and Commercial BROs Energy Efficiency Programs</w:t>
      </w:r>
      <w:bookmarkEnd w:id="670"/>
      <w:bookmarkEnd w:id="671"/>
      <w:bookmarkEnd w:id="672"/>
      <w:bookmarkEnd w:id="673"/>
    </w:p>
    <w:p w14:paraId="2363B8D9" w14:textId="77777777" w:rsidR="00894F4F" w:rsidRDefault="00773ABB" w:rsidP="009F1024">
      <w:pPr>
        <w:rPr>
          <w:highlight w:val="yellow"/>
        </w:rPr>
      </w:pPr>
      <w:r>
        <w:rPr>
          <w:noProof/>
        </w:rPr>
        <w:drawing>
          <wp:inline distT="0" distB="0" distL="0" distR="0" wp14:anchorId="5AA4A7E1" wp14:editId="79C93DEC">
            <wp:extent cx="5943600" cy="30467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046730"/>
                    </a:xfrm>
                    <a:prstGeom prst="rect">
                      <a:avLst/>
                    </a:prstGeom>
                  </pic:spPr>
                </pic:pic>
              </a:graphicData>
            </a:graphic>
          </wp:inline>
        </w:drawing>
      </w:r>
    </w:p>
    <w:p w14:paraId="43B725E3" w14:textId="77777777" w:rsidR="00894F4F" w:rsidRDefault="00894F4F" w:rsidP="009F1024">
      <w:pPr>
        <w:rPr>
          <w:highlight w:val="yellow"/>
        </w:rPr>
      </w:pPr>
    </w:p>
    <w:p w14:paraId="64355320" w14:textId="77777777" w:rsidR="00A6054A" w:rsidRPr="00A6054A" w:rsidRDefault="00A6054A" w:rsidP="00A6054A">
      <w:pPr>
        <w:ind w:left="720"/>
      </w:pPr>
      <w:r w:rsidRPr="00A6054A">
        <w:rPr>
          <w:b/>
        </w:rPr>
        <w:t xml:space="preserve">Step 1: Identify Programs. </w:t>
      </w:r>
      <w:r w:rsidRPr="00A6054A">
        <w:t>The first step was to identify general program categories and then to conduct a literature review to identify specific programs. The team augmented our existing knowledge base drawn from the 2015 study</w:t>
      </w:r>
      <w:r w:rsidR="005A6CC1">
        <w:t xml:space="preserve"> and the AB802 TA</w:t>
      </w:r>
      <w:r w:rsidRPr="00A6054A">
        <w:t xml:space="preserve"> with additional findings from numerous Navigant evaluations and research studies, as well as findings from the Consortium for Energy Efficiency Database, American Council for an Energy Efficient Economy, and various other secondary research sources. Once appropriate utility programs had been identified, we sought out formal evaluation findings wherever possible—particularly evaluations of programs run by the four California investor owned utilities—as well as other commissioned original research studies. </w:t>
      </w:r>
    </w:p>
    <w:p w14:paraId="6CC2CE69" w14:textId="77777777" w:rsidR="00A6054A" w:rsidRPr="00A6054A" w:rsidRDefault="00A6054A" w:rsidP="00A6054A">
      <w:pPr>
        <w:ind w:left="720"/>
      </w:pPr>
    </w:p>
    <w:p w14:paraId="08757F8B" w14:textId="77777777" w:rsidR="00A6054A" w:rsidRPr="00A6054A" w:rsidRDefault="00A6054A" w:rsidP="00A6054A">
      <w:pPr>
        <w:ind w:left="720"/>
      </w:pPr>
      <w:r w:rsidRPr="00A6054A">
        <w:rPr>
          <w:b/>
        </w:rPr>
        <w:t>Step 2: Screen Data.</w:t>
      </w:r>
      <w:r w:rsidRPr="00A6054A">
        <w:t xml:space="preserve"> Potential programs were then organized by intervention type and screened to ensure sufficient data. This initial literature review captured all available data, including utility, program name, state, number of years, number of participants per year, participant type, participation rates, eligibility considerations, energy savings, persistence, and cost. Because </w:t>
      </w:r>
      <w:r w:rsidRPr="00A6054A">
        <w:lastRenderedPageBreak/>
        <w:t xml:space="preserve">findings were obtained from many sources, data were inconsistently reported and thus </w:t>
      </w:r>
      <w:r w:rsidR="005A6CC1">
        <w:t>“</w:t>
      </w:r>
      <w:r w:rsidRPr="00A6054A">
        <w:t>apples-to-apples</w:t>
      </w:r>
      <w:r w:rsidR="005A6CC1">
        <w:t>”</w:t>
      </w:r>
      <w:r w:rsidRPr="00A6054A">
        <w:t xml:space="preserve"> comparisons were not always possible. </w:t>
      </w:r>
    </w:p>
    <w:p w14:paraId="1EAAB278" w14:textId="77777777" w:rsidR="00A6054A" w:rsidRPr="00A6054A" w:rsidRDefault="00A6054A" w:rsidP="00A6054A">
      <w:pPr>
        <w:ind w:left="720"/>
      </w:pPr>
    </w:p>
    <w:p w14:paraId="158D5733" w14:textId="77777777" w:rsidR="00A6054A" w:rsidRPr="00A6054A" w:rsidRDefault="00A6054A" w:rsidP="00A6054A">
      <w:pPr>
        <w:ind w:left="720"/>
      </w:pPr>
      <w:r w:rsidRPr="00A6054A">
        <w:rPr>
          <w:b/>
        </w:rPr>
        <w:t>Step 3: Characterize Interventions.</w:t>
      </w:r>
      <w:r w:rsidRPr="00A6054A">
        <w:t xml:space="preserve"> Behavioral interventions were ultimately included in the model when a sufficiency of data was available for five primary modeling inputs: </w:t>
      </w:r>
    </w:p>
    <w:p w14:paraId="6A56FC71" w14:textId="77777777" w:rsidR="00A6054A" w:rsidRDefault="00A6054A" w:rsidP="004E4E36">
      <w:pPr>
        <w:pStyle w:val="ListParagraph"/>
        <w:numPr>
          <w:ilvl w:val="0"/>
          <w:numId w:val="20"/>
        </w:numPr>
        <w:ind w:left="1440"/>
      </w:pPr>
      <w:r>
        <w:t xml:space="preserve">kWh savings </w:t>
      </w:r>
    </w:p>
    <w:p w14:paraId="261F6EBE" w14:textId="77777777" w:rsidR="00A6054A" w:rsidRDefault="00A6054A" w:rsidP="004E4E36">
      <w:pPr>
        <w:pStyle w:val="ListParagraph"/>
        <w:numPr>
          <w:ilvl w:val="0"/>
          <w:numId w:val="20"/>
        </w:numPr>
        <w:ind w:left="1440"/>
      </w:pPr>
      <w:r>
        <w:t xml:space="preserve">therm savings </w:t>
      </w:r>
    </w:p>
    <w:p w14:paraId="1EE833E3" w14:textId="77777777" w:rsidR="00A6054A" w:rsidRDefault="005A6CC1" w:rsidP="004E4E36">
      <w:pPr>
        <w:pStyle w:val="ListParagraph"/>
        <w:numPr>
          <w:ilvl w:val="0"/>
          <w:numId w:val="20"/>
        </w:numPr>
        <w:ind w:left="1440"/>
      </w:pPr>
      <w:r>
        <w:t>p</w:t>
      </w:r>
      <w:r w:rsidR="00A6054A">
        <w:t>articipation rates</w:t>
      </w:r>
    </w:p>
    <w:p w14:paraId="4D1B3C2B" w14:textId="77777777" w:rsidR="00A6054A" w:rsidRDefault="00A6054A" w:rsidP="004E4E36">
      <w:pPr>
        <w:pStyle w:val="ListParagraph"/>
        <w:numPr>
          <w:ilvl w:val="0"/>
          <w:numId w:val="20"/>
        </w:numPr>
        <w:ind w:left="1440"/>
      </w:pPr>
      <w:r>
        <w:t xml:space="preserve">persistence </w:t>
      </w:r>
    </w:p>
    <w:p w14:paraId="28E01A02" w14:textId="77777777" w:rsidR="00A6054A" w:rsidRPr="00A6054A" w:rsidRDefault="00A6054A" w:rsidP="004E4E36">
      <w:pPr>
        <w:pStyle w:val="ListParagraph"/>
        <w:numPr>
          <w:ilvl w:val="0"/>
          <w:numId w:val="20"/>
        </w:numPr>
        <w:ind w:left="1440"/>
      </w:pPr>
      <w:r>
        <w:t>cost</w:t>
      </w:r>
    </w:p>
    <w:p w14:paraId="38529725" w14:textId="77777777" w:rsidR="00A6054A" w:rsidRPr="00A6054A" w:rsidRDefault="00A6054A" w:rsidP="00A6054A">
      <w:pPr>
        <w:ind w:left="720"/>
      </w:pPr>
    </w:p>
    <w:p w14:paraId="537D26CE" w14:textId="77777777" w:rsidR="00A6054A" w:rsidRPr="00A6054A" w:rsidRDefault="00A6054A" w:rsidP="00A6054A">
      <w:pPr>
        <w:ind w:left="720"/>
      </w:pPr>
      <w:r w:rsidRPr="00A6054A">
        <w:t>While savings and participation rates were generally readily available from formal EM&amp;V evaluations, cost data were more often scarce. So</w:t>
      </w:r>
      <w:r>
        <w:t>,</w:t>
      </w:r>
      <w:r w:rsidRPr="00A6054A">
        <w:t xml:space="preserve"> in some cases we extrapolated or estimated based on a limited number of data points. </w:t>
      </w:r>
    </w:p>
    <w:p w14:paraId="034687CE" w14:textId="77777777" w:rsidR="00A6054A" w:rsidRPr="00A6054A" w:rsidRDefault="00A6054A" w:rsidP="00A6054A">
      <w:pPr>
        <w:ind w:left="720"/>
      </w:pPr>
    </w:p>
    <w:p w14:paraId="43D48A94" w14:textId="77777777" w:rsidR="00A6054A" w:rsidRPr="00A6054A" w:rsidRDefault="00A6054A" w:rsidP="00A6054A">
      <w:pPr>
        <w:ind w:left="720"/>
      </w:pPr>
      <w:r w:rsidRPr="00A6054A">
        <w:t xml:space="preserve">Penetration rates were calculated based on relevant EM&amp;V reported program participation rates for current California IOU program offerings and reported participation in programs in other states. </w:t>
      </w:r>
    </w:p>
    <w:p w14:paraId="4BD53811" w14:textId="77777777" w:rsidR="00A6054A" w:rsidRPr="00A6054A" w:rsidRDefault="00A6054A" w:rsidP="00A6054A">
      <w:pPr>
        <w:ind w:left="720"/>
      </w:pPr>
    </w:p>
    <w:p w14:paraId="4DD4CF06" w14:textId="77777777" w:rsidR="00A6054A" w:rsidRPr="00A6054A" w:rsidRDefault="00A6054A" w:rsidP="00A6054A">
      <w:pPr>
        <w:ind w:left="720"/>
      </w:pPr>
      <w:r w:rsidRPr="00A6054A">
        <w:t xml:space="preserve">We modeled an EUL of one year for residential programs. Commercial programs used a two </w:t>
      </w:r>
      <w:r w:rsidR="00C05ACD">
        <w:t xml:space="preserve">or three </w:t>
      </w:r>
      <w:r w:rsidRPr="00A6054A">
        <w:t xml:space="preserve">year EUL, per CPUC Decision 16-08-019, unless evidence supported a longer duration. </w:t>
      </w:r>
    </w:p>
    <w:p w14:paraId="7816F3C4" w14:textId="77777777" w:rsidR="00A6054A" w:rsidRPr="00A6054A" w:rsidRDefault="00A6054A" w:rsidP="00A6054A">
      <w:pPr>
        <w:ind w:left="720"/>
      </w:pPr>
    </w:p>
    <w:p w14:paraId="23929732" w14:textId="77777777" w:rsidR="00A6054A" w:rsidRDefault="00A6054A" w:rsidP="00A6054A">
      <w:pPr>
        <w:ind w:left="720"/>
      </w:pPr>
      <w:r w:rsidRPr="00A6054A">
        <w:t xml:space="preserve">Specific modelling inputs for each intervention type are discuss in detail in </w:t>
      </w:r>
      <w:r>
        <w:fldChar w:fldCharType="begin"/>
      </w:r>
      <w:r>
        <w:instrText xml:space="preserve"> REF _Ref482027002 \n \h </w:instrText>
      </w:r>
      <w:r>
        <w:fldChar w:fldCharType="separate"/>
      </w:r>
      <w:r w:rsidR="007566B9">
        <w:t>Appendix C</w:t>
      </w:r>
      <w:r>
        <w:fldChar w:fldCharType="end"/>
      </w:r>
      <w:r w:rsidRPr="00A6054A">
        <w:t>.</w:t>
      </w:r>
    </w:p>
    <w:p w14:paraId="49BF2FB5" w14:textId="77777777" w:rsidR="00A6054A" w:rsidRPr="00A6054A" w:rsidRDefault="00A6054A" w:rsidP="00A6054A">
      <w:pPr>
        <w:ind w:left="720"/>
      </w:pPr>
    </w:p>
    <w:p w14:paraId="469604BA" w14:textId="77777777" w:rsidR="00A6054A" w:rsidRPr="00A6054A" w:rsidRDefault="00A6054A" w:rsidP="00A6054A">
      <w:pPr>
        <w:ind w:left="720"/>
      </w:pPr>
      <w:r w:rsidRPr="00A6054A">
        <w:rPr>
          <w:b/>
        </w:rPr>
        <w:t xml:space="preserve">Step 4. Cost Effectiveness Screen. </w:t>
      </w:r>
      <w:r w:rsidRPr="00A6054A">
        <w:t xml:space="preserve">The cost-effectiveness screen used the total resource cost (TRC) test – the most conservative of the cost-effectiveness tests used in the </w:t>
      </w:r>
      <w:r w:rsidR="005A6CC1" w:rsidRPr="00A6054A">
        <w:t>201</w:t>
      </w:r>
      <w:r w:rsidR="005A6CC1">
        <w:t>8</w:t>
      </w:r>
      <w:r w:rsidR="005A6CC1" w:rsidRPr="00A6054A">
        <w:t xml:space="preserve"> </w:t>
      </w:r>
      <w:r w:rsidRPr="00A6054A">
        <w:t>Study</w:t>
      </w:r>
      <w:r w:rsidR="00CB3715">
        <w:t xml:space="preserve"> – and the latest CPUC-approved avoided costs for each utility</w:t>
      </w:r>
      <w:r w:rsidRPr="00A6054A">
        <w:t xml:space="preserve">. This screen was used to eliminate measures from the reference case. Even programs that were not cost-effective are included in the aggressive scenario as an indication of the data available on the potential of these programs. </w:t>
      </w:r>
    </w:p>
    <w:p w14:paraId="04402279" w14:textId="77777777" w:rsidR="00A6054A" w:rsidRDefault="00A6054A" w:rsidP="00A6054A">
      <w:pPr>
        <w:ind w:left="720"/>
        <w:rPr>
          <w:b/>
        </w:rPr>
      </w:pPr>
    </w:p>
    <w:p w14:paraId="2B7739B3" w14:textId="77777777" w:rsidR="00A6054A" w:rsidRPr="00A6054A" w:rsidRDefault="00A6054A" w:rsidP="00A6054A">
      <w:pPr>
        <w:ind w:left="720"/>
      </w:pPr>
      <w:r w:rsidRPr="00A6054A">
        <w:rPr>
          <w:b/>
        </w:rPr>
        <w:t>Step 5. Forecast Potential.</w:t>
      </w:r>
      <w:r w:rsidRPr="00A6054A">
        <w:t xml:space="preserve"> The forecasts are the result of professional judgement based upon program operations and whether participation is utility driven (opt-out) or customer driven (opt-in).</w:t>
      </w:r>
      <w:r w:rsidR="00C05ACD">
        <w:t xml:space="preserve"> The forecasted penetration rates were </w:t>
      </w:r>
      <w:r w:rsidR="002724E0">
        <w:t xml:space="preserve">adjusted to represent a reference and an aggressive scenario. </w:t>
      </w:r>
    </w:p>
    <w:p w14:paraId="17ED5548" w14:textId="77777777" w:rsidR="00A6054A" w:rsidRPr="00A6054A" w:rsidRDefault="00A6054A" w:rsidP="00A6054A"/>
    <w:p w14:paraId="06ED690D" w14:textId="77777777" w:rsidR="00A6054A" w:rsidRPr="00A6054A" w:rsidRDefault="00A6054A" w:rsidP="006D2D50">
      <w:r w:rsidRPr="00A6054A">
        <w:t>The</w:t>
      </w:r>
      <w:r w:rsidR="006D7207">
        <w:t xml:space="preserve"> results of Step 1</w:t>
      </w:r>
      <w:r w:rsidRPr="00A6054A">
        <w:t xml:space="preserve"> were presented at the DAWG meeting held in San Francisco on November 4, 201</w:t>
      </w:r>
      <w:r>
        <w:t>6</w:t>
      </w:r>
      <w:r w:rsidRPr="00A6054A">
        <w:t>. Feedback from stakeholders on these interventions was requested during the meeting, but none was subsequently submitted. Several of the originally</w:t>
      </w:r>
      <w:r w:rsidR="006D7207">
        <w:t>-</w:t>
      </w:r>
      <w:r w:rsidRPr="00A6054A">
        <w:t>considered behavior intervention types were elimi</w:t>
      </w:r>
      <w:r w:rsidR="006D7207">
        <w:t>nated after completing the five-</w:t>
      </w:r>
      <w:r w:rsidRPr="00A6054A">
        <w:t>step selection process due to insufficient</w:t>
      </w:r>
      <w:r w:rsidR="006D7207">
        <w:t xml:space="preserve"> </w:t>
      </w:r>
      <w:r w:rsidRPr="00A6054A">
        <w:t xml:space="preserve">data. </w:t>
      </w:r>
      <w:r w:rsidR="006D7207" w:rsidRPr="00A6054A">
        <w:t>Thus</w:t>
      </w:r>
      <w:r w:rsidRPr="00A6054A">
        <w:t xml:space="preserve">, the </w:t>
      </w:r>
      <w:r w:rsidR="00BB59F5">
        <w:t>2018</w:t>
      </w:r>
      <w:r w:rsidRPr="00A6054A">
        <w:t xml:space="preserve"> </w:t>
      </w:r>
      <w:r w:rsidR="006D7207">
        <w:t>Study</w:t>
      </w:r>
      <w:r w:rsidRPr="00A6054A">
        <w:t xml:space="preserve"> ultimately includes </w:t>
      </w:r>
      <w:r w:rsidR="006D7207">
        <w:t xml:space="preserve">the programs shown in </w:t>
      </w:r>
      <w:r w:rsidR="006D7207">
        <w:fldChar w:fldCharType="begin"/>
      </w:r>
      <w:r w:rsidR="006D7207">
        <w:instrText xml:space="preserve"> REF _Ref482028352 \h </w:instrText>
      </w:r>
      <w:r w:rsidR="006D2D50">
        <w:instrText xml:space="preserve"> \* MERGEFORMAT </w:instrText>
      </w:r>
      <w:r w:rsidR="006D7207">
        <w:fldChar w:fldCharType="separate"/>
      </w:r>
      <w:r w:rsidR="007566B9">
        <w:t xml:space="preserve">Figure </w:t>
      </w:r>
      <w:r w:rsidR="007566B9">
        <w:rPr>
          <w:noProof/>
        </w:rPr>
        <w:t>3</w:t>
      </w:r>
      <w:r w:rsidR="007566B9">
        <w:rPr>
          <w:noProof/>
        </w:rPr>
        <w:noBreakHyphen/>
        <w:t>8</w:t>
      </w:r>
      <w:r w:rsidR="006D7207">
        <w:fldChar w:fldCharType="end"/>
      </w:r>
      <w:r w:rsidR="006D7207">
        <w:t xml:space="preserve"> and </w:t>
      </w:r>
      <w:r w:rsidR="006D7207">
        <w:fldChar w:fldCharType="begin"/>
      </w:r>
      <w:r w:rsidR="006D7207">
        <w:instrText xml:space="preserve"> REF _Ref482028372 \h </w:instrText>
      </w:r>
      <w:r w:rsidR="006D2D50">
        <w:instrText xml:space="preserve"> \* MERGEFORMAT </w:instrText>
      </w:r>
      <w:r w:rsidR="006D7207">
        <w:fldChar w:fldCharType="separate"/>
      </w:r>
      <w:r w:rsidR="007566B9">
        <w:t xml:space="preserve">Figure </w:t>
      </w:r>
      <w:r w:rsidR="007566B9">
        <w:rPr>
          <w:noProof/>
        </w:rPr>
        <w:t>3</w:t>
      </w:r>
      <w:r w:rsidR="007566B9">
        <w:rPr>
          <w:noProof/>
        </w:rPr>
        <w:noBreakHyphen/>
        <w:t>9</w:t>
      </w:r>
      <w:r w:rsidR="006D7207">
        <w:fldChar w:fldCharType="end"/>
      </w:r>
      <w:r w:rsidR="006D7207">
        <w:t>.</w:t>
      </w:r>
      <w:r w:rsidRPr="00A6054A">
        <w:t xml:space="preserve"> A </w:t>
      </w:r>
      <w:r w:rsidR="006D7207">
        <w:t>more detailed description</w:t>
      </w:r>
      <w:r w:rsidRPr="00A6054A">
        <w:t xml:space="preserve"> of each of the final intervention types follows in</w:t>
      </w:r>
      <w:r w:rsidR="006D7207">
        <w:t xml:space="preserve"> </w:t>
      </w:r>
      <w:r w:rsidR="006D7207">
        <w:fldChar w:fldCharType="begin"/>
      </w:r>
      <w:r w:rsidR="006D7207">
        <w:instrText xml:space="preserve"> REF _Ref482028565 \h </w:instrText>
      </w:r>
      <w:r w:rsidR="006D2D50">
        <w:instrText xml:space="preserve"> \* MERGEFORMAT </w:instrText>
      </w:r>
      <w:r w:rsidR="006D7207">
        <w:fldChar w:fldCharType="separate"/>
      </w:r>
      <w:r w:rsidR="007566B9">
        <w:t xml:space="preserve">Table </w:t>
      </w:r>
      <w:r w:rsidR="007566B9">
        <w:rPr>
          <w:noProof/>
        </w:rPr>
        <w:t>3</w:t>
      </w:r>
      <w:r w:rsidR="007566B9">
        <w:rPr>
          <w:noProof/>
        </w:rPr>
        <w:noBreakHyphen/>
      </w:r>
      <w:r w:rsidR="006D7207">
        <w:fldChar w:fldCharType="end"/>
      </w:r>
      <w:r w:rsidRPr="00A6054A">
        <w:t>.</w:t>
      </w:r>
    </w:p>
    <w:p w14:paraId="5CE3CC8C" w14:textId="77777777" w:rsidR="001F04C4" w:rsidRDefault="001F04C4" w:rsidP="001F04C4">
      <w:pPr>
        <w:jc w:val="center"/>
      </w:pPr>
    </w:p>
    <w:p w14:paraId="2A2AF2DF" w14:textId="77777777" w:rsidR="001F04C4" w:rsidRDefault="001F04C4" w:rsidP="001F04C4">
      <w:pPr>
        <w:pStyle w:val="Caption"/>
      </w:pPr>
      <w:bookmarkStart w:id="674" w:name="_Ref482028352"/>
      <w:bookmarkStart w:id="675" w:name="_Toc482634254"/>
      <w:bookmarkStart w:id="676" w:name="_Toc482626462"/>
      <w:bookmarkStart w:id="677" w:name="_Toc484437006"/>
      <w:bookmarkStart w:id="678" w:name="_Toc490491732"/>
      <w:r>
        <w:lastRenderedPageBreak/>
        <w:t xml:space="preserve">Figure </w:t>
      </w:r>
      <w:fldSimple w:instr=" STYLEREF 1 \s ">
        <w:r w:rsidR="007566B9">
          <w:rPr>
            <w:noProof/>
          </w:rPr>
          <w:t>3</w:t>
        </w:r>
      </w:fldSimple>
      <w:r w:rsidR="00CE124F">
        <w:noBreakHyphen/>
      </w:r>
      <w:fldSimple w:instr=" SEQ Figure \* ARABIC \s 1 ">
        <w:r w:rsidR="007566B9">
          <w:rPr>
            <w:noProof/>
          </w:rPr>
          <w:t>8</w:t>
        </w:r>
      </w:fldSimple>
      <w:bookmarkEnd w:id="674"/>
      <w:r>
        <w:t>. Residential BROs</w:t>
      </w:r>
      <w:bookmarkEnd w:id="675"/>
      <w:bookmarkEnd w:id="676"/>
      <w:bookmarkEnd w:id="677"/>
      <w:bookmarkEnd w:id="678"/>
    </w:p>
    <w:p w14:paraId="4CB430F3" w14:textId="77777777" w:rsidR="00894F4F" w:rsidRDefault="006D7207" w:rsidP="001F04C4">
      <w:pPr>
        <w:jc w:val="center"/>
      </w:pPr>
      <w:r w:rsidRPr="006D7207">
        <w:rPr>
          <w:noProof/>
        </w:rPr>
        <w:drawing>
          <wp:inline distT="0" distB="0" distL="0" distR="0" wp14:anchorId="3859891C" wp14:editId="5DEDD31B">
            <wp:extent cx="4889500" cy="2457450"/>
            <wp:effectExtent l="38100" t="38100" r="25400" b="3810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7C6AF3F" w14:textId="1399D1F0" w:rsidR="007D4A2A" w:rsidRPr="007D4A2A" w:rsidRDefault="007D4A2A" w:rsidP="001F04C4">
      <w:pPr>
        <w:jc w:val="center"/>
        <w:rPr>
          <w:sz w:val="16"/>
          <w:szCs w:val="20"/>
        </w:rPr>
      </w:pPr>
      <w:r w:rsidRPr="007D4A2A">
        <w:rPr>
          <w:sz w:val="16"/>
          <w:szCs w:val="20"/>
        </w:rPr>
        <w:t>*Note: Removed f</w:t>
      </w:r>
      <w:r>
        <w:rPr>
          <w:sz w:val="16"/>
          <w:szCs w:val="20"/>
        </w:rPr>
        <w:t xml:space="preserve">rom the reference case </w:t>
      </w:r>
      <w:r w:rsidR="00885A2C">
        <w:rPr>
          <w:sz w:val="16"/>
          <w:szCs w:val="20"/>
        </w:rPr>
        <w:t>scenario due to low</w:t>
      </w:r>
      <w:r>
        <w:rPr>
          <w:sz w:val="16"/>
          <w:szCs w:val="20"/>
        </w:rPr>
        <w:t xml:space="preserve"> cost effectiveness.</w:t>
      </w:r>
    </w:p>
    <w:p w14:paraId="5C3DDCFA" w14:textId="77777777" w:rsidR="002724E0" w:rsidRDefault="002724E0" w:rsidP="00095E9B">
      <w:pPr>
        <w:pStyle w:val="Source"/>
        <w:ind w:firstLine="720"/>
      </w:pPr>
    </w:p>
    <w:p w14:paraId="4C533B89" w14:textId="77777777" w:rsidR="001F04C4" w:rsidRDefault="001F04C4" w:rsidP="001F04C4">
      <w:pPr>
        <w:pStyle w:val="Caption"/>
      </w:pPr>
      <w:bookmarkStart w:id="679" w:name="_Ref482028372"/>
      <w:bookmarkStart w:id="680" w:name="_Toc482634255"/>
      <w:bookmarkStart w:id="681" w:name="_Toc482626463"/>
      <w:bookmarkStart w:id="682" w:name="_Toc484437007"/>
      <w:bookmarkStart w:id="683" w:name="_Toc490491733"/>
      <w:r>
        <w:t xml:space="preserve">Figure </w:t>
      </w:r>
      <w:fldSimple w:instr=" STYLEREF 1 \s ">
        <w:r w:rsidR="007566B9">
          <w:rPr>
            <w:noProof/>
          </w:rPr>
          <w:t>3</w:t>
        </w:r>
      </w:fldSimple>
      <w:r w:rsidR="00CE124F">
        <w:noBreakHyphen/>
      </w:r>
      <w:fldSimple w:instr=" SEQ Figure \* ARABIC \s 1 ">
        <w:r w:rsidR="007566B9">
          <w:rPr>
            <w:noProof/>
          </w:rPr>
          <w:t>9</w:t>
        </w:r>
      </w:fldSimple>
      <w:bookmarkEnd w:id="679"/>
      <w:r>
        <w:t>. Commercial BROs</w:t>
      </w:r>
      <w:bookmarkEnd w:id="680"/>
      <w:bookmarkEnd w:id="681"/>
      <w:bookmarkEnd w:id="682"/>
      <w:bookmarkEnd w:id="683"/>
    </w:p>
    <w:p w14:paraId="301FD302" w14:textId="77777777" w:rsidR="001F04C4" w:rsidRDefault="006D7207" w:rsidP="001F04C4">
      <w:pPr>
        <w:jc w:val="center"/>
      </w:pPr>
      <w:r w:rsidRPr="006D7207">
        <w:rPr>
          <w:noProof/>
        </w:rPr>
        <w:drawing>
          <wp:inline distT="0" distB="0" distL="0" distR="0" wp14:anchorId="07C8AE25" wp14:editId="2F356239">
            <wp:extent cx="4969510" cy="2705100"/>
            <wp:effectExtent l="38100" t="38100" r="21590" b="1905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4FEEBE34" w14:textId="77777777" w:rsidR="002724E0" w:rsidRDefault="002724E0" w:rsidP="007D4A2A">
      <w:pPr>
        <w:pStyle w:val="Source"/>
        <w:ind w:firstLine="720"/>
        <w:jc w:val="center"/>
      </w:pPr>
      <w:r>
        <w:t>*</w:t>
      </w:r>
      <w:r>
        <w:rPr>
          <w:i w:val="0"/>
        </w:rPr>
        <w:t>Note: Removed from the reference case scenario</w:t>
      </w:r>
      <w:r w:rsidR="007D4A2A">
        <w:rPr>
          <w:i w:val="0"/>
        </w:rPr>
        <w:t xml:space="preserve"> due to high uncertainty. </w:t>
      </w:r>
    </w:p>
    <w:p w14:paraId="1503BFDD" w14:textId="77777777" w:rsidR="002724E0" w:rsidRPr="001F04C4" w:rsidRDefault="002724E0" w:rsidP="001F04C4">
      <w:pPr>
        <w:jc w:val="center"/>
      </w:pPr>
    </w:p>
    <w:p w14:paraId="4BE43523" w14:textId="77777777" w:rsidR="006D7207" w:rsidRDefault="006D7207" w:rsidP="006D7207">
      <w:pPr>
        <w:pStyle w:val="Caption"/>
      </w:pPr>
      <w:bookmarkStart w:id="684" w:name="_Ref482028565"/>
      <w:bookmarkStart w:id="685" w:name="_Toc482634233"/>
      <w:bookmarkStart w:id="686" w:name="_Toc484436972"/>
      <w:bookmarkStart w:id="687" w:name="_Toc490560685"/>
      <w:r>
        <w:lastRenderedPageBreak/>
        <w:t xml:space="preserve">Table </w:t>
      </w:r>
      <w:fldSimple w:instr=" STYLEREF 1 \s ">
        <w:r w:rsidR="007566B9">
          <w:rPr>
            <w:noProof/>
          </w:rPr>
          <w:t>3</w:t>
        </w:r>
      </w:fldSimple>
      <w:r w:rsidR="00C17D59">
        <w:noBreakHyphen/>
      </w:r>
      <w:bookmarkEnd w:id="684"/>
      <w:r w:rsidR="00B206D8">
        <w:fldChar w:fldCharType="begin"/>
      </w:r>
      <w:r w:rsidR="00B206D8">
        <w:instrText xml:space="preserve"> SEQ Table \* ARABIC \s 1 </w:instrText>
      </w:r>
      <w:r w:rsidR="00B206D8">
        <w:fldChar w:fldCharType="separate"/>
      </w:r>
      <w:r w:rsidR="007566B9">
        <w:rPr>
          <w:noProof/>
        </w:rPr>
        <w:t>27</w:t>
      </w:r>
      <w:r w:rsidR="00B206D8">
        <w:rPr>
          <w:noProof/>
        </w:rPr>
        <w:fldChar w:fldCharType="end"/>
      </w:r>
      <w:r>
        <w:t>. Behavioral Intervention Summary Table</w:t>
      </w:r>
      <w:bookmarkEnd w:id="685"/>
      <w:bookmarkEnd w:id="686"/>
      <w:bookmarkEnd w:id="687"/>
    </w:p>
    <w:tbl>
      <w:tblPr>
        <w:tblStyle w:val="EnergyTable1"/>
        <w:tblW w:w="9180" w:type="dxa"/>
        <w:tblLayout w:type="fixed"/>
        <w:tblLook w:val="04A0" w:firstRow="1" w:lastRow="0" w:firstColumn="1" w:lastColumn="0" w:noHBand="0" w:noVBand="1"/>
      </w:tblPr>
      <w:tblGrid>
        <w:gridCol w:w="1260"/>
        <w:gridCol w:w="1800"/>
        <w:gridCol w:w="4770"/>
        <w:gridCol w:w="1350"/>
      </w:tblGrid>
      <w:tr w:rsidR="006D7207" w:rsidRPr="00483510" w14:paraId="7FE95010" w14:textId="77777777" w:rsidTr="00907914">
        <w:trPr>
          <w:cnfStyle w:val="100000000000" w:firstRow="1" w:lastRow="0" w:firstColumn="0" w:lastColumn="0" w:oddVBand="0" w:evenVBand="0" w:oddHBand="0" w:evenHBand="0" w:firstRowFirstColumn="0" w:firstRowLastColumn="0" w:lastRowFirstColumn="0" w:lastRowLastColumn="0"/>
          <w:trHeight w:val="654"/>
          <w:tblHeader/>
        </w:trPr>
        <w:tc>
          <w:tcPr>
            <w:cnfStyle w:val="001000000000" w:firstRow="0" w:lastRow="0" w:firstColumn="1" w:lastColumn="0" w:oddVBand="0" w:evenVBand="0" w:oddHBand="0" w:evenHBand="0" w:firstRowFirstColumn="0" w:firstRowLastColumn="0" w:lastRowFirstColumn="0" w:lastRowLastColumn="0"/>
            <w:tcW w:w="1260" w:type="dxa"/>
            <w:vMerge w:val="restart"/>
            <w:hideMark/>
          </w:tcPr>
          <w:p w14:paraId="0CD74DDE" w14:textId="77777777" w:rsidR="006D7207" w:rsidRPr="00483510" w:rsidRDefault="006D7207" w:rsidP="006D7207">
            <w:pPr>
              <w:rPr>
                <w:rFonts w:ascii="Arial Narrow" w:hAnsi="Arial Narrow"/>
                <w:bCs/>
                <w:sz w:val="18"/>
                <w:szCs w:val="18"/>
              </w:rPr>
            </w:pPr>
            <w:r w:rsidRPr="00483510">
              <w:rPr>
                <w:rFonts w:ascii="Arial Narrow" w:hAnsi="Arial Narrow"/>
                <w:bCs/>
                <w:sz w:val="18"/>
                <w:szCs w:val="18"/>
              </w:rPr>
              <w:t>Sector</w:t>
            </w:r>
          </w:p>
        </w:tc>
        <w:tc>
          <w:tcPr>
            <w:tcW w:w="1800" w:type="dxa"/>
            <w:vMerge w:val="restart"/>
            <w:hideMark/>
          </w:tcPr>
          <w:p w14:paraId="3AD3026F" w14:textId="77777777" w:rsidR="006D7207" w:rsidRPr="00483510" w:rsidRDefault="006D7207" w:rsidP="006D7207">
            <w:pPr>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r w:rsidRPr="00483510">
              <w:rPr>
                <w:rFonts w:ascii="Arial Narrow" w:hAnsi="Arial Narrow"/>
                <w:bCs/>
                <w:sz w:val="18"/>
                <w:szCs w:val="18"/>
              </w:rPr>
              <w:t xml:space="preserve">Type of </w:t>
            </w:r>
            <w:r w:rsidRPr="00483510">
              <w:rPr>
                <w:rFonts w:ascii="Arial Narrow" w:hAnsi="Arial Narrow"/>
                <w:bCs/>
                <w:sz w:val="18"/>
                <w:szCs w:val="18"/>
              </w:rPr>
              <w:br/>
              <w:t>Behavioral Intervention</w:t>
            </w:r>
          </w:p>
        </w:tc>
        <w:tc>
          <w:tcPr>
            <w:tcW w:w="4770" w:type="dxa"/>
            <w:vMerge w:val="restart"/>
            <w:hideMark/>
          </w:tcPr>
          <w:p w14:paraId="4C112C6C" w14:textId="77777777" w:rsidR="006D7207" w:rsidRPr="00483510" w:rsidRDefault="006D7207" w:rsidP="006D7207">
            <w:pPr>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r w:rsidRPr="00483510">
              <w:rPr>
                <w:rFonts w:ascii="Arial Narrow" w:hAnsi="Arial Narrow"/>
                <w:bCs/>
                <w:sz w:val="18"/>
                <w:szCs w:val="18"/>
              </w:rPr>
              <w:t>Brief Description</w:t>
            </w:r>
          </w:p>
        </w:tc>
        <w:tc>
          <w:tcPr>
            <w:tcW w:w="1350" w:type="dxa"/>
            <w:vMerge w:val="restart"/>
            <w:hideMark/>
          </w:tcPr>
          <w:p w14:paraId="49E20BBE" w14:textId="77777777" w:rsidR="006D7207" w:rsidRPr="00483510" w:rsidRDefault="006D7207" w:rsidP="006D7207">
            <w:pPr>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r w:rsidRPr="00483510">
              <w:rPr>
                <w:rFonts w:ascii="Arial Narrow" w:hAnsi="Arial Narrow"/>
                <w:bCs/>
                <w:sz w:val="18"/>
                <w:szCs w:val="18"/>
              </w:rPr>
              <w:t>EUL (years)</w:t>
            </w:r>
          </w:p>
        </w:tc>
      </w:tr>
      <w:tr w:rsidR="006D7207" w:rsidRPr="00483510" w14:paraId="1EB36541" w14:textId="77777777" w:rsidTr="00907914">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000" w:firstRow="0" w:lastRow="0" w:firstColumn="1" w:lastColumn="0" w:oddVBand="0" w:evenVBand="0" w:oddHBand="0" w:evenHBand="0" w:firstRowFirstColumn="0" w:firstRowLastColumn="0" w:lastRowFirstColumn="0" w:lastRowLastColumn="0"/>
            <w:tcW w:w="1260" w:type="dxa"/>
            <w:vMerge/>
            <w:hideMark/>
          </w:tcPr>
          <w:p w14:paraId="34B16010" w14:textId="77777777" w:rsidR="006D7207" w:rsidRPr="00483510" w:rsidRDefault="006D7207" w:rsidP="006D7207">
            <w:pPr>
              <w:rPr>
                <w:rFonts w:ascii="Arial Narrow" w:hAnsi="Arial Narrow"/>
                <w:bCs/>
                <w:sz w:val="18"/>
                <w:szCs w:val="18"/>
              </w:rPr>
            </w:pPr>
          </w:p>
        </w:tc>
        <w:tc>
          <w:tcPr>
            <w:tcW w:w="1800" w:type="dxa"/>
            <w:vMerge/>
            <w:hideMark/>
          </w:tcPr>
          <w:p w14:paraId="13BF0F2C" w14:textId="77777777" w:rsidR="006D7207" w:rsidRPr="00483510" w:rsidRDefault="006D7207" w:rsidP="006D7207">
            <w:pPr>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p>
        </w:tc>
        <w:tc>
          <w:tcPr>
            <w:tcW w:w="4770" w:type="dxa"/>
            <w:vMerge/>
            <w:hideMark/>
          </w:tcPr>
          <w:p w14:paraId="23B5B7CB" w14:textId="77777777" w:rsidR="006D7207" w:rsidRPr="00483510" w:rsidRDefault="006D7207" w:rsidP="006D7207">
            <w:pPr>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p>
        </w:tc>
        <w:tc>
          <w:tcPr>
            <w:tcW w:w="1350" w:type="dxa"/>
            <w:vMerge/>
            <w:hideMark/>
          </w:tcPr>
          <w:p w14:paraId="0D58B20D" w14:textId="77777777" w:rsidR="006D7207" w:rsidRPr="00483510" w:rsidRDefault="006D7207" w:rsidP="006D7207">
            <w:pPr>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p>
        </w:tc>
      </w:tr>
      <w:tr w:rsidR="006D7207" w:rsidRPr="00483510" w14:paraId="662C18ED" w14:textId="77777777" w:rsidTr="00907914">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1260" w:type="dxa"/>
            <w:hideMark/>
          </w:tcPr>
          <w:p w14:paraId="634041DB" w14:textId="77777777" w:rsidR="006D7207" w:rsidRPr="00483510" w:rsidRDefault="006D7207" w:rsidP="006D7207">
            <w:pPr>
              <w:rPr>
                <w:rFonts w:ascii="Arial Narrow" w:hAnsi="Arial Narrow"/>
                <w:sz w:val="18"/>
                <w:szCs w:val="18"/>
              </w:rPr>
            </w:pPr>
            <w:r w:rsidRPr="00483510">
              <w:rPr>
                <w:rFonts w:ascii="Arial Narrow" w:hAnsi="Arial Narrow"/>
                <w:sz w:val="18"/>
                <w:szCs w:val="18"/>
              </w:rPr>
              <w:t>RES</w:t>
            </w:r>
          </w:p>
        </w:tc>
        <w:tc>
          <w:tcPr>
            <w:tcW w:w="1800" w:type="dxa"/>
            <w:hideMark/>
          </w:tcPr>
          <w:p w14:paraId="332B6732"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Home Energy Reports (HERs)</w:t>
            </w:r>
          </w:p>
        </w:tc>
        <w:tc>
          <w:tcPr>
            <w:tcW w:w="4770" w:type="dxa"/>
            <w:hideMark/>
          </w:tcPr>
          <w:p w14:paraId="2322AD93"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Residential customers are periodically mailed HERs that provide feedback about their home’s energy use, including normative comparisons to similar neighbors, tips for improving energy efficiency, and occasionally messaging about rewards or incentives.</w:t>
            </w:r>
          </w:p>
        </w:tc>
        <w:tc>
          <w:tcPr>
            <w:tcW w:w="1350" w:type="dxa"/>
            <w:noWrap/>
            <w:hideMark/>
          </w:tcPr>
          <w:p w14:paraId="0469B407"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1</w:t>
            </w:r>
          </w:p>
        </w:tc>
      </w:tr>
      <w:tr w:rsidR="006D7207" w:rsidRPr="00483510" w14:paraId="43F44B7B" w14:textId="77777777" w:rsidTr="00907914">
        <w:trPr>
          <w:cnfStyle w:val="000000010000" w:firstRow="0" w:lastRow="0" w:firstColumn="0" w:lastColumn="0" w:oddVBand="0" w:evenVBand="0" w:oddHBand="0" w:evenHBand="1"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260" w:type="dxa"/>
            <w:hideMark/>
          </w:tcPr>
          <w:p w14:paraId="44C538A1" w14:textId="77777777" w:rsidR="006D7207" w:rsidRPr="00483510" w:rsidRDefault="006D7207" w:rsidP="006D7207">
            <w:pPr>
              <w:rPr>
                <w:rFonts w:ascii="Arial Narrow" w:hAnsi="Arial Narrow"/>
                <w:sz w:val="18"/>
                <w:szCs w:val="18"/>
              </w:rPr>
            </w:pPr>
            <w:r w:rsidRPr="00483510">
              <w:rPr>
                <w:rFonts w:ascii="Arial Narrow" w:hAnsi="Arial Narrow"/>
                <w:sz w:val="18"/>
                <w:szCs w:val="18"/>
              </w:rPr>
              <w:t>RES</w:t>
            </w:r>
          </w:p>
        </w:tc>
        <w:tc>
          <w:tcPr>
            <w:tcW w:w="1800" w:type="dxa"/>
            <w:hideMark/>
          </w:tcPr>
          <w:p w14:paraId="5D1A4DFB"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Web-Based Real Time Feedback (Web RTF)</w:t>
            </w:r>
          </w:p>
        </w:tc>
        <w:tc>
          <w:tcPr>
            <w:tcW w:w="4770" w:type="dxa"/>
            <w:hideMark/>
          </w:tcPr>
          <w:p w14:paraId="552E79B0"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Real time information and feedback about household energy use provided via websites or mobile apps</w:t>
            </w:r>
          </w:p>
        </w:tc>
        <w:tc>
          <w:tcPr>
            <w:tcW w:w="1350" w:type="dxa"/>
            <w:noWrap/>
            <w:hideMark/>
          </w:tcPr>
          <w:p w14:paraId="72FF372A"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1</w:t>
            </w:r>
          </w:p>
        </w:tc>
      </w:tr>
      <w:tr w:rsidR="006D7207" w:rsidRPr="00483510" w14:paraId="047909B8" w14:textId="77777777" w:rsidTr="00907914">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260" w:type="dxa"/>
            <w:hideMark/>
          </w:tcPr>
          <w:p w14:paraId="0E008607" w14:textId="77777777" w:rsidR="006D7207" w:rsidRPr="00483510" w:rsidRDefault="006D7207" w:rsidP="006D7207">
            <w:pPr>
              <w:rPr>
                <w:rFonts w:ascii="Arial Narrow" w:hAnsi="Arial Narrow"/>
                <w:sz w:val="18"/>
                <w:szCs w:val="18"/>
              </w:rPr>
            </w:pPr>
            <w:r w:rsidRPr="00483510">
              <w:rPr>
                <w:rFonts w:ascii="Arial Narrow" w:hAnsi="Arial Narrow"/>
                <w:sz w:val="18"/>
                <w:szCs w:val="18"/>
              </w:rPr>
              <w:t>RES</w:t>
            </w:r>
          </w:p>
        </w:tc>
        <w:tc>
          <w:tcPr>
            <w:tcW w:w="1800" w:type="dxa"/>
            <w:hideMark/>
          </w:tcPr>
          <w:p w14:paraId="452273F0"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In-Home Display Real Time Feedback (IHD RTF)</w:t>
            </w:r>
          </w:p>
        </w:tc>
        <w:tc>
          <w:tcPr>
            <w:tcW w:w="4770" w:type="dxa"/>
            <w:hideMark/>
          </w:tcPr>
          <w:p w14:paraId="55C69D45"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Real time information and feedback about household energy use provided via energy monitoring and feedback devices installed in customer homes</w:t>
            </w:r>
          </w:p>
        </w:tc>
        <w:tc>
          <w:tcPr>
            <w:tcW w:w="1350" w:type="dxa"/>
            <w:noWrap/>
            <w:hideMark/>
          </w:tcPr>
          <w:p w14:paraId="3F8C4D2A"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1</w:t>
            </w:r>
          </w:p>
        </w:tc>
      </w:tr>
      <w:tr w:rsidR="006D7207" w:rsidRPr="00483510" w14:paraId="54EE1799" w14:textId="77777777" w:rsidTr="00907914">
        <w:trPr>
          <w:cnfStyle w:val="000000010000" w:firstRow="0" w:lastRow="0" w:firstColumn="0" w:lastColumn="0" w:oddVBand="0" w:evenVBand="0" w:oddHBand="0" w:evenHBand="1" w:firstRowFirstColumn="0" w:firstRowLastColumn="0" w:lastRowFirstColumn="0" w:lastRowLastColumn="0"/>
          <w:trHeight w:val="1293"/>
        </w:trPr>
        <w:tc>
          <w:tcPr>
            <w:cnfStyle w:val="001000000000" w:firstRow="0" w:lastRow="0" w:firstColumn="1" w:lastColumn="0" w:oddVBand="0" w:evenVBand="0" w:oddHBand="0" w:evenHBand="0" w:firstRowFirstColumn="0" w:firstRowLastColumn="0" w:lastRowFirstColumn="0" w:lastRowLastColumn="0"/>
            <w:tcW w:w="1260" w:type="dxa"/>
            <w:hideMark/>
          </w:tcPr>
          <w:p w14:paraId="327699EF" w14:textId="77777777" w:rsidR="006D7207" w:rsidRPr="00483510" w:rsidRDefault="006D7207" w:rsidP="006D7207">
            <w:pPr>
              <w:rPr>
                <w:rFonts w:ascii="Arial Narrow" w:hAnsi="Arial Narrow"/>
                <w:sz w:val="18"/>
                <w:szCs w:val="18"/>
              </w:rPr>
            </w:pPr>
            <w:r w:rsidRPr="00483510">
              <w:rPr>
                <w:rFonts w:ascii="Arial Narrow" w:hAnsi="Arial Narrow"/>
                <w:sz w:val="18"/>
                <w:szCs w:val="18"/>
              </w:rPr>
              <w:t>RES</w:t>
            </w:r>
          </w:p>
        </w:tc>
        <w:tc>
          <w:tcPr>
            <w:tcW w:w="1800" w:type="dxa"/>
            <w:hideMark/>
          </w:tcPr>
          <w:p w14:paraId="0AFC213F"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Small Residential Competitions</w:t>
            </w:r>
          </w:p>
        </w:tc>
        <w:tc>
          <w:tcPr>
            <w:tcW w:w="4770" w:type="dxa"/>
            <w:hideMark/>
          </w:tcPr>
          <w:p w14:paraId="059422F1"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Small residential competitions are organized competitions with fewer than 10,000 participants per year in which participants compete in events, contests, or challenges to achieve a specific objective or the highest rank compared with other individuals or groups as they try to reach goals by reducing energy consumption.</w:t>
            </w:r>
          </w:p>
        </w:tc>
        <w:tc>
          <w:tcPr>
            <w:tcW w:w="1350" w:type="dxa"/>
            <w:noWrap/>
            <w:hideMark/>
          </w:tcPr>
          <w:p w14:paraId="1F0D1BBE"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1</w:t>
            </w:r>
          </w:p>
        </w:tc>
      </w:tr>
      <w:tr w:rsidR="006D7207" w:rsidRPr="00483510" w14:paraId="412BCC6C" w14:textId="77777777" w:rsidTr="0090791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260" w:type="dxa"/>
            <w:hideMark/>
          </w:tcPr>
          <w:p w14:paraId="4D0C1EAD" w14:textId="77777777" w:rsidR="006D7207" w:rsidRPr="00483510" w:rsidRDefault="006D7207" w:rsidP="006D7207">
            <w:pPr>
              <w:rPr>
                <w:rFonts w:ascii="Arial Narrow" w:hAnsi="Arial Narrow"/>
                <w:sz w:val="18"/>
                <w:szCs w:val="18"/>
              </w:rPr>
            </w:pPr>
            <w:r w:rsidRPr="00483510">
              <w:rPr>
                <w:rFonts w:ascii="Arial Narrow" w:hAnsi="Arial Narrow"/>
                <w:sz w:val="18"/>
                <w:szCs w:val="18"/>
              </w:rPr>
              <w:t>RES</w:t>
            </w:r>
          </w:p>
        </w:tc>
        <w:tc>
          <w:tcPr>
            <w:tcW w:w="1800" w:type="dxa"/>
            <w:hideMark/>
          </w:tcPr>
          <w:p w14:paraId="6501A15F"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Large Residential Competitions</w:t>
            </w:r>
          </w:p>
        </w:tc>
        <w:tc>
          <w:tcPr>
            <w:tcW w:w="4770" w:type="dxa"/>
            <w:hideMark/>
          </w:tcPr>
          <w:p w14:paraId="0A98A124"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Large residential competitions are organized competitions with more than 10,000 participants per year in which participants compete in events, contests, or challenges to achieve a specific objective or the highest rank compared with other individuals or groups as they try to reach goals by reducing energy consumption.</w:t>
            </w:r>
          </w:p>
        </w:tc>
        <w:tc>
          <w:tcPr>
            <w:tcW w:w="1350" w:type="dxa"/>
            <w:noWrap/>
            <w:hideMark/>
          </w:tcPr>
          <w:p w14:paraId="1C6A9D93"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1</w:t>
            </w:r>
          </w:p>
        </w:tc>
      </w:tr>
      <w:tr w:rsidR="006D7207" w:rsidRPr="00483510" w14:paraId="58371361" w14:textId="77777777" w:rsidTr="00907914">
        <w:trPr>
          <w:cnfStyle w:val="000000010000" w:firstRow="0" w:lastRow="0" w:firstColumn="0" w:lastColumn="0" w:oddVBand="0" w:evenVBand="0" w:oddHBand="0" w:evenHBand="1"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1260" w:type="dxa"/>
            <w:hideMark/>
          </w:tcPr>
          <w:p w14:paraId="484E11AB" w14:textId="77777777" w:rsidR="006D7207" w:rsidRPr="00483510" w:rsidRDefault="006D7207" w:rsidP="006D7207">
            <w:pPr>
              <w:rPr>
                <w:rFonts w:ascii="Arial Narrow" w:hAnsi="Arial Narrow"/>
                <w:sz w:val="18"/>
                <w:szCs w:val="18"/>
              </w:rPr>
            </w:pPr>
            <w:r w:rsidRPr="00483510">
              <w:rPr>
                <w:rFonts w:ascii="Arial Narrow" w:hAnsi="Arial Narrow"/>
                <w:sz w:val="18"/>
                <w:szCs w:val="18"/>
              </w:rPr>
              <w:t>COM</w:t>
            </w:r>
          </w:p>
        </w:tc>
        <w:tc>
          <w:tcPr>
            <w:tcW w:w="1800" w:type="dxa"/>
            <w:hideMark/>
          </w:tcPr>
          <w:p w14:paraId="76089D11"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Commercial Competitions</w:t>
            </w:r>
          </w:p>
        </w:tc>
        <w:tc>
          <w:tcPr>
            <w:tcW w:w="4770" w:type="dxa"/>
            <w:hideMark/>
          </w:tcPr>
          <w:p w14:paraId="437E8E1C"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Commercial competitions are organized competitions between cities, businesses, or tenants in multi-unit buildings in which participants compete in events, contests, or challenges to achieve a specific objective or the highest rank compared with other groups as they try to reach goals by reducing energy consumption.</w:t>
            </w:r>
          </w:p>
        </w:tc>
        <w:tc>
          <w:tcPr>
            <w:tcW w:w="1350" w:type="dxa"/>
            <w:noWrap/>
            <w:hideMark/>
          </w:tcPr>
          <w:p w14:paraId="691EA89A"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2</w:t>
            </w:r>
          </w:p>
        </w:tc>
      </w:tr>
      <w:tr w:rsidR="006D7207" w:rsidRPr="00483510" w14:paraId="32245822" w14:textId="77777777" w:rsidTr="00907914">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1260" w:type="dxa"/>
            <w:hideMark/>
          </w:tcPr>
          <w:p w14:paraId="53EF5E9B" w14:textId="77777777" w:rsidR="006D7207" w:rsidRPr="00483510" w:rsidRDefault="006D7207" w:rsidP="006D7207">
            <w:pPr>
              <w:rPr>
                <w:rFonts w:ascii="Arial Narrow" w:hAnsi="Arial Narrow"/>
                <w:sz w:val="18"/>
                <w:szCs w:val="18"/>
              </w:rPr>
            </w:pPr>
            <w:r w:rsidRPr="00483510">
              <w:rPr>
                <w:rFonts w:ascii="Arial Narrow" w:hAnsi="Arial Narrow"/>
                <w:sz w:val="18"/>
                <w:szCs w:val="18"/>
              </w:rPr>
              <w:t>COM</w:t>
            </w:r>
          </w:p>
        </w:tc>
        <w:tc>
          <w:tcPr>
            <w:tcW w:w="1800" w:type="dxa"/>
            <w:hideMark/>
          </w:tcPr>
          <w:p w14:paraId="210D4F81"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Business Energy Reports (BERs)</w:t>
            </w:r>
          </w:p>
        </w:tc>
        <w:tc>
          <w:tcPr>
            <w:tcW w:w="4770" w:type="dxa"/>
            <w:hideMark/>
          </w:tcPr>
          <w:p w14:paraId="16AFD09F"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 xml:space="preserve">BERS are periodically mailed to small and medium size business </w:t>
            </w:r>
            <w:r w:rsidR="00500502" w:rsidRPr="00483510">
              <w:rPr>
                <w:rFonts w:ascii="Arial Narrow" w:hAnsi="Arial Narrow"/>
                <w:sz w:val="18"/>
                <w:szCs w:val="18"/>
              </w:rPr>
              <w:t>to</w:t>
            </w:r>
            <w:r w:rsidRPr="00483510">
              <w:rPr>
                <w:rFonts w:ascii="Arial Narrow" w:hAnsi="Arial Narrow"/>
                <w:sz w:val="18"/>
                <w:szCs w:val="18"/>
              </w:rPr>
              <w:t xml:space="preserve"> provide feedback about their business’s energy use, including normative comparisons to similar businesses, tips for improving energy efficiency, and occasionally messaging about rewards or incentives.</w:t>
            </w:r>
          </w:p>
        </w:tc>
        <w:tc>
          <w:tcPr>
            <w:tcW w:w="1350" w:type="dxa"/>
            <w:noWrap/>
            <w:hideMark/>
          </w:tcPr>
          <w:p w14:paraId="71E3258C" w14:textId="77777777" w:rsidR="006D7207" w:rsidRPr="00483510" w:rsidRDefault="00B762E3"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2</w:t>
            </w:r>
          </w:p>
        </w:tc>
      </w:tr>
      <w:tr w:rsidR="006D7207" w:rsidRPr="00483510" w14:paraId="57B1F1F1" w14:textId="77777777" w:rsidTr="00907914">
        <w:trPr>
          <w:cnfStyle w:val="000000010000" w:firstRow="0" w:lastRow="0" w:firstColumn="0" w:lastColumn="0" w:oddVBand="0" w:evenVBand="0" w:oddHBand="0" w:evenHBand="1"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260" w:type="dxa"/>
            <w:hideMark/>
          </w:tcPr>
          <w:p w14:paraId="3755D5F6" w14:textId="77777777" w:rsidR="006D7207" w:rsidRPr="00483510" w:rsidRDefault="006D7207" w:rsidP="006D7207">
            <w:pPr>
              <w:rPr>
                <w:rFonts w:ascii="Arial Narrow" w:hAnsi="Arial Narrow"/>
                <w:sz w:val="18"/>
                <w:szCs w:val="18"/>
              </w:rPr>
            </w:pPr>
            <w:r w:rsidRPr="00483510">
              <w:rPr>
                <w:rFonts w:ascii="Arial Narrow" w:hAnsi="Arial Narrow"/>
                <w:sz w:val="18"/>
                <w:szCs w:val="18"/>
              </w:rPr>
              <w:t>COM</w:t>
            </w:r>
          </w:p>
        </w:tc>
        <w:tc>
          <w:tcPr>
            <w:tcW w:w="1800" w:type="dxa"/>
            <w:hideMark/>
          </w:tcPr>
          <w:p w14:paraId="72FE0E63"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Building Benchmarking</w:t>
            </w:r>
          </w:p>
        </w:tc>
        <w:tc>
          <w:tcPr>
            <w:tcW w:w="4770" w:type="dxa"/>
            <w:hideMark/>
          </w:tcPr>
          <w:p w14:paraId="177AEBDF"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Building benchmarking scores a business customer’s facility or plant and compares it to other peer facilities based upon energy consumption. It also often includes goal setting and rewards in the form of recognition.</w:t>
            </w:r>
          </w:p>
        </w:tc>
        <w:tc>
          <w:tcPr>
            <w:tcW w:w="1350" w:type="dxa"/>
            <w:noWrap/>
            <w:hideMark/>
          </w:tcPr>
          <w:p w14:paraId="61B77FE2"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2</w:t>
            </w:r>
          </w:p>
        </w:tc>
      </w:tr>
      <w:tr w:rsidR="006D7207" w:rsidRPr="00483510" w14:paraId="7D3CDE64" w14:textId="77777777" w:rsidTr="00907914">
        <w:trPr>
          <w:cnfStyle w:val="000000100000" w:firstRow="0" w:lastRow="0" w:firstColumn="0" w:lastColumn="0" w:oddVBand="0" w:evenVBand="0" w:oddHBand="1" w:evenHBand="0" w:firstRowFirstColumn="0" w:firstRowLastColumn="0" w:lastRowFirstColumn="0" w:lastRowLastColumn="0"/>
          <w:trHeight w:val="1751"/>
        </w:trPr>
        <w:tc>
          <w:tcPr>
            <w:cnfStyle w:val="001000000000" w:firstRow="0" w:lastRow="0" w:firstColumn="1" w:lastColumn="0" w:oddVBand="0" w:evenVBand="0" w:oddHBand="0" w:evenHBand="0" w:firstRowFirstColumn="0" w:firstRowLastColumn="0" w:lastRowFirstColumn="0" w:lastRowLastColumn="0"/>
            <w:tcW w:w="1260" w:type="dxa"/>
            <w:hideMark/>
          </w:tcPr>
          <w:p w14:paraId="609B9985" w14:textId="77777777" w:rsidR="006D7207" w:rsidRPr="00483510" w:rsidRDefault="006D7207" w:rsidP="006D7207">
            <w:pPr>
              <w:rPr>
                <w:rFonts w:ascii="Arial Narrow" w:hAnsi="Arial Narrow"/>
                <w:sz w:val="18"/>
                <w:szCs w:val="18"/>
              </w:rPr>
            </w:pPr>
            <w:r w:rsidRPr="00483510">
              <w:rPr>
                <w:rFonts w:ascii="Arial Narrow" w:hAnsi="Arial Narrow"/>
                <w:sz w:val="18"/>
                <w:szCs w:val="18"/>
              </w:rPr>
              <w:t>COM</w:t>
            </w:r>
            <w:r w:rsidR="00B151A1">
              <w:rPr>
                <w:rFonts w:ascii="Arial Narrow" w:hAnsi="Arial Narrow"/>
                <w:sz w:val="18"/>
                <w:szCs w:val="18"/>
              </w:rPr>
              <w:t>/</w:t>
            </w:r>
            <w:r w:rsidR="00110120">
              <w:rPr>
                <w:rFonts w:ascii="Arial Narrow" w:hAnsi="Arial Narrow"/>
                <w:sz w:val="18"/>
                <w:szCs w:val="18"/>
              </w:rPr>
              <w:t>IND</w:t>
            </w:r>
            <w:r w:rsidR="00B151A1">
              <w:rPr>
                <w:rFonts w:ascii="Arial Narrow" w:hAnsi="Arial Narrow"/>
                <w:sz w:val="18"/>
                <w:szCs w:val="18"/>
              </w:rPr>
              <w:t>/AG</w:t>
            </w:r>
          </w:p>
        </w:tc>
        <w:tc>
          <w:tcPr>
            <w:tcW w:w="1800" w:type="dxa"/>
            <w:hideMark/>
          </w:tcPr>
          <w:p w14:paraId="4C5D5D88"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Strategic Energy Management (SEM)</w:t>
            </w:r>
          </w:p>
        </w:tc>
        <w:tc>
          <w:tcPr>
            <w:tcW w:w="4770" w:type="dxa"/>
            <w:hideMark/>
          </w:tcPr>
          <w:p w14:paraId="34D9F88F"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Strategic Energy Management is a long-term continuous improvement process that educates and trains business energy users to develop and execute long-term energy goal setting and strategic planning; and to integrate energy management into business practices throughout the organization, from the corporate board office to the boiler room and the work floor. It can include consulting services, customized training, benchmarking and measurement, feedback, data analysis, and performance review.</w:t>
            </w:r>
          </w:p>
        </w:tc>
        <w:tc>
          <w:tcPr>
            <w:tcW w:w="1350" w:type="dxa"/>
            <w:noWrap/>
            <w:hideMark/>
          </w:tcPr>
          <w:p w14:paraId="29214ABC"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5</w:t>
            </w:r>
          </w:p>
        </w:tc>
      </w:tr>
      <w:tr w:rsidR="006D7207" w:rsidRPr="00483510" w14:paraId="70149791" w14:textId="77777777" w:rsidTr="00907914">
        <w:trPr>
          <w:cnfStyle w:val="000000010000" w:firstRow="0" w:lastRow="0" w:firstColumn="0" w:lastColumn="0" w:oddVBand="0" w:evenVBand="0" w:oddHBand="0" w:evenHBand="1" w:firstRowFirstColumn="0" w:firstRowLastColumn="0" w:lastRowFirstColumn="0" w:lastRowLastColumn="0"/>
          <w:trHeight w:val="1648"/>
        </w:trPr>
        <w:tc>
          <w:tcPr>
            <w:cnfStyle w:val="001000000000" w:firstRow="0" w:lastRow="0" w:firstColumn="1" w:lastColumn="0" w:oddVBand="0" w:evenVBand="0" w:oddHBand="0" w:evenHBand="0" w:firstRowFirstColumn="0" w:firstRowLastColumn="0" w:lastRowFirstColumn="0" w:lastRowLastColumn="0"/>
            <w:tcW w:w="1260" w:type="dxa"/>
            <w:hideMark/>
          </w:tcPr>
          <w:p w14:paraId="232CA933" w14:textId="77777777" w:rsidR="006D7207" w:rsidRPr="00483510" w:rsidRDefault="006D7207" w:rsidP="006D7207">
            <w:pPr>
              <w:rPr>
                <w:rFonts w:ascii="Arial Narrow" w:hAnsi="Arial Narrow"/>
                <w:sz w:val="18"/>
                <w:szCs w:val="18"/>
              </w:rPr>
            </w:pPr>
            <w:r w:rsidRPr="00483510">
              <w:rPr>
                <w:rFonts w:ascii="Arial Narrow" w:hAnsi="Arial Narrow"/>
                <w:sz w:val="18"/>
                <w:szCs w:val="18"/>
              </w:rPr>
              <w:lastRenderedPageBreak/>
              <w:t>COM</w:t>
            </w:r>
          </w:p>
        </w:tc>
        <w:tc>
          <w:tcPr>
            <w:tcW w:w="1800" w:type="dxa"/>
            <w:hideMark/>
          </w:tcPr>
          <w:p w14:paraId="0363E192"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Building Energy Information Management Systems (BEIMS)</w:t>
            </w:r>
          </w:p>
        </w:tc>
        <w:tc>
          <w:tcPr>
            <w:tcW w:w="4770" w:type="dxa"/>
            <w:hideMark/>
          </w:tcPr>
          <w:p w14:paraId="29D161ED"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Building Energy Information Management Systems enable building operations staff to achieve significant energy savings by monitoring, analyzing, and controlling building system performance and energy use. BEIMS can include benchmarking and utility bill tracking software, energy information systems (EIS), building automation systems, fault detection and diagnostic tools, and automated system optimization software, as well as value added services and contracts.</w:t>
            </w:r>
          </w:p>
        </w:tc>
        <w:tc>
          <w:tcPr>
            <w:tcW w:w="1350" w:type="dxa"/>
            <w:noWrap/>
            <w:hideMark/>
          </w:tcPr>
          <w:p w14:paraId="60A68A4D" w14:textId="77777777" w:rsidR="006D7207" w:rsidRPr="00483510" w:rsidRDefault="002724E0"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3</w:t>
            </w:r>
          </w:p>
        </w:tc>
      </w:tr>
      <w:tr w:rsidR="006D7207" w:rsidRPr="00483510" w14:paraId="7FFE9756" w14:textId="77777777" w:rsidTr="0090791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60" w:type="dxa"/>
            <w:hideMark/>
          </w:tcPr>
          <w:p w14:paraId="61078F95" w14:textId="77777777" w:rsidR="006D7207" w:rsidRPr="00483510" w:rsidRDefault="006D7207" w:rsidP="006D7207">
            <w:pPr>
              <w:rPr>
                <w:rFonts w:ascii="Arial Narrow" w:hAnsi="Arial Narrow"/>
                <w:sz w:val="18"/>
                <w:szCs w:val="18"/>
              </w:rPr>
            </w:pPr>
            <w:r w:rsidRPr="00483510">
              <w:rPr>
                <w:rFonts w:ascii="Arial Narrow" w:hAnsi="Arial Narrow"/>
                <w:sz w:val="18"/>
                <w:szCs w:val="18"/>
              </w:rPr>
              <w:t>COM</w:t>
            </w:r>
          </w:p>
        </w:tc>
        <w:tc>
          <w:tcPr>
            <w:tcW w:w="1800" w:type="dxa"/>
            <w:hideMark/>
          </w:tcPr>
          <w:p w14:paraId="7A1C3558"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Building Operator Certification</w:t>
            </w:r>
          </w:p>
        </w:tc>
        <w:tc>
          <w:tcPr>
            <w:tcW w:w="4770" w:type="dxa"/>
            <w:hideMark/>
          </w:tcPr>
          <w:p w14:paraId="27377897" w14:textId="77777777" w:rsidR="006D7207" w:rsidRPr="00483510" w:rsidRDefault="006D7207"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83510">
              <w:rPr>
                <w:rFonts w:ascii="Arial Narrow" w:hAnsi="Arial Narrow"/>
                <w:sz w:val="18"/>
                <w:szCs w:val="18"/>
              </w:rPr>
              <w:t>Building Operator Certification trains and educates commercial building operators about how to save energy by encouraging them to adopt energy efficient behaviors and make building changes that reduce energy use.</w:t>
            </w:r>
          </w:p>
        </w:tc>
        <w:tc>
          <w:tcPr>
            <w:tcW w:w="1350" w:type="dxa"/>
            <w:noWrap/>
            <w:hideMark/>
          </w:tcPr>
          <w:p w14:paraId="161A0A01" w14:textId="77777777" w:rsidR="006D7207" w:rsidRPr="00483510" w:rsidRDefault="002724E0" w:rsidP="006D720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3</w:t>
            </w:r>
          </w:p>
        </w:tc>
      </w:tr>
      <w:tr w:rsidR="006D7207" w:rsidRPr="00483510" w14:paraId="4FEEB9EA" w14:textId="77777777" w:rsidTr="00907914">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260" w:type="dxa"/>
            <w:hideMark/>
          </w:tcPr>
          <w:p w14:paraId="6500A950" w14:textId="77777777" w:rsidR="006D7207" w:rsidRPr="00483510" w:rsidRDefault="006D7207" w:rsidP="006D7207">
            <w:pPr>
              <w:rPr>
                <w:rFonts w:ascii="Arial Narrow" w:hAnsi="Arial Narrow"/>
                <w:sz w:val="18"/>
                <w:szCs w:val="18"/>
              </w:rPr>
            </w:pPr>
            <w:r w:rsidRPr="00483510">
              <w:rPr>
                <w:rFonts w:ascii="Arial Narrow" w:hAnsi="Arial Narrow"/>
                <w:sz w:val="18"/>
                <w:szCs w:val="18"/>
              </w:rPr>
              <w:t>COM</w:t>
            </w:r>
          </w:p>
        </w:tc>
        <w:tc>
          <w:tcPr>
            <w:tcW w:w="1800" w:type="dxa"/>
            <w:hideMark/>
          </w:tcPr>
          <w:p w14:paraId="656C51A1" w14:textId="77777777" w:rsidR="006D7207" w:rsidRPr="00483510" w:rsidRDefault="006D7207"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483510">
              <w:rPr>
                <w:rFonts w:ascii="Arial Narrow" w:hAnsi="Arial Narrow"/>
                <w:sz w:val="18"/>
                <w:szCs w:val="18"/>
              </w:rPr>
              <w:t>Retrocommissioning</w:t>
            </w:r>
          </w:p>
        </w:tc>
        <w:tc>
          <w:tcPr>
            <w:tcW w:w="4770" w:type="dxa"/>
            <w:noWrap/>
            <w:hideMark/>
          </w:tcPr>
          <w:p w14:paraId="07847917" w14:textId="77777777" w:rsidR="006D7207" w:rsidRPr="00483510" w:rsidRDefault="005C1F16"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C</w:t>
            </w:r>
            <w:r w:rsidR="006D7207" w:rsidRPr="00483510">
              <w:rPr>
                <w:rFonts w:ascii="Arial Narrow" w:hAnsi="Arial Narrow"/>
                <w:sz w:val="18"/>
                <w:szCs w:val="18"/>
              </w:rPr>
              <w:t xml:space="preserve">ommissioning is a whole-building systems approach to improving an existing building’s performance by identifying and implementing operational improvements to save energy and increase comfort. </w:t>
            </w:r>
            <w:r>
              <w:rPr>
                <w:rFonts w:ascii="Arial Narrow" w:hAnsi="Arial Narrow"/>
                <w:sz w:val="18"/>
                <w:szCs w:val="18"/>
              </w:rPr>
              <w:t xml:space="preserve">Retrocommissioning refers to commissioning a building that has not previously been commissioned. This program also includes recommissioning, or commissioning a building that has been commissioned at least 5 years prior. </w:t>
            </w:r>
          </w:p>
        </w:tc>
        <w:tc>
          <w:tcPr>
            <w:tcW w:w="1350" w:type="dxa"/>
            <w:noWrap/>
            <w:hideMark/>
          </w:tcPr>
          <w:p w14:paraId="0026148B" w14:textId="77777777" w:rsidR="006D7207" w:rsidRPr="00483510" w:rsidRDefault="00CD41D5" w:rsidP="006D7207">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3</w:t>
            </w:r>
          </w:p>
        </w:tc>
      </w:tr>
    </w:tbl>
    <w:p w14:paraId="145F204D" w14:textId="77777777" w:rsidR="00705EB8" w:rsidRDefault="00705EB8" w:rsidP="0094570E">
      <w:pPr>
        <w:pStyle w:val="Heading3"/>
      </w:pPr>
      <w:bookmarkStart w:id="688" w:name="_Toc484172706"/>
      <w:bookmarkStart w:id="689" w:name="_Toc484183042"/>
      <w:bookmarkStart w:id="690" w:name="_Toc490225805"/>
      <w:bookmarkStart w:id="691" w:name="_Toc478990523"/>
      <w:bookmarkStart w:id="692" w:name="_Toc479768601"/>
      <w:bookmarkStart w:id="693" w:name="_Toc482357324"/>
      <w:bookmarkStart w:id="694" w:name="_Toc482634299"/>
      <w:bookmarkStart w:id="695" w:name="_Toc482626431"/>
      <w:bookmarkStart w:id="696" w:name="_Toc484092502"/>
      <w:r>
        <w:t>Stakeholder Input</w:t>
      </w:r>
      <w:bookmarkEnd w:id="688"/>
      <w:bookmarkEnd w:id="689"/>
      <w:bookmarkEnd w:id="690"/>
    </w:p>
    <w:p w14:paraId="2066E71E" w14:textId="77777777" w:rsidR="00705EB8" w:rsidRDefault="00705EB8" w:rsidP="0094570E">
      <w:r>
        <w:t xml:space="preserve">Stakeholders and members of the DAWG were given the opportunity to provide informal feedback to the team following a webinar presentation of draft results on April 20, 2017. </w:t>
      </w:r>
      <w:r w:rsidR="000D520A">
        <w:t xml:space="preserve">Navigant also made revisions based on feedback received following the June 2017 draft release. </w:t>
      </w:r>
      <w:r w:rsidR="007E3550">
        <w:fldChar w:fldCharType="begin"/>
      </w:r>
      <w:r w:rsidR="007E3550">
        <w:instrText xml:space="preserve"> REF _Ref490228602 \h </w:instrText>
      </w:r>
      <w:r w:rsidR="007E3550">
        <w:fldChar w:fldCharType="separate"/>
      </w:r>
      <w:r w:rsidR="007E3550">
        <w:t xml:space="preserve">Table </w:t>
      </w:r>
      <w:r w:rsidR="007E3550">
        <w:rPr>
          <w:noProof/>
        </w:rPr>
        <w:t>3</w:t>
      </w:r>
      <w:r w:rsidR="007E3550">
        <w:noBreakHyphen/>
      </w:r>
      <w:r w:rsidR="007E3550">
        <w:rPr>
          <w:noProof/>
        </w:rPr>
        <w:t>28</w:t>
      </w:r>
      <w:r w:rsidR="007E3550">
        <w:fldChar w:fldCharType="end"/>
      </w:r>
      <w:r w:rsidR="0094570E">
        <w:fldChar w:fldCharType="begin"/>
      </w:r>
      <w:r w:rsidR="0094570E">
        <w:instrText xml:space="preserve"> REF _Ref484167238 \h </w:instrText>
      </w:r>
      <w:r w:rsidR="0094570E">
        <w:fldChar w:fldCharType="end"/>
      </w:r>
      <w:r w:rsidR="0094570E">
        <w:t xml:space="preserve"> contains a high-level summary of relevant stakeholder feedback received and Navigant responses. </w:t>
      </w:r>
    </w:p>
    <w:p w14:paraId="26BD25C5" w14:textId="77777777" w:rsidR="0094570E" w:rsidRDefault="0094570E" w:rsidP="0094570E"/>
    <w:p w14:paraId="415EAF10" w14:textId="77777777" w:rsidR="0094570E" w:rsidRDefault="0094570E" w:rsidP="0094570E">
      <w:pPr>
        <w:pStyle w:val="Caption"/>
        <w:rPr>
          <w:rFonts w:cs="Arial"/>
          <w:snapToGrid w:val="0"/>
        </w:rPr>
      </w:pPr>
      <w:bookmarkStart w:id="697" w:name="_Ref484167238"/>
      <w:bookmarkStart w:id="698" w:name="_Ref490228602"/>
      <w:bookmarkStart w:id="699" w:name="_Toc484436973"/>
      <w:bookmarkStart w:id="700" w:name="_Toc490560686"/>
      <w:r>
        <w:t xml:space="preserve">Table </w:t>
      </w:r>
      <w:fldSimple w:instr=" STYLEREF 1 \s ">
        <w:r w:rsidR="007566B9">
          <w:rPr>
            <w:noProof/>
          </w:rPr>
          <w:t>3</w:t>
        </w:r>
      </w:fldSimple>
      <w:r w:rsidR="00C17D59">
        <w:noBreakHyphen/>
      </w:r>
      <w:bookmarkEnd w:id="697"/>
      <w:r w:rsidR="00B206D8">
        <w:fldChar w:fldCharType="begin"/>
      </w:r>
      <w:r w:rsidR="00B206D8">
        <w:instrText xml:space="preserve"> SEQ Table \* ARABIC \s 1 </w:instrText>
      </w:r>
      <w:r w:rsidR="00B206D8">
        <w:fldChar w:fldCharType="separate"/>
      </w:r>
      <w:r w:rsidR="007566B9">
        <w:rPr>
          <w:noProof/>
        </w:rPr>
        <w:t>28</w:t>
      </w:r>
      <w:r w:rsidR="00B206D8">
        <w:rPr>
          <w:noProof/>
        </w:rPr>
        <w:fldChar w:fldCharType="end"/>
      </w:r>
      <w:bookmarkEnd w:id="698"/>
      <w:r w:rsidR="00BB59F5">
        <w:t>.</w:t>
      </w:r>
      <w:r>
        <w:t xml:space="preserve"> Stakeholder Feedback</w:t>
      </w:r>
      <w:bookmarkEnd w:id="699"/>
      <w:bookmarkEnd w:id="700"/>
    </w:p>
    <w:tbl>
      <w:tblPr>
        <w:tblStyle w:val="EnergyTable1"/>
        <w:tblW w:w="9450" w:type="dxa"/>
        <w:tblLook w:val="04A0" w:firstRow="1" w:lastRow="0" w:firstColumn="1" w:lastColumn="0" w:noHBand="0" w:noVBand="1"/>
      </w:tblPr>
      <w:tblGrid>
        <w:gridCol w:w="4507"/>
        <w:gridCol w:w="4943"/>
      </w:tblGrid>
      <w:tr w:rsidR="0094570E" w:rsidRPr="00F90D70" w14:paraId="19E92367" w14:textId="77777777" w:rsidTr="00AF21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686ED100" w14:textId="77777777" w:rsidR="0094570E" w:rsidRPr="00F90D70" w:rsidRDefault="0094570E" w:rsidP="0060533C">
            <w:pPr>
              <w:rPr>
                <w:rFonts w:ascii="Arial Narrow" w:hAnsi="Arial Narrow" w:cs="Arial"/>
                <w:b w:val="0"/>
                <w:snapToGrid w:val="0"/>
                <w:color w:val="FFFFFF" w:themeColor="background1"/>
                <w:szCs w:val="18"/>
              </w:rPr>
            </w:pPr>
            <w:r w:rsidRPr="00F90D70">
              <w:rPr>
                <w:rFonts w:ascii="Arial Narrow" w:hAnsi="Arial Narrow" w:cs="Arial"/>
                <w:snapToGrid w:val="0"/>
                <w:color w:val="FFFFFF" w:themeColor="background1"/>
                <w:szCs w:val="18"/>
              </w:rPr>
              <w:t>Stakeholder Comments</w:t>
            </w:r>
          </w:p>
        </w:tc>
        <w:tc>
          <w:tcPr>
            <w:tcW w:w="0" w:type="dxa"/>
          </w:tcPr>
          <w:p w14:paraId="7E54E52E" w14:textId="77777777" w:rsidR="0094570E" w:rsidRPr="00F90D70" w:rsidRDefault="0094570E" w:rsidP="0060533C">
            <w:pPr>
              <w:cnfStyle w:val="100000000000" w:firstRow="1" w:lastRow="0" w:firstColumn="0" w:lastColumn="0" w:oddVBand="0" w:evenVBand="0" w:oddHBand="0" w:evenHBand="0" w:firstRowFirstColumn="0" w:firstRowLastColumn="0" w:lastRowFirstColumn="0" w:lastRowLastColumn="0"/>
              <w:rPr>
                <w:rFonts w:ascii="Arial Narrow" w:hAnsi="Arial Narrow" w:cs="Arial"/>
                <w:b w:val="0"/>
                <w:snapToGrid w:val="0"/>
                <w:color w:val="FFFFFF" w:themeColor="background1"/>
                <w:szCs w:val="18"/>
              </w:rPr>
            </w:pPr>
            <w:r w:rsidRPr="00F90D70">
              <w:rPr>
                <w:rFonts w:ascii="Arial Narrow" w:hAnsi="Arial Narrow" w:cs="Arial"/>
                <w:snapToGrid w:val="0"/>
                <w:color w:val="FFFFFF" w:themeColor="background1"/>
                <w:szCs w:val="18"/>
              </w:rPr>
              <w:t>Additional Context from Navigant</w:t>
            </w:r>
          </w:p>
        </w:tc>
      </w:tr>
      <w:tr w:rsidR="0094570E" w:rsidRPr="00F90D70" w14:paraId="381FD7CB"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DCDDDE" w:themeFill="text2" w:themeFillTint="33"/>
          </w:tcPr>
          <w:p w14:paraId="1FFFEC7A" w14:textId="77777777" w:rsidR="0094570E" w:rsidRPr="00F90D70" w:rsidRDefault="00C52336" w:rsidP="0060533C">
            <w:pPr>
              <w:rPr>
                <w:rFonts w:ascii="Arial Narrow" w:hAnsi="Arial Narrow" w:cs="Arial"/>
                <w:b/>
                <w:snapToGrid w:val="0"/>
                <w:szCs w:val="18"/>
              </w:rPr>
            </w:pPr>
            <w:r>
              <w:rPr>
                <w:rFonts w:ascii="Arial Narrow" w:hAnsi="Arial Narrow" w:cs="Arial"/>
                <w:b/>
                <w:snapToGrid w:val="0"/>
                <w:szCs w:val="18"/>
              </w:rPr>
              <w:t>General</w:t>
            </w:r>
          </w:p>
        </w:tc>
      </w:tr>
      <w:tr w:rsidR="0094570E" w:rsidRPr="00F90D70" w14:paraId="0367A34F"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8A6478F" w14:textId="77777777" w:rsidR="0094570E" w:rsidRDefault="00C52336"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Reduce near-term potential to reflect uncertainty.</w:t>
            </w:r>
          </w:p>
          <w:p w14:paraId="5E14175B" w14:textId="77777777" w:rsidR="00C52336" w:rsidRDefault="00C52336"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Provide a high-level assessment of data quality and recommendations for further research to improve estimates of potential.</w:t>
            </w:r>
          </w:p>
          <w:p w14:paraId="43D0F92A" w14:textId="77777777" w:rsidR="00AE51B3" w:rsidRDefault="00AE51B3"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 xml:space="preserve">Explicitly address potential double-counting of savings among interventions in the same sector. </w:t>
            </w:r>
          </w:p>
          <w:p w14:paraId="42F3AACE" w14:textId="77777777" w:rsidR="00AE51B3" w:rsidRPr="00C52336" w:rsidRDefault="00AE51B3"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 xml:space="preserve">Reflect the non-linear scaling of costs. </w:t>
            </w:r>
          </w:p>
        </w:tc>
        <w:tc>
          <w:tcPr>
            <w:tcW w:w="0" w:type="dxa"/>
          </w:tcPr>
          <w:p w14:paraId="18EC85EB" w14:textId="2AA4F9EB" w:rsidR="00956519" w:rsidRDefault="00885A2C" w:rsidP="004E4E36">
            <w:pPr>
              <w:pStyle w:val="ListParagraph"/>
              <w:numPr>
                <w:ilvl w:val="0"/>
                <w:numId w:val="40"/>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fldChar w:fldCharType="begin"/>
            </w:r>
            <w:r>
              <w:rPr>
                <w:rFonts w:ascii="Arial Narrow" w:hAnsi="Arial Narrow" w:cs="Arial"/>
                <w:snapToGrid w:val="0"/>
                <w:szCs w:val="18"/>
              </w:rPr>
              <w:instrText xml:space="preserve"> REF _Ref490228616 \h  \* MERGEFORMAT </w:instrText>
            </w:r>
            <w:r>
              <w:rPr>
                <w:rFonts w:ascii="Arial Narrow" w:hAnsi="Arial Narrow" w:cs="Arial"/>
                <w:snapToGrid w:val="0"/>
                <w:szCs w:val="18"/>
              </w:rPr>
            </w:r>
            <w:r>
              <w:rPr>
                <w:rFonts w:ascii="Arial Narrow" w:hAnsi="Arial Narrow" w:cs="Arial"/>
                <w:snapToGrid w:val="0"/>
                <w:szCs w:val="18"/>
              </w:rPr>
              <w:fldChar w:fldCharType="separate"/>
            </w:r>
            <w:r w:rsidRPr="00885A2C">
              <w:rPr>
                <w:rFonts w:ascii="Arial Narrow" w:hAnsi="Arial Narrow" w:cs="Arial"/>
                <w:snapToGrid w:val="0"/>
                <w:szCs w:val="18"/>
              </w:rPr>
              <w:t>Table 3</w:t>
            </w:r>
            <w:r w:rsidRPr="00885A2C">
              <w:rPr>
                <w:rFonts w:ascii="Arial Narrow" w:hAnsi="Arial Narrow" w:cs="Arial"/>
                <w:snapToGrid w:val="0"/>
                <w:szCs w:val="18"/>
              </w:rPr>
              <w:noBreakHyphen/>
              <w:t>29</w:t>
            </w:r>
            <w:r>
              <w:rPr>
                <w:rFonts w:ascii="Arial Narrow" w:hAnsi="Arial Narrow" w:cs="Arial"/>
                <w:snapToGrid w:val="0"/>
                <w:szCs w:val="18"/>
              </w:rPr>
              <w:fldChar w:fldCharType="end"/>
            </w:r>
            <w:r>
              <w:rPr>
                <w:rFonts w:ascii="Arial Narrow" w:hAnsi="Arial Narrow" w:cs="Arial"/>
                <w:snapToGrid w:val="0"/>
                <w:szCs w:val="18"/>
              </w:rPr>
              <w:t xml:space="preserve"> </w:t>
            </w:r>
            <w:r w:rsidR="000B02D9">
              <w:rPr>
                <w:rFonts w:ascii="Arial Narrow" w:hAnsi="Arial Narrow" w:cs="Arial"/>
                <w:snapToGrid w:val="0"/>
                <w:szCs w:val="18"/>
              </w:rPr>
              <w:t>provides a high-level assessment of data quality, and the general recommendation is to</w:t>
            </w:r>
            <w:r w:rsidR="00956519">
              <w:rPr>
                <w:rFonts w:ascii="Arial Narrow" w:hAnsi="Arial Narrow" w:cs="Arial"/>
                <w:snapToGrid w:val="0"/>
                <w:szCs w:val="18"/>
              </w:rPr>
              <w:t xml:space="preserve"> focus future research on initiatives with high potential savings, but a low level of data rigor.</w:t>
            </w:r>
          </w:p>
          <w:p w14:paraId="44DA3D1F" w14:textId="77777777" w:rsidR="0094570E" w:rsidRPr="00F90D70" w:rsidRDefault="00956519" w:rsidP="004E4E36">
            <w:pPr>
              <w:pStyle w:val="ListParagraph"/>
              <w:numPr>
                <w:ilvl w:val="0"/>
                <w:numId w:val="40"/>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The methodology employed in this study does not account for non-linear cost scaling as sufficient data was not available.</w:t>
            </w:r>
          </w:p>
        </w:tc>
      </w:tr>
      <w:tr w:rsidR="0094570E" w:rsidRPr="00F90D70" w14:paraId="651E4249"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DCDDDE" w:themeFill="text2" w:themeFillTint="33"/>
          </w:tcPr>
          <w:p w14:paraId="39F0C765" w14:textId="77777777" w:rsidR="0094570E" w:rsidRPr="00F90D70" w:rsidRDefault="00956519" w:rsidP="0060533C">
            <w:pPr>
              <w:keepNext/>
              <w:rPr>
                <w:rFonts w:ascii="Arial Narrow" w:hAnsi="Arial Narrow" w:cs="Arial"/>
                <w:b/>
                <w:snapToGrid w:val="0"/>
                <w:szCs w:val="18"/>
              </w:rPr>
            </w:pPr>
            <w:r>
              <w:rPr>
                <w:rFonts w:ascii="Arial Narrow" w:hAnsi="Arial Narrow" w:cs="Arial"/>
                <w:b/>
                <w:snapToGrid w:val="0"/>
                <w:szCs w:val="18"/>
              </w:rPr>
              <w:lastRenderedPageBreak/>
              <w:t>Residential Programs</w:t>
            </w:r>
          </w:p>
        </w:tc>
      </w:tr>
      <w:tr w:rsidR="0094570E" w:rsidRPr="00F90D70" w14:paraId="09CE725B"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4E1C721" w14:textId="77777777" w:rsidR="00956519" w:rsidRDefault="00956519"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IOUs contributed additional data that helped tailor the analysis</w:t>
            </w:r>
            <w:r w:rsidR="0033045B">
              <w:rPr>
                <w:rFonts w:ascii="Arial Narrow" w:hAnsi="Arial Narrow" w:cs="Arial"/>
                <w:snapToGrid w:val="0"/>
                <w:szCs w:val="18"/>
              </w:rPr>
              <w:t xml:space="preserve"> of</w:t>
            </w:r>
            <w:r>
              <w:rPr>
                <w:rFonts w:ascii="Arial Narrow" w:hAnsi="Arial Narrow" w:cs="Arial"/>
                <w:snapToGrid w:val="0"/>
                <w:szCs w:val="18"/>
              </w:rPr>
              <w:t xml:space="preserve"> each residential program. </w:t>
            </w:r>
          </w:p>
          <w:p w14:paraId="74A12A4E" w14:textId="77777777" w:rsidR="0094570E" w:rsidRDefault="0062788A"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Concern was raised that s</w:t>
            </w:r>
            <w:r w:rsidR="00956519">
              <w:rPr>
                <w:rFonts w:ascii="Arial Narrow" w:hAnsi="Arial Narrow" w:cs="Arial"/>
                <w:snapToGrid w:val="0"/>
                <w:szCs w:val="18"/>
              </w:rPr>
              <w:t xml:space="preserve">avings forecasted </w:t>
            </w:r>
            <w:r>
              <w:rPr>
                <w:rFonts w:ascii="Arial Narrow" w:hAnsi="Arial Narrow" w:cs="Arial"/>
                <w:snapToGrid w:val="0"/>
                <w:szCs w:val="18"/>
              </w:rPr>
              <w:t>in this study may already have been claimed as part of the rollout of Smart Meters.</w:t>
            </w:r>
          </w:p>
          <w:p w14:paraId="65E0F310" w14:textId="77777777" w:rsidR="0062788A" w:rsidRPr="00956519" w:rsidRDefault="0062788A"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 xml:space="preserve">Concerns were expressed that the penetration of web-based real-time feedback was not representative of an opt-in program. </w:t>
            </w:r>
          </w:p>
        </w:tc>
        <w:tc>
          <w:tcPr>
            <w:tcW w:w="0" w:type="dxa"/>
          </w:tcPr>
          <w:p w14:paraId="01D9890E" w14:textId="77777777" w:rsidR="0062788A" w:rsidRDefault="0062788A" w:rsidP="004E4E36">
            <w:pPr>
              <w:pStyle w:val="ListParagraph"/>
              <w:numPr>
                <w:ilvl w:val="0"/>
                <w:numId w:val="40"/>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 xml:space="preserve">Double counting in the residential sector was determined not to affect the achievable savings because the programs target different behavior changes. </w:t>
            </w:r>
          </w:p>
          <w:p w14:paraId="116B8234" w14:textId="77777777" w:rsidR="0094570E" w:rsidRDefault="0038423C" w:rsidP="004E4E36">
            <w:pPr>
              <w:pStyle w:val="ListParagraph"/>
              <w:numPr>
                <w:ilvl w:val="0"/>
                <w:numId w:val="40"/>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As the utilities have not decreased their claimed savings as a result of Smart Meters to-date, no such reduction was included in this modeling effort.</w:t>
            </w:r>
          </w:p>
          <w:p w14:paraId="646ECD7F" w14:textId="77777777" w:rsidR="0038423C" w:rsidRPr="00F90D70" w:rsidRDefault="0038423C" w:rsidP="004E4E36">
            <w:pPr>
              <w:pStyle w:val="ListParagraph"/>
              <w:numPr>
                <w:ilvl w:val="0"/>
                <w:numId w:val="40"/>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 xml:space="preserve">The penetration of web-based real-time feedback was adjusted to reflect more conservative estimates. </w:t>
            </w:r>
          </w:p>
        </w:tc>
      </w:tr>
      <w:tr w:rsidR="0094570E" w:rsidRPr="00F90D70" w14:paraId="0A5B9B0E"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DCDDDE" w:themeFill="text2" w:themeFillTint="33"/>
          </w:tcPr>
          <w:p w14:paraId="5005D224" w14:textId="77777777" w:rsidR="0094570E" w:rsidRPr="00F90D70" w:rsidRDefault="009233A4" w:rsidP="007D4A2A">
            <w:pPr>
              <w:keepNext/>
              <w:rPr>
                <w:rFonts w:ascii="Arial Narrow" w:hAnsi="Arial Narrow" w:cs="Arial"/>
                <w:b/>
                <w:snapToGrid w:val="0"/>
                <w:szCs w:val="18"/>
              </w:rPr>
            </w:pPr>
            <w:r>
              <w:rPr>
                <w:rFonts w:ascii="Arial Narrow" w:hAnsi="Arial Narrow" w:cs="Arial"/>
                <w:b/>
                <w:snapToGrid w:val="0"/>
                <w:szCs w:val="18"/>
              </w:rPr>
              <w:t>Commercial Programs</w:t>
            </w:r>
          </w:p>
        </w:tc>
      </w:tr>
      <w:tr w:rsidR="0094570E" w:rsidRPr="00F90D70" w14:paraId="2D979B79"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75811BE" w14:textId="77777777" w:rsidR="009233A4" w:rsidRDefault="009233A4"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 xml:space="preserve">IOUs contributed additional data that helped tailor the analysis of several commercial programs. </w:t>
            </w:r>
          </w:p>
          <w:p w14:paraId="08ADA5EE" w14:textId="77777777" w:rsidR="009233A4" w:rsidRDefault="009233A4"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 xml:space="preserve">Commercial Competitions drew heavy criticism for its high forecasted potential and low data rigor. </w:t>
            </w:r>
          </w:p>
          <w:p w14:paraId="08C35157" w14:textId="77777777" w:rsidR="009233A4" w:rsidRDefault="009233A4"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It was suggested that unit energy savings for BEIMS increase over time to reflect improvements to data analytics and software algorithms (e.g., machine learning).</w:t>
            </w:r>
          </w:p>
          <w:p w14:paraId="48141AB9" w14:textId="77777777" w:rsidR="009233A4" w:rsidRPr="00AF21BE" w:rsidRDefault="009233A4" w:rsidP="00AF21BE">
            <w:pPr>
              <w:pStyle w:val="ListParagraph"/>
              <w:numPr>
                <w:ilvl w:val="0"/>
                <w:numId w:val="40"/>
              </w:numPr>
              <w:spacing w:before="0" w:line="240" w:lineRule="exact"/>
              <w:contextualSpacing/>
              <w:jc w:val="left"/>
              <w:rPr>
                <w:rFonts w:ascii="Arial Narrow" w:hAnsi="Arial Narrow"/>
              </w:rPr>
            </w:pPr>
            <w:r>
              <w:rPr>
                <w:rFonts w:ascii="Arial Narrow" w:hAnsi="Arial Narrow" w:cs="Arial"/>
                <w:snapToGrid w:val="0"/>
                <w:szCs w:val="18"/>
              </w:rPr>
              <w:t xml:space="preserve">The potential for claimed savings from Building Benchmarking was questioned in light of related government requirements. </w:t>
            </w:r>
          </w:p>
          <w:p w14:paraId="4651F3D0" w14:textId="77777777" w:rsidR="0094570E" w:rsidRPr="009233A4" w:rsidRDefault="009233A4" w:rsidP="004E4E36">
            <w:pPr>
              <w:pStyle w:val="ListParagraph"/>
              <w:numPr>
                <w:ilvl w:val="0"/>
                <w:numId w:val="40"/>
              </w:numPr>
              <w:spacing w:before="0" w:line="240" w:lineRule="exact"/>
              <w:contextualSpacing/>
              <w:jc w:val="left"/>
              <w:rPr>
                <w:rFonts w:ascii="Arial Narrow" w:hAnsi="Arial Narrow" w:cs="Arial"/>
                <w:snapToGrid w:val="0"/>
                <w:szCs w:val="18"/>
              </w:rPr>
            </w:pPr>
            <w:r>
              <w:rPr>
                <w:rFonts w:ascii="Arial Narrow" w:hAnsi="Arial Narrow" w:cs="Arial"/>
                <w:snapToGrid w:val="0"/>
                <w:szCs w:val="18"/>
              </w:rPr>
              <w:t xml:space="preserve">A CPUC decision allows for recommissioning after 5 years. </w:t>
            </w:r>
          </w:p>
        </w:tc>
        <w:tc>
          <w:tcPr>
            <w:tcW w:w="0" w:type="dxa"/>
          </w:tcPr>
          <w:p w14:paraId="51034CC7" w14:textId="77777777" w:rsidR="00393EA2" w:rsidRDefault="009233A4"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Double counting</w:t>
            </w:r>
            <w:r w:rsidR="0094570E" w:rsidRPr="00F90D70">
              <w:rPr>
                <w:rFonts w:ascii="Arial Narrow" w:hAnsi="Arial Narrow" w:cs="Arial"/>
                <w:snapToGrid w:val="0"/>
                <w:szCs w:val="18"/>
              </w:rPr>
              <w:t xml:space="preserve"> </w:t>
            </w:r>
            <w:r w:rsidR="00393EA2">
              <w:rPr>
                <w:rFonts w:ascii="Arial Narrow" w:hAnsi="Arial Narrow" w:cs="Arial"/>
                <w:snapToGrid w:val="0"/>
                <w:szCs w:val="18"/>
              </w:rPr>
              <w:t xml:space="preserve">concerns were addressed by adjusting the penetration of recommissioning after all other revisions were made. All other penetration is considered independent. </w:t>
            </w:r>
          </w:p>
          <w:p w14:paraId="06A53C72" w14:textId="77777777" w:rsidR="000D520A" w:rsidRDefault="000D520A"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Business Energy Reports were removed from the reference scenario.</w:t>
            </w:r>
          </w:p>
          <w:p w14:paraId="0C0CA634" w14:textId="77777777" w:rsidR="000D520A" w:rsidRDefault="000D520A"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Penetration of BOC, BEIMS, and Retrocommissioning was delayed until 2018 for SoCalGas.</w:t>
            </w:r>
          </w:p>
          <w:p w14:paraId="5C50C2A0" w14:textId="77777777" w:rsidR="00393EA2" w:rsidRDefault="00393EA2"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 xml:space="preserve">The savings associated with Commercial Competitions was lowered to reflect IOU analysis presented. </w:t>
            </w:r>
          </w:p>
          <w:p w14:paraId="214754A3" w14:textId="77777777" w:rsidR="00393EA2" w:rsidRDefault="00393EA2"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 xml:space="preserve">Energy savings of BEIMS was not increased over time due to a lack of data and to maintain a conservative forecast. </w:t>
            </w:r>
          </w:p>
          <w:p w14:paraId="4886A2E4" w14:textId="77777777" w:rsidR="00393EA2" w:rsidRDefault="00393EA2"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 xml:space="preserve">Building Benchmarking was removed from the reference scenario. </w:t>
            </w:r>
          </w:p>
          <w:p w14:paraId="7023EF13" w14:textId="77777777" w:rsidR="0094570E" w:rsidRPr="00F90D70" w:rsidRDefault="00393EA2" w:rsidP="004E4E36">
            <w:pPr>
              <w:pStyle w:val="ListParagraph"/>
              <w:numPr>
                <w:ilvl w:val="0"/>
                <w:numId w:val="41"/>
              </w:numPr>
              <w:spacing w:before="0"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szCs w:val="18"/>
              </w:rPr>
            </w:pPr>
            <w:r>
              <w:rPr>
                <w:rFonts w:ascii="Arial Narrow" w:hAnsi="Arial Narrow" w:cs="Arial"/>
                <w:snapToGrid w:val="0"/>
                <w:szCs w:val="18"/>
              </w:rPr>
              <w:t xml:space="preserve">Recommissioning was added to the characterization of the Retrocommissioning program. </w:t>
            </w:r>
          </w:p>
        </w:tc>
      </w:tr>
    </w:tbl>
    <w:p w14:paraId="2C343644" w14:textId="77777777" w:rsidR="00705EB8" w:rsidRDefault="00705EB8" w:rsidP="004B097B">
      <w:pPr>
        <w:pStyle w:val="Heading3"/>
      </w:pPr>
      <w:bookmarkStart w:id="701" w:name="_Toc484172707"/>
      <w:bookmarkStart w:id="702" w:name="_Toc484183043"/>
      <w:bookmarkStart w:id="703" w:name="_Toc490225806"/>
      <w:r>
        <w:t>Data Rigor</w:t>
      </w:r>
      <w:bookmarkEnd w:id="701"/>
      <w:bookmarkEnd w:id="702"/>
      <w:bookmarkEnd w:id="703"/>
    </w:p>
    <w:p w14:paraId="6A12A937" w14:textId="77777777" w:rsidR="008E4659" w:rsidRDefault="008739A0" w:rsidP="008739A0">
      <w:r>
        <w:t xml:space="preserve">Navigant conducted an extensive industry scan for data on BROs initiatives and found that many of these programs are relatively new and much learning about their effectiveness is ongoing. The published data spans a wide range in the rigor of analysis conducted on the data around energy savings resulting from these interventions. </w:t>
      </w:r>
      <w:r w:rsidR="007E3550">
        <w:fldChar w:fldCharType="begin"/>
      </w:r>
      <w:r w:rsidR="007E3550">
        <w:instrText xml:space="preserve"> REF _Ref490228616 \h </w:instrText>
      </w:r>
      <w:r w:rsidR="007E3550">
        <w:fldChar w:fldCharType="separate"/>
      </w:r>
      <w:r w:rsidR="007E3550">
        <w:t xml:space="preserve">Table </w:t>
      </w:r>
      <w:r w:rsidR="007E3550">
        <w:rPr>
          <w:noProof/>
        </w:rPr>
        <w:t>3</w:t>
      </w:r>
      <w:r w:rsidR="007E3550">
        <w:noBreakHyphen/>
      </w:r>
      <w:r w:rsidR="007E3550">
        <w:rPr>
          <w:noProof/>
        </w:rPr>
        <w:t>29</w:t>
      </w:r>
      <w:r w:rsidR="007E3550">
        <w:fldChar w:fldCharType="end"/>
      </w:r>
      <w:r w:rsidR="007E3550">
        <w:t xml:space="preserve"> </w:t>
      </w:r>
      <w:r>
        <w:t xml:space="preserve">provides a snapshot of the quality of data collected for this study. </w:t>
      </w:r>
      <w:r w:rsidR="008E4659">
        <w:t xml:space="preserve">Across the board, demand savings data is often very limited and cost data is hard to obtain. Penetration forecasts are the most uncertain because of limited historic penetration rates upon which to base a forecast.  </w:t>
      </w:r>
    </w:p>
    <w:p w14:paraId="68F28D00" w14:textId="77777777" w:rsidR="008E4659" w:rsidRDefault="008E4659" w:rsidP="008739A0"/>
    <w:p w14:paraId="3C183A07" w14:textId="77777777" w:rsidR="008739A0" w:rsidRDefault="008E4659" w:rsidP="008739A0">
      <w:r>
        <w:t>W</w:t>
      </w:r>
      <w:r w:rsidR="0072229E">
        <w:t xml:space="preserve">e recommend the industry consider pilot studies along with measurement and verification to provide better data to future potential studies. Interventions that literature claims to show large promise though limited verified data exists include: strategic energy management, building benchmarking, competitions, web based feedback, and in-home real time feedback. </w:t>
      </w:r>
    </w:p>
    <w:p w14:paraId="0876F025" w14:textId="77777777" w:rsidR="008739A0" w:rsidRDefault="008739A0" w:rsidP="000946B6"/>
    <w:p w14:paraId="55E76780" w14:textId="77777777" w:rsidR="00C17D59" w:rsidRDefault="00C17D59" w:rsidP="00C17D59">
      <w:pPr>
        <w:pStyle w:val="Caption"/>
      </w:pPr>
      <w:bookmarkStart w:id="704" w:name="_Ref484172741"/>
      <w:bookmarkStart w:id="705" w:name="_Ref490228616"/>
      <w:bookmarkStart w:id="706" w:name="_Toc484436974"/>
      <w:bookmarkStart w:id="707" w:name="_Toc490560687"/>
      <w:r>
        <w:lastRenderedPageBreak/>
        <w:t xml:space="preserve">Table </w:t>
      </w:r>
      <w:fldSimple w:instr=" STYLEREF 1 \s ">
        <w:r w:rsidR="007566B9">
          <w:rPr>
            <w:noProof/>
          </w:rPr>
          <w:t>3</w:t>
        </w:r>
      </w:fldSimple>
      <w:r>
        <w:noBreakHyphen/>
      </w:r>
      <w:bookmarkEnd w:id="704"/>
      <w:r w:rsidR="00B206D8">
        <w:fldChar w:fldCharType="begin"/>
      </w:r>
      <w:r w:rsidR="00B206D8">
        <w:instrText xml:space="preserve"> SEQ Table \* ARABIC \s 1 </w:instrText>
      </w:r>
      <w:r w:rsidR="00B206D8">
        <w:fldChar w:fldCharType="separate"/>
      </w:r>
      <w:r w:rsidR="007566B9">
        <w:rPr>
          <w:noProof/>
        </w:rPr>
        <w:t>29</w:t>
      </w:r>
      <w:r w:rsidR="00B206D8">
        <w:rPr>
          <w:noProof/>
        </w:rPr>
        <w:fldChar w:fldCharType="end"/>
      </w:r>
      <w:bookmarkEnd w:id="705"/>
      <w:r>
        <w:t>. Qualitative Assessment of Data Quality</w:t>
      </w:r>
      <w:bookmarkEnd w:id="706"/>
      <w:bookmarkEnd w:id="707"/>
    </w:p>
    <w:p w14:paraId="297A6BD9" w14:textId="77777777" w:rsidR="00592A77" w:rsidRDefault="0060533C" w:rsidP="00095E9B">
      <w:pPr>
        <w:jc w:val="center"/>
      </w:pPr>
      <w:r w:rsidRPr="0060533C">
        <w:rPr>
          <w:noProof/>
        </w:rPr>
        <w:drawing>
          <wp:inline distT="0" distB="0" distL="0" distR="0" wp14:anchorId="3CEE6E56" wp14:editId="220BB57B">
            <wp:extent cx="6024269" cy="332400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36141" cy="3330557"/>
                    </a:xfrm>
                    <a:prstGeom prst="rect">
                      <a:avLst/>
                    </a:prstGeom>
                    <a:noFill/>
                    <a:ln>
                      <a:noFill/>
                    </a:ln>
                  </pic:spPr>
                </pic:pic>
              </a:graphicData>
            </a:graphic>
          </wp:inline>
        </w:drawing>
      </w:r>
    </w:p>
    <w:p w14:paraId="58882F35" w14:textId="77777777" w:rsidR="00592A77" w:rsidRPr="00AE51B3" w:rsidRDefault="00592A77" w:rsidP="00095E9B"/>
    <w:p w14:paraId="7B87FA1D" w14:textId="77777777" w:rsidR="00A569BE" w:rsidRDefault="00A569BE" w:rsidP="00A569BE">
      <w:pPr>
        <w:pStyle w:val="Heading2"/>
      </w:pPr>
      <w:bookmarkStart w:id="708" w:name="_Toc484172708"/>
      <w:bookmarkStart w:id="709" w:name="_Toc484183044"/>
      <w:bookmarkStart w:id="710" w:name="_Toc490225807"/>
      <w:r>
        <w:t>Low Income Programs</w:t>
      </w:r>
      <w:bookmarkEnd w:id="691"/>
      <w:bookmarkEnd w:id="692"/>
      <w:bookmarkEnd w:id="693"/>
      <w:bookmarkEnd w:id="694"/>
      <w:bookmarkEnd w:id="695"/>
      <w:bookmarkEnd w:id="696"/>
      <w:bookmarkEnd w:id="708"/>
      <w:bookmarkEnd w:id="709"/>
      <w:bookmarkEnd w:id="710"/>
      <w:r w:rsidR="008819AB">
        <w:t xml:space="preserve"> </w:t>
      </w:r>
    </w:p>
    <w:p w14:paraId="2A932006" w14:textId="77777777" w:rsidR="006D2D50" w:rsidRDefault="008016FC" w:rsidP="006D2D50">
      <w:r w:rsidRPr="006D2D50">
        <w:t>Data for Low Income Programs was primarily obtained from the IOUs via a formal data request. The first round of data provided by the IOUs was summarized by Navigant in a public workshop</w:t>
      </w:r>
      <w:r w:rsidR="006D2D50" w:rsidRPr="006D2D50">
        <w:rPr>
          <w:rFonts w:cs="Arial"/>
        </w:rPr>
        <w:t xml:space="preserve"> through the Demand Analysis Working Group </w:t>
      </w:r>
      <w:r w:rsidRPr="006D2D50">
        <w:t>on April 28, 2017. The workshop noted several minor gaps in data received. Discussion during and after the workshop releveled that additional information was available from the IOUs to fill these gaps. The final data provided by the IO</w:t>
      </w:r>
      <w:r w:rsidR="00E86334">
        <w:t xml:space="preserve">Us is reflected in this report and can be found in </w:t>
      </w:r>
      <w:r w:rsidR="00E86334">
        <w:fldChar w:fldCharType="begin"/>
      </w:r>
      <w:r w:rsidR="00E86334">
        <w:instrText xml:space="preserve"> REF _Ref483566421 \n \h </w:instrText>
      </w:r>
      <w:r w:rsidR="00E86334">
        <w:fldChar w:fldCharType="separate"/>
      </w:r>
      <w:r w:rsidR="007566B9">
        <w:t>Appendix G</w:t>
      </w:r>
      <w:r w:rsidR="00E86334">
        <w:fldChar w:fldCharType="end"/>
      </w:r>
      <w:r w:rsidR="00E86334">
        <w:t>.</w:t>
      </w:r>
    </w:p>
    <w:p w14:paraId="694058D3" w14:textId="77777777" w:rsidR="008016FC" w:rsidRDefault="006D2D50" w:rsidP="006D2D50">
      <w:pPr>
        <w:pStyle w:val="Heading3"/>
      </w:pPr>
      <w:bookmarkStart w:id="711" w:name="_Toc484092503"/>
      <w:bookmarkStart w:id="712" w:name="_Toc484172709"/>
      <w:bookmarkStart w:id="713" w:name="_Toc484183045"/>
      <w:bookmarkStart w:id="714" w:name="_Toc490225808"/>
      <w:r>
        <w:t>Households Treated</w:t>
      </w:r>
      <w:bookmarkEnd w:id="711"/>
      <w:bookmarkEnd w:id="712"/>
      <w:bookmarkEnd w:id="713"/>
      <w:bookmarkEnd w:id="714"/>
    </w:p>
    <w:p w14:paraId="649C7DE7" w14:textId="77777777" w:rsidR="008016FC" w:rsidRDefault="006D2D50" w:rsidP="006D2D50">
      <w:pPr>
        <w:rPr>
          <w:rFonts w:cs="Arial"/>
        </w:rPr>
      </w:pPr>
      <w:r>
        <w:rPr>
          <w:rFonts w:cs="Arial"/>
        </w:rPr>
        <w:t>The IOUs provided planned household participation for first time treatment and retreatment in their Low Income Programs. T</w:t>
      </w:r>
      <w:r w:rsidR="008016FC" w:rsidRPr="00CA5727">
        <w:rPr>
          <w:rFonts w:cs="Arial"/>
        </w:rPr>
        <w:t xml:space="preserve">he </w:t>
      </w:r>
      <w:r w:rsidR="008016FC">
        <w:rPr>
          <w:rFonts w:cs="Arial"/>
        </w:rPr>
        <w:t>primary e</w:t>
      </w:r>
      <w:r w:rsidR="008016FC" w:rsidRPr="005609E7">
        <w:rPr>
          <w:rFonts w:cs="Arial"/>
        </w:rPr>
        <w:t xml:space="preserve">ligibility </w:t>
      </w:r>
      <w:r w:rsidR="008016FC">
        <w:rPr>
          <w:rFonts w:cs="Arial"/>
        </w:rPr>
        <w:t xml:space="preserve">criteria for </w:t>
      </w:r>
      <w:r w:rsidR="008016FC" w:rsidRPr="00CA5727">
        <w:rPr>
          <w:rFonts w:cs="Arial"/>
        </w:rPr>
        <w:t xml:space="preserve">ESAP </w:t>
      </w:r>
      <w:r w:rsidR="008016FC">
        <w:rPr>
          <w:rFonts w:cs="Arial"/>
        </w:rPr>
        <w:t xml:space="preserve">first time participants </w:t>
      </w:r>
      <w:r w:rsidR="008016FC" w:rsidRPr="00CA5727">
        <w:rPr>
          <w:rFonts w:cs="Arial"/>
        </w:rPr>
        <w:t xml:space="preserve">are that </w:t>
      </w:r>
      <w:r w:rsidR="008016FC">
        <w:rPr>
          <w:rFonts w:cs="Arial"/>
        </w:rPr>
        <w:t xml:space="preserve">they </w:t>
      </w:r>
      <w:r w:rsidR="008016FC" w:rsidRPr="00CA5727">
        <w:rPr>
          <w:rFonts w:cs="Arial"/>
        </w:rPr>
        <w:t xml:space="preserve">must live in a house, mobile home or apartment that is at least five years old and must meet income guidelines which are the same as those for the California Alternative Rates for Energy </w:t>
      </w:r>
      <w:r w:rsidR="008016FC">
        <w:rPr>
          <w:rFonts w:cs="Arial"/>
        </w:rPr>
        <w:t>(CARE) p</w:t>
      </w:r>
      <w:r w:rsidR="008016FC" w:rsidRPr="00CA5727">
        <w:rPr>
          <w:rFonts w:cs="Arial"/>
        </w:rPr>
        <w:t>rogram.</w:t>
      </w:r>
      <w:r w:rsidR="008016FC">
        <w:rPr>
          <w:rFonts w:cs="Arial"/>
        </w:rPr>
        <w:t xml:space="preserve">  Decision 16-11-022 also defines various criteria for</w:t>
      </w:r>
      <w:r>
        <w:rPr>
          <w:rFonts w:cs="Arial"/>
        </w:rPr>
        <w:t xml:space="preserve"> retreatment eligibility. </w:t>
      </w:r>
      <w:r w:rsidR="008016FC">
        <w:rPr>
          <w:rFonts w:cs="Arial"/>
        </w:rPr>
        <w:t>Based on these criteria, California’s four IOUs forecast</w:t>
      </w:r>
      <w:r>
        <w:rPr>
          <w:rFonts w:cs="Arial"/>
        </w:rPr>
        <w:t>ed</w:t>
      </w:r>
      <w:r w:rsidR="008016FC">
        <w:rPr>
          <w:rFonts w:cs="Arial"/>
        </w:rPr>
        <w:t xml:space="preserve"> ESAP e</w:t>
      </w:r>
      <w:r w:rsidR="008016FC" w:rsidRPr="000C6893">
        <w:rPr>
          <w:rFonts w:cs="Arial"/>
        </w:rPr>
        <w:t xml:space="preserve">ligibility and </w:t>
      </w:r>
      <w:r w:rsidR="008016FC">
        <w:rPr>
          <w:rFonts w:cs="Arial"/>
        </w:rPr>
        <w:t>p</w:t>
      </w:r>
      <w:r w:rsidR="008016FC" w:rsidRPr="000C6893">
        <w:rPr>
          <w:rFonts w:cs="Arial"/>
        </w:rPr>
        <w:t>articipation</w:t>
      </w:r>
      <w:r w:rsidR="008016FC">
        <w:rPr>
          <w:rFonts w:cs="Arial"/>
        </w:rPr>
        <w:t xml:space="preserve"> at the household (HH) level</w:t>
      </w:r>
      <w:r>
        <w:rPr>
          <w:rFonts w:cs="Arial"/>
        </w:rPr>
        <w:t xml:space="preserve"> </w:t>
      </w:r>
      <w:r w:rsidR="008016FC">
        <w:rPr>
          <w:rFonts w:cs="Arial"/>
        </w:rPr>
        <w:t xml:space="preserve">including: </w:t>
      </w:r>
    </w:p>
    <w:p w14:paraId="6296EC4B" w14:textId="77777777" w:rsidR="008016FC" w:rsidRPr="00074DC1" w:rsidRDefault="008016FC" w:rsidP="004E4E36">
      <w:pPr>
        <w:pStyle w:val="ListParagraph"/>
        <w:numPr>
          <w:ilvl w:val="0"/>
          <w:numId w:val="49"/>
        </w:numPr>
        <w:rPr>
          <w:rFonts w:cs="Arial"/>
        </w:rPr>
      </w:pPr>
      <w:r w:rsidRPr="00074DC1">
        <w:rPr>
          <w:rFonts w:cs="Arial"/>
        </w:rPr>
        <w:t>Installation forecasts by HH type for single family, multifamily, and manufactured homes</w:t>
      </w:r>
    </w:p>
    <w:p w14:paraId="52F3F03B" w14:textId="77777777" w:rsidR="008016FC" w:rsidRPr="00074DC1" w:rsidRDefault="008016FC" w:rsidP="004E4E36">
      <w:pPr>
        <w:pStyle w:val="ListParagraph"/>
        <w:numPr>
          <w:ilvl w:val="0"/>
          <w:numId w:val="49"/>
        </w:numPr>
        <w:rPr>
          <w:rFonts w:cs="Arial"/>
        </w:rPr>
      </w:pPr>
      <w:r w:rsidRPr="00074DC1">
        <w:rPr>
          <w:rFonts w:cs="Arial"/>
        </w:rPr>
        <w:t>First time HH installation forecasts for program years 2017 through 2020</w:t>
      </w:r>
    </w:p>
    <w:p w14:paraId="7353F25A" w14:textId="77777777" w:rsidR="008016FC" w:rsidRDefault="008016FC" w:rsidP="004E4E36">
      <w:pPr>
        <w:pStyle w:val="ListParagraph"/>
        <w:numPr>
          <w:ilvl w:val="0"/>
          <w:numId w:val="49"/>
        </w:numPr>
        <w:rPr>
          <w:rFonts w:cs="Arial"/>
        </w:rPr>
      </w:pPr>
      <w:r w:rsidRPr="00074DC1">
        <w:rPr>
          <w:rFonts w:cs="Arial"/>
        </w:rPr>
        <w:t>Retreatment HH installation forecasts for program years 2017 through 2030</w:t>
      </w:r>
    </w:p>
    <w:p w14:paraId="76856E9D" w14:textId="77777777" w:rsidR="00074DC1" w:rsidRDefault="00074DC1" w:rsidP="006D2D50">
      <w:pPr>
        <w:rPr>
          <w:szCs w:val="20"/>
        </w:rPr>
      </w:pPr>
    </w:p>
    <w:p w14:paraId="77F16A0E" w14:textId="77777777" w:rsidR="006D2D50" w:rsidRDefault="008016FC" w:rsidP="006D2D50">
      <w:pPr>
        <w:rPr>
          <w:szCs w:val="20"/>
        </w:rPr>
      </w:pPr>
      <w:r>
        <w:rPr>
          <w:szCs w:val="20"/>
        </w:rPr>
        <w:lastRenderedPageBreak/>
        <w:t xml:space="preserve">All IOUs provided HH type forecast for first and retreatment households, though only SCG and SDG&amp;E provided guidance on HH retreatment forecasts from 2017 to 2030, as allowed by the Decision.  PG&amp;E and SCE only provided retreatment HH forecasts for 2017 through 2020, and the 2018 PG model therefor forecasts retreatment HH for PG&amp;E and SCE using </w:t>
      </w:r>
      <w:r w:rsidR="006D2D50">
        <w:rPr>
          <w:szCs w:val="20"/>
        </w:rPr>
        <w:t>the assumption that participation rate holds constant from 2020 through 2030 (</w:t>
      </w:r>
      <w:r w:rsidR="006D2D50" w:rsidRPr="006D2D50">
        <w:rPr>
          <w:szCs w:val="20"/>
        </w:rPr>
        <w:t>similar to was SCG</w:t>
      </w:r>
      <w:r w:rsidR="006D2D50">
        <w:rPr>
          <w:szCs w:val="20"/>
        </w:rPr>
        <w:t xml:space="preserve"> and SDG&amp;E assume)</w:t>
      </w:r>
      <w:r>
        <w:rPr>
          <w:szCs w:val="20"/>
        </w:rPr>
        <w:t xml:space="preserve">. </w:t>
      </w:r>
    </w:p>
    <w:p w14:paraId="037E8005" w14:textId="77777777" w:rsidR="008016FC" w:rsidRPr="008261F5" w:rsidRDefault="006D2D50" w:rsidP="006D2D50">
      <w:pPr>
        <w:pStyle w:val="Heading3"/>
      </w:pPr>
      <w:bookmarkStart w:id="715" w:name="_Toc484092504"/>
      <w:bookmarkStart w:id="716" w:name="_Toc484172710"/>
      <w:bookmarkStart w:id="717" w:name="_Toc484183046"/>
      <w:bookmarkStart w:id="718" w:name="_Toc490225809"/>
      <w:r>
        <w:t xml:space="preserve">Unit Energy </w:t>
      </w:r>
      <w:r w:rsidR="008016FC" w:rsidRPr="008261F5">
        <w:t>Savings</w:t>
      </w:r>
      <w:bookmarkEnd w:id="715"/>
      <w:bookmarkEnd w:id="716"/>
      <w:bookmarkEnd w:id="717"/>
      <w:bookmarkEnd w:id="718"/>
    </w:p>
    <w:p w14:paraId="2701E6B5" w14:textId="77777777" w:rsidR="008016FC" w:rsidRDefault="008016FC" w:rsidP="006D2D50">
      <w:pPr>
        <w:rPr>
          <w:rFonts w:cs="Arial"/>
        </w:rPr>
      </w:pPr>
      <w:r>
        <w:rPr>
          <w:szCs w:val="20"/>
        </w:rPr>
        <w:t>Consistent with Navigant’s past forecasts of low income sector potential, the forecast is based on a unit energy savings (UES) that is defined at the household level.  T</w:t>
      </w:r>
      <w:r>
        <w:rPr>
          <w:rFonts w:cs="Arial"/>
        </w:rPr>
        <w:t xml:space="preserve">hroughout April and May of 2017 the CPUC Energy Division and Navigant Consulting Inc. engaged California’s four IOUs in several data requests to provide the UES estimates for KWh, KW, and Therms used in the 2018 PG model, including: </w:t>
      </w:r>
    </w:p>
    <w:p w14:paraId="0EFC6BA6" w14:textId="77777777" w:rsidR="008016FC" w:rsidRPr="00074DC1" w:rsidRDefault="008016FC" w:rsidP="004E4E36">
      <w:pPr>
        <w:pStyle w:val="ListParagraph"/>
        <w:numPr>
          <w:ilvl w:val="0"/>
          <w:numId w:val="50"/>
        </w:numPr>
        <w:rPr>
          <w:rFonts w:cs="Arial"/>
        </w:rPr>
      </w:pPr>
      <w:r w:rsidRPr="00074DC1">
        <w:rPr>
          <w:rFonts w:cs="Arial"/>
        </w:rPr>
        <w:t>UES values for first time installations by HH type for single family, multifamily, and manufactured homes</w:t>
      </w:r>
    </w:p>
    <w:p w14:paraId="04BA7422" w14:textId="77777777" w:rsidR="008016FC" w:rsidRDefault="008016FC" w:rsidP="004E4E36">
      <w:pPr>
        <w:pStyle w:val="ListParagraph"/>
        <w:numPr>
          <w:ilvl w:val="0"/>
          <w:numId w:val="50"/>
        </w:numPr>
        <w:rPr>
          <w:rFonts w:cs="Arial"/>
        </w:rPr>
      </w:pPr>
      <w:r w:rsidRPr="00074DC1">
        <w:rPr>
          <w:rFonts w:cs="Arial"/>
        </w:rPr>
        <w:t>UES value for retreatment installations by HH type for single family, multifamily, and manufactured homes</w:t>
      </w:r>
    </w:p>
    <w:p w14:paraId="0005F201" w14:textId="77777777" w:rsidR="00074DC1" w:rsidRDefault="00074DC1" w:rsidP="006D2D50">
      <w:pPr>
        <w:rPr>
          <w:szCs w:val="20"/>
        </w:rPr>
      </w:pPr>
    </w:p>
    <w:p w14:paraId="7F21C5EF" w14:textId="77777777" w:rsidR="008016FC" w:rsidRDefault="008016FC" w:rsidP="006D2D50">
      <w:pPr>
        <w:rPr>
          <w:szCs w:val="20"/>
        </w:rPr>
      </w:pPr>
      <w:r>
        <w:rPr>
          <w:szCs w:val="20"/>
        </w:rPr>
        <w:t xml:space="preserve">All IOUs provided UES estimates by HH type for first time and treatment installations.  PG&amp;E, SDG&amp;E, and SCG also provided estimated useful life (EUL) values by HH type which ranged between 8 and 14 years.  SCE declined to provide an EUL estimated and the 2018 PG model uses an average of EUL estimated provided by the other IOUs, ranging between 10.8 and 11.9 years, depending on the household type and treatment.  All IOUs concurred with the </w:t>
      </w:r>
      <w:r>
        <w:rPr>
          <w:rFonts w:cs="Arial"/>
        </w:rPr>
        <w:t>CPUC-ED and Navigant guidance that a net-to-gross of 1</w:t>
      </w:r>
      <w:r w:rsidR="006D2D50">
        <w:rPr>
          <w:rFonts w:cs="Arial"/>
        </w:rPr>
        <w:t>.0</w:t>
      </w:r>
      <w:r>
        <w:rPr>
          <w:rFonts w:cs="Arial"/>
        </w:rPr>
        <w:t xml:space="preserve"> is appropriate for the low-income sector forecast.  </w:t>
      </w:r>
    </w:p>
    <w:p w14:paraId="4DB35D28" w14:textId="77777777" w:rsidR="00B56A32" w:rsidRDefault="00B56A32" w:rsidP="00B56A32">
      <w:pPr>
        <w:pStyle w:val="Heading2"/>
      </w:pPr>
      <w:bookmarkStart w:id="719" w:name="_Toc478990524"/>
      <w:bookmarkStart w:id="720" w:name="_Toc479768602"/>
      <w:bookmarkStart w:id="721" w:name="_Toc482357325"/>
      <w:bookmarkStart w:id="722" w:name="_Toc482634300"/>
      <w:bookmarkStart w:id="723" w:name="_Toc482626432"/>
      <w:bookmarkStart w:id="724" w:name="_Toc484092505"/>
      <w:bookmarkStart w:id="725" w:name="_Toc484172711"/>
      <w:bookmarkStart w:id="726" w:name="_Toc484183047"/>
      <w:bookmarkStart w:id="727" w:name="_Toc490225810"/>
      <w:r>
        <w:t>Energy Efficiency Financing</w:t>
      </w:r>
      <w:bookmarkEnd w:id="719"/>
      <w:bookmarkEnd w:id="720"/>
      <w:bookmarkEnd w:id="721"/>
      <w:bookmarkEnd w:id="722"/>
      <w:bookmarkEnd w:id="723"/>
      <w:bookmarkEnd w:id="724"/>
      <w:bookmarkEnd w:id="725"/>
      <w:bookmarkEnd w:id="726"/>
      <w:bookmarkEnd w:id="727"/>
    </w:p>
    <w:p w14:paraId="7509AE8E" w14:textId="77777777" w:rsidR="007370A3" w:rsidRPr="00110120" w:rsidRDefault="00B56A32" w:rsidP="00110120">
      <w:pPr>
        <w:rPr>
          <w:b/>
          <w:i/>
        </w:rPr>
      </w:pPr>
      <w:bookmarkStart w:id="728" w:name="_Toc482357326"/>
      <w:bookmarkStart w:id="729" w:name="_Toc482634301"/>
      <w:bookmarkStart w:id="730" w:name="_Toc482626433"/>
      <w:r w:rsidRPr="00110120">
        <w:t>The CPUC has recognized financing as an energy efficiency resource program.</w:t>
      </w:r>
      <w:r w:rsidRPr="00110120">
        <w:rPr>
          <w:vertAlign w:val="superscript"/>
        </w:rPr>
        <w:footnoteReference w:id="91"/>
      </w:r>
      <w:r w:rsidRPr="00110120">
        <w:t xml:space="preserve"> </w:t>
      </w:r>
      <w:r w:rsidR="00492578" w:rsidRPr="00110120">
        <w:t xml:space="preserve">However, as of March 2017 (when research for this study was finalized), no impact evaluations have been published to provide verified savings estimates. </w:t>
      </w:r>
      <w:r w:rsidR="005037D7" w:rsidRPr="00110120">
        <w:t>In the absence of impact studies, the input data to model financing was developed by Navigant leverage available market studies</w:t>
      </w:r>
      <w:r w:rsidR="005037D7" w:rsidRPr="00110120">
        <w:rPr>
          <w:b/>
          <w:i/>
        </w:rPr>
        <w:t>.</w:t>
      </w:r>
      <w:bookmarkEnd w:id="728"/>
      <w:bookmarkEnd w:id="729"/>
      <w:bookmarkEnd w:id="730"/>
      <w:r w:rsidR="005037D7" w:rsidRPr="00110120">
        <w:rPr>
          <w:b/>
          <w:i/>
        </w:rPr>
        <w:t xml:space="preserve"> </w:t>
      </w:r>
    </w:p>
    <w:p w14:paraId="0F7A746D" w14:textId="77777777" w:rsidR="007370A3" w:rsidRDefault="007370A3" w:rsidP="005037D7">
      <w:pPr>
        <w:pStyle w:val="Heading3"/>
      </w:pPr>
      <w:bookmarkStart w:id="731" w:name="_Toc482357327"/>
      <w:bookmarkStart w:id="732" w:name="_Toc482634302"/>
      <w:bookmarkStart w:id="733" w:name="_Toc482626434"/>
      <w:bookmarkStart w:id="734" w:name="_Toc484092506"/>
      <w:bookmarkStart w:id="735" w:name="_Toc484172712"/>
      <w:bookmarkStart w:id="736" w:name="_Toc484183048"/>
      <w:bookmarkStart w:id="737" w:name="_Toc490225811"/>
      <w:r w:rsidRPr="004B7BF5">
        <w:t>Residential Inputs</w:t>
      </w:r>
      <w:bookmarkEnd w:id="731"/>
      <w:bookmarkEnd w:id="732"/>
      <w:bookmarkEnd w:id="733"/>
      <w:bookmarkEnd w:id="734"/>
      <w:bookmarkEnd w:id="735"/>
      <w:bookmarkEnd w:id="736"/>
      <w:bookmarkEnd w:id="737"/>
    </w:p>
    <w:p w14:paraId="67D1305E" w14:textId="77777777" w:rsidR="007370A3" w:rsidRPr="004B7BF5" w:rsidRDefault="007370A3" w:rsidP="007370A3">
      <w:pPr>
        <w:autoSpaceDE w:val="0"/>
        <w:autoSpaceDN w:val="0"/>
        <w:adjustRightInd w:val="0"/>
        <w:spacing w:line="240" w:lineRule="auto"/>
        <w:rPr>
          <w:rFonts w:cs="Arial"/>
          <w:bCs/>
          <w:szCs w:val="20"/>
        </w:rPr>
      </w:pPr>
      <w:r w:rsidRPr="004B7BF5">
        <w:rPr>
          <w:rFonts w:cs="Arial"/>
          <w:bCs/>
          <w:szCs w:val="20"/>
        </w:rPr>
        <w:t>To develop the residential financing cash flow model inputs, Navigant considered the achievements to date of the existing Regional Finance Programs</w:t>
      </w:r>
      <w:r>
        <w:rPr>
          <w:rFonts w:cs="Arial"/>
          <w:bCs/>
          <w:szCs w:val="20"/>
        </w:rPr>
        <w:t xml:space="preserve">, and the key financing terms for the </w:t>
      </w:r>
      <w:r w:rsidRPr="00E841D1">
        <w:rPr>
          <w:rFonts w:cs="Arial"/>
          <w:bCs/>
          <w:szCs w:val="20"/>
        </w:rPr>
        <w:t>Residential Energy Efficiency Loan (REEL) Program</w:t>
      </w:r>
      <w:r>
        <w:rPr>
          <w:rFonts w:cs="Arial"/>
          <w:bCs/>
          <w:szCs w:val="20"/>
        </w:rPr>
        <w:t xml:space="preserve"> lenders</w:t>
      </w:r>
      <w:r>
        <w:rPr>
          <w:rStyle w:val="FootnoteReference"/>
          <w:rFonts w:cs="Arial"/>
          <w:bCs/>
          <w:szCs w:val="20"/>
        </w:rPr>
        <w:footnoteReference w:id="92"/>
      </w:r>
      <w:r w:rsidRPr="004B7BF5">
        <w:rPr>
          <w:rFonts w:cs="Arial"/>
          <w:bCs/>
          <w:szCs w:val="20"/>
        </w:rPr>
        <w:t xml:space="preserve">. </w:t>
      </w:r>
    </w:p>
    <w:p w14:paraId="5F397DE2" w14:textId="77777777" w:rsidR="007370A3" w:rsidRDefault="007370A3" w:rsidP="007370A3">
      <w:pPr>
        <w:pStyle w:val="ListParagraph"/>
        <w:autoSpaceDE w:val="0"/>
        <w:autoSpaceDN w:val="0"/>
        <w:adjustRightInd w:val="0"/>
        <w:spacing w:line="240" w:lineRule="auto"/>
        <w:rPr>
          <w:rFonts w:cs="Arial"/>
          <w:bCs/>
          <w:szCs w:val="20"/>
        </w:rPr>
      </w:pPr>
    </w:p>
    <w:p w14:paraId="3B9F2AFB" w14:textId="77777777" w:rsidR="00211361" w:rsidRDefault="00211361" w:rsidP="007370A3">
      <w:pPr>
        <w:pStyle w:val="ListParagraph"/>
        <w:autoSpaceDE w:val="0"/>
        <w:autoSpaceDN w:val="0"/>
        <w:adjustRightInd w:val="0"/>
        <w:spacing w:line="240" w:lineRule="auto"/>
        <w:rPr>
          <w:rFonts w:cs="Arial"/>
          <w:bCs/>
          <w:szCs w:val="20"/>
        </w:rPr>
      </w:pPr>
    </w:p>
    <w:p w14:paraId="6440BDE4" w14:textId="77777777" w:rsidR="007370A3" w:rsidRDefault="007370A3" w:rsidP="00211361">
      <w:pPr>
        <w:pStyle w:val="Caption"/>
      </w:pPr>
      <w:bookmarkStart w:id="738" w:name="_Toc482634234"/>
      <w:bookmarkStart w:id="739" w:name="_Toc484436975"/>
      <w:bookmarkStart w:id="740" w:name="_Toc490560688"/>
      <w:r>
        <w:lastRenderedPageBreak/>
        <w:t xml:space="preserve">Table </w:t>
      </w:r>
      <w:fldSimple w:instr=" STYLEREF 1 \s ">
        <w:r w:rsidR="007566B9">
          <w:rPr>
            <w:noProof/>
          </w:rPr>
          <w:t>3</w:t>
        </w:r>
      </w:fldSimple>
      <w:r w:rsidR="00C17D59">
        <w:noBreakHyphen/>
      </w:r>
      <w:fldSimple w:instr=" SEQ Table \* ARABIC \s 1 ">
        <w:r w:rsidR="007566B9">
          <w:rPr>
            <w:noProof/>
          </w:rPr>
          <w:t>30</w:t>
        </w:r>
      </w:fldSimple>
      <w:r>
        <w:t>. 2013-2015 Achievements by Regional Financing Program</w:t>
      </w:r>
      <w:bookmarkEnd w:id="738"/>
      <w:bookmarkEnd w:id="739"/>
      <w:bookmarkEnd w:id="740"/>
    </w:p>
    <w:tbl>
      <w:tblPr>
        <w:tblStyle w:val="EnergyTable1"/>
        <w:tblpPr w:leftFromText="180" w:rightFromText="180" w:vertAnchor="text" w:horzAnchor="margin" w:tblpXSpec="center" w:tblpY="103"/>
        <w:tblW w:w="0" w:type="auto"/>
        <w:jc w:val="left"/>
        <w:tblLook w:val="04A0" w:firstRow="1" w:lastRow="0" w:firstColumn="1" w:lastColumn="0" w:noHBand="0" w:noVBand="1"/>
      </w:tblPr>
      <w:tblGrid>
        <w:gridCol w:w="1880"/>
        <w:gridCol w:w="860"/>
        <w:gridCol w:w="1322"/>
        <w:gridCol w:w="852"/>
        <w:gridCol w:w="845"/>
        <w:gridCol w:w="1215"/>
        <w:gridCol w:w="1269"/>
        <w:gridCol w:w="1117"/>
      </w:tblGrid>
      <w:tr w:rsidR="002544A3" w:rsidRPr="005037D7" w14:paraId="072C41C9" w14:textId="77777777" w:rsidTr="007370A3">
        <w:trPr>
          <w:cnfStyle w:val="100000000000" w:firstRow="1" w:lastRow="0" w:firstColumn="0" w:lastColumn="0" w:oddVBand="0" w:evenVBand="0" w:oddHBand="0" w:evenHBand="0"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2218" w:type="dxa"/>
            <w:noWrap/>
            <w:hideMark/>
          </w:tcPr>
          <w:p w14:paraId="22C1C473" w14:textId="77777777" w:rsidR="007370A3" w:rsidRPr="005037D7" w:rsidRDefault="007370A3" w:rsidP="00067CCB">
            <w:pPr>
              <w:keepNext/>
              <w:spacing w:line="240" w:lineRule="auto"/>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Program</w:t>
            </w:r>
          </w:p>
        </w:tc>
        <w:tc>
          <w:tcPr>
            <w:tcW w:w="0" w:type="auto"/>
            <w:noWrap/>
            <w:hideMark/>
          </w:tcPr>
          <w:p w14:paraId="7E9A2379" w14:textId="77777777" w:rsidR="007370A3" w:rsidRPr="005037D7" w:rsidRDefault="007370A3" w:rsidP="00067CCB">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Start Date</w:t>
            </w:r>
          </w:p>
        </w:tc>
        <w:tc>
          <w:tcPr>
            <w:tcW w:w="0" w:type="auto"/>
            <w:noWrap/>
            <w:hideMark/>
          </w:tcPr>
          <w:p w14:paraId="7A4FE5E5" w14:textId="77777777" w:rsidR="007370A3" w:rsidRPr="005037D7" w:rsidRDefault="007370A3" w:rsidP="00067CCB">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Utility</w:t>
            </w:r>
          </w:p>
        </w:tc>
        <w:tc>
          <w:tcPr>
            <w:tcW w:w="0" w:type="auto"/>
            <w:noWrap/>
            <w:hideMark/>
          </w:tcPr>
          <w:p w14:paraId="663375A7" w14:textId="77777777" w:rsidR="007370A3" w:rsidRPr="005037D7" w:rsidRDefault="007370A3" w:rsidP="00067CCB">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Min. FICO</w:t>
            </w:r>
          </w:p>
        </w:tc>
        <w:tc>
          <w:tcPr>
            <w:tcW w:w="0" w:type="auto"/>
            <w:noWrap/>
            <w:hideMark/>
          </w:tcPr>
          <w:p w14:paraId="5F35846C" w14:textId="77777777" w:rsidR="007370A3" w:rsidRPr="005037D7" w:rsidRDefault="007370A3" w:rsidP="00067CCB">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Avg. Rate</w:t>
            </w:r>
          </w:p>
        </w:tc>
        <w:tc>
          <w:tcPr>
            <w:tcW w:w="0" w:type="auto"/>
            <w:noWrap/>
            <w:hideMark/>
          </w:tcPr>
          <w:p w14:paraId="23260DA2" w14:textId="77777777" w:rsidR="007370A3" w:rsidRPr="005037D7" w:rsidRDefault="007370A3" w:rsidP="00067CCB">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Avg. Term (yrs)</w:t>
            </w:r>
          </w:p>
        </w:tc>
        <w:tc>
          <w:tcPr>
            <w:tcW w:w="0" w:type="auto"/>
            <w:noWrap/>
            <w:hideMark/>
          </w:tcPr>
          <w:p w14:paraId="05E5D6FF" w14:textId="77777777" w:rsidR="007370A3" w:rsidRPr="005037D7" w:rsidRDefault="007370A3" w:rsidP="00067CCB">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Avg. Amount ($)</w:t>
            </w:r>
          </w:p>
        </w:tc>
        <w:tc>
          <w:tcPr>
            <w:tcW w:w="0" w:type="auto"/>
            <w:noWrap/>
            <w:hideMark/>
          </w:tcPr>
          <w:p w14:paraId="5D75B1A0" w14:textId="77777777" w:rsidR="007370A3" w:rsidRPr="005037D7" w:rsidRDefault="007370A3" w:rsidP="00067CCB">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Loans to Date</w:t>
            </w:r>
          </w:p>
        </w:tc>
      </w:tr>
      <w:tr w:rsidR="007370A3" w:rsidRPr="005037D7" w14:paraId="5F29ED82" w14:textId="77777777" w:rsidTr="00AF21BE">
        <w:trPr>
          <w:cnfStyle w:val="000000100000" w:firstRow="0" w:lastRow="0" w:firstColumn="0" w:lastColumn="0" w:oddVBand="0" w:evenVBand="0" w:oddHBand="1" w:evenHBand="0"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0" w:type="dxa"/>
            <w:noWrap/>
            <w:hideMark/>
          </w:tcPr>
          <w:p w14:paraId="47E47CC2" w14:textId="77777777" w:rsidR="007370A3" w:rsidRPr="005037D7" w:rsidRDefault="007370A3" w:rsidP="00211361">
            <w:pPr>
              <w:keepNext/>
              <w:spacing w:line="240" w:lineRule="auto"/>
              <w:rPr>
                <w:rFonts w:ascii="Arial Narrow" w:hAnsi="Arial Narrow" w:cs="Calibri"/>
                <w:color w:val="000000"/>
                <w:szCs w:val="20"/>
              </w:rPr>
            </w:pPr>
            <w:r w:rsidRPr="005037D7">
              <w:rPr>
                <w:rFonts w:ascii="Arial Narrow" w:hAnsi="Arial Narrow" w:cs="Calibri"/>
                <w:color w:val="000000"/>
                <w:szCs w:val="20"/>
              </w:rPr>
              <w:t>Golden State Financing Authority (GSFA) Energy Retrofit Program</w:t>
            </w:r>
          </w:p>
        </w:tc>
        <w:tc>
          <w:tcPr>
            <w:tcW w:w="0" w:type="auto"/>
            <w:noWrap/>
            <w:hideMark/>
          </w:tcPr>
          <w:p w14:paraId="2392F5EC"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Sep-12</w:t>
            </w:r>
          </w:p>
        </w:tc>
        <w:tc>
          <w:tcPr>
            <w:tcW w:w="0" w:type="auto"/>
            <w:noWrap/>
            <w:hideMark/>
          </w:tcPr>
          <w:p w14:paraId="57F1113C"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PG&amp;E</w:t>
            </w:r>
          </w:p>
        </w:tc>
        <w:tc>
          <w:tcPr>
            <w:tcW w:w="0" w:type="auto"/>
            <w:noWrap/>
            <w:hideMark/>
          </w:tcPr>
          <w:p w14:paraId="562F14F8"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640</w:t>
            </w:r>
          </w:p>
        </w:tc>
        <w:tc>
          <w:tcPr>
            <w:tcW w:w="0" w:type="auto"/>
            <w:noWrap/>
            <w:hideMark/>
          </w:tcPr>
          <w:p w14:paraId="674456B1"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6.50%</w:t>
            </w:r>
          </w:p>
        </w:tc>
        <w:tc>
          <w:tcPr>
            <w:tcW w:w="0" w:type="auto"/>
            <w:noWrap/>
            <w:hideMark/>
          </w:tcPr>
          <w:p w14:paraId="43BEB405"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15</w:t>
            </w:r>
          </w:p>
        </w:tc>
        <w:tc>
          <w:tcPr>
            <w:tcW w:w="0" w:type="auto"/>
            <w:noWrap/>
            <w:hideMark/>
          </w:tcPr>
          <w:p w14:paraId="060CF6FE"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25,612</w:t>
            </w:r>
          </w:p>
        </w:tc>
        <w:tc>
          <w:tcPr>
            <w:tcW w:w="0" w:type="auto"/>
            <w:noWrap/>
            <w:hideMark/>
          </w:tcPr>
          <w:p w14:paraId="3A6C1337"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201</w:t>
            </w:r>
          </w:p>
        </w:tc>
      </w:tr>
      <w:tr w:rsidR="002544A3" w:rsidRPr="005037D7" w14:paraId="68A9C353" w14:textId="77777777" w:rsidTr="007370A3">
        <w:trPr>
          <w:cnfStyle w:val="000000010000" w:firstRow="0" w:lastRow="0" w:firstColumn="0" w:lastColumn="0" w:oddVBand="0" w:evenVBand="0" w:oddHBand="0" w:evenHBand="1"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2218" w:type="dxa"/>
            <w:noWrap/>
            <w:hideMark/>
          </w:tcPr>
          <w:p w14:paraId="66898DD5" w14:textId="77777777" w:rsidR="007370A3" w:rsidRPr="005037D7" w:rsidRDefault="007370A3" w:rsidP="00211361">
            <w:pPr>
              <w:keepNext/>
              <w:spacing w:line="240" w:lineRule="auto"/>
              <w:rPr>
                <w:rFonts w:ascii="Arial Narrow" w:hAnsi="Arial Narrow" w:cs="Calibri"/>
                <w:color w:val="000000"/>
                <w:szCs w:val="20"/>
              </w:rPr>
            </w:pPr>
            <w:r w:rsidRPr="005037D7">
              <w:rPr>
                <w:rFonts w:ascii="Arial Narrow" w:hAnsi="Arial Narrow" w:cs="Calibri"/>
                <w:color w:val="000000"/>
                <w:szCs w:val="20"/>
              </w:rPr>
              <w:t>emPower Central Coast</w:t>
            </w:r>
          </w:p>
        </w:tc>
        <w:tc>
          <w:tcPr>
            <w:tcW w:w="0" w:type="auto"/>
            <w:noWrap/>
            <w:hideMark/>
          </w:tcPr>
          <w:p w14:paraId="46131D03" w14:textId="77777777" w:rsidR="007370A3" w:rsidRPr="005037D7" w:rsidRDefault="007370A3" w:rsidP="00211361">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Nov-11</w:t>
            </w:r>
          </w:p>
        </w:tc>
        <w:tc>
          <w:tcPr>
            <w:tcW w:w="0" w:type="auto"/>
            <w:noWrap/>
            <w:hideMark/>
          </w:tcPr>
          <w:p w14:paraId="664CE6DC" w14:textId="77777777" w:rsidR="007370A3" w:rsidRPr="005037D7" w:rsidRDefault="007370A3" w:rsidP="00211361">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SCE, SCG, PG&amp;E</w:t>
            </w:r>
          </w:p>
        </w:tc>
        <w:tc>
          <w:tcPr>
            <w:tcW w:w="0" w:type="auto"/>
            <w:noWrap/>
            <w:hideMark/>
          </w:tcPr>
          <w:p w14:paraId="2F417FE8" w14:textId="77777777" w:rsidR="007370A3" w:rsidRPr="005037D7" w:rsidRDefault="007370A3" w:rsidP="00211361">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590</w:t>
            </w:r>
          </w:p>
        </w:tc>
        <w:tc>
          <w:tcPr>
            <w:tcW w:w="0" w:type="auto"/>
            <w:noWrap/>
            <w:hideMark/>
          </w:tcPr>
          <w:p w14:paraId="7ED4B607" w14:textId="77777777" w:rsidR="007370A3" w:rsidRPr="005037D7" w:rsidRDefault="007370A3" w:rsidP="00211361">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5.85%</w:t>
            </w:r>
          </w:p>
        </w:tc>
        <w:tc>
          <w:tcPr>
            <w:tcW w:w="0" w:type="auto"/>
            <w:noWrap/>
            <w:hideMark/>
          </w:tcPr>
          <w:p w14:paraId="41582713" w14:textId="77777777" w:rsidR="007370A3" w:rsidRPr="005037D7" w:rsidRDefault="007370A3" w:rsidP="00211361">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14.5</w:t>
            </w:r>
          </w:p>
        </w:tc>
        <w:tc>
          <w:tcPr>
            <w:tcW w:w="0" w:type="auto"/>
            <w:noWrap/>
            <w:hideMark/>
          </w:tcPr>
          <w:p w14:paraId="6DDFD98B" w14:textId="77777777" w:rsidR="007370A3" w:rsidRPr="005037D7" w:rsidRDefault="007370A3" w:rsidP="00211361">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20,809</w:t>
            </w:r>
          </w:p>
        </w:tc>
        <w:tc>
          <w:tcPr>
            <w:tcW w:w="0" w:type="auto"/>
            <w:noWrap/>
            <w:hideMark/>
          </w:tcPr>
          <w:p w14:paraId="3FA99AF0" w14:textId="77777777" w:rsidR="007370A3" w:rsidRPr="005037D7" w:rsidRDefault="007370A3" w:rsidP="00211361">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52</w:t>
            </w:r>
          </w:p>
        </w:tc>
      </w:tr>
      <w:tr w:rsidR="007370A3" w:rsidRPr="005037D7" w14:paraId="59CAE8FF" w14:textId="77777777" w:rsidTr="00AF21BE">
        <w:trPr>
          <w:cnfStyle w:val="000000100000" w:firstRow="0" w:lastRow="0" w:firstColumn="0" w:lastColumn="0" w:oddVBand="0" w:evenVBand="0" w:oddHBand="1" w:evenHBand="0"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0" w:type="dxa"/>
            <w:noWrap/>
            <w:hideMark/>
          </w:tcPr>
          <w:p w14:paraId="53B734B2" w14:textId="77777777" w:rsidR="007370A3" w:rsidRPr="005037D7" w:rsidRDefault="007370A3" w:rsidP="00211361">
            <w:pPr>
              <w:keepNext/>
              <w:spacing w:line="240" w:lineRule="auto"/>
              <w:rPr>
                <w:rFonts w:ascii="Arial Narrow" w:hAnsi="Arial Narrow" w:cs="Calibri"/>
                <w:color w:val="000000"/>
                <w:szCs w:val="20"/>
              </w:rPr>
            </w:pPr>
            <w:r w:rsidRPr="005037D7">
              <w:rPr>
                <w:rFonts w:ascii="Arial Narrow" w:hAnsi="Arial Narrow" w:cs="Calibri"/>
                <w:color w:val="000000"/>
                <w:szCs w:val="20"/>
              </w:rPr>
              <w:t>SoCalREN Home Energy Loans</w:t>
            </w:r>
          </w:p>
        </w:tc>
        <w:tc>
          <w:tcPr>
            <w:tcW w:w="0" w:type="auto"/>
            <w:noWrap/>
            <w:hideMark/>
          </w:tcPr>
          <w:p w14:paraId="366D7FEF"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Dec-13</w:t>
            </w:r>
          </w:p>
        </w:tc>
        <w:tc>
          <w:tcPr>
            <w:tcW w:w="0" w:type="auto"/>
            <w:noWrap/>
            <w:hideMark/>
          </w:tcPr>
          <w:p w14:paraId="21D1C38D"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SCE, SCG</w:t>
            </w:r>
          </w:p>
        </w:tc>
        <w:tc>
          <w:tcPr>
            <w:tcW w:w="0" w:type="auto"/>
            <w:noWrap/>
            <w:hideMark/>
          </w:tcPr>
          <w:p w14:paraId="0747B5E4"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660</w:t>
            </w:r>
          </w:p>
        </w:tc>
        <w:tc>
          <w:tcPr>
            <w:tcW w:w="0" w:type="auto"/>
            <w:noWrap/>
            <w:hideMark/>
          </w:tcPr>
          <w:p w14:paraId="6519B21C"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5.87%</w:t>
            </w:r>
          </w:p>
        </w:tc>
        <w:tc>
          <w:tcPr>
            <w:tcW w:w="0" w:type="auto"/>
            <w:noWrap/>
            <w:hideMark/>
          </w:tcPr>
          <w:p w14:paraId="25D2C48D"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9.5</w:t>
            </w:r>
          </w:p>
        </w:tc>
        <w:tc>
          <w:tcPr>
            <w:tcW w:w="0" w:type="auto"/>
            <w:noWrap/>
            <w:hideMark/>
          </w:tcPr>
          <w:p w14:paraId="21CB09AD"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18,087</w:t>
            </w:r>
          </w:p>
        </w:tc>
        <w:tc>
          <w:tcPr>
            <w:tcW w:w="0" w:type="auto"/>
            <w:noWrap/>
            <w:hideMark/>
          </w:tcPr>
          <w:p w14:paraId="053EEB06" w14:textId="77777777" w:rsidR="007370A3" w:rsidRPr="005037D7" w:rsidRDefault="007370A3" w:rsidP="00211361">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100</w:t>
            </w:r>
          </w:p>
        </w:tc>
      </w:tr>
    </w:tbl>
    <w:p w14:paraId="585951BB" w14:textId="77777777" w:rsidR="007370A3" w:rsidRPr="004B7BF5" w:rsidRDefault="007370A3" w:rsidP="005037D7">
      <w:pPr>
        <w:pStyle w:val="Source"/>
        <w:jc w:val="center"/>
      </w:pPr>
      <w:r w:rsidRPr="004B7BF5">
        <w:t xml:space="preserve">Source: Regional </w:t>
      </w:r>
      <w:r w:rsidRPr="005037D7">
        <w:rPr>
          <w:rStyle w:val="SourceChar"/>
        </w:rPr>
        <w:t>Finance</w:t>
      </w:r>
      <w:r w:rsidRPr="004B7BF5">
        <w:t xml:space="preserve"> Program Attribution and Cost Effectiveness Study Evaluation Plan.</w:t>
      </w:r>
    </w:p>
    <w:p w14:paraId="75A15DA1" w14:textId="77777777" w:rsidR="007370A3" w:rsidRDefault="007370A3" w:rsidP="007370A3">
      <w:pPr>
        <w:pStyle w:val="Heading4b"/>
      </w:pPr>
      <w:r w:rsidRPr="004B7BF5">
        <w:t xml:space="preserve">Interest </w:t>
      </w:r>
      <w:r>
        <w:t>r</w:t>
      </w:r>
      <w:r w:rsidRPr="004B7BF5">
        <w:t>ate</w:t>
      </w:r>
    </w:p>
    <w:p w14:paraId="4A91DC81" w14:textId="77777777" w:rsidR="007370A3" w:rsidRPr="004B7BF5" w:rsidRDefault="007370A3" w:rsidP="007370A3">
      <w:pPr>
        <w:pStyle w:val="ListParagraph"/>
        <w:autoSpaceDE w:val="0"/>
        <w:autoSpaceDN w:val="0"/>
        <w:adjustRightInd w:val="0"/>
        <w:spacing w:line="240" w:lineRule="auto"/>
        <w:rPr>
          <w:rFonts w:cs="Arial"/>
          <w:bCs/>
          <w:szCs w:val="20"/>
        </w:rPr>
      </w:pPr>
      <w:r w:rsidRPr="004B7BF5">
        <w:rPr>
          <w:rFonts w:cs="Arial"/>
          <w:bCs/>
          <w:szCs w:val="20"/>
        </w:rPr>
        <w:t>The interest rate is the percentage of the principal that a lender charges to a borrower for taking out a loan.</w:t>
      </w:r>
      <w:r>
        <w:rPr>
          <w:rFonts w:cs="Arial"/>
          <w:bCs/>
          <w:szCs w:val="20"/>
        </w:rPr>
        <w:t xml:space="preserve"> </w:t>
      </w:r>
      <w:r>
        <w:t xml:space="preserve">Navigant considered the average discount rates of the Regional Financing Programs, and the range of interest rates available to borrowers of the </w:t>
      </w:r>
      <w:r w:rsidRPr="00E841D1">
        <w:t>Residential Energy Efficiency Loan (REEL) Program</w:t>
      </w:r>
      <w:r>
        <w:t>. Based on this information, Navigant assumed an interest rate of 6% for residential energy efficiency loans in the cash flow model.</w:t>
      </w:r>
    </w:p>
    <w:p w14:paraId="58C513CF" w14:textId="77777777" w:rsidR="007370A3" w:rsidRDefault="007370A3" w:rsidP="007370A3">
      <w:pPr>
        <w:pStyle w:val="Heading4b"/>
      </w:pPr>
      <w:r>
        <w:t xml:space="preserve">Loan term </w:t>
      </w:r>
    </w:p>
    <w:p w14:paraId="1B95C8F7" w14:textId="77777777" w:rsidR="007370A3" w:rsidRDefault="007370A3" w:rsidP="007370A3">
      <w:pPr>
        <w:ind w:left="720"/>
      </w:pPr>
      <w:r>
        <w:t>The loan term is the length of time of the loan agreement.  REEL Program loans offer terms up to 15 years</w:t>
      </w:r>
      <w:r>
        <w:rPr>
          <w:rStyle w:val="FootnoteReference"/>
        </w:rPr>
        <w:footnoteReference w:id="93"/>
      </w:r>
      <w:r>
        <w:t xml:space="preserve">. The average term of the Regional Finance Program loans ranges from 9.5 to 15 years. Based on this information, Navigant assumed a loan term of 12 years in the cash flow model. </w:t>
      </w:r>
    </w:p>
    <w:p w14:paraId="5C4B5A42" w14:textId="77777777" w:rsidR="007370A3" w:rsidRPr="004B7BF5" w:rsidRDefault="007370A3" w:rsidP="007370A3">
      <w:pPr>
        <w:pStyle w:val="Heading4b"/>
      </w:pPr>
      <w:r>
        <w:t>Consumer d</w:t>
      </w:r>
      <w:r w:rsidRPr="004B7BF5">
        <w:t>iscount</w:t>
      </w:r>
      <w:r>
        <w:t xml:space="preserve"> r</w:t>
      </w:r>
      <w:r w:rsidRPr="004B7BF5">
        <w:t>ate</w:t>
      </w:r>
    </w:p>
    <w:p w14:paraId="51D28E76" w14:textId="77777777" w:rsidR="007370A3" w:rsidRPr="004B7BF5" w:rsidRDefault="007370A3" w:rsidP="007370A3">
      <w:pPr>
        <w:pStyle w:val="ListParagraph"/>
        <w:autoSpaceDE w:val="0"/>
        <w:autoSpaceDN w:val="0"/>
        <w:adjustRightInd w:val="0"/>
        <w:spacing w:line="240" w:lineRule="auto"/>
        <w:rPr>
          <w:rFonts w:cs="Arial"/>
        </w:rPr>
      </w:pPr>
      <w:r w:rsidRPr="004B7BF5">
        <w:rPr>
          <w:rFonts w:cs="Arial"/>
          <w:bCs/>
          <w:szCs w:val="20"/>
        </w:rPr>
        <w:t xml:space="preserve">The discount rate is the rate by which future cash flows are discounted to determine the present value of the payment stream. Using a consumer discount rate allows multiple payment streams to be compared in the same timeframe. A low discount rate indicates that the value of future cash flows is low compared to the value now. We use the real discount rate, instead of the nominal discount rate, to eliminate the effect of inflation. </w:t>
      </w:r>
    </w:p>
    <w:p w14:paraId="15B021B5" w14:textId="77777777" w:rsidR="007370A3" w:rsidRPr="004B7BF5" w:rsidRDefault="007370A3" w:rsidP="007370A3">
      <w:pPr>
        <w:pStyle w:val="ListParagraph"/>
        <w:autoSpaceDE w:val="0"/>
        <w:autoSpaceDN w:val="0"/>
        <w:adjustRightInd w:val="0"/>
        <w:spacing w:line="240" w:lineRule="auto"/>
        <w:rPr>
          <w:rFonts w:cs="Arial"/>
        </w:rPr>
      </w:pPr>
      <w:r w:rsidRPr="004B7BF5">
        <w:rPr>
          <w:rFonts w:cs="Arial"/>
          <w:bCs/>
          <w:szCs w:val="20"/>
        </w:rPr>
        <w:t>Estimating the discount rate for residential customers is not straightforward, and may vary by demographic factors such as credit score, income, race, and household size. The Office of Management and Budget (OMB) has prescribed a discount rate of seven percent for benefit-cost analysis, and the U.S. Department of Energy (DOE) uses 3 percent and 7 percent in the analyses for residential appliance standards.</w:t>
      </w:r>
      <w:r w:rsidRPr="004B7BF5">
        <w:rPr>
          <w:rStyle w:val="FootnoteReference"/>
          <w:rFonts w:cs="Arial"/>
          <w:bCs/>
          <w:szCs w:val="20"/>
        </w:rPr>
        <w:footnoteReference w:id="94"/>
      </w:r>
      <w:r w:rsidRPr="004B7BF5">
        <w:rPr>
          <w:rFonts w:cs="Arial"/>
          <w:bCs/>
          <w:szCs w:val="20"/>
        </w:rPr>
        <w:t xml:space="preserve"> Other government organizes use discount rates in this range. For example, the Northwest Power and Conservation Council which used 3% in the Seventh Power and Conservation Plan, and a lighting study by the DOE calculated a consumer discount rate of 5.6%.</w:t>
      </w:r>
    </w:p>
    <w:p w14:paraId="2109D241" w14:textId="77777777" w:rsidR="007370A3" w:rsidRPr="004B7BF5" w:rsidRDefault="007370A3" w:rsidP="007370A3">
      <w:pPr>
        <w:pStyle w:val="ListParagraph"/>
        <w:autoSpaceDE w:val="0"/>
        <w:autoSpaceDN w:val="0"/>
        <w:adjustRightInd w:val="0"/>
        <w:spacing w:line="240" w:lineRule="auto"/>
        <w:rPr>
          <w:rFonts w:cs="Arial"/>
          <w:bCs/>
          <w:szCs w:val="20"/>
        </w:rPr>
      </w:pPr>
      <w:r w:rsidRPr="004B7BF5">
        <w:rPr>
          <w:rFonts w:cs="Arial"/>
          <w:bCs/>
          <w:szCs w:val="20"/>
        </w:rPr>
        <w:t xml:space="preserve">However, the estimated discount rate for residential customers </w:t>
      </w:r>
      <w:r>
        <w:rPr>
          <w:rFonts w:cs="Arial"/>
          <w:bCs/>
          <w:szCs w:val="20"/>
        </w:rPr>
        <w:t>may be</w:t>
      </w:r>
      <w:r w:rsidRPr="004B7BF5">
        <w:rPr>
          <w:rFonts w:cs="Arial"/>
          <w:bCs/>
          <w:szCs w:val="20"/>
        </w:rPr>
        <w:t xml:space="preserve"> much higher than the range of 3-7% used in regulatory analysis. For example, one study looked at the observed discount rates for individuals and their preferences for energy efficiency and found that “a simple </w:t>
      </w:r>
      <w:r w:rsidRPr="004B7BF5">
        <w:rPr>
          <w:rFonts w:cs="Arial"/>
          <w:bCs/>
          <w:szCs w:val="20"/>
        </w:rPr>
        <w:lastRenderedPageBreak/>
        <w:t>fact emerges that in making decisions which involve discounting over time, individuals behave in a manner which implies a much higher discount rate than can be explained in terms of the opportunity costs of funds available in credit markets”.</w:t>
      </w:r>
      <w:r w:rsidRPr="004B7BF5">
        <w:rPr>
          <w:rStyle w:val="FootnoteReference"/>
          <w:rFonts w:cs="Arial"/>
          <w:bCs/>
          <w:szCs w:val="20"/>
        </w:rPr>
        <w:footnoteReference w:id="95"/>
      </w:r>
      <w:r>
        <w:rPr>
          <w:rFonts w:cs="Arial"/>
          <w:bCs/>
          <w:szCs w:val="20"/>
        </w:rPr>
        <w:t xml:space="preserve"> Based on these considerations, Navigant used a consumer discount rate of seven percent for the financing model. </w:t>
      </w:r>
    </w:p>
    <w:p w14:paraId="10D3D59E" w14:textId="77777777" w:rsidR="007370A3" w:rsidRDefault="007370A3" w:rsidP="007370A3">
      <w:pPr>
        <w:pStyle w:val="Heading4b"/>
      </w:pPr>
      <w:r w:rsidRPr="004B7BF5">
        <w:t xml:space="preserve">Eligible population </w:t>
      </w:r>
    </w:p>
    <w:p w14:paraId="29B6C53F" w14:textId="77777777" w:rsidR="007370A3" w:rsidRDefault="007370A3" w:rsidP="007370A3">
      <w:pPr>
        <w:pStyle w:val="ListParagraph"/>
        <w:autoSpaceDE w:val="0"/>
        <w:autoSpaceDN w:val="0"/>
        <w:adjustRightInd w:val="0"/>
        <w:spacing w:line="240" w:lineRule="auto"/>
      </w:pPr>
      <w:r w:rsidRPr="004B7BF5">
        <w:rPr>
          <w:rFonts w:cs="Arial"/>
          <w:bCs/>
          <w:szCs w:val="20"/>
        </w:rPr>
        <w:t xml:space="preserve">Navigant </w:t>
      </w:r>
      <w:r>
        <w:rPr>
          <w:rFonts w:cs="Arial"/>
          <w:bCs/>
          <w:szCs w:val="20"/>
        </w:rPr>
        <w:t>updated the</w:t>
      </w:r>
      <w:r w:rsidRPr="004B7BF5">
        <w:rPr>
          <w:rFonts w:cs="Arial"/>
          <w:bCs/>
          <w:szCs w:val="20"/>
        </w:rPr>
        <w:t xml:space="preserve"> residential population eligibility in</w:t>
      </w:r>
      <w:r>
        <w:t xml:space="preserve"> the 2015 Potential and Goals Study using </w:t>
      </w:r>
      <w:r w:rsidRPr="00CA6B64">
        <w:t>Experian Consumer Credit data</w:t>
      </w:r>
      <w:r>
        <w:t>,</w:t>
      </w:r>
      <w:r w:rsidRPr="00CA6B64">
        <w:t xml:space="preserve"> accessed in November 2014</w:t>
      </w:r>
      <w:r>
        <w:t xml:space="preserve">. The 2015 Study </w:t>
      </w:r>
      <w:r w:rsidRPr="00CA6B64">
        <w:t xml:space="preserve">identified the residential population eligibility </w:t>
      </w:r>
      <w:r>
        <w:t>at</w:t>
      </w:r>
      <w:r w:rsidRPr="00CA6B64">
        <w:t xml:space="preserve"> 98%. </w:t>
      </w:r>
      <w:r>
        <w:t xml:space="preserve">Like the 2015 Potential Study, Navigant assumes that residential customers with FICO credit scores above 580 are eligible for financing, and that 98% of single family customers are eligible for financing. The credit requirement aligns with the REEL program, which requires a minimum FICO score of 580 with income verification, and a FICO score of 640 without income verification. </w:t>
      </w:r>
    </w:p>
    <w:p w14:paraId="63B9DA3A" w14:textId="77777777" w:rsidR="007370A3" w:rsidRDefault="007370A3" w:rsidP="007370A3">
      <w:pPr>
        <w:pStyle w:val="ListParagraph"/>
        <w:autoSpaceDE w:val="0"/>
        <w:autoSpaceDN w:val="0"/>
        <w:adjustRightInd w:val="0"/>
        <w:spacing w:line="240" w:lineRule="auto"/>
        <w:rPr>
          <w:rFonts w:cs="Arial"/>
          <w:bCs/>
          <w:szCs w:val="20"/>
        </w:rPr>
      </w:pPr>
      <w:r>
        <w:rPr>
          <w:rFonts w:cs="Arial"/>
          <w:bCs/>
          <w:szCs w:val="20"/>
        </w:rPr>
        <w:t>Following the approach to eligibility assumptions for the multi-family sector in the 2013 and 2015 Potential Studies, Navigant estimated multi-family sector eligibility to be 5% based on the proportion of the segment that is affordable housing.</w:t>
      </w:r>
      <w:r>
        <w:rPr>
          <w:rStyle w:val="FootnoteReference"/>
          <w:rFonts w:cs="Arial"/>
          <w:bCs/>
          <w:szCs w:val="20"/>
        </w:rPr>
        <w:footnoteReference w:id="96"/>
      </w:r>
      <w:r>
        <w:rPr>
          <w:rFonts w:cs="Arial"/>
          <w:bCs/>
          <w:szCs w:val="20"/>
        </w:rPr>
        <w:t xml:space="preserve"> </w:t>
      </w:r>
    </w:p>
    <w:p w14:paraId="6BF5C2D4" w14:textId="77777777" w:rsidR="007370A3" w:rsidRDefault="007370A3" w:rsidP="007370A3">
      <w:pPr>
        <w:pStyle w:val="ListParagraph"/>
        <w:autoSpaceDE w:val="0"/>
        <w:autoSpaceDN w:val="0"/>
        <w:adjustRightInd w:val="0"/>
        <w:spacing w:line="240" w:lineRule="auto"/>
        <w:rPr>
          <w:rFonts w:cs="Arial"/>
          <w:bCs/>
          <w:szCs w:val="20"/>
        </w:rPr>
      </w:pPr>
    </w:p>
    <w:p w14:paraId="4E401E19" w14:textId="77777777" w:rsidR="007370A3" w:rsidRDefault="007370A3" w:rsidP="007370A3">
      <w:r>
        <w:t xml:space="preserve">In summary, the Navigant team used the following inputs for the residential cash flow model: </w:t>
      </w:r>
    </w:p>
    <w:p w14:paraId="0CCF9242" w14:textId="77777777" w:rsidR="007370A3" w:rsidRDefault="007370A3" w:rsidP="007370A3">
      <w:pPr>
        <w:rPr>
          <w:highlight w:val="yellow"/>
        </w:rPr>
      </w:pPr>
    </w:p>
    <w:p w14:paraId="122A940B" w14:textId="77777777" w:rsidR="007370A3" w:rsidRDefault="007370A3" w:rsidP="007370A3">
      <w:pPr>
        <w:pStyle w:val="Caption"/>
      </w:pPr>
      <w:bookmarkStart w:id="741" w:name="_Toc482634235"/>
      <w:bookmarkStart w:id="742" w:name="_Toc484436976"/>
      <w:bookmarkStart w:id="743" w:name="_Toc490560689"/>
      <w:r>
        <w:t xml:space="preserve">Table </w:t>
      </w:r>
      <w:fldSimple w:instr=" STYLEREF 1 \s ">
        <w:r w:rsidR="007566B9">
          <w:rPr>
            <w:noProof/>
          </w:rPr>
          <w:t>3</w:t>
        </w:r>
      </w:fldSimple>
      <w:r w:rsidR="00C17D59">
        <w:noBreakHyphen/>
      </w:r>
      <w:fldSimple w:instr=" SEQ Table \* ARABIC \s 1 ">
        <w:r w:rsidR="007566B9">
          <w:rPr>
            <w:noProof/>
          </w:rPr>
          <w:t>31</w:t>
        </w:r>
      </w:fldSimple>
      <w:r>
        <w:t>. Key Inputs to Residential Financing Cash Flow Model</w:t>
      </w:r>
      <w:bookmarkEnd w:id="741"/>
      <w:bookmarkEnd w:id="742"/>
      <w:bookmarkEnd w:id="743"/>
    </w:p>
    <w:tbl>
      <w:tblPr>
        <w:tblStyle w:val="EnergyTable1"/>
        <w:tblW w:w="8090" w:type="dxa"/>
        <w:tblLook w:val="04A0" w:firstRow="1" w:lastRow="0" w:firstColumn="1" w:lastColumn="0" w:noHBand="0" w:noVBand="1"/>
      </w:tblPr>
      <w:tblGrid>
        <w:gridCol w:w="2619"/>
        <w:gridCol w:w="3072"/>
        <w:gridCol w:w="2399"/>
      </w:tblGrid>
      <w:tr w:rsidR="007370A3" w:rsidRPr="005037D7" w14:paraId="4221335A" w14:textId="77777777" w:rsidTr="00AF21BE">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0" w:type="dxa"/>
            <w:noWrap/>
            <w:hideMark/>
          </w:tcPr>
          <w:p w14:paraId="067E27F7" w14:textId="77777777" w:rsidR="007370A3" w:rsidRPr="005037D7" w:rsidRDefault="007370A3" w:rsidP="007370A3">
            <w:pPr>
              <w:keepNext/>
              <w:spacing w:line="240" w:lineRule="auto"/>
              <w:rPr>
                <w:rFonts w:ascii="Arial Narrow" w:hAnsi="Arial Narrow" w:cs="Arial"/>
                <w:bCs/>
                <w:color w:val="FFFFFF" w:themeColor="background1"/>
                <w:szCs w:val="20"/>
              </w:rPr>
            </w:pPr>
            <w:r w:rsidRPr="005037D7">
              <w:rPr>
                <w:rFonts w:ascii="Arial Narrow" w:hAnsi="Arial Narrow" w:cs="Arial"/>
                <w:bCs/>
                <w:color w:val="FFFFFF" w:themeColor="background1"/>
                <w:szCs w:val="20"/>
              </w:rPr>
              <w:t>Model Input</w:t>
            </w:r>
          </w:p>
        </w:tc>
        <w:tc>
          <w:tcPr>
            <w:tcW w:w="0" w:type="dxa"/>
            <w:noWrap/>
            <w:hideMark/>
          </w:tcPr>
          <w:p w14:paraId="30CFEA86" w14:textId="77777777" w:rsidR="007370A3" w:rsidRPr="005037D7" w:rsidRDefault="007370A3" w:rsidP="007370A3">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 xml:space="preserve">Assumption </w:t>
            </w:r>
          </w:p>
        </w:tc>
        <w:tc>
          <w:tcPr>
            <w:tcW w:w="0" w:type="dxa"/>
            <w:noWrap/>
            <w:hideMark/>
          </w:tcPr>
          <w:p w14:paraId="3364EE92" w14:textId="77777777" w:rsidR="007370A3" w:rsidRPr="005037D7" w:rsidRDefault="007370A3" w:rsidP="007370A3">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Source</w:t>
            </w:r>
          </w:p>
        </w:tc>
      </w:tr>
      <w:tr w:rsidR="007370A3" w:rsidRPr="005037D7" w14:paraId="77738090" w14:textId="77777777" w:rsidTr="00AF21BE">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0" w:type="dxa"/>
            <w:noWrap/>
            <w:hideMark/>
          </w:tcPr>
          <w:p w14:paraId="0EBBD525" w14:textId="77777777" w:rsidR="007370A3" w:rsidRPr="005037D7" w:rsidRDefault="007370A3" w:rsidP="007370A3">
            <w:pPr>
              <w:keepNext/>
              <w:spacing w:line="240" w:lineRule="auto"/>
              <w:rPr>
                <w:rFonts w:ascii="Arial Narrow" w:hAnsi="Arial Narrow" w:cs="Calibri"/>
                <w:color w:val="000000"/>
                <w:szCs w:val="20"/>
              </w:rPr>
            </w:pPr>
            <w:r w:rsidRPr="005037D7">
              <w:rPr>
                <w:rFonts w:ascii="Arial Narrow" w:hAnsi="Arial Narrow" w:cs="Calibri"/>
                <w:color w:val="000000"/>
                <w:szCs w:val="20"/>
              </w:rPr>
              <w:t>Interest Rate</w:t>
            </w:r>
          </w:p>
        </w:tc>
        <w:tc>
          <w:tcPr>
            <w:tcW w:w="0" w:type="dxa"/>
            <w:noWrap/>
            <w:hideMark/>
          </w:tcPr>
          <w:p w14:paraId="56ECB0ED" w14:textId="77777777" w:rsidR="007370A3" w:rsidRPr="005037D7" w:rsidRDefault="007370A3" w:rsidP="007370A3">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6%</w:t>
            </w:r>
          </w:p>
        </w:tc>
        <w:tc>
          <w:tcPr>
            <w:tcW w:w="0" w:type="dxa"/>
            <w:hideMark/>
          </w:tcPr>
          <w:p w14:paraId="514C4EAF" w14:textId="77777777" w:rsidR="007370A3" w:rsidRPr="005037D7" w:rsidRDefault="007370A3" w:rsidP="007370A3">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Navigant analysis of California IOU financing programs data</w:t>
            </w:r>
            <w:r w:rsidRPr="005037D7">
              <w:rPr>
                <w:rFonts w:ascii="Arial Narrow" w:hAnsi="Arial Narrow" w:cs="Calibri"/>
                <w:color w:val="000000"/>
                <w:szCs w:val="20"/>
                <w:vertAlign w:val="superscript"/>
              </w:rPr>
              <w:t>1</w:t>
            </w:r>
          </w:p>
        </w:tc>
      </w:tr>
      <w:tr w:rsidR="007370A3" w:rsidRPr="005037D7" w14:paraId="55A16325" w14:textId="77777777" w:rsidTr="00AF21BE">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0" w:type="dxa"/>
            <w:noWrap/>
            <w:hideMark/>
          </w:tcPr>
          <w:p w14:paraId="25181138" w14:textId="77777777" w:rsidR="007370A3" w:rsidRPr="005037D7" w:rsidRDefault="007370A3" w:rsidP="007370A3">
            <w:pPr>
              <w:keepNext/>
              <w:spacing w:line="240" w:lineRule="auto"/>
              <w:rPr>
                <w:rFonts w:ascii="Arial Narrow" w:hAnsi="Arial Narrow" w:cs="Calibri"/>
                <w:color w:val="000000"/>
                <w:szCs w:val="20"/>
              </w:rPr>
            </w:pPr>
            <w:r w:rsidRPr="005037D7">
              <w:rPr>
                <w:rFonts w:ascii="Arial Narrow" w:hAnsi="Arial Narrow" w:cs="Calibri"/>
                <w:color w:val="000000"/>
                <w:szCs w:val="20"/>
              </w:rPr>
              <w:t>Loan Term</w:t>
            </w:r>
          </w:p>
        </w:tc>
        <w:tc>
          <w:tcPr>
            <w:tcW w:w="0" w:type="dxa"/>
            <w:noWrap/>
            <w:hideMark/>
          </w:tcPr>
          <w:p w14:paraId="27596364" w14:textId="77777777" w:rsidR="007370A3" w:rsidRPr="005037D7" w:rsidRDefault="007370A3" w:rsidP="007370A3">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12 years</w:t>
            </w:r>
          </w:p>
        </w:tc>
        <w:tc>
          <w:tcPr>
            <w:tcW w:w="0" w:type="dxa"/>
            <w:hideMark/>
          </w:tcPr>
          <w:p w14:paraId="2B46C933" w14:textId="77777777" w:rsidR="007370A3" w:rsidRPr="005037D7" w:rsidRDefault="007370A3" w:rsidP="007370A3">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Navigant analysis of California IOU financing programs data</w:t>
            </w:r>
            <w:r w:rsidRPr="005037D7">
              <w:rPr>
                <w:rFonts w:ascii="Arial Narrow" w:hAnsi="Arial Narrow" w:cs="Calibri"/>
                <w:color w:val="000000"/>
                <w:szCs w:val="20"/>
                <w:vertAlign w:val="superscript"/>
              </w:rPr>
              <w:t>1</w:t>
            </w:r>
          </w:p>
        </w:tc>
      </w:tr>
      <w:tr w:rsidR="007370A3" w:rsidRPr="005037D7" w14:paraId="4DA19FEC" w14:textId="77777777" w:rsidTr="00AF21B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2B65766F" w14:textId="77777777" w:rsidR="007370A3" w:rsidRPr="005037D7" w:rsidRDefault="007370A3" w:rsidP="007370A3">
            <w:pPr>
              <w:keepNext/>
              <w:spacing w:line="240" w:lineRule="auto"/>
              <w:rPr>
                <w:rFonts w:ascii="Arial Narrow" w:hAnsi="Arial Narrow" w:cs="Calibri"/>
                <w:color w:val="000000"/>
                <w:szCs w:val="20"/>
              </w:rPr>
            </w:pPr>
            <w:r w:rsidRPr="005037D7">
              <w:rPr>
                <w:rFonts w:ascii="Arial Narrow" w:hAnsi="Arial Narrow" w:cs="Calibri"/>
                <w:color w:val="000000"/>
                <w:szCs w:val="20"/>
              </w:rPr>
              <w:t>Discount Rate</w:t>
            </w:r>
          </w:p>
        </w:tc>
        <w:tc>
          <w:tcPr>
            <w:tcW w:w="0" w:type="dxa"/>
            <w:noWrap/>
            <w:hideMark/>
          </w:tcPr>
          <w:p w14:paraId="6E7D3AB1" w14:textId="77777777" w:rsidR="007370A3" w:rsidRPr="005037D7" w:rsidRDefault="007370A3" w:rsidP="007370A3">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7%</w:t>
            </w:r>
          </w:p>
        </w:tc>
        <w:tc>
          <w:tcPr>
            <w:tcW w:w="0" w:type="dxa"/>
            <w:hideMark/>
          </w:tcPr>
          <w:p w14:paraId="5541853F" w14:textId="77777777" w:rsidR="007370A3" w:rsidRPr="005037D7" w:rsidRDefault="007370A3" w:rsidP="007370A3">
            <w:pPr>
              <w:keepNext/>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OMB Circular No. A-94</w:t>
            </w:r>
          </w:p>
        </w:tc>
      </w:tr>
      <w:tr w:rsidR="007370A3" w:rsidRPr="005037D7" w14:paraId="3E5B6437" w14:textId="77777777" w:rsidTr="00AF21BE">
        <w:trPr>
          <w:cnfStyle w:val="000000010000" w:firstRow="0" w:lastRow="0" w:firstColumn="0" w:lastColumn="0" w:oddVBand="0" w:evenVBand="0" w:oddHBand="0" w:evenHBand="1"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0" w:type="dxa"/>
            <w:noWrap/>
            <w:hideMark/>
          </w:tcPr>
          <w:p w14:paraId="4C80F900" w14:textId="77777777" w:rsidR="007370A3" w:rsidRPr="005037D7" w:rsidRDefault="007370A3" w:rsidP="007370A3">
            <w:pPr>
              <w:keepNext/>
              <w:spacing w:line="240" w:lineRule="auto"/>
              <w:rPr>
                <w:rFonts w:ascii="Arial Narrow" w:hAnsi="Arial Narrow" w:cs="Calibri"/>
                <w:color w:val="000000"/>
                <w:szCs w:val="20"/>
              </w:rPr>
            </w:pPr>
            <w:r w:rsidRPr="005037D7">
              <w:rPr>
                <w:rFonts w:ascii="Arial Narrow" w:hAnsi="Arial Narrow" w:cs="Calibri"/>
                <w:color w:val="000000"/>
                <w:szCs w:val="20"/>
              </w:rPr>
              <w:t>Eligible Population</w:t>
            </w:r>
          </w:p>
        </w:tc>
        <w:tc>
          <w:tcPr>
            <w:tcW w:w="0" w:type="dxa"/>
            <w:hideMark/>
          </w:tcPr>
          <w:p w14:paraId="0ADD4DCB" w14:textId="77777777" w:rsidR="007370A3" w:rsidRPr="005037D7" w:rsidRDefault="007370A3" w:rsidP="007370A3">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98% of single family customers</w:t>
            </w:r>
            <w:r w:rsidRPr="005037D7">
              <w:rPr>
                <w:rFonts w:ascii="Arial Narrow" w:hAnsi="Arial Narrow" w:cs="Calibri"/>
                <w:color w:val="000000"/>
                <w:szCs w:val="20"/>
              </w:rPr>
              <w:br/>
              <w:t>5% of multifamily customers</w:t>
            </w:r>
          </w:p>
        </w:tc>
        <w:tc>
          <w:tcPr>
            <w:tcW w:w="0" w:type="dxa"/>
            <w:hideMark/>
          </w:tcPr>
          <w:p w14:paraId="66FE2196" w14:textId="77777777" w:rsidR="007370A3" w:rsidRPr="005037D7" w:rsidRDefault="007370A3" w:rsidP="007370A3">
            <w:pPr>
              <w:keepNext/>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2015 California Potential and Goals Study</w:t>
            </w:r>
          </w:p>
        </w:tc>
      </w:tr>
    </w:tbl>
    <w:p w14:paraId="53205AF6" w14:textId="77777777" w:rsidR="007370A3" w:rsidRDefault="007370A3" w:rsidP="005037D7">
      <w:pPr>
        <w:pStyle w:val="Source"/>
        <w:jc w:val="center"/>
      </w:pPr>
      <w:r>
        <w:t xml:space="preserve">Navigant analysis of the </w:t>
      </w:r>
      <w:r w:rsidRPr="004B7BF5">
        <w:t>Regional Finance Program Attribution and Cost-effectiveness Study: Evaluation Plan</w:t>
      </w:r>
    </w:p>
    <w:p w14:paraId="1B4E6610" w14:textId="77777777" w:rsidR="007370A3" w:rsidRPr="005037D7" w:rsidRDefault="007370A3" w:rsidP="005037D7">
      <w:pPr>
        <w:pStyle w:val="Heading3"/>
      </w:pPr>
      <w:bookmarkStart w:id="744" w:name="_Toc482357328"/>
      <w:bookmarkStart w:id="745" w:name="_Toc482634303"/>
      <w:bookmarkStart w:id="746" w:name="_Toc482626435"/>
      <w:bookmarkStart w:id="747" w:name="_Toc484092507"/>
      <w:bookmarkStart w:id="748" w:name="_Toc484172713"/>
      <w:bookmarkStart w:id="749" w:name="_Toc484183049"/>
      <w:bookmarkStart w:id="750" w:name="_Toc490225812"/>
      <w:r w:rsidRPr="005037D7">
        <w:t>Commercial Inputs</w:t>
      </w:r>
      <w:bookmarkEnd w:id="744"/>
      <w:bookmarkEnd w:id="745"/>
      <w:bookmarkEnd w:id="746"/>
      <w:bookmarkEnd w:id="747"/>
      <w:bookmarkEnd w:id="748"/>
      <w:bookmarkEnd w:id="749"/>
      <w:bookmarkEnd w:id="750"/>
    </w:p>
    <w:p w14:paraId="29AE2D5C" w14:textId="77777777" w:rsidR="007370A3" w:rsidRPr="004B7BF5" w:rsidRDefault="007370A3" w:rsidP="007370A3">
      <w:pPr>
        <w:pStyle w:val="Heading4b"/>
      </w:pPr>
      <w:r w:rsidRPr="004B7BF5">
        <w:t>Interest rate</w:t>
      </w:r>
    </w:p>
    <w:p w14:paraId="1A0EE915" w14:textId="77777777" w:rsidR="007370A3" w:rsidRPr="004B7BF5" w:rsidRDefault="007370A3" w:rsidP="007370A3">
      <w:pPr>
        <w:pStyle w:val="ListParagraph"/>
        <w:autoSpaceDE w:val="0"/>
        <w:autoSpaceDN w:val="0"/>
        <w:adjustRightInd w:val="0"/>
        <w:spacing w:line="240" w:lineRule="auto"/>
        <w:rPr>
          <w:rFonts w:cs="Arial"/>
        </w:rPr>
      </w:pPr>
      <w:r w:rsidRPr="004B7BF5">
        <w:rPr>
          <w:rFonts w:cs="Arial"/>
        </w:rPr>
        <w:t>Non-residential customers can access zero-percent financing through the statewide OBF program</w:t>
      </w:r>
      <w:r>
        <w:rPr>
          <w:rFonts w:cs="Arial"/>
        </w:rPr>
        <w:t>.</w:t>
      </w:r>
      <w:r w:rsidRPr="004B7BF5">
        <w:rPr>
          <w:rFonts w:cs="Arial"/>
        </w:rPr>
        <w:t xml:space="preserve"> The projects are designed to be bill neutral, such that the monthly payment is less than </w:t>
      </w:r>
      <w:r w:rsidRPr="004B7BF5">
        <w:rPr>
          <w:rFonts w:cs="Arial"/>
        </w:rPr>
        <w:lastRenderedPageBreak/>
        <w:t>the projected energy savings.</w:t>
      </w:r>
      <w:r w:rsidRPr="004B7BF5">
        <w:rPr>
          <w:rStyle w:val="FootnoteReference"/>
          <w:rFonts w:cs="Arial"/>
        </w:rPr>
        <w:footnoteReference w:id="97"/>
      </w:r>
      <w:r>
        <w:rPr>
          <w:rFonts w:cs="Arial"/>
        </w:rPr>
        <w:t xml:space="preserve"> Based on these guidelines, Navigant assumed an interest rate of 0% in the cash flow model for OBF loans for the commercial and industrial sector.</w:t>
      </w:r>
    </w:p>
    <w:p w14:paraId="4910891E" w14:textId="77777777" w:rsidR="007370A3" w:rsidRDefault="005037D7" w:rsidP="007370A3">
      <w:pPr>
        <w:pStyle w:val="Heading4b"/>
      </w:pPr>
      <w:r>
        <w:t>Loan t</w:t>
      </w:r>
      <w:r w:rsidR="007370A3">
        <w:t>erm</w:t>
      </w:r>
    </w:p>
    <w:p w14:paraId="1A693079" w14:textId="77777777" w:rsidR="007370A3" w:rsidRPr="004B7BF5" w:rsidRDefault="007370A3" w:rsidP="007370A3">
      <w:pPr>
        <w:pStyle w:val="ListParagraph"/>
        <w:autoSpaceDE w:val="0"/>
        <w:autoSpaceDN w:val="0"/>
        <w:adjustRightInd w:val="0"/>
        <w:spacing w:line="240" w:lineRule="auto"/>
        <w:rPr>
          <w:rFonts w:cs="Arial"/>
        </w:rPr>
      </w:pPr>
      <w:r w:rsidRPr="004B7BF5">
        <w:rPr>
          <w:rFonts w:cs="Arial"/>
        </w:rPr>
        <w:t>The OBF program offers zero-percent financing for loans up to five years for the small and large commercial sector, and up to ten years for the government sector.</w:t>
      </w:r>
      <w:r w:rsidR="00D579B9">
        <w:rPr>
          <w:rFonts w:cs="Arial"/>
        </w:rPr>
        <w:t xml:space="preserve"> Given that our model doesn’t distinguish between the commercial and government sector, we apply a single assumption for the commercial sector. </w:t>
      </w:r>
    </w:p>
    <w:p w14:paraId="50754D00" w14:textId="77777777" w:rsidR="007370A3" w:rsidRPr="004B7BF5" w:rsidRDefault="007370A3" w:rsidP="007370A3">
      <w:pPr>
        <w:pStyle w:val="Heading4b"/>
      </w:pPr>
      <w:r>
        <w:t xml:space="preserve">Consumer </w:t>
      </w:r>
      <w:r w:rsidR="005037D7">
        <w:t>d</w:t>
      </w:r>
      <w:r w:rsidRPr="004B7BF5">
        <w:t xml:space="preserve">iscount </w:t>
      </w:r>
      <w:r w:rsidR="005037D7">
        <w:t>r</w:t>
      </w:r>
      <w:r w:rsidRPr="004B7BF5">
        <w:t>ate</w:t>
      </w:r>
    </w:p>
    <w:p w14:paraId="3F17D7EF" w14:textId="77777777" w:rsidR="007370A3" w:rsidRPr="00947B1F" w:rsidRDefault="007370A3" w:rsidP="007370A3">
      <w:pPr>
        <w:pStyle w:val="ListParagraph"/>
        <w:autoSpaceDE w:val="0"/>
        <w:autoSpaceDN w:val="0"/>
        <w:adjustRightInd w:val="0"/>
        <w:spacing w:line="240" w:lineRule="auto"/>
        <w:rPr>
          <w:rFonts w:cs="Arial"/>
        </w:rPr>
      </w:pPr>
      <w:r w:rsidRPr="004B7BF5">
        <w:rPr>
          <w:rFonts w:cs="Arial"/>
          <w:bCs/>
          <w:szCs w:val="20"/>
        </w:rPr>
        <w:t>For non-residential customers, the discount rate is the weighted average cost of capital for companies (WACC) who use both debt and equity to fund their investments.</w:t>
      </w:r>
    </w:p>
    <w:p w14:paraId="10C3CAFD" w14:textId="77777777" w:rsidR="001A44C5" w:rsidRDefault="001A44C5" w:rsidP="001A44C5"/>
    <w:p w14:paraId="424EF33F" w14:textId="77777777" w:rsidR="00947B1F" w:rsidRDefault="007370A3" w:rsidP="00947B1F">
      <w:r>
        <w:t>In summary, t</w:t>
      </w:r>
      <w:r w:rsidR="00947B1F">
        <w:t xml:space="preserve">he Navigant team used the following inputs for the commercial and industrial cash flow model: </w:t>
      </w:r>
    </w:p>
    <w:p w14:paraId="69D69F96" w14:textId="77777777" w:rsidR="00947B1F" w:rsidRDefault="00947B1F" w:rsidP="00947B1F">
      <w:pPr>
        <w:rPr>
          <w:highlight w:val="yellow"/>
        </w:rPr>
      </w:pPr>
    </w:p>
    <w:p w14:paraId="69B52651" w14:textId="77777777" w:rsidR="00947B1F" w:rsidRDefault="00947B1F" w:rsidP="00947B1F">
      <w:pPr>
        <w:pStyle w:val="Caption"/>
      </w:pPr>
      <w:bookmarkStart w:id="751" w:name="_Toc482634236"/>
      <w:bookmarkStart w:id="752" w:name="_Toc484436977"/>
      <w:bookmarkStart w:id="753" w:name="_Toc490560690"/>
      <w:r>
        <w:t xml:space="preserve">Table </w:t>
      </w:r>
      <w:fldSimple w:instr=" STYLEREF 1 \s ">
        <w:r w:rsidR="007566B9">
          <w:rPr>
            <w:noProof/>
          </w:rPr>
          <w:t>3</w:t>
        </w:r>
      </w:fldSimple>
      <w:r w:rsidR="00C17D59">
        <w:noBreakHyphen/>
      </w:r>
      <w:fldSimple w:instr=" SEQ Table \* ARABIC \s 1 ">
        <w:r w:rsidR="007566B9">
          <w:rPr>
            <w:noProof/>
          </w:rPr>
          <w:t>32</w:t>
        </w:r>
      </w:fldSimple>
      <w:r>
        <w:t>. Key Inputs to Commercial and Industrial (C&amp;I) Financing Cash Flow Model</w:t>
      </w:r>
      <w:bookmarkEnd w:id="751"/>
      <w:bookmarkEnd w:id="752"/>
      <w:bookmarkEnd w:id="753"/>
    </w:p>
    <w:tbl>
      <w:tblPr>
        <w:tblStyle w:val="EnergyTable1"/>
        <w:tblW w:w="7650" w:type="dxa"/>
        <w:tblLook w:val="04A0" w:firstRow="1" w:lastRow="0" w:firstColumn="1" w:lastColumn="0" w:noHBand="0" w:noVBand="1"/>
      </w:tblPr>
      <w:tblGrid>
        <w:gridCol w:w="2255"/>
        <w:gridCol w:w="1975"/>
        <w:gridCol w:w="3420"/>
      </w:tblGrid>
      <w:tr w:rsidR="00947B1F" w:rsidRPr="005037D7" w14:paraId="0457CFE5" w14:textId="77777777" w:rsidTr="00907914">
        <w:trPr>
          <w:cnfStyle w:val="100000000000" w:firstRow="1" w:lastRow="0" w:firstColumn="0" w:lastColumn="0" w:oddVBand="0" w:evenVBand="0" w:oddHBand="0"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2255" w:type="dxa"/>
            <w:noWrap/>
            <w:hideMark/>
          </w:tcPr>
          <w:p w14:paraId="658BCFAF" w14:textId="77777777" w:rsidR="00947B1F" w:rsidRPr="005037D7" w:rsidRDefault="00947B1F" w:rsidP="00D22139">
            <w:pPr>
              <w:spacing w:line="240" w:lineRule="auto"/>
              <w:rPr>
                <w:rFonts w:ascii="Arial Narrow" w:hAnsi="Arial Narrow" w:cs="Arial"/>
                <w:bCs/>
                <w:color w:val="FFFFFF" w:themeColor="background1"/>
                <w:szCs w:val="20"/>
              </w:rPr>
            </w:pPr>
            <w:r w:rsidRPr="005037D7">
              <w:rPr>
                <w:rFonts w:ascii="Arial Narrow" w:hAnsi="Arial Narrow" w:cs="Arial"/>
                <w:bCs/>
                <w:color w:val="FFFFFF" w:themeColor="background1"/>
                <w:szCs w:val="20"/>
              </w:rPr>
              <w:t>Model Input</w:t>
            </w:r>
          </w:p>
        </w:tc>
        <w:tc>
          <w:tcPr>
            <w:tcW w:w="1975" w:type="dxa"/>
            <w:noWrap/>
            <w:hideMark/>
          </w:tcPr>
          <w:p w14:paraId="3FAB59BF" w14:textId="77777777" w:rsidR="00947B1F" w:rsidRPr="005037D7" w:rsidRDefault="00947B1F" w:rsidP="00D22139">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 xml:space="preserve">Assumption </w:t>
            </w:r>
          </w:p>
        </w:tc>
        <w:tc>
          <w:tcPr>
            <w:tcW w:w="3420" w:type="dxa"/>
            <w:noWrap/>
            <w:hideMark/>
          </w:tcPr>
          <w:p w14:paraId="2B9EC0D1" w14:textId="77777777" w:rsidR="00947B1F" w:rsidRPr="005037D7" w:rsidRDefault="00947B1F" w:rsidP="00D22139">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Cs w:val="20"/>
              </w:rPr>
            </w:pPr>
            <w:r w:rsidRPr="005037D7">
              <w:rPr>
                <w:rFonts w:ascii="Arial Narrow" w:hAnsi="Arial Narrow" w:cs="Calibri"/>
                <w:bCs/>
                <w:color w:val="FFFFFF" w:themeColor="background1"/>
                <w:szCs w:val="20"/>
              </w:rPr>
              <w:t>Source</w:t>
            </w:r>
          </w:p>
        </w:tc>
      </w:tr>
      <w:tr w:rsidR="00947B1F" w:rsidRPr="005037D7" w14:paraId="24BEB073" w14:textId="77777777" w:rsidTr="0090791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55" w:type="dxa"/>
            <w:noWrap/>
            <w:hideMark/>
          </w:tcPr>
          <w:p w14:paraId="37CF3FFC" w14:textId="77777777" w:rsidR="00947B1F" w:rsidRPr="005037D7" w:rsidRDefault="00947B1F" w:rsidP="00D22139">
            <w:pPr>
              <w:spacing w:line="240" w:lineRule="auto"/>
              <w:rPr>
                <w:rFonts w:ascii="Arial Narrow" w:hAnsi="Arial Narrow" w:cs="Calibri"/>
                <w:color w:val="000000"/>
                <w:szCs w:val="20"/>
              </w:rPr>
            </w:pPr>
            <w:r w:rsidRPr="005037D7">
              <w:rPr>
                <w:rFonts w:ascii="Arial Narrow" w:hAnsi="Arial Narrow" w:cs="Calibri"/>
                <w:color w:val="000000"/>
                <w:szCs w:val="20"/>
              </w:rPr>
              <w:t>Interest Rate</w:t>
            </w:r>
          </w:p>
        </w:tc>
        <w:tc>
          <w:tcPr>
            <w:tcW w:w="1975" w:type="dxa"/>
            <w:noWrap/>
            <w:hideMark/>
          </w:tcPr>
          <w:p w14:paraId="24D67E71" w14:textId="77777777" w:rsidR="00947B1F" w:rsidRPr="005037D7" w:rsidRDefault="00947B1F" w:rsidP="00D2213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0%</w:t>
            </w:r>
          </w:p>
        </w:tc>
        <w:tc>
          <w:tcPr>
            <w:tcW w:w="3420" w:type="dxa"/>
            <w:hideMark/>
          </w:tcPr>
          <w:p w14:paraId="53BD6B00" w14:textId="77777777" w:rsidR="00947B1F" w:rsidRPr="005037D7" w:rsidRDefault="00947B1F" w:rsidP="00D2213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California on-bill financing (OBF) program terms</w:t>
            </w:r>
          </w:p>
        </w:tc>
      </w:tr>
      <w:tr w:rsidR="00947B1F" w:rsidRPr="005037D7" w14:paraId="24697DE6" w14:textId="77777777" w:rsidTr="0090791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55" w:type="dxa"/>
            <w:noWrap/>
            <w:hideMark/>
          </w:tcPr>
          <w:p w14:paraId="4283F043" w14:textId="77777777" w:rsidR="00947B1F" w:rsidRPr="005037D7" w:rsidRDefault="00947B1F" w:rsidP="00D22139">
            <w:pPr>
              <w:spacing w:line="240" w:lineRule="auto"/>
              <w:rPr>
                <w:rFonts w:ascii="Arial Narrow" w:hAnsi="Arial Narrow" w:cs="Calibri"/>
                <w:color w:val="000000"/>
                <w:szCs w:val="20"/>
              </w:rPr>
            </w:pPr>
            <w:r w:rsidRPr="005037D7">
              <w:rPr>
                <w:rFonts w:ascii="Arial Narrow" w:hAnsi="Arial Narrow" w:cs="Calibri"/>
                <w:color w:val="000000"/>
                <w:szCs w:val="20"/>
              </w:rPr>
              <w:t>Loan Term</w:t>
            </w:r>
          </w:p>
        </w:tc>
        <w:tc>
          <w:tcPr>
            <w:tcW w:w="1975" w:type="dxa"/>
            <w:noWrap/>
            <w:hideMark/>
          </w:tcPr>
          <w:p w14:paraId="5AA514ED" w14:textId="77777777" w:rsidR="00947B1F" w:rsidRPr="005037D7" w:rsidRDefault="002F07D3" w:rsidP="00D22139">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Pr>
                <w:rFonts w:ascii="Arial Narrow" w:hAnsi="Arial Narrow" w:cs="Calibri"/>
                <w:color w:val="000000"/>
                <w:szCs w:val="20"/>
              </w:rPr>
              <w:t>5</w:t>
            </w:r>
            <w:r w:rsidRPr="005037D7">
              <w:rPr>
                <w:rFonts w:ascii="Arial Narrow" w:hAnsi="Arial Narrow" w:cs="Calibri"/>
                <w:color w:val="000000"/>
                <w:szCs w:val="20"/>
              </w:rPr>
              <w:t xml:space="preserve"> </w:t>
            </w:r>
            <w:r w:rsidR="00947B1F" w:rsidRPr="005037D7">
              <w:rPr>
                <w:rFonts w:ascii="Arial Narrow" w:hAnsi="Arial Narrow" w:cs="Calibri"/>
                <w:color w:val="000000"/>
                <w:szCs w:val="20"/>
              </w:rPr>
              <w:t>years</w:t>
            </w:r>
          </w:p>
        </w:tc>
        <w:tc>
          <w:tcPr>
            <w:tcW w:w="3420" w:type="dxa"/>
            <w:hideMark/>
          </w:tcPr>
          <w:p w14:paraId="0A20B918" w14:textId="77777777" w:rsidR="00947B1F" w:rsidRPr="005037D7" w:rsidRDefault="00947B1F" w:rsidP="00D22139">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California on-bill financing (OBF) program terms</w:t>
            </w:r>
          </w:p>
        </w:tc>
      </w:tr>
      <w:tr w:rsidR="00947B1F" w:rsidRPr="005037D7" w14:paraId="190FC228" w14:textId="77777777" w:rsidTr="0090791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255" w:type="dxa"/>
            <w:noWrap/>
            <w:hideMark/>
          </w:tcPr>
          <w:p w14:paraId="7E0FB286" w14:textId="77777777" w:rsidR="00947B1F" w:rsidRPr="005037D7" w:rsidRDefault="00947B1F" w:rsidP="00D22139">
            <w:pPr>
              <w:spacing w:line="240" w:lineRule="auto"/>
              <w:rPr>
                <w:rFonts w:ascii="Arial Narrow" w:hAnsi="Arial Narrow" w:cs="Calibri"/>
                <w:color w:val="000000"/>
                <w:szCs w:val="20"/>
              </w:rPr>
            </w:pPr>
            <w:r w:rsidRPr="005037D7">
              <w:rPr>
                <w:rFonts w:ascii="Arial Narrow" w:hAnsi="Arial Narrow" w:cs="Calibri"/>
                <w:color w:val="000000"/>
                <w:szCs w:val="20"/>
              </w:rPr>
              <w:t>Discount Rate</w:t>
            </w:r>
          </w:p>
        </w:tc>
        <w:tc>
          <w:tcPr>
            <w:tcW w:w="1975" w:type="dxa"/>
            <w:noWrap/>
            <w:hideMark/>
          </w:tcPr>
          <w:p w14:paraId="3B40B3F1" w14:textId="77777777" w:rsidR="00947B1F" w:rsidRPr="005037D7" w:rsidRDefault="00947B1F" w:rsidP="00D2213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5.8%</w:t>
            </w:r>
          </w:p>
        </w:tc>
        <w:tc>
          <w:tcPr>
            <w:tcW w:w="3420" w:type="dxa"/>
            <w:hideMark/>
          </w:tcPr>
          <w:p w14:paraId="3C4408BB" w14:textId="77777777" w:rsidR="00947B1F" w:rsidRPr="005037D7" w:rsidRDefault="00947B1F" w:rsidP="00D2213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sidRPr="005037D7">
              <w:rPr>
                <w:rFonts w:ascii="Arial Narrow" w:hAnsi="Arial Narrow" w:cs="Calibri"/>
                <w:color w:val="000000"/>
                <w:szCs w:val="20"/>
              </w:rPr>
              <w:t xml:space="preserve">2016 LBNL Commercial Discount Rate Estimation for Efficiency Standards </w:t>
            </w:r>
          </w:p>
        </w:tc>
      </w:tr>
    </w:tbl>
    <w:p w14:paraId="0C98324E" w14:textId="77777777" w:rsidR="001A44C5" w:rsidRPr="001A3C04" w:rsidRDefault="007E4D11" w:rsidP="001A44C5">
      <w:pPr>
        <w:pStyle w:val="Heading1"/>
      </w:pPr>
      <w:bookmarkStart w:id="754" w:name="_Toc478990525"/>
      <w:bookmarkStart w:id="755" w:name="_Toc479768603"/>
      <w:bookmarkStart w:id="756" w:name="_Toc482357329"/>
      <w:bookmarkStart w:id="757" w:name="_Toc482634304"/>
      <w:bookmarkStart w:id="758" w:name="_Toc482626436"/>
      <w:bookmarkStart w:id="759" w:name="_Toc484092508"/>
      <w:bookmarkStart w:id="760" w:name="_Toc484172714"/>
      <w:bookmarkStart w:id="761" w:name="_Toc484183050"/>
      <w:bookmarkStart w:id="762" w:name="_Toc490225813"/>
      <w:bookmarkStart w:id="763" w:name="_Ref490226073"/>
      <w:r>
        <w:lastRenderedPageBreak/>
        <w:t xml:space="preserve">2018 Study </w:t>
      </w:r>
      <w:r w:rsidR="001A44C5">
        <w:t>Results</w:t>
      </w:r>
      <w:bookmarkEnd w:id="754"/>
      <w:bookmarkEnd w:id="755"/>
      <w:bookmarkEnd w:id="756"/>
      <w:bookmarkEnd w:id="757"/>
      <w:bookmarkEnd w:id="758"/>
      <w:bookmarkEnd w:id="759"/>
      <w:bookmarkEnd w:id="760"/>
      <w:bookmarkEnd w:id="761"/>
      <w:bookmarkEnd w:id="762"/>
      <w:bookmarkEnd w:id="763"/>
    </w:p>
    <w:p w14:paraId="45CE8F89" w14:textId="77777777" w:rsidR="008453C4" w:rsidRDefault="002422FF" w:rsidP="008453C4">
      <w:pPr>
        <w:pStyle w:val="Heading2"/>
      </w:pPr>
      <w:bookmarkStart w:id="764" w:name="_Toc490225814"/>
      <w:r>
        <w:t>Incentive Program Savings</w:t>
      </w:r>
      <w:bookmarkEnd w:id="764"/>
    </w:p>
    <w:p w14:paraId="20655343" w14:textId="665E1667" w:rsidR="00595F4B" w:rsidRDefault="008453C4" w:rsidP="008453C4">
      <w:pPr>
        <w:jc w:val="both"/>
      </w:pPr>
      <w:bookmarkStart w:id="765" w:name="_Toc484092510"/>
      <w:bookmarkStart w:id="766" w:name="_Toc484172716"/>
      <w:r w:rsidRPr="00CD7CD4">
        <w:t>The following subsections summarize</w:t>
      </w:r>
      <w:r>
        <w:t xml:space="preserve"> sta</w:t>
      </w:r>
      <w:r w:rsidR="00595F4B">
        <w:t xml:space="preserve">tewide market potential results. </w:t>
      </w:r>
      <w:r>
        <w:t xml:space="preserve">These results are for all IOUs combined. The IOU breakdown for these savings can be found in the results viewer that accompanies this report (see section </w:t>
      </w:r>
      <w:r w:rsidR="00595F4B">
        <w:fldChar w:fldCharType="begin"/>
      </w:r>
      <w:r w:rsidR="00595F4B">
        <w:instrText xml:space="preserve"> REF _Ref484547410 \n \h </w:instrText>
      </w:r>
      <w:r w:rsidR="00595F4B">
        <w:fldChar w:fldCharType="separate"/>
      </w:r>
      <w:r w:rsidR="007566B9">
        <w:t>4.3</w:t>
      </w:r>
      <w:r w:rsidR="00595F4B">
        <w:fldChar w:fldCharType="end"/>
      </w:r>
      <w:r w:rsidR="00595F4B">
        <w:t xml:space="preserve"> </w:t>
      </w:r>
      <w:r>
        <w:t xml:space="preserve">for details). </w:t>
      </w:r>
      <w:r w:rsidR="008B6027">
        <w:t>All results are presented as net savings</w:t>
      </w:r>
      <w:r w:rsidR="006B20AE">
        <w:t>; all statewide results are inclusive of interactive effects</w:t>
      </w:r>
      <w:r w:rsidR="008B6027">
        <w:t xml:space="preserve">. </w:t>
      </w:r>
      <w:r>
        <w:t xml:space="preserve">Note that the purpose of this report is to present the findings of our potential study, and not to establish goals as that is under the purview of the CPUC. As such, the scenario comparisons presented in the following subsection are meant to illustrate a range of potential that can </w:t>
      </w:r>
      <w:r w:rsidR="00595F4B">
        <w:t>be achieved based on our study.</w:t>
      </w:r>
    </w:p>
    <w:p w14:paraId="6A37F8AB" w14:textId="77777777" w:rsidR="00595F4B" w:rsidRDefault="00595F4B" w:rsidP="008453C4">
      <w:pPr>
        <w:jc w:val="both"/>
      </w:pPr>
    </w:p>
    <w:p w14:paraId="004BB555" w14:textId="77777777" w:rsidR="00595F4B" w:rsidRPr="00595F4B" w:rsidRDefault="00595F4B" w:rsidP="008453C4">
      <w:pPr>
        <w:jc w:val="both"/>
        <w:rPr>
          <w:highlight w:val="yellow"/>
        </w:rPr>
      </w:pPr>
      <w:r>
        <w:t xml:space="preserve">Graphs in this section focus on electric and gas savings. Peak demand savings are not illustrated though are quantified by the model. </w:t>
      </w:r>
      <w:r w:rsidR="00701124">
        <w:t>Full r</w:t>
      </w:r>
      <w:r>
        <w:t xml:space="preserve">esults </w:t>
      </w:r>
      <w:r w:rsidR="00701124">
        <w:t xml:space="preserve">for all scenarios and all utilities </w:t>
      </w:r>
      <w:r>
        <w:t xml:space="preserve">are </w:t>
      </w:r>
      <w:r w:rsidR="00701124">
        <w:t xml:space="preserve">available in the results viewer (discussed further in section </w:t>
      </w:r>
      <w:r w:rsidR="00701124">
        <w:fldChar w:fldCharType="begin"/>
      </w:r>
      <w:r w:rsidR="00701124">
        <w:instrText xml:space="preserve"> REF _Ref484764555 \n \h </w:instrText>
      </w:r>
      <w:r w:rsidR="00701124">
        <w:fldChar w:fldCharType="separate"/>
      </w:r>
      <w:r w:rsidR="007566B9">
        <w:t>4.3</w:t>
      </w:r>
      <w:r w:rsidR="00701124">
        <w:fldChar w:fldCharType="end"/>
      </w:r>
      <w:r w:rsidR="00701124">
        <w:t>).</w:t>
      </w:r>
      <w:r>
        <w:t xml:space="preserve"> </w:t>
      </w:r>
    </w:p>
    <w:p w14:paraId="73781EFF" w14:textId="77777777" w:rsidR="008453C4" w:rsidRDefault="002422FF" w:rsidP="008453C4">
      <w:pPr>
        <w:pStyle w:val="Heading3"/>
        <w:ind w:left="720" w:hanging="720"/>
      </w:pPr>
      <w:bookmarkStart w:id="767" w:name="_Toc490225815"/>
      <w:bookmarkEnd w:id="765"/>
      <w:bookmarkEnd w:id="766"/>
      <w:r>
        <w:t>Total Savings and Spending by Scenario</w:t>
      </w:r>
      <w:bookmarkEnd w:id="767"/>
    </w:p>
    <w:p w14:paraId="624A016A" w14:textId="341565FE" w:rsidR="00C961E4" w:rsidRDefault="00F714D3" w:rsidP="00C961E4">
      <w:r w:rsidRPr="00F714D3">
        <w:fldChar w:fldCharType="begin"/>
      </w:r>
      <w:r w:rsidRPr="00F714D3">
        <w:instrText xml:space="preserve"> REF _Ref490226074 \h  \* MERGEFORMAT </w:instrText>
      </w:r>
      <w:r w:rsidRPr="00F714D3">
        <w:fldChar w:fldCharType="separate"/>
      </w:r>
      <w:r w:rsidR="00C97435" w:rsidRPr="007F4CCF">
        <w:t xml:space="preserve">Table </w:t>
      </w:r>
      <w:r w:rsidR="00C97435" w:rsidRPr="007F4CCF">
        <w:rPr>
          <w:noProof/>
        </w:rPr>
        <w:t>4</w:t>
      </w:r>
      <w:r w:rsidR="00C97435" w:rsidRPr="007F4CCF">
        <w:rPr>
          <w:noProof/>
        </w:rPr>
        <w:noBreakHyphen/>
        <w:t>1</w:t>
      </w:r>
      <w:r w:rsidRPr="00F714D3">
        <w:fldChar w:fldCharType="end"/>
      </w:r>
      <w:r>
        <w:t xml:space="preserve"> </w:t>
      </w:r>
      <w:r w:rsidR="00C97435">
        <w:t>through</w:t>
      </w:r>
      <w:r>
        <w:t xml:space="preserve"> </w:t>
      </w:r>
      <w:r>
        <w:fldChar w:fldCharType="begin"/>
      </w:r>
      <w:r>
        <w:instrText xml:space="preserve"> REF _Ref490226100 \h </w:instrText>
      </w:r>
      <w:r>
        <w:fldChar w:fldCharType="separate"/>
      </w:r>
      <w:r w:rsidR="00C97435" w:rsidRPr="00333C73">
        <w:t xml:space="preserve">Table </w:t>
      </w:r>
      <w:r w:rsidR="00C97435">
        <w:rPr>
          <w:noProof/>
        </w:rPr>
        <w:t>4</w:t>
      </w:r>
      <w:r w:rsidR="00C97435">
        <w:noBreakHyphen/>
      </w:r>
      <w:r w:rsidR="00C97435">
        <w:rPr>
          <w:noProof/>
        </w:rPr>
        <w:t>3</w:t>
      </w:r>
      <w:r>
        <w:fldChar w:fldCharType="end"/>
      </w:r>
      <w:r>
        <w:t xml:space="preserve"> </w:t>
      </w:r>
      <w:r w:rsidR="005B2ABA">
        <w:t>show</w:t>
      </w:r>
      <w:r w:rsidR="005B2ABA" w:rsidRPr="005B2ABA">
        <w:t xml:space="preserve"> the total incremental</w:t>
      </w:r>
      <w:r w:rsidR="005C58F8">
        <w:t xml:space="preserve"> market</w:t>
      </w:r>
      <w:r w:rsidR="005B2ABA" w:rsidRPr="005B2ABA">
        <w:t xml:space="preserve"> potential from all savings sources by scenario. </w:t>
      </w:r>
      <w:r w:rsidR="005C58F8">
        <w:t>A few important notes about these results:</w:t>
      </w:r>
    </w:p>
    <w:p w14:paraId="4C253392" w14:textId="77777777" w:rsidR="005C58F8" w:rsidRDefault="007D4E61" w:rsidP="004E4E36">
      <w:pPr>
        <w:pStyle w:val="ListParagraph"/>
        <w:numPr>
          <w:ilvl w:val="0"/>
          <w:numId w:val="76"/>
        </w:numPr>
      </w:pPr>
      <w:r w:rsidRPr="005F7B35">
        <w:t xml:space="preserve">Equipment </w:t>
      </w:r>
      <w:r w:rsidR="00E92225">
        <w:t>R</w:t>
      </w:r>
      <w:r w:rsidR="005C58F8" w:rsidRPr="00423551">
        <w:t>ebate</w:t>
      </w:r>
      <w:r w:rsidR="005C58F8">
        <w:t xml:space="preserve"> program savings</w:t>
      </w:r>
      <w:r w:rsidR="00B55BA7">
        <w:t>, which include savings from discrete equipment, whole building and shell measures,</w:t>
      </w:r>
      <w:r w:rsidR="005C58F8">
        <w:t xml:space="preserve"> are different for each scenario based on parameter discussed earlier in section </w:t>
      </w:r>
      <w:r w:rsidR="005C58F8">
        <w:fldChar w:fldCharType="begin"/>
      </w:r>
      <w:r w:rsidR="005C58F8">
        <w:instrText xml:space="preserve"> REF _Ref484595847 \n \h </w:instrText>
      </w:r>
      <w:r w:rsidR="005C58F8">
        <w:fldChar w:fldCharType="separate"/>
      </w:r>
      <w:r w:rsidR="007566B9">
        <w:t>2.3.2</w:t>
      </w:r>
      <w:r w:rsidR="005C58F8">
        <w:fldChar w:fldCharType="end"/>
      </w:r>
      <w:r w:rsidR="005C58F8">
        <w:t xml:space="preserve">. Additional discussion of the variation in rebate program savings by scenario can be found in </w:t>
      </w:r>
      <w:r w:rsidR="005C58F8">
        <w:fldChar w:fldCharType="begin"/>
      </w:r>
      <w:r w:rsidR="005C58F8">
        <w:instrText xml:space="preserve"> REF _Ref484595952 \n \h </w:instrText>
      </w:r>
      <w:r w:rsidR="005C58F8">
        <w:fldChar w:fldCharType="separate"/>
      </w:r>
      <w:r w:rsidR="007566B9">
        <w:t>4.1.3</w:t>
      </w:r>
      <w:r w:rsidR="005C58F8">
        <w:fldChar w:fldCharType="end"/>
      </w:r>
    </w:p>
    <w:p w14:paraId="4A384FBD" w14:textId="77777777" w:rsidR="005C58F8" w:rsidRDefault="005C58F8" w:rsidP="004E4E36">
      <w:pPr>
        <w:pStyle w:val="ListParagraph"/>
        <w:numPr>
          <w:ilvl w:val="0"/>
          <w:numId w:val="76"/>
        </w:numPr>
      </w:pPr>
      <w:r>
        <w:t>BROs savings vary only in terms of Reference vs. Aggressive. Thus, four of the five scenarios have the same forecast of BROs savings.</w:t>
      </w:r>
      <w:r w:rsidRPr="005C58F8">
        <w:t xml:space="preserve"> </w:t>
      </w:r>
      <w:r>
        <w:t xml:space="preserve">Additional discussion of the variation in BROs savings by scenario can be found in </w:t>
      </w:r>
      <w:r>
        <w:fldChar w:fldCharType="begin"/>
      </w:r>
      <w:r>
        <w:instrText xml:space="preserve"> REF _Ref484595975 \n \h </w:instrText>
      </w:r>
      <w:r>
        <w:fldChar w:fldCharType="separate"/>
      </w:r>
      <w:r w:rsidR="007566B9">
        <w:t>4.1.4</w:t>
      </w:r>
      <w:r>
        <w:fldChar w:fldCharType="end"/>
      </w:r>
      <w:r>
        <w:t>.</w:t>
      </w:r>
    </w:p>
    <w:p w14:paraId="6D57EE7B" w14:textId="77777777" w:rsidR="005C58F8" w:rsidRDefault="005C58F8" w:rsidP="004E4E36">
      <w:pPr>
        <w:pStyle w:val="ListParagraph"/>
        <w:numPr>
          <w:ilvl w:val="0"/>
          <w:numId w:val="76"/>
        </w:numPr>
      </w:pPr>
      <w:r>
        <w:t xml:space="preserve">Codes and Standards and Low Income Savings do not vary by scenario. </w:t>
      </w:r>
    </w:p>
    <w:p w14:paraId="6164E94E" w14:textId="77777777" w:rsidR="005C58F8" w:rsidRDefault="005C58F8" w:rsidP="005C58F8"/>
    <w:p w14:paraId="775742A7" w14:textId="77777777" w:rsidR="005C58F8" w:rsidRDefault="005C58F8" w:rsidP="005C58F8">
      <w:r>
        <w:t xml:space="preserve">Total savings are dominated by C&amp;S. Because C&amp;S savings do not vary by scenario, the overall variability in total savings may appear minimal. True variability in savings originates from </w:t>
      </w:r>
      <w:r w:rsidR="00B55BA7">
        <w:t xml:space="preserve">Equipment </w:t>
      </w:r>
      <w:r w:rsidR="00E92225">
        <w:t>R</w:t>
      </w:r>
      <w:r>
        <w:t xml:space="preserve">ebate Programs and BROs. </w:t>
      </w:r>
    </w:p>
    <w:p w14:paraId="69A50164" w14:textId="77777777" w:rsidR="00D823AE" w:rsidRDefault="00D823AE" w:rsidP="005C58F8"/>
    <w:p w14:paraId="7A335BED" w14:textId="1F64180C" w:rsidR="00D823AE" w:rsidRDefault="00D823AE" w:rsidP="005C58F8">
      <w:r>
        <w:t xml:space="preserve">Versions of </w:t>
      </w:r>
      <w:r w:rsidR="00F714D3">
        <w:t xml:space="preserve">the following tables </w:t>
      </w:r>
      <w:r>
        <w:t xml:space="preserve">for each IOU can be found in </w:t>
      </w:r>
      <w:r>
        <w:fldChar w:fldCharType="begin"/>
      </w:r>
      <w:r>
        <w:instrText xml:space="preserve"> REF _Ref484597640 \n \h </w:instrText>
      </w:r>
      <w:r>
        <w:fldChar w:fldCharType="separate"/>
      </w:r>
      <w:r w:rsidR="007566B9">
        <w:t>Appendix H</w:t>
      </w:r>
      <w:r>
        <w:fldChar w:fldCharType="end"/>
      </w:r>
      <w:r>
        <w:t>.</w:t>
      </w:r>
    </w:p>
    <w:p w14:paraId="1F5A83F1" w14:textId="6C10DF09" w:rsidR="00C97435" w:rsidRDefault="00C97435">
      <w:pPr>
        <w:spacing w:line="240" w:lineRule="auto"/>
      </w:pPr>
      <w:r>
        <w:br w:type="page"/>
      </w:r>
    </w:p>
    <w:p w14:paraId="5E495F3E" w14:textId="77777777" w:rsidR="00252D53" w:rsidRPr="005B2ABA" w:rsidRDefault="00252D53" w:rsidP="005C58F8"/>
    <w:p w14:paraId="6E847D4E" w14:textId="77777777" w:rsidR="009A6333" w:rsidRPr="007F4CCF" w:rsidRDefault="00C25BCB" w:rsidP="007F4CCF">
      <w:pPr>
        <w:pStyle w:val="Caption"/>
      </w:pPr>
      <w:bookmarkStart w:id="768" w:name="_Ref490226074"/>
      <w:bookmarkStart w:id="769" w:name="_Toc490560691"/>
      <w:r w:rsidRPr="007F4CCF">
        <w:t xml:space="preserve">Table </w:t>
      </w:r>
      <w:fldSimple w:instr=" STYLEREF 1 \s ">
        <w:r w:rsidR="007566B9" w:rsidRPr="007F4CCF">
          <w:t>4</w:t>
        </w:r>
      </w:fldSimple>
      <w:r w:rsidR="009A6333" w:rsidRPr="007F4CCF">
        <w:noBreakHyphen/>
      </w:r>
      <w:fldSimple w:instr=" SEQ Table \* ARABIC \s 1 ">
        <w:r w:rsidR="007566B9" w:rsidRPr="007F4CCF">
          <w:t>1</w:t>
        </w:r>
      </w:fldSimple>
      <w:bookmarkEnd w:id="768"/>
      <w:r w:rsidR="009A6333" w:rsidRPr="007F4CCF">
        <w:t xml:space="preserve">. Statewide </w:t>
      </w:r>
      <w:r w:rsidR="00D91D8D" w:rsidRPr="007F4CCF">
        <w:t xml:space="preserve">Net </w:t>
      </w:r>
      <w:r w:rsidR="009A6333" w:rsidRPr="007F4CCF">
        <w:t>Incremental Electric Savings by Scenario</w:t>
      </w:r>
      <w:bookmarkEnd w:id="769"/>
    </w:p>
    <w:tbl>
      <w:tblPr>
        <w:tblW w:w="9299" w:type="dxa"/>
        <w:jc w:val="center"/>
        <w:tblLook w:val="04A0" w:firstRow="1" w:lastRow="0" w:firstColumn="1" w:lastColumn="0" w:noHBand="0" w:noVBand="1"/>
      </w:tblPr>
      <w:tblGrid>
        <w:gridCol w:w="1681"/>
        <w:gridCol w:w="586"/>
        <w:gridCol w:w="586"/>
        <w:gridCol w:w="586"/>
        <w:gridCol w:w="586"/>
        <w:gridCol w:w="586"/>
        <w:gridCol w:w="586"/>
        <w:gridCol w:w="586"/>
        <w:gridCol w:w="586"/>
        <w:gridCol w:w="586"/>
        <w:gridCol w:w="586"/>
        <w:gridCol w:w="586"/>
        <w:gridCol w:w="586"/>
        <w:gridCol w:w="586"/>
      </w:tblGrid>
      <w:tr w:rsidR="009A6333" w:rsidRPr="009A6333" w14:paraId="72EDDE77" w14:textId="77777777" w:rsidTr="00C97435">
        <w:trPr>
          <w:trHeight w:val="193"/>
          <w:jc w:val="center"/>
        </w:trPr>
        <w:tc>
          <w:tcPr>
            <w:tcW w:w="9299" w:type="dxa"/>
            <w:gridSpan w:val="14"/>
            <w:tcBorders>
              <w:top w:val="nil"/>
              <w:left w:val="nil"/>
              <w:bottom w:val="single" w:sz="12" w:space="0" w:color="95D600"/>
              <w:right w:val="nil"/>
            </w:tcBorders>
            <w:shd w:val="clear" w:color="000000" w:fill="555759"/>
            <w:noWrap/>
            <w:vAlign w:val="center"/>
            <w:hideMark/>
          </w:tcPr>
          <w:p w14:paraId="6BC8017C" w14:textId="77777777" w:rsidR="009A6333" w:rsidRPr="009A6333" w:rsidRDefault="009A6333">
            <w:pPr>
              <w:spacing w:line="240" w:lineRule="auto"/>
              <w:jc w:val="center"/>
              <w:rPr>
                <w:rFonts w:ascii="Arial Narrow" w:hAnsi="Arial Narrow"/>
                <w:b/>
                <w:bCs/>
                <w:color w:val="FFFFFF"/>
                <w:sz w:val="18"/>
                <w:szCs w:val="18"/>
              </w:rPr>
            </w:pPr>
            <w:r w:rsidRPr="009A6333">
              <w:rPr>
                <w:rFonts w:ascii="Arial Narrow" w:hAnsi="Arial Narrow"/>
                <w:b/>
                <w:bCs/>
                <w:color w:val="FFFFFF"/>
                <w:sz w:val="18"/>
                <w:szCs w:val="18"/>
              </w:rPr>
              <w:t>Electric Energy (GWh/year)</w:t>
            </w:r>
          </w:p>
        </w:tc>
      </w:tr>
      <w:tr w:rsidR="009A6333" w:rsidRPr="009A6333" w14:paraId="6CBAA141" w14:textId="77777777" w:rsidTr="00C97435">
        <w:trPr>
          <w:trHeight w:val="202"/>
          <w:jc w:val="center"/>
        </w:trPr>
        <w:tc>
          <w:tcPr>
            <w:tcW w:w="1741" w:type="dxa"/>
            <w:tcBorders>
              <w:top w:val="nil"/>
              <w:left w:val="nil"/>
              <w:bottom w:val="single" w:sz="8" w:space="0" w:color="DCDDDE"/>
              <w:right w:val="nil"/>
            </w:tcBorders>
            <w:shd w:val="clear" w:color="auto" w:fill="auto"/>
            <w:vAlign w:val="center"/>
            <w:hideMark/>
          </w:tcPr>
          <w:p w14:paraId="2A7C7524"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Year</w:t>
            </w:r>
          </w:p>
        </w:tc>
        <w:tc>
          <w:tcPr>
            <w:tcW w:w="581" w:type="dxa"/>
            <w:tcBorders>
              <w:top w:val="nil"/>
              <w:left w:val="nil"/>
              <w:bottom w:val="single" w:sz="8" w:space="0" w:color="DCDDDE"/>
              <w:right w:val="nil"/>
            </w:tcBorders>
            <w:shd w:val="clear" w:color="auto" w:fill="auto"/>
            <w:noWrap/>
            <w:vAlign w:val="center"/>
            <w:hideMark/>
          </w:tcPr>
          <w:p w14:paraId="03A6ADF0"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2018</w:t>
            </w:r>
          </w:p>
        </w:tc>
        <w:tc>
          <w:tcPr>
            <w:tcW w:w="581" w:type="dxa"/>
            <w:tcBorders>
              <w:top w:val="nil"/>
              <w:left w:val="nil"/>
              <w:bottom w:val="single" w:sz="8" w:space="0" w:color="DCDDDE"/>
              <w:right w:val="nil"/>
            </w:tcBorders>
            <w:shd w:val="clear" w:color="auto" w:fill="auto"/>
            <w:noWrap/>
            <w:vAlign w:val="center"/>
            <w:hideMark/>
          </w:tcPr>
          <w:p w14:paraId="2C6B8B15"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2019</w:t>
            </w:r>
          </w:p>
        </w:tc>
        <w:tc>
          <w:tcPr>
            <w:tcW w:w="581" w:type="dxa"/>
            <w:tcBorders>
              <w:top w:val="nil"/>
              <w:left w:val="nil"/>
              <w:bottom w:val="single" w:sz="8" w:space="0" w:color="DCDDDE"/>
              <w:right w:val="nil"/>
            </w:tcBorders>
            <w:shd w:val="clear" w:color="auto" w:fill="auto"/>
            <w:noWrap/>
            <w:vAlign w:val="center"/>
            <w:hideMark/>
          </w:tcPr>
          <w:p w14:paraId="34C375A1"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2020</w:t>
            </w:r>
          </w:p>
        </w:tc>
        <w:tc>
          <w:tcPr>
            <w:tcW w:w="581" w:type="dxa"/>
            <w:tcBorders>
              <w:top w:val="nil"/>
              <w:left w:val="nil"/>
              <w:bottom w:val="single" w:sz="8" w:space="0" w:color="DCDDDE"/>
              <w:right w:val="nil"/>
            </w:tcBorders>
            <w:shd w:val="clear" w:color="auto" w:fill="auto"/>
            <w:noWrap/>
            <w:vAlign w:val="center"/>
            <w:hideMark/>
          </w:tcPr>
          <w:p w14:paraId="49846287"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2021</w:t>
            </w:r>
          </w:p>
        </w:tc>
        <w:tc>
          <w:tcPr>
            <w:tcW w:w="581" w:type="dxa"/>
            <w:tcBorders>
              <w:top w:val="nil"/>
              <w:left w:val="nil"/>
              <w:bottom w:val="single" w:sz="8" w:space="0" w:color="DCDDDE"/>
              <w:right w:val="nil"/>
            </w:tcBorders>
            <w:shd w:val="clear" w:color="auto" w:fill="auto"/>
            <w:noWrap/>
            <w:vAlign w:val="center"/>
            <w:hideMark/>
          </w:tcPr>
          <w:p w14:paraId="76C4A1FE"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2022</w:t>
            </w:r>
          </w:p>
        </w:tc>
        <w:tc>
          <w:tcPr>
            <w:tcW w:w="581" w:type="dxa"/>
            <w:tcBorders>
              <w:top w:val="nil"/>
              <w:left w:val="nil"/>
              <w:bottom w:val="single" w:sz="8" w:space="0" w:color="DCDDDE"/>
              <w:right w:val="nil"/>
            </w:tcBorders>
            <w:shd w:val="clear" w:color="auto" w:fill="auto"/>
            <w:noWrap/>
            <w:vAlign w:val="center"/>
            <w:hideMark/>
          </w:tcPr>
          <w:p w14:paraId="70877C04"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2023</w:t>
            </w:r>
          </w:p>
        </w:tc>
        <w:tc>
          <w:tcPr>
            <w:tcW w:w="581" w:type="dxa"/>
            <w:tcBorders>
              <w:top w:val="nil"/>
              <w:left w:val="nil"/>
              <w:bottom w:val="single" w:sz="8" w:space="0" w:color="DCDDDE"/>
              <w:right w:val="nil"/>
            </w:tcBorders>
            <w:shd w:val="clear" w:color="auto" w:fill="auto"/>
            <w:noWrap/>
            <w:vAlign w:val="center"/>
            <w:hideMark/>
          </w:tcPr>
          <w:p w14:paraId="18AD9147"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2024</w:t>
            </w:r>
          </w:p>
        </w:tc>
        <w:tc>
          <w:tcPr>
            <w:tcW w:w="581" w:type="dxa"/>
            <w:tcBorders>
              <w:top w:val="nil"/>
              <w:left w:val="nil"/>
              <w:bottom w:val="single" w:sz="8" w:space="0" w:color="DCDDDE"/>
              <w:right w:val="nil"/>
            </w:tcBorders>
            <w:shd w:val="clear" w:color="auto" w:fill="auto"/>
            <w:noWrap/>
            <w:vAlign w:val="center"/>
            <w:hideMark/>
          </w:tcPr>
          <w:p w14:paraId="55AB12F4"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2025</w:t>
            </w:r>
          </w:p>
        </w:tc>
        <w:tc>
          <w:tcPr>
            <w:tcW w:w="581" w:type="dxa"/>
            <w:tcBorders>
              <w:top w:val="nil"/>
              <w:left w:val="nil"/>
              <w:bottom w:val="single" w:sz="8" w:space="0" w:color="DCDDDE"/>
              <w:right w:val="nil"/>
            </w:tcBorders>
            <w:shd w:val="clear" w:color="auto" w:fill="auto"/>
            <w:noWrap/>
            <w:vAlign w:val="center"/>
            <w:hideMark/>
          </w:tcPr>
          <w:p w14:paraId="1F030365"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2026</w:t>
            </w:r>
          </w:p>
        </w:tc>
        <w:tc>
          <w:tcPr>
            <w:tcW w:w="581" w:type="dxa"/>
            <w:tcBorders>
              <w:top w:val="nil"/>
              <w:left w:val="nil"/>
              <w:bottom w:val="single" w:sz="8" w:space="0" w:color="DCDDDE"/>
              <w:right w:val="nil"/>
            </w:tcBorders>
            <w:shd w:val="clear" w:color="auto" w:fill="auto"/>
            <w:noWrap/>
            <w:vAlign w:val="center"/>
            <w:hideMark/>
          </w:tcPr>
          <w:p w14:paraId="51A5EA9E"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2027</w:t>
            </w:r>
          </w:p>
        </w:tc>
        <w:tc>
          <w:tcPr>
            <w:tcW w:w="581" w:type="dxa"/>
            <w:tcBorders>
              <w:top w:val="nil"/>
              <w:left w:val="nil"/>
              <w:bottom w:val="single" w:sz="8" w:space="0" w:color="DCDDDE"/>
              <w:right w:val="nil"/>
            </w:tcBorders>
            <w:shd w:val="clear" w:color="auto" w:fill="auto"/>
            <w:noWrap/>
            <w:vAlign w:val="center"/>
            <w:hideMark/>
          </w:tcPr>
          <w:p w14:paraId="6526A0B0"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2028</w:t>
            </w:r>
          </w:p>
        </w:tc>
        <w:tc>
          <w:tcPr>
            <w:tcW w:w="581" w:type="dxa"/>
            <w:tcBorders>
              <w:top w:val="nil"/>
              <w:left w:val="nil"/>
              <w:bottom w:val="single" w:sz="8" w:space="0" w:color="DCDDDE"/>
              <w:right w:val="nil"/>
            </w:tcBorders>
            <w:shd w:val="clear" w:color="auto" w:fill="auto"/>
            <w:noWrap/>
            <w:vAlign w:val="center"/>
            <w:hideMark/>
          </w:tcPr>
          <w:p w14:paraId="15EF725B"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2029</w:t>
            </w:r>
          </w:p>
        </w:tc>
        <w:tc>
          <w:tcPr>
            <w:tcW w:w="582" w:type="dxa"/>
            <w:tcBorders>
              <w:top w:val="nil"/>
              <w:left w:val="nil"/>
              <w:bottom w:val="single" w:sz="8" w:space="0" w:color="DCDDDE"/>
              <w:right w:val="nil"/>
            </w:tcBorders>
            <w:shd w:val="clear" w:color="auto" w:fill="auto"/>
            <w:noWrap/>
            <w:vAlign w:val="center"/>
            <w:hideMark/>
          </w:tcPr>
          <w:p w14:paraId="1E02CE8C"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2030</w:t>
            </w:r>
          </w:p>
        </w:tc>
      </w:tr>
      <w:tr w:rsidR="009A6333" w:rsidRPr="009A6333" w14:paraId="184F9C32" w14:textId="77777777" w:rsidTr="00C97435">
        <w:trPr>
          <w:trHeight w:val="193"/>
          <w:jc w:val="center"/>
        </w:trPr>
        <w:tc>
          <w:tcPr>
            <w:tcW w:w="9299" w:type="dxa"/>
            <w:gridSpan w:val="14"/>
            <w:tcBorders>
              <w:top w:val="single" w:sz="8" w:space="0" w:color="DCDDDE"/>
              <w:left w:val="nil"/>
              <w:bottom w:val="single" w:sz="8" w:space="0" w:color="DCDDDE"/>
              <w:right w:val="nil"/>
            </w:tcBorders>
            <w:shd w:val="clear" w:color="000000" w:fill="DADADA"/>
            <w:noWrap/>
            <w:vAlign w:val="center"/>
            <w:hideMark/>
          </w:tcPr>
          <w:p w14:paraId="4EC936FE"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TRC | Reference</w:t>
            </w:r>
          </w:p>
        </w:tc>
      </w:tr>
      <w:tr w:rsidR="00C97435" w:rsidRPr="009A6333" w14:paraId="6E57ED7C" w14:textId="77777777" w:rsidTr="00C97435">
        <w:trPr>
          <w:trHeight w:val="341"/>
          <w:jc w:val="center"/>
        </w:trPr>
        <w:tc>
          <w:tcPr>
            <w:tcW w:w="1741" w:type="dxa"/>
            <w:tcBorders>
              <w:top w:val="nil"/>
              <w:left w:val="nil"/>
              <w:bottom w:val="single" w:sz="8" w:space="0" w:color="DCDDDE"/>
              <w:right w:val="nil"/>
            </w:tcBorders>
            <w:shd w:val="clear" w:color="000000" w:fill="FFFFFF"/>
            <w:vAlign w:val="center"/>
            <w:hideMark/>
          </w:tcPr>
          <w:p w14:paraId="4127EF8C"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Equipment Rebates</w:t>
            </w:r>
          </w:p>
        </w:tc>
        <w:tc>
          <w:tcPr>
            <w:tcW w:w="581" w:type="dxa"/>
            <w:tcBorders>
              <w:top w:val="nil"/>
              <w:left w:val="nil"/>
              <w:bottom w:val="single" w:sz="8" w:space="0" w:color="DCDDDE"/>
              <w:right w:val="nil"/>
            </w:tcBorders>
            <w:shd w:val="clear" w:color="000000" w:fill="FFFFFF"/>
            <w:noWrap/>
            <w:vAlign w:val="center"/>
            <w:hideMark/>
          </w:tcPr>
          <w:p w14:paraId="341DAF5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622</w:t>
            </w:r>
          </w:p>
        </w:tc>
        <w:tc>
          <w:tcPr>
            <w:tcW w:w="581" w:type="dxa"/>
            <w:tcBorders>
              <w:top w:val="nil"/>
              <w:left w:val="nil"/>
              <w:bottom w:val="single" w:sz="8" w:space="0" w:color="DCDDDE"/>
              <w:right w:val="nil"/>
            </w:tcBorders>
            <w:shd w:val="clear" w:color="000000" w:fill="FFFFFF"/>
            <w:noWrap/>
            <w:vAlign w:val="center"/>
            <w:hideMark/>
          </w:tcPr>
          <w:p w14:paraId="71DC828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672</w:t>
            </w:r>
          </w:p>
        </w:tc>
        <w:tc>
          <w:tcPr>
            <w:tcW w:w="581" w:type="dxa"/>
            <w:tcBorders>
              <w:top w:val="nil"/>
              <w:left w:val="nil"/>
              <w:bottom w:val="single" w:sz="8" w:space="0" w:color="DCDDDE"/>
              <w:right w:val="nil"/>
            </w:tcBorders>
            <w:shd w:val="clear" w:color="000000" w:fill="FFFFFF"/>
            <w:noWrap/>
            <w:vAlign w:val="center"/>
            <w:hideMark/>
          </w:tcPr>
          <w:p w14:paraId="3387904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644</w:t>
            </w:r>
          </w:p>
        </w:tc>
        <w:tc>
          <w:tcPr>
            <w:tcW w:w="581" w:type="dxa"/>
            <w:tcBorders>
              <w:top w:val="nil"/>
              <w:left w:val="nil"/>
              <w:bottom w:val="single" w:sz="8" w:space="0" w:color="DCDDDE"/>
              <w:right w:val="nil"/>
            </w:tcBorders>
            <w:shd w:val="clear" w:color="000000" w:fill="FFFFFF"/>
            <w:noWrap/>
            <w:vAlign w:val="center"/>
            <w:hideMark/>
          </w:tcPr>
          <w:p w14:paraId="72B64ED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712</w:t>
            </w:r>
          </w:p>
        </w:tc>
        <w:tc>
          <w:tcPr>
            <w:tcW w:w="581" w:type="dxa"/>
            <w:tcBorders>
              <w:top w:val="nil"/>
              <w:left w:val="nil"/>
              <w:bottom w:val="single" w:sz="8" w:space="0" w:color="DCDDDE"/>
              <w:right w:val="nil"/>
            </w:tcBorders>
            <w:shd w:val="clear" w:color="000000" w:fill="FFFFFF"/>
            <w:noWrap/>
            <w:vAlign w:val="center"/>
            <w:hideMark/>
          </w:tcPr>
          <w:p w14:paraId="56FBEC5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727</w:t>
            </w:r>
          </w:p>
        </w:tc>
        <w:tc>
          <w:tcPr>
            <w:tcW w:w="581" w:type="dxa"/>
            <w:tcBorders>
              <w:top w:val="nil"/>
              <w:left w:val="nil"/>
              <w:bottom w:val="single" w:sz="8" w:space="0" w:color="DCDDDE"/>
              <w:right w:val="nil"/>
            </w:tcBorders>
            <w:shd w:val="clear" w:color="000000" w:fill="FFFFFF"/>
            <w:noWrap/>
            <w:vAlign w:val="center"/>
            <w:hideMark/>
          </w:tcPr>
          <w:p w14:paraId="19A6BC3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744</w:t>
            </w:r>
          </w:p>
        </w:tc>
        <w:tc>
          <w:tcPr>
            <w:tcW w:w="581" w:type="dxa"/>
            <w:tcBorders>
              <w:top w:val="nil"/>
              <w:left w:val="nil"/>
              <w:bottom w:val="single" w:sz="8" w:space="0" w:color="DCDDDE"/>
              <w:right w:val="nil"/>
            </w:tcBorders>
            <w:shd w:val="clear" w:color="000000" w:fill="FFFFFF"/>
            <w:noWrap/>
            <w:vAlign w:val="center"/>
            <w:hideMark/>
          </w:tcPr>
          <w:p w14:paraId="2C8F786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778</w:t>
            </w:r>
          </w:p>
        </w:tc>
        <w:tc>
          <w:tcPr>
            <w:tcW w:w="581" w:type="dxa"/>
            <w:tcBorders>
              <w:top w:val="nil"/>
              <w:left w:val="nil"/>
              <w:bottom w:val="single" w:sz="8" w:space="0" w:color="DCDDDE"/>
              <w:right w:val="nil"/>
            </w:tcBorders>
            <w:shd w:val="clear" w:color="000000" w:fill="FFFFFF"/>
            <w:noWrap/>
            <w:vAlign w:val="center"/>
            <w:hideMark/>
          </w:tcPr>
          <w:p w14:paraId="170BBD6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798</w:t>
            </w:r>
          </w:p>
        </w:tc>
        <w:tc>
          <w:tcPr>
            <w:tcW w:w="581" w:type="dxa"/>
            <w:tcBorders>
              <w:top w:val="nil"/>
              <w:left w:val="nil"/>
              <w:bottom w:val="single" w:sz="8" w:space="0" w:color="DCDDDE"/>
              <w:right w:val="nil"/>
            </w:tcBorders>
            <w:shd w:val="clear" w:color="000000" w:fill="FFFFFF"/>
            <w:noWrap/>
            <w:vAlign w:val="center"/>
            <w:hideMark/>
          </w:tcPr>
          <w:p w14:paraId="386DB6B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814</w:t>
            </w:r>
          </w:p>
        </w:tc>
        <w:tc>
          <w:tcPr>
            <w:tcW w:w="581" w:type="dxa"/>
            <w:tcBorders>
              <w:top w:val="nil"/>
              <w:left w:val="nil"/>
              <w:bottom w:val="single" w:sz="8" w:space="0" w:color="DCDDDE"/>
              <w:right w:val="nil"/>
            </w:tcBorders>
            <w:shd w:val="clear" w:color="000000" w:fill="FFFFFF"/>
            <w:noWrap/>
            <w:vAlign w:val="center"/>
            <w:hideMark/>
          </w:tcPr>
          <w:p w14:paraId="6406667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820</w:t>
            </w:r>
          </w:p>
        </w:tc>
        <w:tc>
          <w:tcPr>
            <w:tcW w:w="581" w:type="dxa"/>
            <w:tcBorders>
              <w:top w:val="nil"/>
              <w:left w:val="nil"/>
              <w:bottom w:val="single" w:sz="8" w:space="0" w:color="DCDDDE"/>
              <w:right w:val="nil"/>
            </w:tcBorders>
            <w:shd w:val="clear" w:color="000000" w:fill="FFFFFF"/>
            <w:noWrap/>
            <w:vAlign w:val="center"/>
            <w:hideMark/>
          </w:tcPr>
          <w:p w14:paraId="6495A59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828</w:t>
            </w:r>
          </w:p>
        </w:tc>
        <w:tc>
          <w:tcPr>
            <w:tcW w:w="581" w:type="dxa"/>
            <w:tcBorders>
              <w:top w:val="nil"/>
              <w:left w:val="nil"/>
              <w:bottom w:val="single" w:sz="8" w:space="0" w:color="DCDDDE"/>
              <w:right w:val="nil"/>
            </w:tcBorders>
            <w:shd w:val="clear" w:color="000000" w:fill="FFFFFF"/>
            <w:noWrap/>
            <w:vAlign w:val="center"/>
            <w:hideMark/>
          </w:tcPr>
          <w:p w14:paraId="5BFF75B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830</w:t>
            </w:r>
          </w:p>
        </w:tc>
        <w:tc>
          <w:tcPr>
            <w:tcW w:w="582" w:type="dxa"/>
            <w:tcBorders>
              <w:top w:val="nil"/>
              <w:left w:val="nil"/>
              <w:bottom w:val="single" w:sz="8" w:space="0" w:color="DCDDDE"/>
              <w:right w:val="nil"/>
            </w:tcBorders>
            <w:shd w:val="clear" w:color="000000" w:fill="FFFFFF"/>
            <w:noWrap/>
            <w:vAlign w:val="center"/>
            <w:hideMark/>
          </w:tcPr>
          <w:p w14:paraId="7252D23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830</w:t>
            </w:r>
          </w:p>
        </w:tc>
      </w:tr>
      <w:tr w:rsidR="00C97435" w:rsidRPr="009A6333" w14:paraId="16C72DB5" w14:textId="77777777" w:rsidTr="00C97435">
        <w:trPr>
          <w:trHeight w:val="193"/>
          <w:jc w:val="center"/>
        </w:trPr>
        <w:tc>
          <w:tcPr>
            <w:tcW w:w="1741" w:type="dxa"/>
            <w:tcBorders>
              <w:top w:val="nil"/>
              <w:left w:val="nil"/>
              <w:bottom w:val="single" w:sz="8" w:space="0" w:color="DCDDDE"/>
              <w:right w:val="nil"/>
            </w:tcBorders>
            <w:shd w:val="clear" w:color="000000" w:fill="FFFFFF"/>
            <w:vAlign w:val="center"/>
            <w:hideMark/>
          </w:tcPr>
          <w:p w14:paraId="3E3E95F9"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BROs</w:t>
            </w:r>
          </w:p>
        </w:tc>
        <w:tc>
          <w:tcPr>
            <w:tcW w:w="581" w:type="dxa"/>
            <w:tcBorders>
              <w:top w:val="nil"/>
              <w:left w:val="nil"/>
              <w:bottom w:val="single" w:sz="8" w:space="0" w:color="DCDDDE"/>
              <w:right w:val="nil"/>
            </w:tcBorders>
            <w:shd w:val="clear" w:color="000000" w:fill="FFFFFF"/>
            <w:noWrap/>
            <w:vAlign w:val="center"/>
            <w:hideMark/>
          </w:tcPr>
          <w:p w14:paraId="020C48E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213</w:t>
            </w:r>
          </w:p>
        </w:tc>
        <w:tc>
          <w:tcPr>
            <w:tcW w:w="581" w:type="dxa"/>
            <w:tcBorders>
              <w:top w:val="nil"/>
              <w:left w:val="nil"/>
              <w:bottom w:val="single" w:sz="8" w:space="0" w:color="DCDDDE"/>
              <w:right w:val="nil"/>
            </w:tcBorders>
            <w:shd w:val="clear" w:color="000000" w:fill="FFFFFF"/>
            <w:noWrap/>
            <w:vAlign w:val="center"/>
            <w:hideMark/>
          </w:tcPr>
          <w:p w14:paraId="2C55786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270</w:t>
            </w:r>
          </w:p>
        </w:tc>
        <w:tc>
          <w:tcPr>
            <w:tcW w:w="581" w:type="dxa"/>
            <w:tcBorders>
              <w:top w:val="nil"/>
              <w:left w:val="nil"/>
              <w:bottom w:val="single" w:sz="8" w:space="0" w:color="DCDDDE"/>
              <w:right w:val="nil"/>
            </w:tcBorders>
            <w:shd w:val="clear" w:color="000000" w:fill="FFFFFF"/>
            <w:noWrap/>
            <w:vAlign w:val="center"/>
            <w:hideMark/>
          </w:tcPr>
          <w:p w14:paraId="65F98B0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302</w:t>
            </w:r>
          </w:p>
        </w:tc>
        <w:tc>
          <w:tcPr>
            <w:tcW w:w="581" w:type="dxa"/>
            <w:tcBorders>
              <w:top w:val="nil"/>
              <w:left w:val="nil"/>
              <w:bottom w:val="single" w:sz="8" w:space="0" w:color="DCDDDE"/>
              <w:right w:val="nil"/>
            </w:tcBorders>
            <w:shd w:val="clear" w:color="000000" w:fill="FFFFFF"/>
            <w:noWrap/>
            <w:vAlign w:val="center"/>
            <w:hideMark/>
          </w:tcPr>
          <w:p w14:paraId="3158249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338</w:t>
            </w:r>
          </w:p>
        </w:tc>
        <w:tc>
          <w:tcPr>
            <w:tcW w:w="581" w:type="dxa"/>
            <w:tcBorders>
              <w:top w:val="nil"/>
              <w:left w:val="nil"/>
              <w:bottom w:val="single" w:sz="8" w:space="0" w:color="DCDDDE"/>
              <w:right w:val="nil"/>
            </w:tcBorders>
            <w:shd w:val="clear" w:color="000000" w:fill="FFFFFF"/>
            <w:noWrap/>
            <w:vAlign w:val="center"/>
            <w:hideMark/>
          </w:tcPr>
          <w:p w14:paraId="1D80E83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363</w:t>
            </w:r>
          </w:p>
        </w:tc>
        <w:tc>
          <w:tcPr>
            <w:tcW w:w="581" w:type="dxa"/>
            <w:tcBorders>
              <w:top w:val="nil"/>
              <w:left w:val="nil"/>
              <w:bottom w:val="single" w:sz="8" w:space="0" w:color="DCDDDE"/>
              <w:right w:val="nil"/>
            </w:tcBorders>
            <w:shd w:val="clear" w:color="000000" w:fill="FFFFFF"/>
            <w:noWrap/>
            <w:vAlign w:val="center"/>
            <w:hideMark/>
          </w:tcPr>
          <w:p w14:paraId="755A19C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388</w:t>
            </w:r>
          </w:p>
        </w:tc>
        <w:tc>
          <w:tcPr>
            <w:tcW w:w="581" w:type="dxa"/>
            <w:tcBorders>
              <w:top w:val="nil"/>
              <w:left w:val="nil"/>
              <w:bottom w:val="single" w:sz="8" w:space="0" w:color="DCDDDE"/>
              <w:right w:val="nil"/>
            </w:tcBorders>
            <w:shd w:val="clear" w:color="000000" w:fill="FFFFFF"/>
            <w:noWrap/>
            <w:vAlign w:val="center"/>
            <w:hideMark/>
          </w:tcPr>
          <w:p w14:paraId="1C9C4BF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414</w:t>
            </w:r>
          </w:p>
        </w:tc>
        <w:tc>
          <w:tcPr>
            <w:tcW w:w="581" w:type="dxa"/>
            <w:tcBorders>
              <w:top w:val="nil"/>
              <w:left w:val="nil"/>
              <w:bottom w:val="single" w:sz="8" w:space="0" w:color="DCDDDE"/>
              <w:right w:val="nil"/>
            </w:tcBorders>
            <w:shd w:val="clear" w:color="000000" w:fill="FFFFFF"/>
            <w:noWrap/>
            <w:vAlign w:val="center"/>
            <w:hideMark/>
          </w:tcPr>
          <w:p w14:paraId="331B776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451</w:t>
            </w:r>
          </w:p>
        </w:tc>
        <w:tc>
          <w:tcPr>
            <w:tcW w:w="581" w:type="dxa"/>
            <w:tcBorders>
              <w:top w:val="nil"/>
              <w:left w:val="nil"/>
              <w:bottom w:val="single" w:sz="8" w:space="0" w:color="DCDDDE"/>
              <w:right w:val="nil"/>
            </w:tcBorders>
            <w:shd w:val="clear" w:color="000000" w:fill="FFFFFF"/>
            <w:noWrap/>
            <w:vAlign w:val="center"/>
            <w:hideMark/>
          </w:tcPr>
          <w:p w14:paraId="3FBFC1F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482</w:t>
            </w:r>
          </w:p>
        </w:tc>
        <w:tc>
          <w:tcPr>
            <w:tcW w:w="581" w:type="dxa"/>
            <w:tcBorders>
              <w:top w:val="nil"/>
              <w:left w:val="nil"/>
              <w:bottom w:val="single" w:sz="8" w:space="0" w:color="DCDDDE"/>
              <w:right w:val="nil"/>
            </w:tcBorders>
            <w:shd w:val="clear" w:color="000000" w:fill="FFFFFF"/>
            <w:noWrap/>
            <w:vAlign w:val="center"/>
            <w:hideMark/>
          </w:tcPr>
          <w:p w14:paraId="3A8118F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514</w:t>
            </w:r>
          </w:p>
        </w:tc>
        <w:tc>
          <w:tcPr>
            <w:tcW w:w="581" w:type="dxa"/>
            <w:tcBorders>
              <w:top w:val="nil"/>
              <w:left w:val="nil"/>
              <w:bottom w:val="single" w:sz="8" w:space="0" w:color="DCDDDE"/>
              <w:right w:val="nil"/>
            </w:tcBorders>
            <w:shd w:val="clear" w:color="000000" w:fill="FFFFFF"/>
            <w:noWrap/>
            <w:vAlign w:val="center"/>
            <w:hideMark/>
          </w:tcPr>
          <w:p w14:paraId="05A8903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547</w:t>
            </w:r>
          </w:p>
        </w:tc>
        <w:tc>
          <w:tcPr>
            <w:tcW w:w="581" w:type="dxa"/>
            <w:tcBorders>
              <w:top w:val="nil"/>
              <w:left w:val="nil"/>
              <w:bottom w:val="single" w:sz="8" w:space="0" w:color="DCDDDE"/>
              <w:right w:val="nil"/>
            </w:tcBorders>
            <w:shd w:val="clear" w:color="000000" w:fill="FFFFFF"/>
            <w:noWrap/>
            <w:vAlign w:val="center"/>
            <w:hideMark/>
          </w:tcPr>
          <w:p w14:paraId="2EB1031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582</w:t>
            </w:r>
          </w:p>
        </w:tc>
        <w:tc>
          <w:tcPr>
            <w:tcW w:w="582" w:type="dxa"/>
            <w:tcBorders>
              <w:top w:val="nil"/>
              <w:left w:val="nil"/>
              <w:bottom w:val="single" w:sz="8" w:space="0" w:color="DCDDDE"/>
              <w:right w:val="nil"/>
            </w:tcBorders>
            <w:shd w:val="clear" w:color="000000" w:fill="FFFFFF"/>
            <w:noWrap/>
            <w:vAlign w:val="center"/>
            <w:hideMark/>
          </w:tcPr>
          <w:p w14:paraId="57D162C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613</w:t>
            </w:r>
          </w:p>
        </w:tc>
      </w:tr>
      <w:tr w:rsidR="00C97435" w:rsidRPr="009A6333" w14:paraId="11E95EA2" w14:textId="77777777" w:rsidTr="00C97435">
        <w:trPr>
          <w:trHeight w:val="193"/>
          <w:jc w:val="center"/>
        </w:trPr>
        <w:tc>
          <w:tcPr>
            <w:tcW w:w="1741" w:type="dxa"/>
            <w:tcBorders>
              <w:top w:val="nil"/>
              <w:left w:val="nil"/>
              <w:bottom w:val="single" w:sz="8" w:space="0" w:color="DCDDDE"/>
              <w:right w:val="nil"/>
            </w:tcBorders>
            <w:shd w:val="clear" w:color="000000" w:fill="FFFFFF"/>
            <w:vAlign w:val="center"/>
            <w:hideMark/>
          </w:tcPr>
          <w:p w14:paraId="7231422E"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Low Income</w:t>
            </w:r>
          </w:p>
        </w:tc>
        <w:tc>
          <w:tcPr>
            <w:tcW w:w="581" w:type="dxa"/>
            <w:tcBorders>
              <w:top w:val="nil"/>
              <w:left w:val="nil"/>
              <w:bottom w:val="single" w:sz="8" w:space="0" w:color="DCDDDE"/>
              <w:right w:val="nil"/>
            </w:tcBorders>
            <w:shd w:val="clear" w:color="000000" w:fill="FFFFFF"/>
            <w:noWrap/>
            <w:vAlign w:val="center"/>
            <w:hideMark/>
          </w:tcPr>
          <w:p w14:paraId="66C4DF3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57</w:t>
            </w:r>
          </w:p>
        </w:tc>
        <w:tc>
          <w:tcPr>
            <w:tcW w:w="581" w:type="dxa"/>
            <w:tcBorders>
              <w:top w:val="nil"/>
              <w:left w:val="nil"/>
              <w:bottom w:val="single" w:sz="8" w:space="0" w:color="DCDDDE"/>
              <w:right w:val="nil"/>
            </w:tcBorders>
            <w:shd w:val="clear" w:color="000000" w:fill="FFFFFF"/>
            <w:noWrap/>
            <w:vAlign w:val="center"/>
            <w:hideMark/>
          </w:tcPr>
          <w:p w14:paraId="29B4083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57</w:t>
            </w:r>
          </w:p>
        </w:tc>
        <w:tc>
          <w:tcPr>
            <w:tcW w:w="581" w:type="dxa"/>
            <w:tcBorders>
              <w:top w:val="nil"/>
              <w:left w:val="nil"/>
              <w:bottom w:val="single" w:sz="8" w:space="0" w:color="DCDDDE"/>
              <w:right w:val="nil"/>
            </w:tcBorders>
            <w:shd w:val="clear" w:color="000000" w:fill="FFFFFF"/>
            <w:noWrap/>
            <w:vAlign w:val="center"/>
            <w:hideMark/>
          </w:tcPr>
          <w:p w14:paraId="7AACDC0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57</w:t>
            </w:r>
          </w:p>
        </w:tc>
        <w:tc>
          <w:tcPr>
            <w:tcW w:w="581" w:type="dxa"/>
            <w:tcBorders>
              <w:top w:val="nil"/>
              <w:left w:val="nil"/>
              <w:bottom w:val="single" w:sz="8" w:space="0" w:color="DCDDDE"/>
              <w:right w:val="nil"/>
            </w:tcBorders>
            <w:shd w:val="clear" w:color="000000" w:fill="FFFFFF"/>
            <w:noWrap/>
            <w:vAlign w:val="center"/>
            <w:hideMark/>
          </w:tcPr>
          <w:p w14:paraId="548210D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1CCE1F7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2A9AEE8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14BC9A8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228070A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346E811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0E5A778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3FA8C77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48F9145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2" w:type="dxa"/>
            <w:tcBorders>
              <w:top w:val="nil"/>
              <w:left w:val="nil"/>
              <w:bottom w:val="single" w:sz="8" w:space="0" w:color="DCDDDE"/>
              <w:right w:val="nil"/>
            </w:tcBorders>
            <w:shd w:val="clear" w:color="000000" w:fill="FFFFFF"/>
            <w:noWrap/>
            <w:vAlign w:val="center"/>
            <w:hideMark/>
          </w:tcPr>
          <w:p w14:paraId="168F48D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r>
      <w:tr w:rsidR="00C97435" w:rsidRPr="009A6333" w14:paraId="46D228E8" w14:textId="77777777" w:rsidTr="00C97435">
        <w:trPr>
          <w:trHeight w:val="507"/>
          <w:jc w:val="center"/>
        </w:trPr>
        <w:tc>
          <w:tcPr>
            <w:tcW w:w="1741" w:type="dxa"/>
            <w:tcBorders>
              <w:top w:val="nil"/>
              <w:left w:val="nil"/>
              <w:bottom w:val="single" w:sz="8" w:space="0" w:color="DCDDDE"/>
              <w:right w:val="nil"/>
            </w:tcBorders>
            <w:shd w:val="clear" w:color="000000" w:fill="FFFFFF"/>
            <w:vAlign w:val="center"/>
            <w:hideMark/>
          </w:tcPr>
          <w:p w14:paraId="40E0251F"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Incentive Programs (Subtotal)</w:t>
            </w:r>
          </w:p>
        </w:tc>
        <w:tc>
          <w:tcPr>
            <w:tcW w:w="581" w:type="dxa"/>
            <w:tcBorders>
              <w:top w:val="nil"/>
              <w:left w:val="nil"/>
              <w:bottom w:val="single" w:sz="8" w:space="0" w:color="DCDDDE"/>
              <w:right w:val="nil"/>
            </w:tcBorders>
            <w:shd w:val="clear" w:color="000000" w:fill="FFFFFF"/>
            <w:noWrap/>
            <w:vAlign w:val="center"/>
            <w:hideMark/>
          </w:tcPr>
          <w:p w14:paraId="71FCFFE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892</w:t>
            </w:r>
          </w:p>
        </w:tc>
        <w:tc>
          <w:tcPr>
            <w:tcW w:w="581" w:type="dxa"/>
            <w:tcBorders>
              <w:top w:val="nil"/>
              <w:left w:val="nil"/>
              <w:bottom w:val="single" w:sz="8" w:space="0" w:color="DCDDDE"/>
              <w:right w:val="nil"/>
            </w:tcBorders>
            <w:shd w:val="clear" w:color="000000" w:fill="FFFFFF"/>
            <w:noWrap/>
            <w:vAlign w:val="center"/>
            <w:hideMark/>
          </w:tcPr>
          <w:p w14:paraId="11F26BD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999</w:t>
            </w:r>
          </w:p>
        </w:tc>
        <w:tc>
          <w:tcPr>
            <w:tcW w:w="581" w:type="dxa"/>
            <w:tcBorders>
              <w:top w:val="nil"/>
              <w:left w:val="nil"/>
              <w:bottom w:val="single" w:sz="8" w:space="0" w:color="DCDDDE"/>
              <w:right w:val="nil"/>
            </w:tcBorders>
            <w:shd w:val="clear" w:color="000000" w:fill="FFFFFF"/>
            <w:noWrap/>
            <w:vAlign w:val="center"/>
            <w:hideMark/>
          </w:tcPr>
          <w:p w14:paraId="1C1F8A4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1,003</w:t>
            </w:r>
          </w:p>
        </w:tc>
        <w:tc>
          <w:tcPr>
            <w:tcW w:w="581" w:type="dxa"/>
            <w:tcBorders>
              <w:top w:val="nil"/>
              <w:left w:val="nil"/>
              <w:bottom w:val="single" w:sz="8" w:space="0" w:color="DCDDDE"/>
              <w:right w:val="nil"/>
            </w:tcBorders>
            <w:shd w:val="clear" w:color="000000" w:fill="FFFFFF"/>
            <w:noWrap/>
            <w:vAlign w:val="center"/>
            <w:hideMark/>
          </w:tcPr>
          <w:p w14:paraId="010936C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1,082</w:t>
            </w:r>
          </w:p>
        </w:tc>
        <w:tc>
          <w:tcPr>
            <w:tcW w:w="581" w:type="dxa"/>
            <w:tcBorders>
              <w:top w:val="nil"/>
              <w:left w:val="nil"/>
              <w:bottom w:val="single" w:sz="8" w:space="0" w:color="DCDDDE"/>
              <w:right w:val="nil"/>
            </w:tcBorders>
            <w:shd w:val="clear" w:color="000000" w:fill="FFFFFF"/>
            <w:noWrap/>
            <w:vAlign w:val="center"/>
            <w:hideMark/>
          </w:tcPr>
          <w:p w14:paraId="5986B6A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1,123</w:t>
            </w:r>
          </w:p>
        </w:tc>
        <w:tc>
          <w:tcPr>
            <w:tcW w:w="581" w:type="dxa"/>
            <w:tcBorders>
              <w:top w:val="nil"/>
              <w:left w:val="nil"/>
              <w:bottom w:val="single" w:sz="8" w:space="0" w:color="DCDDDE"/>
              <w:right w:val="nil"/>
            </w:tcBorders>
            <w:shd w:val="clear" w:color="000000" w:fill="FFFFFF"/>
            <w:noWrap/>
            <w:vAlign w:val="center"/>
            <w:hideMark/>
          </w:tcPr>
          <w:p w14:paraId="201ACA8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1,165</w:t>
            </w:r>
          </w:p>
        </w:tc>
        <w:tc>
          <w:tcPr>
            <w:tcW w:w="581" w:type="dxa"/>
            <w:tcBorders>
              <w:top w:val="nil"/>
              <w:left w:val="nil"/>
              <w:bottom w:val="single" w:sz="8" w:space="0" w:color="DCDDDE"/>
              <w:right w:val="nil"/>
            </w:tcBorders>
            <w:shd w:val="clear" w:color="000000" w:fill="FFFFFF"/>
            <w:noWrap/>
            <w:vAlign w:val="center"/>
            <w:hideMark/>
          </w:tcPr>
          <w:p w14:paraId="3ED8DE3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1,225</w:t>
            </w:r>
          </w:p>
        </w:tc>
        <w:tc>
          <w:tcPr>
            <w:tcW w:w="581" w:type="dxa"/>
            <w:tcBorders>
              <w:top w:val="nil"/>
              <w:left w:val="nil"/>
              <w:bottom w:val="single" w:sz="8" w:space="0" w:color="DCDDDE"/>
              <w:right w:val="nil"/>
            </w:tcBorders>
            <w:shd w:val="clear" w:color="000000" w:fill="FFFFFF"/>
            <w:noWrap/>
            <w:vAlign w:val="center"/>
            <w:hideMark/>
          </w:tcPr>
          <w:p w14:paraId="20D17B6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1,282</w:t>
            </w:r>
          </w:p>
        </w:tc>
        <w:tc>
          <w:tcPr>
            <w:tcW w:w="581" w:type="dxa"/>
            <w:tcBorders>
              <w:top w:val="nil"/>
              <w:left w:val="nil"/>
              <w:bottom w:val="single" w:sz="8" w:space="0" w:color="DCDDDE"/>
              <w:right w:val="nil"/>
            </w:tcBorders>
            <w:shd w:val="clear" w:color="000000" w:fill="FFFFFF"/>
            <w:noWrap/>
            <w:vAlign w:val="center"/>
            <w:hideMark/>
          </w:tcPr>
          <w:p w14:paraId="1F79258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1,329</w:t>
            </w:r>
          </w:p>
        </w:tc>
        <w:tc>
          <w:tcPr>
            <w:tcW w:w="581" w:type="dxa"/>
            <w:tcBorders>
              <w:top w:val="nil"/>
              <w:left w:val="nil"/>
              <w:bottom w:val="single" w:sz="8" w:space="0" w:color="DCDDDE"/>
              <w:right w:val="nil"/>
            </w:tcBorders>
            <w:shd w:val="clear" w:color="000000" w:fill="FFFFFF"/>
            <w:noWrap/>
            <w:vAlign w:val="center"/>
            <w:hideMark/>
          </w:tcPr>
          <w:p w14:paraId="05A225A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1,367</w:t>
            </w:r>
          </w:p>
        </w:tc>
        <w:tc>
          <w:tcPr>
            <w:tcW w:w="581" w:type="dxa"/>
            <w:tcBorders>
              <w:top w:val="nil"/>
              <w:left w:val="nil"/>
              <w:bottom w:val="single" w:sz="8" w:space="0" w:color="DCDDDE"/>
              <w:right w:val="nil"/>
            </w:tcBorders>
            <w:shd w:val="clear" w:color="000000" w:fill="FFFFFF"/>
            <w:noWrap/>
            <w:vAlign w:val="center"/>
            <w:hideMark/>
          </w:tcPr>
          <w:p w14:paraId="388A6D0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1,408</w:t>
            </w:r>
          </w:p>
        </w:tc>
        <w:tc>
          <w:tcPr>
            <w:tcW w:w="581" w:type="dxa"/>
            <w:tcBorders>
              <w:top w:val="nil"/>
              <w:left w:val="nil"/>
              <w:bottom w:val="single" w:sz="8" w:space="0" w:color="DCDDDE"/>
              <w:right w:val="nil"/>
            </w:tcBorders>
            <w:shd w:val="clear" w:color="000000" w:fill="FFFFFF"/>
            <w:noWrap/>
            <w:vAlign w:val="center"/>
            <w:hideMark/>
          </w:tcPr>
          <w:p w14:paraId="3186643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1,445</w:t>
            </w:r>
          </w:p>
        </w:tc>
        <w:tc>
          <w:tcPr>
            <w:tcW w:w="582" w:type="dxa"/>
            <w:tcBorders>
              <w:top w:val="nil"/>
              <w:left w:val="nil"/>
              <w:bottom w:val="single" w:sz="8" w:space="0" w:color="DCDDDE"/>
              <w:right w:val="nil"/>
            </w:tcBorders>
            <w:shd w:val="clear" w:color="000000" w:fill="FFFFFF"/>
            <w:noWrap/>
            <w:vAlign w:val="center"/>
            <w:hideMark/>
          </w:tcPr>
          <w:p w14:paraId="0BBF595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1,476</w:t>
            </w:r>
          </w:p>
        </w:tc>
      </w:tr>
      <w:tr w:rsidR="00C97435" w:rsidRPr="009A6333" w14:paraId="0E275BE0" w14:textId="77777777" w:rsidTr="00C97435">
        <w:trPr>
          <w:trHeight w:val="193"/>
          <w:jc w:val="center"/>
        </w:trPr>
        <w:tc>
          <w:tcPr>
            <w:tcW w:w="1741" w:type="dxa"/>
            <w:tcBorders>
              <w:top w:val="nil"/>
              <w:left w:val="nil"/>
              <w:bottom w:val="single" w:sz="8" w:space="0" w:color="DCDDDE"/>
              <w:right w:val="nil"/>
            </w:tcBorders>
            <w:shd w:val="clear" w:color="000000" w:fill="FFFFFF"/>
            <w:vAlign w:val="center"/>
            <w:hideMark/>
          </w:tcPr>
          <w:p w14:paraId="077813C4"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C&amp;S*</w:t>
            </w:r>
          </w:p>
        </w:tc>
        <w:tc>
          <w:tcPr>
            <w:tcW w:w="581" w:type="dxa"/>
            <w:tcBorders>
              <w:top w:val="nil"/>
              <w:left w:val="nil"/>
              <w:bottom w:val="single" w:sz="8" w:space="0" w:color="DCDDDE"/>
              <w:right w:val="nil"/>
            </w:tcBorders>
            <w:shd w:val="clear" w:color="000000" w:fill="FFFFFF"/>
            <w:noWrap/>
            <w:vAlign w:val="center"/>
            <w:hideMark/>
          </w:tcPr>
          <w:p w14:paraId="249B049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1,212</w:t>
            </w:r>
          </w:p>
        </w:tc>
        <w:tc>
          <w:tcPr>
            <w:tcW w:w="581" w:type="dxa"/>
            <w:tcBorders>
              <w:top w:val="nil"/>
              <w:left w:val="nil"/>
              <w:bottom w:val="single" w:sz="8" w:space="0" w:color="DCDDDE"/>
              <w:right w:val="nil"/>
            </w:tcBorders>
            <w:shd w:val="clear" w:color="000000" w:fill="FFFFFF"/>
            <w:noWrap/>
            <w:vAlign w:val="center"/>
            <w:hideMark/>
          </w:tcPr>
          <w:p w14:paraId="6A0D070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1,257</w:t>
            </w:r>
          </w:p>
        </w:tc>
        <w:tc>
          <w:tcPr>
            <w:tcW w:w="581" w:type="dxa"/>
            <w:tcBorders>
              <w:top w:val="nil"/>
              <w:left w:val="nil"/>
              <w:bottom w:val="single" w:sz="8" w:space="0" w:color="DCDDDE"/>
              <w:right w:val="nil"/>
            </w:tcBorders>
            <w:shd w:val="clear" w:color="000000" w:fill="FFFFFF"/>
            <w:noWrap/>
            <w:vAlign w:val="center"/>
            <w:hideMark/>
          </w:tcPr>
          <w:p w14:paraId="10D2708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1,266</w:t>
            </w:r>
          </w:p>
        </w:tc>
        <w:tc>
          <w:tcPr>
            <w:tcW w:w="581" w:type="dxa"/>
            <w:tcBorders>
              <w:top w:val="nil"/>
              <w:left w:val="nil"/>
              <w:bottom w:val="single" w:sz="8" w:space="0" w:color="DCDDDE"/>
              <w:right w:val="nil"/>
            </w:tcBorders>
            <w:shd w:val="clear" w:color="000000" w:fill="FFFFFF"/>
            <w:noWrap/>
            <w:vAlign w:val="center"/>
            <w:hideMark/>
          </w:tcPr>
          <w:p w14:paraId="7433C99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1,304</w:t>
            </w:r>
          </w:p>
        </w:tc>
        <w:tc>
          <w:tcPr>
            <w:tcW w:w="581" w:type="dxa"/>
            <w:tcBorders>
              <w:top w:val="nil"/>
              <w:left w:val="nil"/>
              <w:bottom w:val="single" w:sz="8" w:space="0" w:color="DCDDDE"/>
              <w:right w:val="nil"/>
            </w:tcBorders>
            <w:shd w:val="clear" w:color="000000" w:fill="FFFFFF"/>
            <w:noWrap/>
            <w:vAlign w:val="center"/>
            <w:hideMark/>
          </w:tcPr>
          <w:p w14:paraId="01C9FBA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1,269</w:t>
            </w:r>
          </w:p>
        </w:tc>
        <w:tc>
          <w:tcPr>
            <w:tcW w:w="581" w:type="dxa"/>
            <w:tcBorders>
              <w:top w:val="nil"/>
              <w:left w:val="nil"/>
              <w:bottom w:val="single" w:sz="8" w:space="0" w:color="DCDDDE"/>
              <w:right w:val="nil"/>
            </w:tcBorders>
            <w:shd w:val="clear" w:color="000000" w:fill="FFFFFF"/>
            <w:noWrap/>
            <w:vAlign w:val="center"/>
            <w:hideMark/>
          </w:tcPr>
          <w:p w14:paraId="3CC70B8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1,406</w:t>
            </w:r>
          </w:p>
        </w:tc>
        <w:tc>
          <w:tcPr>
            <w:tcW w:w="581" w:type="dxa"/>
            <w:tcBorders>
              <w:top w:val="nil"/>
              <w:left w:val="nil"/>
              <w:bottom w:val="single" w:sz="8" w:space="0" w:color="DCDDDE"/>
              <w:right w:val="nil"/>
            </w:tcBorders>
            <w:shd w:val="clear" w:color="000000" w:fill="FFFFFF"/>
            <w:noWrap/>
            <w:vAlign w:val="center"/>
            <w:hideMark/>
          </w:tcPr>
          <w:p w14:paraId="3B1140A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1,347</w:t>
            </w:r>
          </w:p>
        </w:tc>
        <w:tc>
          <w:tcPr>
            <w:tcW w:w="581" w:type="dxa"/>
            <w:tcBorders>
              <w:top w:val="nil"/>
              <w:left w:val="nil"/>
              <w:bottom w:val="single" w:sz="8" w:space="0" w:color="DCDDDE"/>
              <w:right w:val="nil"/>
            </w:tcBorders>
            <w:shd w:val="clear" w:color="000000" w:fill="FFFFFF"/>
            <w:noWrap/>
            <w:vAlign w:val="center"/>
            <w:hideMark/>
          </w:tcPr>
          <w:p w14:paraId="1FEA7A5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1,299</w:t>
            </w:r>
          </w:p>
        </w:tc>
        <w:tc>
          <w:tcPr>
            <w:tcW w:w="581" w:type="dxa"/>
            <w:tcBorders>
              <w:top w:val="nil"/>
              <w:left w:val="nil"/>
              <w:bottom w:val="single" w:sz="8" w:space="0" w:color="DCDDDE"/>
              <w:right w:val="nil"/>
            </w:tcBorders>
            <w:shd w:val="clear" w:color="000000" w:fill="FFFFFF"/>
            <w:noWrap/>
            <w:vAlign w:val="center"/>
            <w:hideMark/>
          </w:tcPr>
          <w:p w14:paraId="016471D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1,218</w:t>
            </w:r>
          </w:p>
        </w:tc>
        <w:tc>
          <w:tcPr>
            <w:tcW w:w="581" w:type="dxa"/>
            <w:tcBorders>
              <w:top w:val="nil"/>
              <w:left w:val="nil"/>
              <w:bottom w:val="single" w:sz="8" w:space="0" w:color="DCDDDE"/>
              <w:right w:val="nil"/>
            </w:tcBorders>
            <w:shd w:val="clear" w:color="000000" w:fill="FFFFFF"/>
            <w:noWrap/>
            <w:vAlign w:val="center"/>
            <w:hideMark/>
          </w:tcPr>
          <w:p w14:paraId="056FFFD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1,173</w:t>
            </w:r>
          </w:p>
        </w:tc>
        <w:tc>
          <w:tcPr>
            <w:tcW w:w="581" w:type="dxa"/>
            <w:tcBorders>
              <w:top w:val="nil"/>
              <w:left w:val="nil"/>
              <w:bottom w:val="single" w:sz="8" w:space="0" w:color="DCDDDE"/>
              <w:right w:val="nil"/>
            </w:tcBorders>
            <w:shd w:val="clear" w:color="000000" w:fill="FFFFFF"/>
            <w:noWrap/>
            <w:vAlign w:val="center"/>
            <w:hideMark/>
          </w:tcPr>
          <w:p w14:paraId="34B7114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1,067</w:t>
            </w:r>
          </w:p>
        </w:tc>
        <w:tc>
          <w:tcPr>
            <w:tcW w:w="581" w:type="dxa"/>
            <w:tcBorders>
              <w:top w:val="nil"/>
              <w:left w:val="nil"/>
              <w:bottom w:val="single" w:sz="8" w:space="0" w:color="DCDDDE"/>
              <w:right w:val="nil"/>
            </w:tcBorders>
            <w:shd w:val="clear" w:color="000000" w:fill="FFFFFF"/>
            <w:noWrap/>
            <w:vAlign w:val="center"/>
            <w:hideMark/>
          </w:tcPr>
          <w:p w14:paraId="6E1DE5C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966</w:t>
            </w:r>
          </w:p>
        </w:tc>
        <w:tc>
          <w:tcPr>
            <w:tcW w:w="582" w:type="dxa"/>
            <w:tcBorders>
              <w:top w:val="nil"/>
              <w:left w:val="nil"/>
              <w:bottom w:val="single" w:sz="8" w:space="0" w:color="DCDDDE"/>
              <w:right w:val="nil"/>
            </w:tcBorders>
            <w:shd w:val="clear" w:color="000000" w:fill="FFFFFF"/>
            <w:noWrap/>
            <w:vAlign w:val="center"/>
            <w:hideMark/>
          </w:tcPr>
          <w:p w14:paraId="0C03F05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864</w:t>
            </w:r>
          </w:p>
        </w:tc>
      </w:tr>
      <w:tr w:rsidR="00C97435" w:rsidRPr="009A6333" w14:paraId="2334DAE5" w14:textId="77777777" w:rsidTr="00C97435">
        <w:trPr>
          <w:trHeight w:val="193"/>
          <w:jc w:val="center"/>
        </w:trPr>
        <w:tc>
          <w:tcPr>
            <w:tcW w:w="1741" w:type="dxa"/>
            <w:tcBorders>
              <w:top w:val="nil"/>
              <w:left w:val="nil"/>
              <w:bottom w:val="single" w:sz="8" w:space="0" w:color="DCDDDE"/>
              <w:right w:val="nil"/>
            </w:tcBorders>
            <w:shd w:val="clear" w:color="000000" w:fill="FFFFFF"/>
            <w:vAlign w:val="center"/>
            <w:hideMark/>
          </w:tcPr>
          <w:p w14:paraId="16FC4AF0"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Total</w:t>
            </w:r>
          </w:p>
        </w:tc>
        <w:tc>
          <w:tcPr>
            <w:tcW w:w="581" w:type="dxa"/>
            <w:tcBorders>
              <w:top w:val="nil"/>
              <w:left w:val="nil"/>
              <w:bottom w:val="single" w:sz="8" w:space="0" w:color="DCDDDE"/>
              <w:right w:val="nil"/>
            </w:tcBorders>
            <w:shd w:val="clear" w:color="000000" w:fill="FFFFFF"/>
            <w:noWrap/>
            <w:vAlign w:val="center"/>
            <w:hideMark/>
          </w:tcPr>
          <w:p w14:paraId="67D39341"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2,104</w:t>
            </w:r>
          </w:p>
        </w:tc>
        <w:tc>
          <w:tcPr>
            <w:tcW w:w="581" w:type="dxa"/>
            <w:tcBorders>
              <w:top w:val="nil"/>
              <w:left w:val="nil"/>
              <w:bottom w:val="single" w:sz="8" w:space="0" w:color="DCDDDE"/>
              <w:right w:val="nil"/>
            </w:tcBorders>
            <w:shd w:val="clear" w:color="000000" w:fill="FFFFFF"/>
            <w:noWrap/>
            <w:vAlign w:val="center"/>
            <w:hideMark/>
          </w:tcPr>
          <w:p w14:paraId="3AC51C0D"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2,256</w:t>
            </w:r>
          </w:p>
        </w:tc>
        <w:tc>
          <w:tcPr>
            <w:tcW w:w="581" w:type="dxa"/>
            <w:tcBorders>
              <w:top w:val="nil"/>
              <w:left w:val="nil"/>
              <w:bottom w:val="single" w:sz="8" w:space="0" w:color="DCDDDE"/>
              <w:right w:val="nil"/>
            </w:tcBorders>
            <w:shd w:val="clear" w:color="000000" w:fill="FFFFFF"/>
            <w:noWrap/>
            <w:vAlign w:val="center"/>
            <w:hideMark/>
          </w:tcPr>
          <w:p w14:paraId="36D1E6BB"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2,269</w:t>
            </w:r>
          </w:p>
        </w:tc>
        <w:tc>
          <w:tcPr>
            <w:tcW w:w="581" w:type="dxa"/>
            <w:tcBorders>
              <w:top w:val="nil"/>
              <w:left w:val="nil"/>
              <w:bottom w:val="single" w:sz="8" w:space="0" w:color="DCDDDE"/>
              <w:right w:val="nil"/>
            </w:tcBorders>
            <w:shd w:val="clear" w:color="000000" w:fill="FFFFFF"/>
            <w:noWrap/>
            <w:vAlign w:val="center"/>
            <w:hideMark/>
          </w:tcPr>
          <w:p w14:paraId="2D8D5CC4"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2,386</w:t>
            </w:r>
          </w:p>
        </w:tc>
        <w:tc>
          <w:tcPr>
            <w:tcW w:w="581" w:type="dxa"/>
            <w:tcBorders>
              <w:top w:val="nil"/>
              <w:left w:val="nil"/>
              <w:bottom w:val="single" w:sz="8" w:space="0" w:color="DCDDDE"/>
              <w:right w:val="nil"/>
            </w:tcBorders>
            <w:shd w:val="clear" w:color="000000" w:fill="FFFFFF"/>
            <w:noWrap/>
            <w:vAlign w:val="center"/>
            <w:hideMark/>
          </w:tcPr>
          <w:p w14:paraId="232C93F6"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2,392</w:t>
            </w:r>
          </w:p>
        </w:tc>
        <w:tc>
          <w:tcPr>
            <w:tcW w:w="581" w:type="dxa"/>
            <w:tcBorders>
              <w:top w:val="nil"/>
              <w:left w:val="nil"/>
              <w:bottom w:val="single" w:sz="8" w:space="0" w:color="DCDDDE"/>
              <w:right w:val="nil"/>
            </w:tcBorders>
            <w:shd w:val="clear" w:color="000000" w:fill="FFFFFF"/>
            <w:noWrap/>
            <w:vAlign w:val="center"/>
            <w:hideMark/>
          </w:tcPr>
          <w:p w14:paraId="00350629"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2,572</w:t>
            </w:r>
          </w:p>
        </w:tc>
        <w:tc>
          <w:tcPr>
            <w:tcW w:w="581" w:type="dxa"/>
            <w:tcBorders>
              <w:top w:val="nil"/>
              <w:left w:val="nil"/>
              <w:bottom w:val="single" w:sz="8" w:space="0" w:color="DCDDDE"/>
              <w:right w:val="nil"/>
            </w:tcBorders>
            <w:shd w:val="clear" w:color="000000" w:fill="FFFFFF"/>
            <w:noWrap/>
            <w:vAlign w:val="center"/>
            <w:hideMark/>
          </w:tcPr>
          <w:p w14:paraId="0D39F271"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2,572</w:t>
            </w:r>
          </w:p>
        </w:tc>
        <w:tc>
          <w:tcPr>
            <w:tcW w:w="581" w:type="dxa"/>
            <w:tcBorders>
              <w:top w:val="nil"/>
              <w:left w:val="nil"/>
              <w:bottom w:val="single" w:sz="8" w:space="0" w:color="DCDDDE"/>
              <w:right w:val="nil"/>
            </w:tcBorders>
            <w:shd w:val="clear" w:color="000000" w:fill="FFFFFF"/>
            <w:noWrap/>
            <w:vAlign w:val="center"/>
            <w:hideMark/>
          </w:tcPr>
          <w:p w14:paraId="03169E97"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2,581</w:t>
            </w:r>
          </w:p>
        </w:tc>
        <w:tc>
          <w:tcPr>
            <w:tcW w:w="581" w:type="dxa"/>
            <w:tcBorders>
              <w:top w:val="nil"/>
              <w:left w:val="nil"/>
              <w:bottom w:val="single" w:sz="8" w:space="0" w:color="DCDDDE"/>
              <w:right w:val="nil"/>
            </w:tcBorders>
            <w:shd w:val="clear" w:color="000000" w:fill="FFFFFF"/>
            <w:noWrap/>
            <w:vAlign w:val="center"/>
            <w:hideMark/>
          </w:tcPr>
          <w:p w14:paraId="15CEB7ED"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2,547</w:t>
            </w:r>
          </w:p>
        </w:tc>
        <w:tc>
          <w:tcPr>
            <w:tcW w:w="581" w:type="dxa"/>
            <w:tcBorders>
              <w:top w:val="nil"/>
              <w:left w:val="nil"/>
              <w:bottom w:val="single" w:sz="8" w:space="0" w:color="DCDDDE"/>
              <w:right w:val="nil"/>
            </w:tcBorders>
            <w:shd w:val="clear" w:color="000000" w:fill="FFFFFF"/>
            <w:noWrap/>
            <w:vAlign w:val="center"/>
            <w:hideMark/>
          </w:tcPr>
          <w:p w14:paraId="3672C8B5"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2,540</w:t>
            </w:r>
          </w:p>
        </w:tc>
        <w:tc>
          <w:tcPr>
            <w:tcW w:w="581" w:type="dxa"/>
            <w:tcBorders>
              <w:top w:val="nil"/>
              <w:left w:val="nil"/>
              <w:bottom w:val="single" w:sz="8" w:space="0" w:color="DCDDDE"/>
              <w:right w:val="nil"/>
            </w:tcBorders>
            <w:shd w:val="clear" w:color="000000" w:fill="FFFFFF"/>
            <w:noWrap/>
            <w:vAlign w:val="center"/>
            <w:hideMark/>
          </w:tcPr>
          <w:p w14:paraId="6C8AA7DE"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2,475</w:t>
            </w:r>
          </w:p>
        </w:tc>
        <w:tc>
          <w:tcPr>
            <w:tcW w:w="581" w:type="dxa"/>
            <w:tcBorders>
              <w:top w:val="nil"/>
              <w:left w:val="nil"/>
              <w:bottom w:val="single" w:sz="8" w:space="0" w:color="DCDDDE"/>
              <w:right w:val="nil"/>
            </w:tcBorders>
            <w:shd w:val="clear" w:color="000000" w:fill="FFFFFF"/>
            <w:noWrap/>
            <w:vAlign w:val="center"/>
            <w:hideMark/>
          </w:tcPr>
          <w:p w14:paraId="1E56D315"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2,411</w:t>
            </w:r>
          </w:p>
        </w:tc>
        <w:tc>
          <w:tcPr>
            <w:tcW w:w="582" w:type="dxa"/>
            <w:tcBorders>
              <w:top w:val="nil"/>
              <w:left w:val="nil"/>
              <w:bottom w:val="single" w:sz="8" w:space="0" w:color="DCDDDE"/>
              <w:right w:val="nil"/>
            </w:tcBorders>
            <w:shd w:val="clear" w:color="000000" w:fill="FFFFFF"/>
            <w:noWrap/>
            <w:vAlign w:val="center"/>
            <w:hideMark/>
          </w:tcPr>
          <w:p w14:paraId="03EC819B"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2,340</w:t>
            </w:r>
          </w:p>
        </w:tc>
      </w:tr>
      <w:tr w:rsidR="009A6333" w:rsidRPr="009A6333" w14:paraId="4A18182F" w14:textId="77777777" w:rsidTr="00C97435">
        <w:trPr>
          <w:trHeight w:val="193"/>
          <w:jc w:val="center"/>
        </w:trPr>
        <w:tc>
          <w:tcPr>
            <w:tcW w:w="9299" w:type="dxa"/>
            <w:gridSpan w:val="14"/>
            <w:tcBorders>
              <w:top w:val="single" w:sz="8" w:space="0" w:color="DCDDDE"/>
              <w:left w:val="nil"/>
              <w:bottom w:val="single" w:sz="8" w:space="0" w:color="DCDDDE"/>
              <w:right w:val="nil"/>
            </w:tcBorders>
            <w:shd w:val="clear" w:color="000000" w:fill="DADADA"/>
            <w:noWrap/>
            <w:vAlign w:val="center"/>
            <w:hideMark/>
          </w:tcPr>
          <w:p w14:paraId="3DBE56E3"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mTRC (GHG adder 1) | Reference</w:t>
            </w:r>
          </w:p>
        </w:tc>
      </w:tr>
      <w:tr w:rsidR="00C97435" w:rsidRPr="009A6333" w14:paraId="526CBD87" w14:textId="77777777" w:rsidTr="00C97435">
        <w:trPr>
          <w:trHeight w:val="341"/>
          <w:jc w:val="center"/>
        </w:trPr>
        <w:tc>
          <w:tcPr>
            <w:tcW w:w="1741" w:type="dxa"/>
            <w:tcBorders>
              <w:top w:val="nil"/>
              <w:left w:val="nil"/>
              <w:bottom w:val="single" w:sz="8" w:space="0" w:color="DCDDDE"/>
              <w:right w:val="nil"/>
            </w:tcBorders>
            <w:shd w:val="clear" w:color="000000" w:fill="FFFFFF"/>
            <w:vAlign w:val="center"/>
            <w:hideMark/>
          </w:tcPr>
          <w:p w14:paraId="19649520"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Equipment Rebates</w:t>
            </w:r>
          </w:p>
        </w:tc>
        <w:tc>
          <w:tcPr>
            <w:tcW w:w="581" w:type="dxa"/>
            <w:tcBorders>
              <w:top w:val="nil"/>
              <w:left w:val="nil"/>
              <w:bottom w:val="single" w:sz="8" w:space="0" w:color="DCDDDE"/>
              <w:right w:val="nil"/>
            </w:tcBorders>
            <w:shd w:val="clear" w:color="000000" w:fill="FFFFFF"/>
            <w:noWrap/>
            <w:vAlign w:val="center"/>
            <w:hideMark/>
          </w:tcPr>
          <w:p w14:paraId="42B99C2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654</w:t>
            </w:r>
          </w:p>
        </w:tc>
        <w:tc>
          <w:tcPr>
            <w:tcW w:w="581" w:type="dxa"/>
            <w:tcBorders>
              <w:top w:val="nil"/>
              <w:left w:val="nil"/>
              <w:bottom w:val="single" w:sz="8" w:space="0" w:color="DCDDDE"/>
              <w:right w:val="nil"/>
            </w:tcBorders>
            <w:shd w:val="clear" w:color="000000" w:fill="FFFFFF"/>
            <w:noWrap/>
            <w:vAlign w:val="center"/>
            <w:hideMark/>
          </w:tcPr>
          <w:p w14:paraId="65A77DF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700</w:t>
            </w:r>
          </w:p>
        </w:tc>
        <w:tc>
          <w:tcPr>
            <w:tcW w:w="581" w:type="dxa"/>
            <w:tcBorders>
              <w:top w:val="nil"/>
              <w:left w:val="nil"/>
              <w:bottom w:val="single" w:sz="8" w:space="0" w:color="DCDDDE"/>
              <w:right w:val="nil"/>
            </w:tcBorders>
            <w:shd w:val="clear" w:color="000000" w:fill="FFFFFF"/>
            <w:noWrap/>
            <w:vAlign w:val="center"/>
            <w:hideMark/>
          </w:tcPr>
          <w:p w14:paraId="6598871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669</w:t>
            </w:r>
          </w:p>
        </w:tc>
        <w:tc>
          <w:tcPr>
            <w:tcW w:w="581" w:type="dxa"/>
            <w:tcBorders>
              <w:top w:val="nil"/>
              <w:left w:val="nil"/>
              <w:bottom w:val="single" w:sz="8" w:space="0" w:color="DCDDDE"/>
              <w:right w:val="nil"/>
            </w:tcBorders>
            <w:shd w:val="clear" w:color="000000" w:fill="FFFFFF"/>
            <w:noWrap/>
            <w:vAlign w:val="center"/>
            <w:hideMark/>
          </w:tcPr>
          <w:p w14:paraId="2783115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758</w:t>
            </w:r>
          </w:p>
        </w:tc>
        <w:tc>
          <w:tcPr>
            <w:tcW w:w="581" w:type="dxa"/>
            <w:tcBorders>
              <w:top w:val="nil"/>
              <w:left w:val="nil"/>
              <w:bottom w:val="single" w:sz="8" w:space="0" w:color="DCDDDE"/>
              <w:right w:val="nil"/>
            </w:tcBorders>
            <w:shd w:val="clear" w:color="000000" w:fill="FFFFFF"/>
            <w:noWrap/>
            <w:vAlign w:val="center"/>
            <w:hideMark/>
          </w:tcPr>
          <w:p w14:paraId="6A3DE35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768</w:t>
            </w:r>
          </w:p>
        </w:tc>
        <w:tc>
          <w:tcPr>
            <w:tcW w:w="581" w:type="dxa"/>
            <w:tcBorders>
              <w:top w:val="nil"/>
              <w:left w:val="nil"/>
              <w:bottom w:val="single" w:sz="8" w:space="0" w:color="DCDDDE"/>
              <w:right w:val="nil"/>
            </w:tcBorders>
            <w:shd w:val="clear" w:color="000000" w:fill="FFFFFF"/>
            <w:noWrap/>
            <w:vAlign w:val="center"/>
            <w:hideMark/>
          </w:tcPr>
          <w:p w14:paraId="63486B0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789</w:t>
            </w:r>
          </w:p>
        </w:tc>
        <w:tc>
          <w:tcPr>
            <w:tcW w:w="581" w:type="dxa"/>
            <w:tcBorders>
              <w:top w:val="nil"/>
              <w:left w:val="nil"/>
              <w:bottom w:val="single" w:sz="8" w:space="0" w:color="DCDDDE"/>
              <w:right w:val="nil"/>
            </w:tcBorders>
            <w:shd w:val="clear" w:color="000000" w:fill="FFFFFF"/>
            <w:noWrap/>
            <w:vAlign w:val="center"/>
            <w:hideMark/>
          </w:tcPr>
          <w:p w14:paraId="6C3F029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818</w:t>
            </w:r>
          </w:p>
        </w:tc>
        <w:tc>
          <w:tcPr>
            <w:tcW w:w="581" w:type="dxa"/>
            <w:tcBorders>
              <w:top w:val="nil"/>
              <w:left w:val="nil"/>
              <w:bottom w:val="single" w:sz="8" w:space="0" w:color="DCDDDE"/>
              <w:right w:val="nil"/>
            </w:tcBorders>
            <w:shd w:val="clear" w:color="000000" w:fill="FFFFFF"/>
            <w:noWrap/>
            <w:vAlign w:val="center"/>
            <w:hideMark/>
          </w:tcPr>
          <w:p w14:paraId="4853889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832</w:t>
            </w:r>
          </w:p>
        </w:tc>
        <w:tc>
          <w:tcPr>
            <w:tcW w:w="581" w:type="dxa"/>
            <w:tcBorders>
              <w:top w:val="nil"/>
              <w:left w:val="nil"/>
              <w:bottom w:val="single" w:sz="8" w:space="0" w:color="DCDDDE"/>
              <w:right w:val="nil"/>
            </w:tcBorders>
            <w:shd w:val="clear" w:color="000000" w:fill="FFFFFF"/>
            <w:noWrap/>
            <w:vAlign w:val="center"/>
            <w:hideMark/>
          </w:tcPr>
          <w:p w14:paraId="47ACD19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836</w:t>
            </w:r>
          </w:p>
        </w:tc>
        <w:tc>
          <w:tcPr>
            <w:tcW w:w="581" w:type="dxa"/>
            <w:tcBorders>
              <w:top w:val="nil"/>
              <w:left w:val="nil"/>
              <w:bottom w:val="single" w:sz="8" w:space="0" w:color="DCDDDE"/>
              <w:right w:val="nil"/>
            </w:tcBorders>
            <w:shd w:val="clear" w:color="000000" w:fill="FFFFFF"/>
            <w:noWrap/>
            <w:vAlign w:val="center"/>
            <w:hideMark/>
          </w:tcPr>
          <w:p w14:paraId="4BF07C0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839</w:t>
            </w:r>
          </w:p>
        </w:tc>
        <w:tc>
          <w:tcPr>
            <w:tcW w:w="581" w:type="dxa"/>
            <w:tcBorders>
              <w:top w:val="nil"/>
              <w:left w:val="nil"/>
              <w:bottom w:val="single" w:sz="8" w:space="0" w:color="DCDDDE"/>
              <w:right w:val="nil"/>
            </w:tcBorders>
            <w:shd w:val="clear" w:color="000000" w:fill="FFFFFF"/>
            <w:noWrap/>
            <w:vAlign w:val="center"/>
            <w:hideMark/>
          </w:tcPr>
          <w:p w14:paraId="63D3A01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846</w:t>
            </w:r>
          </w:p>
        </w:tc>
        <w:tc>
          <w:tcPr>
            <w:tcW w:w="581" w:type="dxa"/>
            <w:tcBorders>
              <w:top w:val="nil"/>
              <w:left w:val="nil"/>
              <w:bottom w:val="single" w:sz="8" w:space="0" w:color="DCDDDE"/>
              <w:right w:val="nil"/>
            </w:tcBorders>
            <w:shd w:val="clear" w:color="000000" w:fill="FFFFFF"/>
            <w:noWrap/>
            <w:vAlign w:val="center"/>
            <w:hideMark/>
          </w:tcPr>
          <w:p w14:paraId="48B07F7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854</w:t>
            </w:r>
          </w:p>
        </w:tc>
        <w:tc>
          <w:tcPr>
            <w:tcW w:w="582" w:type="dxa"/>
            <w:tcBorders>
              <w:top w:val="nil"/>
              <w:left w:val="nil"/>
              <w:bottom w:val="single" w:sz="8" w:space="0" w:color="DCDDDE"/>
              <w:right w:val="nil"/>
            </w:tcBorders>
            <w:shd w:val="clear" w:color="000000" w:fill="FFFFFF"/>
            <w:noWrap/>
            <w:vAlign w:val="center"/>
            <w:hideMark/>
          </w:tcPr>
          <w:p w14:paraId="3618046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851</w:t>
            </w:r>
          </w:p>
        </w:tc>
      </w:tr>
      <w:tr w:rsidR="00C97435" w:rsidRPr="009A6333" w14:paraId="460C7433" w14:textId="77777777" w:rsidTr="00C97435">
        <w:trPr>
          <w:trHeight w:val="193"/>
          <w:jc w:val="center"/>
        </w:trPr>
        <w:tc>
          <w:tcPr>
            <w:tcW w:w="1741" w:type="dxa"/>
            <w:tcBorders>
              <w:top w:val="nil"/>
              <w:left w:val="nil"/>
              <w:bottom w:val="single" w:sz="8" w:space="0" w:color="DCDDDE"/>
              <w:right w:val="nil"/>
            </w:tcBorders>
            <w:shd w:val="clear" w:color="000000" w:fill="FFFFFF"/>
            <w:vAlign w:val="center"/>
            <w:hideMark/>
          </w:tcPr>
          <w:p w14:paraId="30AFB80A"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BROs</w:t>
            </w:r>
          </w:p>
        </w:tc>
        <w:tc>
          <w:tcPr>
            <w:tcW w:w="581" w:type="dxa"/>
            <w:tcBorders>
              <w:top w:val="nil"/>
              <w:left w:val="nil"/>
              <w:bottom w:val="single" w:sz="8" w:space="0" w:color="DCDDDE"/>
              <w:right w:val="nil"/>
            </w:tcBorders>
            <w:shd w:val="clear" w:color="000000" w:fill="FFFFFF"/>
            <w:noWrap/>
            <w:vAlign w:val="center"/>
            <w:hideMark/>
          </w:tcPr>
          <w:p w14:paraId="603422D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213</w:t>
            </w:r>
          </w:p>
        </w:tc>
        <w:tc>
          <w:tcPr>
            <w:tcW w:w="581" w:type="dxa"/>
            <w:tcBorders>
              <w:top w:val="nil"/>
              <w:left w:val="nil"/>
              <w:bottom w:val="single" w:sz="8" w:space="0" w:color="DCDDDE"/>
              <w:right w:val="nil"/>
            </w:tcBorders>
            <w:shd w:val="clear" w:color="000000" w:fill="FFFFFF"/>
            <w:noWrap/>
            <w:vAlign w:val="center"/>
            <w:hideMark/>
          </w:tcPr>
          <w:p w14:paraId="4B2A39D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270</w:t>
            </w:r>
          </w:p>
        </w:tc>
        <w:tc>
          <w:tcPr>
            <w:tcW w:w="581" w:type="dxa"/>
            <w:tcBorders>
              <w:top w:val="nil"/>
              <w:left w:val="nil"/>
              <w:bottom w:val="single" w:sz="8" w:space="0" w:color="DCDDDE"/>
              <w:right w:val="nil"/>
            </w:tcBorders>
            <w:shd w:val="clear" w:color="000000" w:fill="FFFFFF"/>
            <w:noWrap/>
            <w:vAlign w:val="center"/>
            <w:hideMark/>
          </w:tcPr>
          <w:p w14:paraId="2DFA113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302</w:t>
            </w:r>
          </w:p>
        </w:tc>
        <w:tc>
          <w:tcPr>
            <w:tcW w:w="581" w:type="dxa"/>
            <w:tcBorders>
              <w:top w:val="nil"/>
              <w:left w:val="nil"/>
              <w:bottom w:val="single" w:sz="8" w:space="0" w:color="DCDDDE"/>
              <w:right w:val="nil"/>
            </w:tcBorders>
            <w:shd w:val="clear" w:color="000000" w:fill="FFFFFF"/>
            <w:noWrap/>
            <w:vAlign w:val="center"/>
            <w:hideMark/>
          </w:tcPr>
          <w:p w14:paraId="6D72A36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338</w:t>
            </w:r>
          </w:p>
        </w:tc>
        <w:tc>
          <w:tcPr>
            <w:tcW w:w="581" w:type="dxa"/>
            <w:tcBorders>
              <w:top w:val="nil"/>
              <w:left w:val="nil"/>
              <w:bottom w:val="single" w:sz="8" w:space="0" w:color="DCDDDE"/>
              <w:right w:val="nil"/>
            </w:tcBorders>
            <w:shd w:val="clear" w:color="000000" w:fill="FFFFFF"/>
            <w:noWrap/>
            <w:vAlign w:val="center"/>
            <w:hideMark/>
          </w:tcPr>
          <w:p w14:paraId="61F4548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363</w:t>
            </w:r>
          </w:p>
        </w:tc>
        <w:tc>
          <w:tcPr>
            <w:tcW w:w="581" w:type="dxa"/>
            <w:tcBorders>
              <w:top w:val="nil"/>
              <w:left w:val="nil"/>
              <w:bottom w:val="single" w:sz="8" w:space="0" w:color="DCDDDE"/>
              <w:right w:val="nil"/>
            </w:tcBorders>
            <w:shd w:val="clear" w:color="000000" w:fill="FFFFFF"/>
            <w:noWrap/>
            <w:vAlign w:val="center"/>
            <w:hideMark/>
          </w:tcPr>
          <w:p w14:paraId="755BA74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388</w:t>
            </w:r>
          </w:p>
        </w:tc>
        <w:tc>
          <w:tcPr>
            <w:tcW w:w="581" w:type="dxa"/>
            <w:tcBorders>
              <w:top w:val="nil"/>
              <w:left w:val="nil"/>
              <w:bottom w:val="single" w:sz="8" w:space="0" w:color="DCDDDE"/>
              <w:right w:val="nil"/>
            </w:tcBorders>
            <w:shd w:val="clear" w:color="000000" w:fill="FFFFFF"/>
            <w:noWrap/>
            <w:vAlign w:val="center"/>
            <w:hideMark/>
          </w:tcPr>
          <w:p w14:paraId="582CCEF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414</w:t>
            </w:r>
          </w:p>
        </w:tc>
        <w:tc>
          <w:tcPr>
            <w:tcW w:w="581" w:type="dxa"/>
            <w:tcBorders>
              <w:top w:val="nil"/>
              <w:left w:val="nil"/>
              <w:bottom w:val="single" w:sz="8" w:space="0" w:color="DCDDDE"/>
              <w:right w:val="nil"/>
            </w:tcBorders>
            <w:shd w:val="clear" w:color="000000" w:fill="FFFFFF"/>
            <w:noWrap/>
            <w:vAlign w:val="center"/>
            <w:hideMark/>
          </w:tcPr>
          <w:p w14:paraId="4A0BDB7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451</w:t>
            </w:r>
          </w:p>
        </w:tc>
        <w:tc>
          <w:tcPr>
            <w:tcW w:w="581" w:type="dxa"/>
            <w:tcBorders>
              <w:top w:val="nil"/>
              <w:left w:val="nil"/>
              <w:bottom w:val="single" w:sz="8" w:space="0" w:color="DCDDDE"/>
              <w:right w:val="nil"/>
            </w:tcBorders>
            <w:shd w:val="clear" w:color="000000" w:fill="FFFFFF"/>
            <w:noWrap/>
            <w:vAlign w:val="center"/>
            <w:hideMark/>
          </w:tcPr>
          <w:p w14:paraId="43EFAEB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482</w:t>
            </w:r>
          </w:p>
        </w:tc>
        <w:tc>
          <w:tcPr>
            <w:tcW w:w="581" w:type="dxa"/>
            <w:tcBorders>
              <w:top w:val="nil"/>
              <w:left w:val="nil"/>
              <w:bottom w:val="single" w:sz="8" w:space="0" w:color="DCDDDE"/>
              <w:right w:val="nil"/>
            </w:tcBorders>
            <w:shd w:val="clear" w:color="000000" w:fill="FFFFFF"/>
            <w:noWrap/>
            <w:vAlign w:val="center"/>
            <w:hideMark/>
          </w:tcPr>
          <w:p w14:paraId="5D0D67D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514</w:t>
            </w:r>
          </w:p>
        </w:tc>
        <w:tc>
          <w:tcPr>
            <w:tcW w:w="581" w:type="dxa"/>
            <w:tcBorders>
              <w:top w:val="nil"/>
              <w:left w:val="nil"/>
              <w:bottom w:val="single" w:sz="8" w:space="0" w:color="DCDDDE"/>
              <w:right w:val="nil"/>
            </w:tcBorders>
            <w:shd w:val="clear" w:color="000000" w:fill="FFFFFF"/>
            <w:noWrap/>
            <w:vAlign w:val="center"/>
            <w:hideMark/>
          </w:tcPr>
          <w:p w14:paraId="665544A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547</w:t>
            </w:r>
          </w:p>
        </w:tc>
        <w:tc>
          <w:tcPr>
            <w:tcW w:w="581" w:type="dxa"/>
            <w:tcBorders>
              <w:top w:val="nil"/>
              <w:left w:val="nil"/>
              <w:bottom w:val="single" w:sz="8" w:space="0" w:color="DCDDDE"/>
              <w:right w:val="nil"/>
            </w:tcBorders>
            <w:shd w:val="clear" w:color="000000" w:fill="FFFFFF"/>
            <w:noWrap/>
            <w:vAlign w:val="center"/>
            <w:hideMark/>
          </w:tcPr>
          <w:p w14:paraId="703862B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582</w:t>
            </w:r>
          </w:p>
        </w:tc>
        <w:tc>
          <w:tcPr>
            <w:tcW w:w="582" w:type="dxa"/>
            <w:tcBorders>
              <w:top w:val="nil"/>
              <w:left w:val="nil"/>
              <w:bottom w:val="single" w:sz="8" w:space="0" w:color="DCDDDE"/>
              <w:right w:val="nil"/>
            </w:tcBorders>
            <w:shd w:val="clear" w:color="000000" w:fill="FFFFFF"/>
            <w:noWrap/>
            <w:vAlign w:val="center"/>
            <w:hideMark/>
          </w:tcPr>
          <w:p w14:paraId="3E2FACF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613</w:t>
            </w:r>
          </w:p>
        </w:tc>
      </w:tr>
      <w:tr w:rsidR="00C97435" w:rsidRPr="009A6333" w14:paraId="7A1A02D3" w14:textId="77777777" w:rsidTr="00C97435">
        <w:trPr>
          <w:trHeight w:val="193"/>
          <w:jc w:val="center"/>
        </w:trPr>
        <w:tc>
          <w:tcPr>
            <w:tcW w:w="1741" w:type="dxa"/>
            <w:tcBorders>
              <w:top w:val="nil"/>
              <w:left w:val="nil"/>
              <w:bottom w:val="single" w:sz="8" w:space="0" w:color="DCDDDE"/>
              <w:right w:val="nil"/>
            </w:tcBorders>
            <w:shd w:val="clear" w:color="000000" w:fill="FFFFFF"/>
            <w:vAlign w:val="center"/>
            <w:hideMark/>
          </w:tcPr>
          <w:p w14:paraId="66D29FE4"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Low Income</w:t>
            </w:r>
          </w:p>
        </w:tc>
        <w:tc>
          <w:tcPr>
            <w:tcW w:w="581" w:type="dxa"/>
            <w:tcBorders>
              <w:top w:val="nil"/>
              <w:left w:val="nil"/>
              <w:bottom w:val="single" w:sz="8" w:space="0" w:color="DCDDDE"/>
              <w:right w:val="nil"/>
            </w:tcBorders>
            <w:shd w:val="clear" w:color="000000" w:fill="FFFFFF"/>
            <w:noWrap/>
            <w:vAlign w:val="center"/>
            <w:hideMark/>
          </w:tcPr>
          <w:p w14:paraId="394CE61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57</w:t>
            </w:r>
          </w:p>
        </w:tc>
        <w:tc>
          <w:tcPr>
            <w:tcW w:w="581" w:type="dxa"/>
            <w:tcBorders>
              <w:top w:val="nil"/>
              <w:left w:val="nil"/>
              <w:bottom w:val="single" w:sz="8" w:space="0" w:color="DCDDDE"/>
              <w:right w:val="nil"/>
            </w:tcBorders>
            <w:shd w:val="clear" w:color="000000" w:fill="FFFFFF"/>
            <w:noWrap/>
            <w:vAlign w:val="center"/>
            <w:hideMark/>
          </w:tcPr>
          <w:p w14:paraId="5623C84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57</w:t>
            </w:r>
          </w:p>
        </w:tc>
        <w:tc>
          <w:tcPr>
            <w:tcW w:w="581" w:type="dxa"/>
            <w:tcBorders>
              <w:top w:val="nil"/>
              <w:left w:val="nil"/>
              <w:bottom w:val="single" w:sz="8" w:space="0" w:color="DCDDDE"/>
              <w:right w:val="nil"/>
            </w:tcBorders>
            <w:shd w:val="clear" w:color="000000" w:fill="FFFFFF"/>
            <w:noWrap/>
            <w:vAlign w:val="center"/>
            <w:hideMark/>
          </w:tcPr>
          <w:p w14:paraId="35C780B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57</w:t>
            </w:r>
          </w:p>
        </w:tc>
        <w:tc>
          <w:tcPr>
            <w:tcW w:w="581" w:type="dxa"/>
            <w:tcBorders>
              <w:top w:val="nil"/>
              <w:left w:val="nil"/>
              <w:bottom w:val="single" w:sz="8" w:space="0" w:color="DCDDDE"/>
              <w:right w:val="nil"/>
            </w:tcBorders>
            <w:shd w:val="clear" w:color="000000" w:fill="FFFFFF"/>
            <w:noWrap/>
            <w:vAlign w:val="center"/>
            <w:hideMark/>
          </w:tcPr>
          <w:p w14:paraId="41A2EC4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224EAE1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3F7A7E5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594D36A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0236923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029410E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0558A43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349FC07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6FA7712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2" w:type="dxa"/>
            <w:tcBorders>
              <w:top w:val="nil"/>
              <w:left w:val="nil"/>
              <w:bottom w:val="single" w:sz="8" w:space="0" w:color="DCDDDE"/>
              <w:right w:val="nil"/>
            </w:tcBorders>
            <w:shd w:val="clear" w:color="000000" w:fill="FFFFFF"/>
            <w:noWrap/>
            <w:vAlign w:val="center"/>
            <w:hideMark/>
          </w:tcPr>
          <w:p w14:paraId="05ADDD9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r>
      <w:tr w:rsidR="00C97435" w:rsidRPr="009A6333" w14:paraId="06F6AA21" w14:textId="77777777" w:rsidTr="00C97435">
        <w:trPr>
          <w:trHeight w:val="507"/>
          <w:jc w:val="center"/>
        </w:trPr>
        <w:tc>
          <w:tcPr>
            <w:tcW w:w="1741" w:type="dxa"/>
            <w:tcBorders>
              <w:top w:val="nil"/>
              <w:left w:val="nil"/>
              <w:bottom w:val="single" w:sz="8" w:space="0" w:color="DCDDDE"/>
              <w:right w:val="nil"/>
            </w:tcBorders>
            <w:shd w:val="clear" w:color="000000" w:fill="FFFFFF"/>
            <w:vAlign w:val="center"/>
            <w:hideMark/>
          </w:tcPr>
          <w:p w14:paraId="52EB6238"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Incentive Programs (Subtotal)</w:t>
            </w:r>
          </w:p>
        </w:tc>
        <w:tc>
          <w:tcPr>
            <w:tcW w:w="581" w:type="dxa"/>
            <w:tcBorders>
              <w:top w:val="nil"/>
              <w:left w:val="nil"/>
              <w:bottom w:val="single" w:sz="8" w:space="0" w:color="DCDDDE"/>
              <w:right w:val="nil"/>
            </w:tcBorders>
            <w:shd w:val="clear" w:color="000000" w:fill="FFFFFF"/>
            <w:noWrap/>
            <w:vAlign w:val="center"/>
            <w:hideMark/>
          </w:tcPr>
          <w:p w14:paraId="2B23EB1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924</w:t>
            </w:r>
          </w:p>
        </w:tc>
        <w:tc>
          <w:tcPr>
            <w:tcW w:w="581" w:type="dxa"/>
            <w:tcBorders>
              <w:top w:val="nil"/>
              <w:left w:val="nil"/>
              <w:bottom w:val="single" w:sz="8" w:space="0" w:color="DCDDDE"/>
              <w:right w:val="nil"/>
            </w:tcBorders>
            <w:shd w:val="clear" w:color="000000" w:fill="FFFFFF"/>
            <w:noWrap/>
            <w:vAlign w:val="center"/>
            <w:hideMark/>
          </w:tcPr>
          <w:p w14:paraId="1BFDB42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1,027</w:t>
            </w:r>
          </w:p>
        </w:tc>
        <w:tc>
          <w:tcPr>
            <w:tcW w:w="581" w:type="dxa"/>
            <w:tcBorders>
              <w:top w:val="nil"/>
              <w:left w:val="nil"/>
              <w:bottom w:val="single" w:sz="8" w:space="0" w:color="DCDDDE"/>
              <w:right w:val="nil"/>
            </w:tcBorders>
            <w:shd w:val="clear" w:color="000000" w:fill="FFFFFF"/>
            <w:noWrap/>
            <w:vAlign w:val="center"/>
            <w:hideMark/>
          </w:tcPr>
          <w:p w14:paraId="6EF5393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1,028</w:t>
            </w:r>
          </w:p>
        </w:tc>
        <w:tc>
          <w:tcPr>
            <w:tcW w:w="581" w:type="dxa"/>
            <w:tcBorders>
              <w:top w:val="nil"/>
              <w:left w:val="nil"/>
              <w:bottom w:val="single" w:sz="8" w:space="0" w:color="DCDDDE"/>
              <w:right w:val="nil"/>
            </w:tcBorders>
            <w:shd w:val="clear" w:color="000000" w:fill="FFFFFF"/>
            <w:noWrap/>
            <w:vAlign w:val="center"/>
            <w:hideMark/>
          </w:tcPr>
          <w:p w14:paraId="50A11F9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1,128</w:t>
            </w:r>
          </w:p>
        </w:tc>
        <w:tc>
          <w:tcPr>
            <w:tcW w:w="581" w:type="dxa"/>
            <w:tcBorders>
              <w:top w:val="nil"/>
              <w:left w:val="nil"/>
              <w:bottom w:val="single" w:sz="8" w:space="0" w:color="DCDDDE"/>
              <w:right w:val="nil"/>
            </w:tcBorders>
            <w:shd w:val="clear" w:color="000000" w:fill="FFFFFF"/>
            <w:noWrap/>
            <w:vAlign w:val="center"/>
            <w:hideMark/>
          </w:tcPr>
          <w:p w14:paraId="5046B70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1,165</w:t>
            </w:r>
          </w:p>
        </w:tc>
        <w:tc>
          <w:tcPr>
            <w:tcW w:w="581" w:type="dxa"/>
            <w:tcBorders>
              <w:top w:val="nil"/>
              <w:left w:val="nil"/>
              <w:bottom w:val="single" w:sz="8" w:space="0" w:color="DCDDDE"/>
              <w:right w:val="nil"/>
            </w:tcBorders>
            <w:shd w:val="clear" w:color="000000" w:fill="FFFFFF"/>
            <w:noWrap/>
            <w:vAlign w:val="center"/>
            <w:hideMark/>
          </w:tcPr>
          <w:p w14:paraId="43E978F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1,210</w:t>
            </w:r>
          </w:p>
        </w:tc>
        <w:tc>
          <w:tcPr>
            <w:tcW w:w="581" w:type="dxa"/>
            <w:tcBorders>
              <w:top w:val="nil"/>
              <w:left w:val="nil"/>
              <w:bottom w:val="single" w:sz="8" w:space="0" w:color="DCDDDE"/>
              <w:right w:val="nil"/>
            </w:tcBorders>
            <w:shd w:val="clear" w:color="000000" w:fill="FFFFFF"/>
            <w:noWrap/>
            <w:vAlign w:val="center"/>
            <w:hideMark/>
          </w:tcPr>
          <w:p w14:paraId="6ED17BC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1,265</w:t>
            </w:r>
          </w:p>
        </w:tc>
        <w:tc>
          <w:tcPr>
            <w:tcW w:w="581" w:type="dxa"/>
            <w:tcBorders>
              <w:top w:val="nil"/>
              <w:left w:val="nil"/>
              <w:bottom w:val="single" w:sz="8" w:space="0" w:color="DCDDDE"/>
              <w:right w:val="nil"/>
            </w:tcBorders>
            <w:shd w:val="clear" w:color="000000" w:fill="FFFFFF"/>
            <w:noWrap/>
            <w:vAlign w:val="center"/>
            <w:hideMark/>
          </w:tcPr>
          <w:p w14:paraId="7585A2E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1,315</w:t>
            </w:r>
          </w:p>
        </w:tc>
        <w:tc>
          <w:tcPr>
            <w:tcW w:w="581" w:type="dxa"/>
            <w:tcBorders>
              <w:top w:val="nil"/>
              <w:left w:val="nil"/>
              <w:bottom w:val="single" w:sz="8" w:space="0" w:color="DCDDDE"/>
              <w:right w:val="nil"/>
            </w:tcBorders>
            <w:shd w:val="clear" w:color="000000" w:fill="FFFFFF"/>
            <w:noWrap/>
            <w:vAlign w:val="center"/>
            <w:hideMark/>
          </w:tcPr>
          <w:p w14:paraId="22C6970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1,351</w:t>
            </w:r>
          </w:p>
        </w:tc>
        <w:tc>
          <w:tcPr>
            <w:tcW w:w="581" w:type="dxa"/>
            <w:tcBorders>
              <w:top w:val="nil"/>
              <w:left w:val="nil"/>
              <w:bottom w:val="single" w:sz="8" w:space="0" w:color="DCDDDE"/>
              <w:right w:val="nil"/>
            </w:tcBorders>
            <w:shd w:val="clear" w:color="000000" w:fill="FFFFFF"/>
            <w:noWrap/>
            <w:vAlign w:val="center"/>
            <w:hideMark/>
          </w:tcPr>
          <w:p w14:paraId="379D138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1,386</w:t>
            </w:r>
          </w:p>
        </w:tc>
        <w:tc>
          <w:tcPr>
            <w:tcW w:w="581" w:type="dxa"/>
            <w:tcBorders>
              <w:top w:val="nil"/>
              <w:left w:val="nil"/>
              <w:bottom w:val="single" w:sz="8" w:space="0" w:color="DCDDDE"/>
              <w:right w:val="nil"/>
            </w:tcBorders>
            <w:shd w:val="clear" w:color="000000" w:fill="FFFFFF"/>
            <w:noWrap/>
            <w:vAlign w:val="center"/>
            <w:hideMark/>
          </w:tcPr>
          <w:p w14:paraId="2002108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1,426</w:t>
            </w:r>
          </w:p>
        </w:tc>
        <w:tc>
          <w:tcPr>
            <w:tcW w:w="581" w:type="dxa"/>
            <w:tcBorders>
              <w:top w:val="nil"/>
              <w:left w:val="nil"/>
              <w:bottom w:val="single" w:sz="8" w:space="0" w:color="DCDDDE"/>
              <w:right w:val="nil"/>
            </w:tcBorders>
            <w:shd w:val="clear" w:color="000000" w:fill="FFFFFF"/>
            <w:noWrap/>
            <w:vAlign w:val="center"/>
            <w:hideMark/>
          </w:tcPr>
          <w:p w14:paraId="0A4114F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1,468</w:t>
            </w:r>
          </w:p>
        </w:tc>
        <w:tc>
          <w:tcPr>
            <w:tcW w:w="582" w:type="dxa"/>
            <w:tcBorders>
              <w:top w:val="nil"/>
              <w:left w:val="nil"/>
              <w:bottom w:val="single" w:sz="8" w:space="0" w:color="DCDDDE"/>
              <w:right w:val="nil"/>
            </w:tcBorders>
            <w:shd w:val="clear" w:color="000000" w:fill="FFFFFF"/>
            <w:noWrap/>
            <w:vAlign w:val="center"/>
            <w:hideMark/>
          </w:tcPr>
          <w:p w14:paraId="7DCEF0B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1,497</w:t>
            </w:r>
          </w:p>
        </w:tc>
      </w:tr>
      <w:tr w:rsidR="00C97435" w:rsidRPr="009A6333" w14:paraId="568D57BE" w14:textId="77777777" w:rsidTr="00C97435">
        <w:trPr>
          <w:trHeight w:val="193"/>
          <w:jc w:val="center"/>
        </w:trPr>
        <w:tc>
          <w:tcPr>
            <w:tcW w:w="1741" w:type="dxa"/>
            <w:tcBorders>
              <w:top w:val="nil"/>
              <w:left w:val="nil"/>
              <w:bottom w:val="single" w:sz="8" w:space="0" w:color="DCDDDE"/>
              <w:right w:val="nil"/>
            </w:tcBorders>
            <w:shd w:val="clear" w:color="000000" w:fill="FFFFFF"/>
            <w:vAlign w:val="center"/>
            <w:hideMark/>
          </w:tcPr>
          <w:p w14:paraId="3FE96644"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C&amp;S*</w:t>
            </w:r>
          </w:p>
        </w:tc>
        <w:tc>
          <w:tcPr>
            <w:tcW w:w="581" w:type="dxa"/>
            <w:tcBorders>
              <w:top w:val="nil"/>
              <w:left w:val="nil"/>
              <w:bottom w:val="single" w:sz="8" w:space="0" w:color="DCDDDE"/>
              <w:right w:val="nil"/>
            </w:tcBorders>
            <w:shd w:val="clear" w:color="000000" w:fill="FFFFFF"/>
            <w:noWrap/>
            <w:vAlign w:val="center"/>
            <w:hideMark/>
          </w:tcPr>
          <w:p w14:paraId="780513F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1,212</w:t>
            </w:r>
          </w:p>
        </w:tc>
        <w:tc>
          <w:tcPr>
            <w:tcW w:w="581" w:type="dxa"/>
            <w:tcBorders>
              <w:top w:val="nil"/>
              <w:left w:val="nil"/>
              <w:bottom w:val="single" w:sz="8" w:space="0" w:color="DCDDDE"/>
              <w:right w:val="nil"/>
            </w:tcBorders>
            <w:shd w:val="clear" w:color="000000" w:fill="FFFFFF"/>
            <w:noWrap/>
            <w:vAlign w:val="center"/>
            <w:hideMark/>
          </w:tcPr>
          <w:p w14:paraId="75DC060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1,257</w:t>
            </w:r>
          </w:p>
        </w:tc>
        <w:tc>
          <w:tcPr>
            <w:tcW w:w="581" w:type="dxa"/>
            <w:tcBorders>
              <w:top w:val="nil"/>
              <w:left w:val="nil"/>
              <w:bottom w:val="single" w:sz="8" w:space="0" w:color="DCDDDE"/>
              <w:right w:val="nil"/>
            </w:tcBorders>
            <w:shd w:val="clear" w:color="000000" w:fill="FFFFFF"/>
            <w:noWrap/>
            <w:vAlign w:val="center"/>
            <w:hideMark/>
          </w:tcPr>
          <w:p w14:paraId="14E135C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1,266</w:t>
            </w:r>
          </w:p>
        </w:tc>
        <w:tc>
          <w:tcPr>
            <w:tcW w:w="581" w:type="dxa"/>
            <w:tcBorders>
              <w:top w:val="nil"/>
              <w:left w:val="nil"/>
              <w:bottom w:val="single" w:sz="8" w:space="0" w:color="DCDDDE"/>
              <w:right w:val="nil"/>
            </w:tcBorders>
            <w:shd w:val="clear" w:color="000000" w:fill="FFFFFF"/>
            <w:noWrap/>
            <w:vAlign w:val="center"/>
            <w:hideMark/>
          </w:tcPr>
          <w:p w14:paraId="1ED811E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1,304</w:t>
            </w:r>
          </w:p>
        </w:tc>
        <w:tc>
          <w:tcPr>
            <w:tcW w:w="581" w:type="dxa"/>
            <w:tcBorders>
              <w:top w:val="nil"/>
              <w:left w:val="nil"/>
              <w:bottom w:val="single" w:sz="8" w:space="0" w:color="DCDDDE"/>
              <w:right w:val="nil"/>
            </w:tcBorders>
            <w:shd w:val="clear" w:color="000000" w:fill="FFFFFF"/>
            <w:noWrap/>
            <w:vAlign w:val="center"/>
            <w:hideMark/>
          </w:tcPr>
          <w:p w14:paraId="62333D6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1,269</w:t>
            </w:r>
          </w:p>
        </w:tc>
        <w:tc>
          <w:tcPr>
            <w:tcW w:w="581" w:type="dxa"/>
            <w:tcBorders>
              <w:top w:val="nil"/>
              <w:left w:val="nil"/>
              <w:bottom w:val="single" w:sz="8" w:space="0" w:color="DCDDDE"/>
              <w:right w:val="nil"/>
            </w:tcBorders>
            <w:shd w:val="clear" w:color="000000" w:fill="FFFFFF"/>
            <w:noWrap/>
            <w:vAlign w:val="center"/>
            <w:hideMark/>
          </w:tcPr>
          <w:p w14:paraId="62C88A7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1,406</w:t>
            </w:r>
          </w:p>
        </w:tc>
        <w:tc>
          <w:tcPr>
            <w:tcW w:w="581" w:type="dxa"/>
            <w:tcBorders>
              <w:top w:val="nil"/>
              <w:left w:val="nil"/>
              <w:bottom w:val="single" w:sz="8" w:space="0" w:color="DCDDDE"/>
              <w:right w:val="nil"/>
            </w:tcBorders>
            <w:shd w:val="clear" w:color="000000" w:fill="FFFFFF"/>
            <w:noWrap/>
            <w:vAlign w:val="center"/>
            <w:hideMark/>
          </w:tcPr>
          <w:p w14:paraId="4275BBF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1,347</w:t>
            </w:r>
          </w:p>
        </w:tc>
        <w:tc>
          <w:tcPr>
            <w:tcW w:w="581" w:type="dxa"/>
            <w:tcBorders>
              <w:top w:val="nil"/>
              <w:left w:val="nil"/>
              <w:bottom w:val="single" w:sz="8" w:space="0" w:color="DCDDDE"/>
              <w:right w:val="nil"/>
            </w:tcBorders>
            <w:shd w:val="clear" w:color="000000" w:fill="FFFFFF"/>
            <w:noWrap/>
            <w:vAlign w:val="center"/>
            <w:hideMark/>
          </w:tcPr>
          <w:p w14:paraId="39B8FBC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1,299</w:t>
            </w:r>
          </w:p>
        </w:tc>
        <w:tc>
          <w:tcPr>
            <w:tcW w:w="581" w:type="dxa"/>
            <w:tcBorders>
              <w:top w:val="nil"/>
              <w:left w:val="nil"/>
              <w:bottom w:val="single" w:sz="8" w:space="0" w:color="DCDDDE"/>
              <w:right w:val="nil"/>
            </w:tcBorders>
            <w:shd w:val="clear" w:color="000000" w:fill="FFFFFF"/>
            <w:noWrap/>
            <w:vAlign w:val="center"/>
            <w:hideMark/>
          </w:tcPr>
          <w:p w14:paraId="089FBD3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1,218</w:t>
            </w:r>
          </w:p>
        </w:tc>
        <w:tc>
          <w:tcPr>
            <w:tcW w:w="581" w:type="dxa"/>
            <w:tcBorders>
              <w:top w:val="nil"/>
              <w:left w:val="nil"/>
              <w:bottom w:val="single" w:sz="8" w:space="0" w:color="DCDDDE"/>
              <w:right w:val="nil"/>
            </w:tcBorders>
            <w:shd w:val="clear" w:color="000000" w:fill="FFFFFF"/>
            <w:noWrap/>
            <w:vAlign w:val="center"/>
            <w:hideMark/>
          </w:tcPr>
          <w:p w14:paraId="732B8C9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1,173</w:t>
            </w:r>
          </w:p>
        </w:tc>
        <w:tc>
          <w:tcPr>
            <w:tcW w:w="581" w:type="dxa"/>
            <w:tcBorders>
              <w:top w:val="nil"/>
              <w:left w:val="nil"/>
              <w:bottom w:val="single" w:sz="8" w:space="0" w:color="DCDDDE"/>
              <w:right w:val="nil"/>
            </w:tcBorders>
            <w:shd w:val="clear" w:color="000000" w:fill="FFFFFF"/>
            <w:noWrap/>
            <w:vAlign w:val="center"/>
            <w:hideMark/>
          </w:tcPr>
          <w:p w14:paraId="68BEAA3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1,067</w:t>
            </w:r>
          </w:p>
        </w:tc>
        <w:tc>
          <w:tcPr>
            <w:tcW w:w="581" w:type="dxa"/>
            <w:tcBorders>
              <w:top w:val="nil"/>
              <w:left w:val="nil"/>
              <w:bottom w:val="single" w:sz="8" w:space="0" w:color="DCDDDE"/>
              <w:right w:val="nil"/>
            </w:tcBorders>
            <w:shd w:val="clear" w:color="000000" w:fill="FFFFFF"/>
            <w:noWrap/>
            <w:vAlign w:val="center"/>
            <w:hideMark/>
          </w:tcPr>
          <w:p w14:paraId="7594128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966</w:t>
            </w:r>
          </w:p>
        </w:tc>
        <w:tc>
          <w:tcPr>
            <w:tcW w:w="582" w:type="dxa"/>
            <w:tcBorders>
              <w:top w:val="nil"/>
              <w:left w:val="nil"/>
              <w:bottom w:val="single" w:sz="8" w:space="0" w:color="DCDDDE"/>
              <w:right w:val="nil"/>
            </w:tcBorders>
            <w:shd w:val="clear" w:color="000000" w:fill="FFFFFF"/>
            <w:noWrap/>
            <w:vAlign w:val="center"/>
            <w:hideMark/>
          </w:tcPr>
          <w:p w14:paraId="4C96F6F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864</w:t>
            </w:r>
          </w:p>
        </w:tc>
      </w:tr>
      <w:tr w:rsidR="00C97435" w:rsidRPr="009A6333" w14:paraId="32AAA4BF" w14:textId="77777777" w:rsidTr="00C97435">
        <w:trPr>
          <w:trHeight w:val="193"/>
          <w:jc w:val="center"/>
        </w:trPr>
        <w:tc>
          <w:tcPr>
            <w:tcW w:w="1741" w:type="dxa"/>
            <w:tcBorders>
              <w:top w:val="nil"/>
              <w:left w:val="nil"/>
              <w:bottom w:val="single" w:sz="8" w:space="0" w:color="DCDDDE"/>
              <w:right w:val="nil"/>
            </w:tcBorders>
            <w:shd w:val="clear" w:color="000000" w:fill="FFFFFF"/>
            <w:vAlign w:val="center"/>
            <w:hideMark/>
          </w:tcPr>
          <w:p w14:paraId="076BF117"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Total</w:t>
            </w:r>
          </w:p>
        </w:tc>
        <w:tc>
          <w:tcPr>
            <w:tcW w:w="581" w:type="dxa"/>
            <w:tcBorders>
              <w:top w:val="nil"/>
              <w:left w:val="nil"/>
              <w:bottom w:val="single" w:sz="8" w:space="0" w:color="DCDDDE"/>
              <w:right w:val="nil"/>
            </w:tcBorders>
            <w:shd w:val="clear" w:color="000000" w:fill="FFFFFF"/>
            <w:noWrap/>
            <w:vAlign w:val="center"/>
            <w:hideMark/>
          </w:tcPr>
          <w:p w14:paraId="530CA365"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2,136</w:t>
            </w:r>
          </w:p>
        </w:tc>
        <w:tc>
          <w:tcPr>
            <w:tcW w:w="581" w:type="dxa"/>
            <w:tcBorders>
              <w:top w:val="nil"/>
              <w:left w:val="nil"/>
              <w:bottom w:val="single" w:sz="8" w:space="0" w:color="DCDDDE"/>
              <w:right w:val="nil"/>
            </w:tcBorders>
            <w:shd w:val="clear" w:color="000000" w:fill="FFFFFF"/>
            <w:noWrap/>
            <w:vAlign w:val="center"/>
            <w:hideMark/>
          </w:tcPr>
          <w:p w14:paraId="26E541B2"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2,284</w:t>
            </w:r>
          </w:p>
        </w:tc>
        <w:tc>
          <w:tcPr>
            <w:tcW w:w="581" w:type="dxa"/>
            <w:tcBorders>
              <w:top w:val="nil"/>
              <w:left w:val="nil"/>
              <w:bottom w:val="single" w:sz="8" w:space="0" w:color="DCDDDE"/>
              <w:right w:val="nil"/>
            </w:tcBorders>
            <w:shd w:val="clear" w:color="000000" w:fill="FFFFFF"/>
            <w:noWrap/>
            <w:vAlign w:val="center"/>
            <w:hideMark/>
          </w:tcPr>
          <w:p w14:paraId="441601A3"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2,295</w:t>
            </w:r>
          </w:p>
        </w:tc>
        <w:tc>
          <w:tcPr>
            <w:tcW w:w="581" w:type="dxa"/>
            <w:tcBorders>
              <w:top w:val="nil"/>
              <w:left w:val="nil"/>
              <w:bottom w:val="single" w:sz="8" w:space="0" w:color="DCDDDE"/>
              <w:right w:val="nil"/>
            </w:tcBorders>
            <w:shd w:val="clear" w:color="000000" w:fill="FFFFFF"/>
            <w:noWrap/>
            <w:vAlign w:val="center"/>
            <w:hideMark/>
          </w:tcPr>
          <w:p w14:paraId="1B4997FE"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2,432</w:t>
            </w:r>
          </w:p>
        </w:tc>
        <w:tc>
          <w:tcPr>
            <w:tcW w:w="581" w:type="dxa"/>
            <w:tcBorders>
              <w:top w:val="nil"/>
              <w:left w:val="nil"/>
              <w:bottom w:val="single" w:sz="8" w:space="0" w:color="DCDDDE"/>
              <w:right w:val="nil"/>
            </w:tcBorders>
            <w:shd w:val="clear" w:color="000000" w:fill="FFFFFF"/>
            <w:noWrap/>
            <w:vAlign w:val="center"/>
            <w:hideMark/>
          </w:tcPr>
          <w:p w14:paraId="7158B394"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2,433</w:t>
            </w:r>
          </w:p>
        </w:tc>
        <w:tc>
          <w:tcPr>
            <w:tcW w:w="581" w:type="dxa"/>
            <w:tcBorders>
              <w:top w:val="nil"/>
              <w:left w:val="nil"/>
              <w:bottom w:val="single" w:sz="8" w:space="0" w:color="DCDDDE"/>
              <w:right w:val="nil"/>
            </w:tcBorders>
            <w:shd w:val="clear" w:color="000000" w:fill="FFFFFF"/>
            <w:noWrap/>
            <w:vAlign w:val="center"/>
            <w:hideMark/>
          </w:tcPr>
          <w:p w14:paraId="72EE1977"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2,616</w:t>
            </w:r>
          </w:p>
        </w:tc>
        <w:tc>
          <w:tcPr>
            <w:tcW w:w="581" w:type="dxa"/>
            <w:tcBorders>
              <w:top w:val="nil"/>
              <w:left w:val="nil"/>
              <w:bottom w:val="single" w:sz="8" w:space="0" w:color="DCDDDE"/>
              <w:right w:val="nil"/>
            </w:tcBorders>
            <w:shd w:val="clear" w:color="000000" w:fill="FFFFFF"/>
            <w:noWrap/>
            <w:vAlign w:val="center"/>
            <w:hideMark/>
          </w:tcPr>
          <w:p w14:paraId="3353EF3B"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2,612</w:t>
            </w:r>
          </w:p>
        </w:tc>
        <w:tc>
          <w:tcPr>
            <w:tcW w:w="581" w:type="dxa"/>
            <w:tcBorders>
              <w:top w:val="nil"/>
              <w:left w:val="nil"/>
              <w:bottom w:val="single" w:sz="8" w:space="0" w:color="DCDDDE"/>
              <w:right w:val="nil"/>
            </w:tcBorders>
            <w:shd w:val="clear" w:color="000000" w:fill="FFFFFF"/>
            <w:noWrap/>
            <w:vAlign w:val="center"/>
            <w:hideMark/>
          </w:tcPr>
          <w:p w14:paraId="360D6DCC"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2,614</w:t>
            </w:r>
          </w:p>
        </w:tc>
        <w:tc>
          <w:tcPr>
            <w:tcW w:w="581" w:type="dxa"/>
            <w:tcBorders>
              <w:top w:val="nil"/>
              <w:left w:val="nil"/>
              <w:bottom w:val="single" w:sz="8" w:space="0" w:color="DCDDDE"/>
              <w:right w:val="nil"/>
            </w:tcBorders>
            <w:shd w:val="clear" w:color="000000" w:fill="FFFFFF"/>
            <w:noWrap/>
            <w:vAlign w:val="center"/>
            <w:hideMark/>
          </w:tcPr>
          <w:p w14:paraId="3C39E9E6"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2,569</w:t>
            </w:r>
          </w:p>
        </w:tc>
        <w:tc>
          <w:tcPr>
            <w:tcW w:w="581" w:type="dxa"/>
            <w:tcBorders>
              <w:top w:val="nil"/>
              <w:left w:val="nil"/>
              <w:bottom w:val="single" w:sz="8" w:space="0" w:color="DCDDDE"/>
              <w:right w:val="nil"/>
            </w:tcBorders>
            <w:shd w:val="clear" w:color="000000" w:fill="FFFFFF"/>
            <w:noWrap/>
            <w:vAlign w:val="center"/>
            <w:hideMark/>
          </w:tcPr>
          <w:p w14:paraId="14CEFEA4"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2,560</w:t>
            </w:r>
          </w:p>
        </w:tc>
        <w:tc>
          <w:tcPr>
            <w:tcW w:w="581" w:type="dxa"/>
            <w:tcBorders>
              <w:top w:val="nil"/>
              <w:left w:val="nil"/>
              <w:bottom w:val="single" w:sz="8" w:space="0" w:color="DCDDDE"/>
              <w:right w:val="nil"/>
            </w:tcBorders>
            <w:shd w:val="clear" w:color="000000" w:fill="FFFFFF"/>
            <w:noWrap/>
            <w:vAlign w:val="center"/>
            <w:hideMark/>
          </w:tcPr>
          <w:p w14:paraId="640B8423"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2,493</w:t>
            </w:r>
          </w:p>
        </w:tc>
        <w:tc>
          <w:tcPr>
            <w:tcW w:w="581" w:type="dxa"/>
            <w:tcBorders>
              <w:top w:val="nil"/>
              <w:left w:val="nil"/>
              <w:bottom w:val="single" w:sz="8" w:space="0" w:color="DCDDDE"/>
              <w:right w:val="nil"/>
            </w:tcBorders>
            <w:shd w:val="clear" w:color="000000" w:fill="FFFFFF"/>
            <w:noWrap/>
            <w:vAlign w:val="center"/>
            <w:hideMark/>
          </w:tcPr>
          <w:p w14:paraId="28D91326"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2,434</w:t>
            </w:r>
          </w:p>
        </w:tc>
        <w:tc>
          <w:tcPr>
            <w:tcW w:w="582" w:type="dxa"/>
            <w:tcBorders>
              <w:top w:val="nil"/>
              <w:left w:val="nil"/>
              <w:bottom w:val="single" w:sz="8" w:space="0" w:color="DCDDDE"/>
              <w:right w:val="nil"/>
            </w:tcBorders>
            <w:shd w:val="clear" w:color="000000" w:fill="FFFFFF"/>
            <w:noWrap/>
            <w:vAlign w:val="center"/>
            <w:hideMark/>
          </w:tcPr>
          <w:p w14:paraId="2AC069E1"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2,361</w:t>
            </w:r>
          </w:p>
        </w:tc>
      </w:tr>
      <w:tr w:rsidR="009A6333" w:rsidRPr="009A6333" w14:paraId="3D9EB919" w14:textId="77777777" w:rsidTr="00C97435">
        <w:trPr>
          <w:trHeight w:val="193"/>
          <w:jc w:val="center"/>
        </w:trPr>
        <w:tc>
          <w:tcPr>
            <w:tcW w:w="9299" w:type="dxa"/>
            <w:gridSpan w:val="14"/>
            <w:tcBorders>
              <w:top w:val="single" w:sz="8" w:space="0" w:color="DCDDDE"/>
              <w:left w:val="nil"/>
              <w:bottom w:val="single" w:sz="8" w:space="0" w:color="DCDDDE"/>
              <w:right w:val="nil"/>
            </w:tcBorders>
            <w:shd w:val="clear" w:color="000000" w:fill="DADADA"/>
            <w:noWrap/>
            <w:vAlign w:val="center"/>
            <w:hideMark/>
          </w:tcPr>
          <w:p w14:paraId="577EFC37"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mTRC (GHG adder 2) | Reference</w:t>
            </w:r>
          </w:p>
        </w:tc>
      </w:tr>
      <w:tr w:rsidR="00C97435" w:rsidRPr="009A6333" w14:paraId="4B5218B5" w14:textId="77777777" w:rsidTr="00C97435">
        <w:trPr>
          <w:trHeight w:val="341"/>
          <w:jc w:val="center"/>
        </w:trPr>
        <w:tc>
          <w:tcPr>
            <w:tcW w:w="1741" w:type="dxa"/>
            <w:tcBorders>
              <w:top w:val="nil"/>
              <w:left w:val="nil"/>
              <w:bottom w:val="single" w:sz="8" w:space="0" w:color="DCDDDE"/>
              <w:right w:val="nil"/>
            </w:tcBorders>
            <w:shd w:val="clear" w:color="000000" w:fill="FFFFFF"/>
            <w:vAlign w:val="center"/>
            <w:hideMark/>
          </w:tcPr>
          <w:p w14:paraId="0D2FDC3C"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Equipment Rebates</w:t>
            </w:r>
          </w:p>
        </w:tc>
        <w:tc>
          <w:tcPr>
            <w:tcW w:w="581" w:type="dxa"/>
            <w:tcBorders>
              <w:top w:val="nil"/>
              <w:left w:val="nil"/>
              <w:bottom w:val="single" w:sz="8" w:space="0" w:color="DCDDDE"/>
              <w:right w:val="nil"/>
            </w:tcBorders>
            <w:shd w:val="clear" w:color="000000" w:fill="FFFFFF"/>
            <w:noWrap/>
            <w:vAlign w:val="center"/>
            <w:hideMark/>
          </w:tcPr>
          <w:p w14:paraId="0020AFB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664</w:t>
            </w:r>
          </w:p>
        </w:tc>
        <w:tc>
          <w:tcPr>
            <w:tcW w:w="581" w:type="dxa"/>
            <w:tcBorders>
              <w:top w:val="nil"/>
              <w:left w:val="nil"/>
              <w:bottom w:val="single" w:sz="8" w:space="0" w:color="DCDDDE"/>
              <w:right w:val="nil"/>
            </w:tcBorders>
            <w:shd w:val="clear" w:color="000000" w:fill="FFFFFF"/>
            <w:noWrap/>
            <w:vAlign w:val="center"/>
            <w:hideMark/>
          </w:tcPr>
          <w:p w14:paraId="0101784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710</w:t>
            </w:r>
          </w:p>
        </w:tc>
        <w:tc>
          <w:tcPr>
            <w:tcW w:w="581" w:type="dxa"/>
            <w:tcBorders>
              <w:top w:val="nil"/>
              <w:left w:val="nil"/>
              <w:bottom w:val="single" w:sz="8" w:space="0" w:color="DCDDDE"/>
              <w:right w:val="nil"/>
            </w:tcBorders>
            <w:shd w:val="clear" w:color="000000" w:fill="FFFFFF"/>
            <w:noWrap/>
            <w:vAlign w:val="center"/>
            <w:hideMark/>
          </w:tcPr>
          <w:p w14:paraId="307077F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685</w:t>
            </w:r>
          </w:p>
        </w:tc>
        <w:tc>
          <w:tcPr>
            <w:tcW w:w="581" w:type="dxa"/>
            <w:tcBorders>
              <w:top w:val="nil"/>
              <w:left w:val="nil"/>
              <w:bottom w:val="single" w:sz="8" w:space="0" w:color="DCDDDE"/>
              <w:right w:val="nil"/>
            </w:tcBorders>
            <w:shd w:val="clear" w:color="000000" w:fill="FFFFFF"/>
            <w:noWrap/>
            <w:vAlign w:val="center"/>
            <w:hideMark/>
          </w:tcPr>
          <w:p w14:paraId="65B61E3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792</w:t>
            </w:r>
          </w:p>
        </w:tc>
        <w:tc>
          <w:tcPr>
            <w:tcW w:w="581" w:type="dxa"/>
            <w:tcBorders>
              <w:top w:val="nil"/>
              <w:left w:val="nil"/>
              <w:bottom w:val="single" w:sz="8" w:space="0" w:color="DCDDDE"/>
              <w:right w:val="nil"/>
            </w:tcBorders>
            <w:shd w:val="clear" w:color="000000" w:fill="FFFFFF"/>
            <w:noWrap/>
            <w:vAlign w:val="center"/>
            <w:hideMark/>
          </w:tcPr>
          <w:p w14:paraId="16B23C5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804</w:t>
            </w:r>
          </w:p>
        </w:tc>
        <w:tc>
          <w:tcPr>
            <w:tcW w:w="581" w:type="dxa"/>
            <w:tcBorders>
              <w:top w:val="nil"/>
              <w:left w:val="nil"/>
              <w:bottom w:val="single" w:sz="8" w:space="0" w:color="DCDDDE"/>
              <w:right w:val="nil"/>
            </w:tcBorders>
            <w:shd w:val="clear" w:color="000000" w:fill="FFFFFF"/>
            <w:noWrap/>
            <w:vAlign w:val="center"/>
            <w:hideMark/>
          </w:tcPr>
          <w:p w14:paraId="4EC0871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839</w:t>
            </w:r>
          </w:p>
        </w:tc>
        <w:tc>
          <w:tcPr>
            <w:tcW w:w="581" w:type="dxa"/>
            <w:tcBorders>
              <w:top w:val="nil"/>
              <w:left w:val="nil"/>
              <w:bottom w:val="single" w:sz="8" w:space="0" w:color="DCDDDE"/>
              <w:right w:val="nil"/>
            </w:tcBorders>
            <w:shd w:val="clear" w:color="000000" w:fill="FFFFFF"/>
            <w:noWrap/>
            <w:vAlign w:val="center"/>
            <w:hideMark/>
          </w:tcPr>
          <w:p w14:paraId="4B0BD99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857</w:t>
            </w:r>
          </w:p>
        </w:tc>
        <w:tc>
          <w:tcPr>
            <w:tcW w:w="581" w:type="dxa"/>
            <w:tcBorders>
              <w:top w:val="nil"/>
              <w:left w:val="nil"/>
              <w:bottom w:val="single" w:sz="8" w:space="0" w:color="DCDDDE"/>
              <w:right w:val="nil"/>
            </w:tcBorders>
            <w:shd w:val="clear" w:color="000000" w:fill="FFFFFF"/>
            <w:noWrap/>
            <w:vAlign w:val="center"/>
            <w:hideMark/>
          </w:tcPr>
          <w:p w14:paraId="20A689D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871</w:t>
            </w:r>
          </w:p>
        </w:tc>
        <w:tc>
          <w:tcPr>
            <w:tcW w:w="581" w:type="dxa"/>
            <w:tcBorders>
              <w:top w:val="nil"/>
              <w:left w:val="nil"/>
              <w:bottom w:val="single" w:sz="8" w:space="0" w:color="DCDDDE"/>
              <w:right w:val="nil"/>
            </w:tcBorders>
            <w:shd w:val="clear" w:color="000000" w:fill="FFFFFF"/>
            <w:noWrap/>
            <w:vAlign w:val="center"/>
            <w:hideMark/>
          </w:tcPr>
          <w:p w14:paraId="3001A6E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870</w:t>
            </w:r>
          </w:p>
        </w:tc>
        <w:tc>
          <w:tcPr>
            <w:tcW w:w="581" w:type="dxa"/>
            <w:tcBorders>
              <w:top w:val="nil"/>
              <w:left w:val="nil"/>
              <w:bottom w:val="single" w:sz="8" w:space="0" w:color="DCDDDE"/>
              <w:right w:val="nil"/>
            </w:tcBorders>
            <w:shd w:val="clear" w:color="000000" w:fill="FFFFFF"/>
            <w:noWrap/>
            <w:vAlign w:val="center"/>
            <w:hideMark/>
          </w:tcPr>
          <w:p w14:paraId="4A6C206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873</w:t>
            </w:r>
          </w:p>
        </w:tc>
        <w:tc>
          <w:tcPr>
            <w:tcW w:w="581" w:type="dxa"/>
            <w:tcBorders>
              <w:top w:val="nil"/>
              <w:left w:val="nil"/>
              <w:bottom w:val="single" w:sz="8" w:space="0" w:color="DCDDDE"/>
              <w:right w:val="nil"/>
            </w:tcBorders>
            <w:shd w:val="clear" w:color="000000" w:fill="FFFFFF"/>
            <w:noWrap/>
            <w:vAlign w:val="center"/>
            <w:hideMark/>
          </w:tcPr>
          <w:p w14:paraId="3123729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885</w:t>
            </w:r>
          </w:p>
        </w:tc>
        <w:tc>
          <w:tcPr>
            <w:tcW w:w="581" w:type="dxa"/>
            <w:tcBorders>
              <w:top w:val="nil"/>
              <w:left w:val="nil"/>
              <w:bottom w:val="single" w:sz="8" w:space="0" w:color="DCDDDE"/>
              <w:right w:val="nil"/>
            </w:tcBorders>
            <w:shd w:val="clear" w:color="000000" w:fill="FFFFFF"/>
            <w:noWrap/>
            <w:vAlign w:val="center"/>
            <w:hideMark/>
          </w:tcPr>
          <w:p w14:paraId="37EF278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883</w:t>
            </w:r>
          </w:p>
        </w:tc>
        <w:tc>
          <w:tcPr>
            <w:tcW w:w="582" w:type="dxa"/>
            <w:tcBorders>
              <w:top w:val="nil"/>
              <w:left w:val="nil"/>
              <w:bottom w:val="single" w:sz="8" w:space="0" w:color="DCDDDE"/>
              <w:right w:val="nil"/>
            </w:tcBorders>
            <w:shd w:val="clear" w:color="000000" w:fill="FFFFFF"/>
            <w:noWrap/>
            <w:vAlign w:val="center"/>
            <w:hideMark/>
          </w:tcPr>
          <w:p w14:paraId="6CCB38E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879</w:t>
            </w:r>
          </w:p>
        </w:tc>
      </w:tr>
      <w:tr w:rsidR="00C97435" w:rsidRPr="009A6333" w14:paraId="157E9A09" w14:textId="77777777" w:rsidTr="00C97435">
        <w:trPr>
          <w:trHeight w:val="193"/>
          <w:jc w:val="center"/>
        </w:trPr>
        <w:tc>
          <w:tcPr>
            <w:tcW w:w="1741" w:type="dxa"/>
            <w:tcBorders>
              <w:top w:val="nil"/>
              <w:left w:val="nil"/>
              <w:bottom w:val="single" w:sz="8" w:space="0" w:color="DCDDDE"/>
              <w:right w:val="nil"/>
            </w:tcBorders>
            <w:shd w:val="clear" w:color="000000" w:fill="FFFFFF"/>
            <w:vAlign w:val="center"/>
            <w:hideMark/>
          </w:tcPr>
          <w:p w14:paraId="278AB318"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BROs</w:t>
            </w:r>
          </w:p>
        </w:tc>
        <w:tc>
          <w:tcPr>
            <w:tcW w:w="581" w:type="dxa"/>
            <w:tcBorders>
              <w:top w:val="nil"/>
              <w:left w:val="nil"/>
              <w:bottom w:val="single" w:sz="8" w:space="0" w:color="DCDDDE"/>
              <w:right w:val="nil"/>
            </w:tcBorders>
            <w:shd w:val="clear" w:color="000000" w:fill="FFFFFF"/>
            <w:noWrap/>
            <w:vAlign w:val="center"/>
            <w:hideMark/>
          </w:tcPr>
          <w:p w14:paraId="0F05634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213</w:t>
            </w:r>
          </w:p>
        </w:tc>
        <w:tc>
          <w:tcPr>
            <w:tcW w:w="581" w:type="dxa"/>
            <w:tcBorders>
              <w:top w:val="nil"/>
              <w:left w:val="nil"/>
              <w:bottom w:val="single" w:sz="8" w:space="0" w:color="DCDDDE"/>
              <w:right w:val="nil"/>
            </w:tcBorders>
            <w:shd w:val="clear" w:color="000000" w:fill="FFFFFF"/>
            <w:noWrap/>
            <w:vAlign w:val="center"/>
            <w:hideMark/>
          </w:tcPr>
          <w:p w14:paraId="5CBF7B0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270</w:t>
            </w:r>
          </w:p>
        </w:tc>
        <w:tc>
          <w:tcPr>
            <w:tcW w:w="581" w:type="dxa"/>
            <w:tcBorders>
              <w:top w:val="nil"/>
              <w:left w:val="nil"/>
              <w:bottom w:val="single" w:sz="8" w:space="0" w:color="DCDDDE"/>
              <w:right w:val="nil"/>
            </w:tcBorders>
            <w:shd w:val="clear" w:color="000000" w:fill="FFFFFF"/>
            <w:noWrap/>
            <w:vAlign w:val="center"/>
            <w:hideMark/>
          </w:tcPr>
          <w:p w14:paraId="38DFB7A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302</w:t>
            </w:r>
          </w:p>
        </w:tc>
        <w:tc>
          <w:tcPr>
            <w:tcW w:w="581" w:type="dxa"/>
            <w:tcBorders>
              <w:top w:val="nil"/>
              <w:left w:val="nil"/>
              <w:bottom w:val="single" w:sz="8" w:space="0" w:color="DCDDDE"/>
              <w:right w:val="nil"/>
            </w:tcBorders>
            <w:shd w:val="clear" w:color="000000" w:fill="FFFFFF"/>
            <w:noWrap/>
            <w:vAlign w:val="center"/>
            <w:hideMark/>
          </w:tcPr>
          <w:p w14:paraId="7994472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338</w:t>
            </w:r>
          </w:p>
        </w:tc>
        <w:tc>
          <w:tcPr>
            <w:tcW w:w="581" w:type="dxa"/>
            <w:tcBorders>
              <w:top w:val="nil"/>
              <w:left w:val="nil"/>
              <w:bottom w:val="single" w:sz="8" w:space="0" w:color="DCDDDE"/>
              <w:right w:val="nil"/>
            </w:tcBorders>
            <w:shd w:val="clear" w:color="000000" w:fill="FFFFFF"/>
            <w:noWrap/>
            <w:vAlign w:val="center"/>
            <w:hideMark/>
          </w:tcPr>
          <w:p w14:paraId="487B38D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363</w:t>
            </w:r>
          </w:p>
        </w:tc>
        <w:tc>
          <w:tcPr>
            <w:tcW w:w="581" w:type="dxa"/>
            <w:tcBorders>
              <w:top w:val="nil"/>
              <w:left w:val="nil"/>
              <w:bottom w:val="single" w:sz="8" w:space="0" w:color="DCDDDE"/>
              <w:right w:val="nil"/>
            </w:tcBorders>
            <w:shd w:val="clear" w:color="000000" w:fill="FFFFFF"/>
            <w:noWrap/>
            <w:vAlign w:val="center"/>
            <w:hideMark/>
          </w:tcPr>
          <w:p w14:paraId="3A40E35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388</w:t>
            </w:r>
          </w:p>
        </w:tc>
        <w:tc>
          <w:tcPr>
            <w:tcW w:w="581" w:type="dxa"/>
            <w:tcBorders>
              <w:top w:val="nil"/>
              <w:left w:val="nil"/>
              <w:bottom w:val="single" w:sz="8" w:space="0" w:color="DCDDDE"/>
              <w:right w:val="nil"/>
            </w:tcBorders>
            <w:shd w:val="clear" w:color="000000" w:fill="FFFFFF"/>
            <w:noWrap/>
            <w:vAlign w:val="center"/>
            <w:hideMark/>
          </w:tcPr>
          <w:p w14:paraId="665DE91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414</w:t>
            </w:r>
          </w:p>
        </w:tc>
        <w:tc>
          <w:tcPr>
            <w:tcW w:w="581" w:type="dxa"/>
            <w:tcBorders>
              <w:top w:val="nil"/>
              <w:left w:val="nil"/>
              <w:bottom w:val="single" w:sz="8" w:space="0" w:color="DCDDDE"/>
              <w:right w:val="nil"/>
            </w:tcBorders>
            <w:shd w:val="clear" w:color="000000" w:fill="FFFFFF"/>
            <w:noWrap/>
            <w:vAlign w:val="center"/>
            <w:hideMark/>
          </w:tcPr>
          <w:p w14:paraId="3BC37CC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451</w:t>
            </w:r>
          </w:p>
        </w:tc>
        <w:tc>
          <w:tcPr>
            <w:tcW w:w="581" w:type="dxa"/>
            <w:tcBorders>
              <w:top w:val="nil"/>
              <w:left w:val="nil"/>
              <w:bottom w:val="single" w:sz="8" w:space="0" w:color="DCDDDE"/>
              <w:right w:val="nil"/>
            </w:tcBorders>
            <w:shd w:val="clear" w:color="000000" w:fill="FFFFFF"/>
            <w:noWrap/>
            <w:vAlign w:val="center"/>
            <w:hideMark/>
          </w:tcPr>
          <w:p w14:paraId="5595E5C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482</w:t>
            </w:r>
          </w:p>
        </w:tc>
        <w:tc>
          <w:tcPr>
            <w:tcW w:w="581" w:type="dxa"/>
            <w:tcBorders>
              <w:top w:val="nil"/>
              <w:left w:val="nil"/>
              <w:bottom w:val="single" w:sz="8" w:space="0" w:color="DCDDDE"/>
              <w:right w:val="nil"/>
            </w:tcBorders>
            <w:shd w:val="clear" w:color="000000" w:fill="FFFFFF"/>
            <w:noWrap/>
            <w:vAlign w:val="center"/>
            <w:hideMark/>
          </w:tcPr>
          <w:p w14:paraId="729E0D0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514</w:t>
            </w:r>
          </w:p>
        </w:tc>
        <w:tc>
          <w:tcPr>
            <w:tcW w:w="581" w:type="dxa"/>
            <w:tcBorders>
              <w:top w:val="nil"/>
              <w:left w:val="nil"/>
              <w:bottom w:val="single" w:sz="8" w:space="0" w:color="DCDDDE"/>
              <w:right w:val="nil"/>
            </w:tcBorders>
            <w:shd w:val="clear" w:color="000000" w:fill="FFFFFF"/>
            <w:noWrap/>
            <w:vAlign w:val="center"/>
            <w:hideMark/>
          </w:tcPr>
          <w:p w14:paraId="3467267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547</w:t>
            </w:r>
          </w:p>
        </w:tc>
        <w:tc>
          <w:tcPr>
            <w:tcW w:w="581" w:type="dxa"/>
            <w:tcBorders>
              <w:top w:val="nil"/>
              <w:left w:val="nil"/>
              <w:bottom w:val="single" w:sz="8" w:space="0" w:color="DCDDDE"/>
              <w:right w:val="nil"/>
            </w:tcBorders>
            <w:shd w:val="clear" w:color="000000" w:fill="FFFFFF"/>
            <w:noWrap/>
            <w:vAlign w:val="center"/>
            <w:hideMark/>
          </w:tcPr>
          <w:p w14:paraId="743BFB3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582</w:t>
            </w:r>
          </w:p>
        </w:tc>
        <w:tc>
          <w:tcPr>
            <w:tcW w:w="582" w:type="dxa"/>
            <w:tcBorders>
              <w:top w:val="nil"/>
              <w:left w:val="nil"/>
              <w:bottom w:val="single" w:sz="8" w:space="0" w:color="DCDDDE"/>
              <w:right w:val="nil"/>
            </w:tcBorders>
            <w:shd w:val="clear" w:color="000000" w:fill="FFFFFF"/>
            <w:noWrap/>
            <w:vAlign w:val="center"/>
            <w:hideMark/>
          </w:tcPr>
          <w:p w14:paraId="3C22936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613</w:t>
            </w:r>
          </w:p>
        </w:tc>
      </w:tr>
      <w:tr w:rsidR="00C97435" w:rsidRPr="009A6333" w14:paraId="5808DCBB" w14:textId="77777777" w:rsidTr="00C97435">
        <w:trPr>
          <w:trHeight w:val="193"/>
          <w:jc w:val="center"/>
        </w:trPr>
        <w:tc>
          <w:tcPr>
            <w:tcW w:w="1741" w:type="dxa"/>
            <w:tcBorders>
              <w:top w:val="nil"/>
              <w:left w:val="nil"/>
              <w:bottom w:val="single" w:sz="8" w:space="0" w:color="DCDDDE"/>
              <w:right w:val="nil"/>
            </w:tcBorders>
            <w:shd w:val="clear" w:color="000000" w:fill="FFFFFF"/>
            <w:vAlign w:val="center"/>
            <w:hideMark/>
          </w:tcPr>
          <w:p w14:paraId="34E81227"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Low Income</w:t>
            </w:r>
          </w:p>
        </w:tc>
        <w:tc>
          <w:tcPr>
            <w:tcW w:w="581" w:type="dxa"/>
            <w:tcBorders>
              <w:top w:val="nil"/>
              <w:left w:val="nil"/>
              <w:bottom w:val="single" w:sz="8" w:space="0" w:color="DCDDDE"/>
              <w:right w:val="nil"/>
            </w:tcBorders>
            <w:shd w:val="clear" w:color="000000" w:fill="FFFFFF"/>
            <w:noWrap/>
            <w:vAlign w:val="center"/>
            <w:hideMark/>
          </w:tcPr>
          <w:p w14:paraId="460D359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57</w:t>
            </w:r>
          </w:p>
        </w:tc>
        <w:tc>
          <w:tcPr>
            <w:tcW w:w="581" w:type="dxa"/>
            <w:tcBorders>
              <w:top w:val="nil"/>
              <w:left w:val="nil"/>
              <w:bottom w:val="single" w:sz="8" w:space="0" w:color="DCDDDE"/>
              <w:right w:val="nil"/>
            </w:tcBorders>
            <w:shd w:val="clear" w:color="000000" w:fill="FFFFFF"/>
            <w:noWrap/>
            <w:vAlign w:val="center"/>
            <w:hideMark/>
          </w:tcPr>
          <w:p w14:paraId="03CCB58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57</w:t>
            </w:r>
          </w:p>
        </w:tc>
        <w:tc>
          <w:tcPr>
            <w:tcW w:w="581" w:type="dxa"/>
            <w:tcBorders>
              <w:top w:val="nil"/>
              <w:left w:val="nil"/>
              <w:bottom w:val="single" w:sz="8" w:space="0" w:color="DCDDDE"/>
              <w:right w:val="nil"/>
            </w:tcBorders>
            <w:shd w:val="clear" w:color="000000" w:fill="FFFFFF"/>
            <w:noWrap/>
            <w:vAlign w:val="center"/>
            <w:hideMark/>
          </w:tcPr>
          <w:p w14:paraId="5F5C91D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57</w:t>
            </w:r>
          </w:p>
        </w:tc>
        <w:tc>
          <w:tcPr>
            <w:tcW w:w="581" w:type="dxa"/>
            <w:tcBorders>
              <w:top w:val="nil"/>
              <w:left w:val="nil"/>
              <w:bottom w:val="single" w:sz="8" w:space="0" w:color="DCDDDE"/>
              <w:right w:val="nil"/>
            </w:tcBorders>
            <w:shd w:val="clear" w:color="000000" w:fill="FFFFFF"/>
            <w:noWrap/>
            <w:vAlign w:val="center"/>
            <w:hideMark/>
          </w:tcPr>
          <w:p w14:paraId="7D54063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1B7EC09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68AF80F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2FF3D70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388D0A1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15C84F4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4095F82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545D2A0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1522748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2" w:type="dxa"/>
            <w:tcBorders>
              <w:top w:val="nil"/>
              <w:left w:val="nil"/>
              <w:bottom w:val="single" w:sz="8" w:space="0" w:color="DCDDDE"/>
              <w:right w:val="nil"/>
            </w:tcBorders>
            <w:shd w:val="clear" w:color="000000" w:fill="FFFFFF"/>
            <w:noWrap/>
            <w:vAlign w:val="center"/>
            <w:hideMark/>
          </w:tcPr>
          <w:p w14:paraId="65DC85E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r>
      <w:tr w:rsidR="00C97435" w:rsidRPr="009A6333" w14:paraId="4C545B18" w14:textId="77777777" w:rsidTr="00C97435">
        <w:trPr>
          <w:trHeight w:val="507"/>
          <w:jc w:val="center"/>
        </w:trPr>
        <w:tc>
          <w:tcPr>
            <w:tcW w:w="1741" w:type="dxa"/>
            <w:tcBorders>
              <w:top w:val="nil"/>
              <w:left w:val="nil"/>
              <w:bottom w:val="single" w:sz="8" w:space="0" w:color="DCDDDE"/>
              <w:right w:val="nil"/>
            </w:tcBorders>
            <w:shd w:val="clear" w:color="000000" w:fill="FFFFFF"/>
            <w:vAlign w:val="center"/>
            <w:hideMark/>
          </w:tcPr>
          <w:p w14:paraId="6708E386"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Incentive Programs (Subtotal)</w:t>
            </w:r>
          </w:p>
        </w:tc>
        <w:tc>
          <w:tcPr>
            <w:tcW w:w="581" w:type="dxa"/>
            <w:tcBorders>
              <w:top w:val="nil"/>
              <w:left w:val="nil"/>
              <w:bottom w:val="single" w:sz="8" w:space="0" w:color="DCDDDE"/>
              <w:right w:val="nil"/>
            </w:tcBorders>
            <w:shd w:val="clear" w:color="000000" w:fill="FFFFFF"/>
            <w:noWrap/>
            <w:vAlign w:val="center"/>
            <w:hideMark/>
          </w:tcPr>
          <w:p w14:paraId="5B0D739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935</w:t>
            </w:r>
          </w:p>
        </w:tc>
        <w:tc>
          <w:tcPr>
            <w:tcW w:w="581" w:type="dxa"/>
            <w:tcBorders>
              <w:top w:val="nil"/>
              <w:left w:val="nil"/>
              <w:bottom w:val="single" w:sz="8" w:space="0" w:color="DCDDDE"/>
              <w:right w:val="nil"/>
            </w:tcBorders>
            <w:shd w:val="clear" w:color="000000" w:fill="FFFFFF"/>
            <w:noWrap/>
            <w:vAlign w:val="center"/>
            <w:hideMark/>
          </w:tcPr>
          <w:p w14:paraId="2E18D8A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1,037</w:t>
            </w:r>
          </w:p>
        </w:tc>
        <w:tc>
          <w:tcPr>
            <w:tcW w:w="581" w:type="dxa"/>
            <w:tcBorders>
              <w:top w:val="nil"/>
              <w:left w:val="nil"/>
              <w:bottom w:val="single" w:sz="8" w:space="0" w:color="DCDDDE"/>
              <w:right w:val="nil"/>
            </w:tcBorders>
            <w:shd w:val="clear" w:color="000000" w:fill="FFFFFF"/>
            <w:noWrap/>
            <w:vAlign w:val="center"/>
            <w:hideMark/>
          </w:tcPr>
          <w:p w14:paraId="0A3D36B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1,044</w:t>
            </w:r>
          </w:p>
        </w:tc>
        <w:tc>
          <w:tcPr>
            <w:tcW w:w="581" w:type="dxa"/>
            <w:tcBorders>
              <w:top w:val="nil"/>
              <w:left w:val="nil"/>
              <w:bottom w:val="single" w:sz="8" w:space="0" w:color="DCDDDE"/>
              <w:right w:val="nil"/>
            </w:tcBorders>
            <w:shd w:val="clear" w:color="000000" w:fill="FFFFFF"/>
            <w:noWrap/>
            <w:vAlign w:val="center"/>
            <w:hideMark/>
          </w:tcPr>
          <w:p w14:paraId="696A055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1,163</w:t>
            </w:r>
          </w:p>
        </w:tc>
        <w:tc>
          <w:tcPr>
            <w:tcW w:w="581" w:type="dxa"/>
            <w:tcBorders>
              <w:top w:val="nil"/>
              <w:left w:val="nil"/>
              <w:bottom w:val="single" w:sz="8" w:space="0" w:color="DCDDDE"/>
              <w:right w:val="nil"/>
            </w:tcBorders>
            <w:shd w:val="clear" w:color="000000" w:fill="FFFFFF"/>
            <w:noWrap/>
            <w:vAlign w:val="center"/>
            <w:hideMark/>
          </w:tcPr>
          <w:p w14:paraId="235ADCA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1,200</w:t>
            </w:r>
          </w:p>
        </w:tc>
        <w:tc>
          <w:tcPr>
            <w:tcW w:w="581" w:type="dxa"/>
            <w:tcBorders>
              <w:top w:val="nil"/>
              <w:left w:val="nil"/>
              <w:bottom w:val="single" w:sz="8" w:space="0" w:color="DCDDDE"/>
              <w:right w:val="nil"/>
            </w:tcBorders>
            <w:shd w:val="clear" w:color="000000" w:fill="FFFFFF"/>
            <w:noWrap/>
            <w:vAlign w:val="center"/>
            <w:hideMark/>
          </w:tcPr>
          <w:p w14:paraId="6FCFBF8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1,259</w:t>
            </w:r>
          </w:p>
        </w:tc>
        <w:tc>
          <w:tcPr>
            <w:tcW w:w="581" w:type="dxa"/>
            <w:tcBorders>
              <w:top w:val="nil"/>
              <w:left w:val="nil"/>
              <w:bottom w:val="single" w:sz="8" w:space="0" w:color="DCDDDE"/>
              <w:right w:val="nil"/>
            </w:tcBorders>
            <w:shd w:val="clear" w:color="000000" w:fill="FFFFFF"/>
            <w:noWrap/>
            <w:vAlign w:val="center"/>
            <w:hideMark/>
          </w:tcPr>
          <w:p w14:paraId="0FF41F4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1,304</w:t>
            </w:r>
          </w:p>
        </w:tc>
        <w:tc>
          <w:tcPr>
            <w:tcW w:w="581" w:type="dxa"/>
            <w:tcBorders>
              <w:top w:val="nil"/>
              <w:left w:val="nil"/>
              <w:bottom w:val="single" w:sz="8" w:space="0" w:color="DCDDDE"/>
              <w:right w:val="nil"/>
            </w:tcBorders>
            <w:shd w:val="clear" w:color="000000" w:fill="FFFFFF"/>
            <w:noWrap/>
            <w:vAlign w:val="center"/>
            <w:hideMark/>
          </w:tcPr>
          <w:p w14:paraId="236089F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1,355</w:t>
            </w:r>
          </w:p>
        </w:tc>
        <w:tc>
          <w:tcPr>
            <w:tcW w:w="581" w:type="dxa"/>
            <w:tcBorders>
              <w:top w:val="nil"/>
              <w:left w:val="nil"/>
              <w:bottom w:val="single" w:sz="8" w:space="0" w:color="DCDDDE"/>
              <w:right w:val="nil"/>
            </w:tcBorders>
            <w:shd w:val="clear" w:color="000000" w:fill="FFFFFF"/>
            <w:noWrap/>
            <w:vAlign w:val="center"/>
            <w:hideMark/>
          </w:tcPr>
          <w:p w14:paraId="499876E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1,385</w:t>
            </w:r>
          </w:p>
        </w:tc>
        <w:tc>
          <w:tcPr>
            <w:tcW w:w="581" w:type="dxa"/>
            <w:tcBorders>
              <w:top w:val="nil"/>
              <w:left w:val="nil"/>
              <w:bottom w:val="single" w:sz="8" w:space="0" w:color="DCDDDE"/>
              <w:right w:val="nil"/>
            </w:tcBorders>
            <w:shd w:val="clear" w:color="000000" w:fill="FFFFFF"/>
            <w:noWrap/>
            <w:vAlign w:val="center"/>
            <w:hideMark/>
          </w:tcPr>
          <w:p w14:paraId="791771E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1,420</w:t>
            </w:r>
          </w:p>
        </w:tc>
        <w:tc>
          <w:tcPr>
            <w:tcW w:w="581" w:type="dxa"/>
            <w:tcBorders>
              <w:top w:val="nil"/>
              <w:left w:val="nil"/>
              <w:bottom w:val="single" w:sz="8" w:space="0" w:color="DCDDDE"/>
              <w:right w:val="nil"/>
            </w:tcBorders>
            <w:shd w:val="clear" w:color="000000" w:fill="FFFFFF"/>
            <w:noWrap/>
            <w:vAlign w:val="center"/>
            <w:hideMark/>
          </w:tcPr>
          <w:p w14:paraId="1378DAB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1,466</w:t>
            </w:r>
          </w:p>
        </w:tc>
        <w:tc>
          <w:tcPr>
            <w:tcW w:w="581" w:type="dxa"/>
            <w:tcBorders>
              <w:top w:val="nil"/>
              <w:left w:val="nil"/>
              <w:bottom w:val="single" w:sz="8" w:space="0" w:color="DCDDDE"/>
              <w:right w:val="nil"/>
            </w:tcBorders>
            <w:shd w:val="clear" w:color="000000" w:fill="FFFFFF"/>
            <w:noWrap/>
            <w:vAlign w:val="center"/>
            <w:hideMark/>
          </w:tcPr>
          <w:p w14:paraId="1E6C9DB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1,497</w:t>
            </w:r>
          </w:p>
        </w:tc>
        <w:tc>
          <w:tcPr>
            <w:tcW w:w="582" w:type="dxa"/>
            <w:tcBorders>
              <w:top w:val="nil"/>
              <w:left w:val="nil"/>
              <w:bottom w:val="single" w:sz="8" w:space="0" w:color="DCDDDE"/>
              <w:right w:val="nil"/>
            </w:tcBorders>
            <w:shd w:val="clear" w:color="000000" w:fill="FFFFFF"/>
            <w:noWrap/>
            <w:vAlign w:val="center"/>
            <w:hideMark/>
          </w:tcPr>
          <w:p w14:paraId="47EC390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1,524</w:t>
            </w:r>
          </w:p>
        </w:tc>
      </w:tr>
      <w:tr w:rsidR="00C97435" w:rsidRPr="009A6333" w14:paraId="01D169ED" w14:textId="77777777" w:rsidTr="00C97435">
        <w:trPr>
          <w:trHeight w:val="193"/>
          <w:jc w:val="center"/>
        </w:trPr>
        <w:tc>
          <w:tcPr>
            <w:tcW w:w="1741" w:type="dxa"/>
            <w:tcBorders>
              <w:top w:val="nil"/>
              <w:left w:val="nil"/>
              <w:bottom w:val="single" w:sz="8" w:space="0" w:color="DCDDDE"/>
              <w:right w:val="nil"/>
            </w:tcBorders>
            <w:shd w:val="clear" w:color="000000" w:fill="FFFFFF"/>
            <w:vAlign w:val="center"/>
            <w:hideMark/>
          </w:tcPr>
          <w:p w14:paraId="5B377F3C"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C&amp;S*</w:t>
            </w:r>
          </w:p>
        </w:tc>
        <w:tc>
          <w:tcPr>
            <w:tcW w:w="581" w:type="dxa"/>
            <w:tcBorders>
              <w:top w:val="nil"/>
              <w:left w:val="nil"/>
              <w:bottom w:val="single" w:sz="8" w:space="0" w:color="DCDDDE"/>
              <w:right w:val="nil"/>
            </w:tcBorders>
            <w:shd w:val="clear" w:color="000000" w:fill="FFFFFF"/>
            <w:noWrap/>
            <w:vAlign w:val="center"/>
            <w:hideMark/>
          </w:tcPr>
          <w:p w14:paraId="7B1900A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1,212</w:t>
            </w:r>
          </w:p>
        </w:tc>
        <w:tc>
          <w:tcPr>
            <w:tcW w:w="581" w:type="dxa"/>
            <w:tcBorders>
              <w:top w:val="nil"/>
              <w:left w:val="nil"/>
              <w:bottom w:val="single" w:sz="8" w:space="0" w:color="DCDDDE"/>
              <w:right w:val="nil"/>
            </w:tcBorders>
            <w:shd w:val="clear" w:color="000000" w:fill="FFFFFF"/>
            <w:noWrap/>
            <w:vAlign w:val="center"/>
            <w:hideMark/>
          </w:tcPr>
          <w:p w14:paraId="093A068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1,257</w:t>
            </w:r>
          </w:p>
        </w:tc>
        <w:tc>
          <w:tcPr>
            <w:tcW w:w="581" w:type="dxa"/>
            <w:tcBorders>
              <w:top w:val="nil"/>
              <w:left w:val="nil"/>
              <w:bottom w:val="single" w:sz="8" w:space="0" w:color="DCDDDE"/>
              <w:right w:val="nil"/>
            </w:tcBorders>
            <w:shd w:val="clear" w:color="000000" w:fill="FFFFFF"/>
            <w:noWrap/>
            <w:vAlign w:val="center"/>
            <w:hideMark/>
          </w:tcPr>
          <w:p w14:paraId="1219C54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1,266</w:t>
            </w:r>
          </w:p>
        </w:tc>
        <w:tc>
          <w:tcPr>
            <w:tcW w:w="581" w:type="dxa"/>
            <w:tcBorders>
              <w:top w:val="nil"/>
              <w:left w:val="nil"/>
              <w:bottom w:val="single" w:sz="8" w:space="0" w:color="DCDDDE"/>
              <w:right w:val="nil"/>
            </w:tcBorders>
            <w:shd w:val="clear" w:color="000000" w:fill="FFFFFF"/>
            <w:noWrap/>
            <w:vAlign w:val="center"/>
            <w:hideMark/>
          </w:tcPr>
          <w:p w14:paraId="01B148C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1,304</w:t>
            </w:r>
          </w:p>
        </w:tc>
        <w:tc>
          <w:tcPr>
            <w:tcW w:w="581" w:type="dxa"/>
            <w:tcBorders>
              <w:top w:val="nil"/>
              <w:left w:val="nil"/>
              <w:bottom w:val="single" w:sz="8" w:space="0" w:color="DCDDDE"/>
              <w:right w:val="nil"/>
            </w:tcBorders>
            <w:shd w:val="clear" w:color="000000" w:fill="FFFFFF"/>
            <w:noWrap/>
            <w:vAlign w:val="center"/>
            <w:hideMark/>
          </w:tcPr>
          <w:p w14:paraId="0940A41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1,269</w:t>
            </w:r>
          </w:p>
        </w:tc>
        <w:tc>
          <w:tcPr>
            <w:tcW w:w="581" w:type="dxa"/>
            <w:tcBorders>
              <w:top w:val="nil"/>
              <w:left w:val="nil"/>
              <w:bottom w:val="single" w:sz="8" w:space="0" w:color="DCDDDE"/>
              <w:right w:val="nil"/>
            </w:tcBorders>
            <w:shd w:val="clear" w:color="000000" w:fill="FFFFFF"/>
            <w:noWrap/>
            <w:vAlign w:val="center"/>
            <w:hideMark/>
          </w:tcPr>
          <w:p w14:paraId="0FE33AD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1,406</w:t>
            </w:r>
          </w:p>
        </w:tc>
        <w:tc>
          <w:tcPr>
            <w:tcW w:w="581" w:type="dxa"/>
            <w:tcBorders>
              <w:top w:val="nil"/>
              <w:left w:val="nil"/>
              <w:bottom w:val="single" w:sz="8" w:space="0" w:color="DCDDDE"/>
              <w:right w:val="nil"/>
            </w:tcBorders>
            <w:shd w:val="clear" w:color="000000" w:fill="FFFFFF"/>
            <w:noWrap/>
            <w:vAlign w:val="center"/>
            <w:hideMark/>
          </w:tcPr>
          <w:p w14:paraId="1B54C44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1,347</w:t>
            </w:r>
          </w:p>
        </w:tc>
        <w:tc>
          <w:tcPr>
            <w:tcW w:w="581" w:type="dxa"/>
            <w:tcBorders>
              <w:top w:val="nil"/>
              <w:left w:val="nil"/>
              <w:bottom w:val="single" w:sz="8" w:space="0" w:color="DCDDDE"/>
              <w:right w:val="nil"/>
            </w:tcBorders>
            <w:shd w:val="clear" w:color="000000" w:fill="FFFFFF"/>
            <w:noWrap/>
            <w:vAlign w:val="center"/>
            <w:hideMark/>
          </w:tcPr>
          <w:p w14:paraId="1DF9B5C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1,299</w:t>
            </w:r>
          </w:p>
        </w:tc>
        <w:tc>
          <w:tcPr>
            <w:tcW w:w="581" w:type="dxa"/>
            <w:tcBorders>
              <w:top w:val="nil"/>
              <w:left w:val="nil"/>
              <w:bottom w:val="single" w:sz="8" w:space="0" w:color="DCDDDE"/>
              <w:right w:val="nil"/>
            </w:tcBorders>
            <w:shd w:val="clear" w:color="000000" w:fill="FFFFFF"/>
            <w:noWrap/>
            <w:vAlign w:val="center"/>
            <w:hideMark/>
          </w:tcPr>
          <w:p w14:paraId="0FBEC84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1,218</w:t>
            </w:r>
          </w:p>
        </w:tc>
        <w:tc>
          <w:tcPr>
            <w:tcW w:w="581" w:type="dxa"/>
            <w:tcBorders>
              <w:top w:val="nil"/>
              <w:left w:val="nil"/>
              <w:bottom w:val="single" w:sz="8" w:space="0" w:color="DCDDDE"/>
              <w:right w:val="nil"/>
            </w:tcBorders>
            <w:shd w:val="clear" w:color="000000" w:fill="FFFFFF"/>
            <w:noWrap/>
            <w:vAlign w:val="center"/>
            <w:hideMark/>
          </w:tcPr>
          <w:p w14:paraId="25152F9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1,173</w:t>
            </w:r>
          </w:p>
        </w:tc>
        <w:tc>
          <w:tcPr>
            <w:tcW w:w="581" w:type="dxa"/>
            <w:tcBorders>
              <w:top w:val="nil"/>
              <w:left w:val="nil"/>
              <w:bottom w:val="single" w:sz="8" w:space="0" w:color="DCDDDE"/>
              <w:right w:val="nil"/>
            </w:tcBorders>
            <w:shd w:val="clear" w:color="000000" w:fill="FFFFFF"/>
            <w:noWrap/>
            <w:vAlign w:val="center"/>
            <w:hideMark/>
          </w:tcPr>
          <w:p w14:paraId="38D0222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1,067</w:t>
            </w:r>
          </w:p>
        </w:tc>
        <w:tc>
          <w:tcPr>
            <w:tcW w:w="581" w:type="dxa"/>
            <w:tcBorders>
              <w:top w:val="nil"/>
              <w:left w:val="nil"/>
              <w:bottom w:val="single" w:sz="8" w:space="0" w:color="DCDDDE"/>
              <w:right w:val="nil"/>
            </w:tcBorders>
            <w:shd w:val="clear" w:color="000000" w:fill="FFFFFF"/>
            <w:noWrap/>
            <w:vAlign w:val="center"/>
            <w:hideMark/>
          </w:tcPr>
          <w:p w14:paraId="23BB871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966</w:t>
            </w:r>
          </w:p>
        </w:tc>
        <w:tc>
          <w:tcPr>
            <w:tcW w:w="582" w:type="dxa"/>
            <w:tcBorders>
              <w:top w:val="nil"/>
              <w:left w:val="nil"/>
              <w:bottom w:val="single" w:sz="8" w:space="0" w:color="DCDDDE"/>
              <w:right w:val="nil"/>
            </w:tcBorders>
            <w:shd w:val="clear" w:color="000000" w:fill="FFFFFF"/>
            <w:noWrap/>
            <w:vAlign w:val="center"/>
            <w:hideMark/>
          </w:tcPr>
          <w:p w14:paraId="6C39D5F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864</w:t>
            </w:r>
          </w:p>
        </w:tc>
      </w:tr>
      <w:tr w:rsidR="00C97435" w:rsidRPr="009A6333" w14:paraId="31BDA674" w14:textId="77777777" w:rsidTr="00C97435">
        <w:trPr>
          <w:trHeight w:val="193"/>
          <w:jc w:val="center"/>
        </w:trPr>
        <w:tc>
          <w:tcPr>
            <w:tcW w:w="1741" w:type="dxa"/>
            <w:tcBorders>
              <w:top w:val="nil"/>
              <w:left w:val="nil"/>
              <w:bottom w:val="single" w:sz="8" w:space="0" w:color="DCDDDE"/>
              <w:right w:val="nil"/>
            </w:tcBorders>
            <w:shd w:val="clear" w:color="000000" w:fill="FFFFFF"/>
            <w:vAlign w:val="center"/>
            <w:hideMark/>
          </w:tcPr>
          <w:p w14:paraId="59D967D0"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Total</w:t>
            </w:r>
          </w:p>
        </w:tc>
        <w:tc>
          <w:tcPr>
            <w:tcW w:w="581" w:type="dxa"/>
            <w:tcBorders>
              <w:top w:val="nil"/>
              <w:left w:val="nil"/>
              <w:bottom w:val="single" w:sz="8" w:space="0" w:color="DCDDDE"/>
              <w:right w:val="nil"/>
            </w:tcBorders>
            <w:shd w:val="clear" w:color="000000" w:fill="FFFFFF"/>
            <w:noWrap/>
            <w:vAlign w:val="center"/>
            <w:hideMark/>
          </w:tcPr>
          <w:p w14:paraId="047071AE"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2,146</w:t>
            </w:r>
          </w:p>
        </w:tc>
        <w:tc>
          <w:tcPr>
            <w:tcW w:w="581" w:type="dxa"/>
            <w:tcBorders>
              <w:top w:val="nil"/>
              <w:left w:val="nil"/>
              <w:bottom w:val="single" w:sz="8" w:space="0" w:color="DCDDDE"/>
              <w:right w:val="nil"/>
            </w:tcBorders>
            <w:shd w:val="clear" w:color="000000" w:fill="FFFFFF"/>
            <w:noWrap/>
            <w:vAlign w:val="center"/>
            <w:hideMark/>
          </w:tcPr>
          <w:p w14:paraId="68C5E5E4"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2,294</w:t>
            </w:r>
          </w:p>
        </w:tc>
        <w:tc>
          <w:tcPr>
            <w:tcW w:w="581" w:type="dxa"/>
            <w:tcBorders>
              <w:top w:val="nil"/>
              <w:left w:val="nil"/>
              <w:bottom w:val="single" w:sz="8" w:space="0" w:color="DCDDDE"/>
              <w:right w:val="nil"/>
            </w:tcBorders>
            <w:shd w:val="clear" w:color="000000" w:fill="FFFFFF"/>
            <w:noWrap/>
            <w:vAlign w:val="center"/>
            <w:hideMark/>
          </w:tcPr>
          <w:p w14:paraId="0B115930"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2,311</w:t>
            </w:r>
          </w:p>
        </w:tc>
        <w:tc>
          <w:tcPr>
            <w:tcW w:w="581" w:type="dxa"/>
            <w:tcBorders>
              <w:top w:val="nil"/>
              <w:left w:val="nil"/>
              <w:bottom w:val="single" w:sz="8" w:space="0" w:color="DCDDDE"/>
              <w:right w:val="nil"/>
            </w:tcBorders>
            <w:shd w:val="clear" w:color="000000" w:fill="FFFFFF"/>
            <w:noWrap/>
            <w:vAlign w:val="center"/>
            <w:hideMark/>
          </w:tcPr>
          <w:p w14:paraId="3397357E"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2,467</w:t>
            </w:r>
          </w:p>
        </w:tc>
        <w:tc>
          <w:tcPr>
            <w:tcW w:w="581" w:type="dxa"/>
            <w:tcBorders>
              <w:top w:val="nil"/>
              <w:left w:val="nil"/>
              <w:bottom w:val="single" w:sz="8" w:space="0" w:color="DCDDDE"/>
              <w:right w:val="nil"/>
            </w:tcBorders>
            <w:shd w:val="clear" w:color="000000" w:fill="FFFFFF"/>
            <w:noWrap/>
            <w:vAlign w:val="center"/>
            <w:hideMark/>
          </w:tcPr>
          <w:p w14:paraId="4AEBFF4F"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2,469</w:t>
            </w:r>
          </w:p>
        </w:tc>
        <w:tc>
          <w:tcPr>
            <w:tcW w:w="581" w:type="dxa"/>
            <w:tcBorders>
              <w:top w:val="nil"/>
              <w:left w:val="nil"/>
              <w:bottom w:val="single" w:sz="8" w:space="0" w:color="DCDDDE"/>
              <w:right w:val="nil"/>
            </w:tcBorders>
            <w:shd w:val="clear" w:color="000000" w:fill="FFFFFF"/>
            <w:noWrap/>
            <w:vAlign w:val="center"/>
            <w:hideMark/>
          </w:tcPr>
          <w:p w14:paraId="5AAE600D"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2,666</w:t>
            </w:r>
          </w:p>
        </w:tc>
        <w:tc>
          <w:tcPr>
            <w:tcW w:w="581" w:type="dxa"/>
            <w:tcBorders>
              <w:top w:val="nil"/>
              <w:left w:val="nil"/>
              <w:bottom w:val="single" w:sz="8" w:space="0" w:color="DCDDDE"/>
              <w:right w:val="nil"/>
            </w:tcBorders>
            <w:shd w:val="clear" w:color="000000" w:fill="FFFFFF"/>
            <w:noWrap/>
            <w:vAlign w:val="center"/>
            <w:hideMark/>
          </w:tcPr>
          <w:p w14:paraId="6EA7B134"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2,651</w:t>
            </w:r>
          </w:p>
        </w:tc>
        <w:tc>
          <w:tcPr>
            <w:tcW w:w="581" w:type="dxa"/>
            <w:tcBorders>
              <w:top w:val="nil"/>
              <w:left w:val="nil"/>
              <w:bottom w:val="single" w:sz="8" w:space="0" w:color="DCDDDE"/>
              <w:right w:val="nil"/>
            </w:tcBorders>
            <w:shd w:val="clear" w:color="000000" w:fill="FFFFFF"/>
            <w:noWrap/>
            <w:vAlign w:val="center"/>
            <w:hideMark/>
          </w:tcPr>
          <w:p w14:paraId="324619F8"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2,654</w:t>
            </w:r>
          </w:p>
        </w:tc>
        <w:tc>
          <w:tcPr>
            <w:tcW w:w="581" w:type="dxa"/>
            <w:tcBorders>
              <w:top w:val="nil"/>
              <w:left w:val="nil"/>
              <w:bottom w:val="single" w:sz="8" w:space="0" w:color="DCDDDE"/>
              <w:right w:val="nil"/>
            </w:tcBorders>
            <w:shd w:val="clear" w:color="000000" w:fill="FFFFFF"/>
            <w:noWrap/>
            <w:vAlign w:val="center"/>
            <w:hideMark/>
          </w:tcPr>
          <w:p w14:paraId="465EFF28"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2,603</w:t>
            </w:r>
          </w:p>
        </w:tc>
        <w:tc>
          <w:tcPr>
            <w:tcW w:w="581" w:type="dxa"/>
            <w:tcBorders>
              <w:top w:val="nil"/>
              <w:left w:val="nil"/>
              <w:bottom w:val="single" w:sz="8" w:space="0" w:color="DCDDDE"/>
              <w:right w:val="nil"/>
            </w:tcBorders>
            <w:shd w:val="clear" w:color="000000" w:fill="FFFFFF"/>
            <w:noWrap/>
            <w:vAlign w:val="center"/>
            <w:hideMark/>
          </w:tcPr>
          <w:p w14:paraId="456F86FC"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2,593</w:t>
            </w:r>
          </w:p>
        </w:tc>
        <w:tc>
          <w:tcPr>
            <w:tcW w:w="581" w:type="dxa"/>
            <w:tcBorders>
              <w:top w:val="nil"/>
              <w:left w:val="nil"/>
              <w:bottom w:val="single" w:sz="8" w:space="0" w:color="DCDDDE"/>
              <w:right w:val="nil"/>
            </w:tcBorders>
            <w:shd w:val="clear" w:color="000000" w:fill="FFFFFF"/>
            <w:noWrap/>
            <w:vAlign w:val="center"/>
            <w:hideMark/>
          </w:tcPr>
          <w:p w14:paraId="629A4923"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2,532</w:t>
            </w:r>
          </w:p>
        </w:tc>
        <w:tc>
          <w:tcPr>
            <w:tcW w:w="581" w:type="dxa"/>
            <w:tcBorders>
              <w:top w:val="nil"/>
              <w:left w:val="nil"/>
              <w:bottom w:val="single" w:sz="8" w:space="0" w:color="DCDDDE"/>
              <w:right w:val="nil"/>
            </w:tcBorders>
            <w:shd w:val="clear" w:color="000000" w:fill="FFFFFF"/>
            <w:noWrap/>
            <w:vAlign w:val="center"/>
            <w:hideMark/>
          </w:tcPr>
          <w:p w14:paraId="53F4AA84"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2,463</w:t>
            </w:r>
          </w:p>
        </w:tc>
        <w:tc>
          <w:tcPr>
            <w:tcW w:w="582" w:type="dxa"/>
            <w:tcBorders>
              <w:top w:val="nil"/>
              <w:left w:val="nil"/>
              <w:bottom w:val="single" w:sz="8" w:space="0" w:color="DCDDDE"/>
              <w:right w:val="nil"/>
            </w:tcBorders>
            <w:shd w:val="clear" w:color="000000" w:fill="FFFFFF"/>
            <w:noWrap/>
            <w:vAlign w:val="center"/>
            <w:hideMark/>
          </w:tcPr>
          <w:p w14:paraId="6C3E6BE2"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2,389</w:t>
            </w:r>
          </w:p>
        </w:tc>
      </w:tr>
      <w:tr w:rsidR="009A6333" w:rsidRPr="009A6333" w14:paraId="59E45C34" w14:textId="77777777" w:rsidTr="00C97435">
        <w:trPr>
          <w:trHeight w:val="193"/>
          <w:jc w:val="center"/>
        </w:trPr>
        <w:tc>
          <w:tcPr>
            <w:tcW w:w="9299" w:type="dxa"/>
            <w:gridSpan w:val="14"/>
            <w:tcBorders>
              <w:top w:val="single" w:sz="8" w:space="0" w:color="DCDDDE"/>
              <w:left w:val="nil"/>
              <w:bottom w:val="single" w:sz="8" w:space="0" w:color="DCDDDE"/>
              <w:right w:val="nil"/>
            </w:tcBorders>
            <w:shd w:val="clear" w:color="000000" w:fill="DADADA"/>
            <w:noWrap/>
            <w:vAlign w:val="center"/>
            <w:hideMark/>
          </w:tcPr>
          <w:p w14:paraId="53A7729A"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PAC | Reference</w:t>
            </w:r>
          </w:p>
        </w:tc>
      </w:tr>
      <w:tr w:rsidR="00C97435" w:rsidRPr="009A6333" w14:paraId="47A63DD1" w14:textId="77777777" w:rsidTr="00C97435">
        <w:trPr>
          <w:trHeight w:val="341"/>
          <w:jc w:val="center"/>
        </w:trPr>
        <w:tc>
          <w:tcPr>
            <w:tcW w:w="1741" w:type="dxa"/>
            <w:tcBorders>
              <w:top w:val="nil"/>
              <w:left w:val="nil"/>
              <w:bottom w:val="single" w:sz="8" w:space="0" w:color="DCDDDE"/>
              <w:right w:val="nil"/>
            </w:tcBorders>
            <w:shd w:val="clear" w:color="000000" w:fill="FFFFFF"/>
            <w:vAlign w:val="center"/>
            <w:hideMark/>
          </w:tcPr>
          <w:p w14:paraId="28B22410"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Equipment Rebates</w:t>
            </w:r>
          </w:p>
        </w:tc>
        <w:tc>
          <w:tcPr>
            <w:tcW w:w="581" w:type="dxa"/>
            <w:tcBorders>
              <w:top w:val="nil"/>
              <w:left w:val="nil"/>
              <w:bottom w:val="single" w:sz="8" w:space="0" w:color="DCDDDE"/>
              <w:right w:val="nil"/>
            </w:tcBorders>
            <w:shd w:val="clear" w:color="000000" w:fill="FFFFFF"/>
            <w:noWrap/>
            <w:vAlign w:val="center"/>
            <w:hideMark/>
          </w:tcPr>
          <w:p w14:paraId="551E463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848</w:t>
            </w:r>
          </w:p>
        </w:tc>
        <w:tc>
          <w:tcPr>
            <w:tcW w:w="581" w:type="dxa"/>
            <w:tcBorders>
              <w:top w:val="nil"/>
              <w:left w:val="nil"/>
              <w:bottom w:val="single" w:sz="8" w:space="0" w:color="DCDDDE"/>
              <w:right w:val="nil"/>
            </w:tcBorders>
            <w:shd w:val="clear" w:color="000000" w:fill="FFFFFF"/>
            <w:noWrap/>
            <w:vAlign w:val="center"/>
            <w:hideMark/>
          </w:tcPr>
          <w:p w14:paraId="0579767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891</w:t>
            </w:r>
          </w:p>
        </w:tc>
        <w:tc>
          <w:tcPr>
            <w:tcW w:w="581" w:type="dxa"/>
            <w:tcBorders>
              <w:top w:val="nil"/>
              <w:left w:val="nil"/>
              <w:bottom w:val="single" w:sz="8" w:space="0" w:color="DCDDDE"/>
              <w:right w:val="nil"/>
            </w:tcBorders>
            <w:shd w:val="clear" w:color="000000" w:fill="FFFFFF"/>
            <w:noWrap/>
            <w:vAlign w:val="center"/>
            <w:hideMark/>
          </w:tcPr>
          <w:p w14:paraId="1FC37B9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856</w:t>
            </w:r>
          </w:p>
        </w:tc>
        <w:tc>
          <w:tcPr>
            <w:tcW w:w="581" w:type="dxa"/>
            <w:tcBorders>
              <w:top w:val="nil"/>
              <w:left w:val="nil"/>
              <w:bottom w:val="single" w:sz="8" w:space="0" w:color="DCDDDE"/>
              <w:right w:val="nil"/>
            </w:tcBorders>
            <w:shd w:val="clear" w:color="000000" w:fill="FFFFFF"/>
            <w:noWrap/>
            <w:vAlign w:val="center"/>
            <w:hideMark/>
          </w:tcPr>
          <w:p w14:paraId="2968419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936</w:t>
            </w:r>
          </w:p>
        </w:tc>
        <w:tc>
          <w:tcPr>
            <w:tcW w:w="581" w:type="dxa"/>
            <w:tcBorders>
              <w:top w:val="nil"/>
              <w:left w:val="nil"/>
              <w:bottom w:val="single" w:sz="8" w:space="0" w:color="DCDDDE"/>
              <w:right w:val="nil"/>
            </w:tcBorders>
            <w:shd w:val="clear" w:color="000000" w:fill="FFFFFF"/>
            <w:noWrap/>
            <w:vAlign w:val="center"/>
            <w:hideMark/>
          </w:tcPr>
          <w:p w14:paraId="1FA833F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948</w:t>
            </w:r>
          </w:p>
        </w:tc>
        <w:tc>
          <w:tcPr>
            <w:tcW w:w="581" w:type="dxa"/>
            <w:tcBorders>
              <w:top w:val="nil"/>
              <w:left w:val="nil"/>
              <w:bottom w:val="single" w:sz="8" w:space="0" w:color="DCDDDE"/>
              <w:right w:val="nil"/>
            </w:tcBorders>
            <w:shd w:val="clear" w:color="000000" w:fill="FFFFFF"/>
            <w:noWrap/>
            <w:vAlign w:val="center"/>
            <w:hideMark/>
          </w:tcPr>
          <w:p w14:paraId="12DF425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960</w:t>
            </w:r>
          </w:p>
        </w:tc>
        <w:tc>
          <w:tcPr>
            <w:tcW w:w="581" w:type="dxa"/>
            <w:tcBorders>
              <w:top w:val="nil"/>
              <w:left w:val="nil"/>
              <w:bottom w:val="single" w:sz="8" w:space="0" w:color="DCDDDE"/>
              <w:right w:val="nil"/>
            </w:tcBorders>
            <w:shd w:val="clear" w:color="000000" w:fill="FFFFFF"/>
            <w:noWrap/>
            <w:vAlign w:val="center"/>
            <w:hideMark/>
          </w:tcPr>
          <w:p w14:paraId="1A0187E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963</w:t>
            </w:r>
          </w:p>
        </w:tc>
        <w:tc>
          <w:tcPr>
            <w:tcW w:w="581" w:type="dxa"/>
            <w:tcBorders>
              <w:top w:val="nil"/>
              <w:left w:val="nil"/>
              <w:bottom w:val="single" w:sz="8" w:space="0" w:color="DCDDDE"/>
              <w:right w:val="nil"/>
            </w:tcBorders>
            <w:shd w:val="clear" w:color="000000" w:fill="FFFFFF"/>
            <w:noWrap/>
            <w:vAlign w:val="center"/>
            <w:hideMark/>
          </w:tcPr>
          <w:p w14:paraId="47C7A9D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971</w:t>
            </w:r>
          </w:p>
        </w:tc>
        <w:tc>
          <w:tcPr>
            <w:tcW w:w="581" w:type="dxa"/>
            <w:tcBorders>
              <w:top w:val="nil"/>
              <w:left w:val="nil"/>
              <w:bottom w:val="single" w:sz="8" w:space="0" w:color="DCDDDE"/>
              <w:right w:val="nil"/>
            </w:tcBorders>
            <w:shd w:val="clear" w:color="000000" w:fill="FFFFFF"/>
            <w:noWrap/>
            <w:vAlign w:val="center"/>
            <w:hideMark/>
          </w:tcPr>
          <w:p w14:paraId="51CC9AA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971</w:t>
            </w:r>
          </w:p>
        </w:tc>
        <w:tc>
          <w:tcPr>
            <w:tcW w:w="581" w:type="dxa"/>
            <w:tcBorders>
              <w:top w:val="nil"/>
              <w:left w:val="nil"/>
              <w:bottom w:val="single" w:sz="8" w:space="0" w:color="DCDDDE"/>
              <w:right w:val="nil"/>
            </w:tcBorders>
            <w:shd w:val="clear" w:color="000000" w:fill="FFFFFF"/>
            <w:noWrap/>
            <w:vAlign w:val="center"/>
            <w:hideMark/>
          </w:tcPr>
          <w:p w14:paraId="31555C1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974</w:t>
            </w:r>
          </w:p>
        </w:tc>
        <w:tc>
          <w:tcPr>
            <w:tcW w:w="581" w:type="dxa"/>
            <w:tcBorders>
              <w:top w:val="nil"/>
              <w:left w:val="nil"/>
              <w:bottom w:val="single" w:sz="8" w:space="0" w:color="DCDDDE"/>
              <w:right w:val="nil"/>
            </w:tcBorders>
            <w:shd w:val="clear" w:color="000000" w:fill="FFFFFF"/>
            <w:noWrap/>
            <w:vAlign w:val="center"/>
            <w:hideMark/>
          </w:tcPr>
          <w:p w14:paraId="32BBE33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975</w:t>
            </w:r>
          </w:p>
        </w:tc>
        <w:tc>
          <w:tcPr>
            <w:tcW w:w="581" w:type="dxa"/>
            <w:tcBorders>
              <w:top w:val="nil"/>
              <w:left w:val="nil"/>
              <w:bottom w:val="single" w:sz="8" w:space="0" w:color="DCDDDE"/>
              <w:right w:val="nil"/>
            </w:tcBorders>
            <w:shd w:val="clear" w:color="000000" w:fill="FFFFFF"/>
            <w:noWrap/>
            <w:vAlign w:val="center"/>
            <w:hideMark/>
          </w:tcPr>
          <w:p w14:paraId="6D0943B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972</w:t>
            </w:r>
          </w:p>
        </w:tc>
        <w:tc>
          <w:tcPr>
            <w:tcW w:w="582" w:type="dxa"/>
            <w:tcBorders>
              <w:top w:val="nil"/>
              <w:left w:val="nil"/>
              <w:bottom w:val="single" w:sz="8" w:space="0" w:color="DCDDDE"/>
              <w:right w:val="nil"/>
            </w:tcBorders>
            <w:shd w:val="clear" w:color="000000" w:fill="FFFFFF"/>
            <w:noWrap/>
            <w:vAlign w:val="center"/>
            <w:hideMark/>
          </w:tcPr>
          <w:p w14:paraId="1776E7C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966</w:t>
            </w:r>
          </w:p>
        </w:tc>
      </w:tr>
      <w:tr w:rsidR="00C97435" w:rsidRPr="009A6333" w14:paraId="5808F1AB" w14:textId="77777777" w:rsidTr="00C97435">
        <w:trPr>
          <w:trHeight w:val="193"/>
          <w:jc w:val="center"/>
        </w:trPr>
        <w:tc>
          <w:tcPr>
            <w:tcW w:w="1741" w:type="dxa"/>
            <w:tcBorders>
              <w:top w:val="nil"/>
              <w:left w:val="nil"/>
              <w:bottom w:val="single" w:sz="8" w:space="0" w:color="DCDDDE"/>
              <w:right w:val="nil"/>
            </w:tcBorders>
            <w:shd w:val="clear" w:color="000000" w:fill="FFFFFF"/>
            <w:vAlign w:val="center"/>
            <w:hideMark/>
          </w:tcPr>
          <w:p w14:paraId="4F9E5F2E"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BROs</w:t>
            </w:r>
          </w:p>
        </w:tc>
        <w:tc>
          <w:tcPr>
            <w:tcW w:w="581" w:type="dxa"/>
            <w:tcBorders>
              <w:top w:val="nil"/>
              <w:left w:val="nil"/>
              <w:bottom w:val="single" w:sz="8" w:space="0" w:color="DCDDDE"/>
              <w:right w:val="nil"/>
            </w:tcBorders>
            <w:shd w:val="clear" w:color="000000" w:fill="FFFFFF"/>
            <w:noWrap/>
            <w:vAlign w:val="center"/>
            <w:hideMark/>
          </w:tcPr>
          <w:p w14:paraId="09B642E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213</w:t>
            </w:r>
          </w:p>
        </w:tc>
        <w:tc>
          <w:tcPr>
            <w:tcW w:w="581" w:type="dxa"/>
            <w:tcBorders>
              <w:top w:val="nil"/>
              <w:left w:val="nil"/>
              <w:bottom w:val="single" w:sz="8" w:space="0" w:color="DCDDDE"/>
              <w:right w:val="nil"/>
            </w:tcBorders>
            <w:shd w:val="clear" w:color="000000" w:fill="FFFFFF"/>
            <w:noWrap/>
            <w:vAlign w:val="center"/>
            <w:hideMark/>
          </w:tcPr>
          <w:p w14:paraId="30314D9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270</w:t>
            </w:r>
          </w:p>
        </w:tc>
        <w:tc>
          <w:tcPr>
            <w:tcW w:w="581" w:type="dxa"/>
            <w:tcBorders>
              <w:top w:val="nil"/>
              <w:left w:val="nil"/>
              <w:bottom w:val="single" w:sz="8" w:space="0" w:color="DCDDDE"/>
              <w:right w:val="nil"/>
            </w:tcBorders>
            <w:shd w:val="clear" w:color="000000" w:fill="FFFFFF"/>
            <w:noWrap/>
            <w:vAlign w:val="center"/>
            <w:hideMark/>
          </w:tcPr>
          <w:p w14:paraId="6E798F9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302</w:t>
            </w:r>
          </w:p>
        </w:tc>
        <w:tc>
          <w:tcPr>
            <w:tcW w:w="581" w:type="dxa"/>
            <w:tcBorders>
              <w:top w:val="nil"/>
              <w:left w:val="nil"/>
              <w:bottom w:val="single" w:sz="8" w:space="0" w:color="DCDDDE"/>
              <w:right w:val="nil"/>
            </w:tcBorders>
            <w:shd w:val="clear" w:color="000000" w:fill="FFFFFF"/>
            <w:noWrap/>
            <w:vAlign w:val="center"/>
            <w:hideMark/>
          </w:tcPr>
          <w:p w14:paraId="48874F0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338</w:t>
            </w:r>
          </w:p>
        </w:tc>
        <w:tc>
          <w:tcPr>
            <w:tcW w:w="581" w:type="dxa"/>
            <w:tcBorders>
              <w:top w:val="nil"/>
              <w:left w:val="nil"/>
              <w:bottom w:val="single" w:sz="8" w:space="0" w:color="DCDDDE"/>
              <w:right w:val="nil"/>
            </w:tcBorders>
            <w:shd w:val="clear" w:color="000000" w:fill="FFFFFF"/>
            <w:noWrap/>
            <w:vAlign w:val="center"/>
            <w:hideMark/>
          </w:tcPr>
          <w:p w14:paraId="09EEB29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363</w:t>
            </w:r>
          </w:p>
        </w:tc>
        <w:tc>
          <w:tcPr>
            <w:tcW w:w="581" w:type="dxa"/>
            <w:tcBorders>
              <w:top w:val="nil"/>
              <w:left w:val="nil"/>
              <w:bottom w:val="single" w:sz="8" w:space="0" w:color="DCDDDE"/>
              <w:right w:val="nil"/>
            </w:tcBorders>
            <w:shd w:val="clear" w:color="000000" w:fill="FFFFFF"/>
            <w:noWrap/>
            <w:vAlign w:val="center"/>
            <w:hideMark/>
          </w:tcPr>
          <w:p w14:paraId="2546A49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388</w:t>
            </w:r>
          </w:p>
        </w:tc>
        <w:tc>
          <w:tcPr>
            <w:tcW w:w="581" w:type="dxa"/>
            <w:tcBorders>
              <w:top w:val="nil"/>
              <w:left w:val="nil"/>
              <w:bottom w:val="single" w:sz="8" w:space="0" w:color="DCDDDE"/>
              <w:right w:val="nil"/>
            </w:tcBorders>
            <w:shd w:val="clear" w:color="000000" w:fill="FFFFFF"/>
            <w:noWrap/>
            <w:vAlign w:val="center"/>
            <w:hideMark/>
          </w:tcPr>
          <w:p w14:paraId="2225559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414</w:t>
            </w:r>
          </w:p>
        </w:tc>
        <w:tc>
          <w:tcPr>
            <w:tcW w:w="581" w:type="dxa"/>
            <w:tcBorders>
              <w:top w:val="nil"/>
              <w:left w:val="nil"/>
              <w:bottom w:val="single" w:sz="8" w:space="0" w:color="DCDDDE"/>
              <w:right w:val="nil"/>
            </w:tcBorders>
            <w:shd w:val="clear" w:color="000000" w:fill="FFFFFF"/>
            <w:noWrap/>
            <w:vAlign w:val="center"/>
            <w:hideMark/>
          </w:tcPr>
          <w:p w14:paraId="0D50D9F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451</w:t>
            </w:r>
          </w:p>
        </w:tc>
        <w:tc>
          <w:tcPr>
            <w:tcW w:w="581" w:type="dxa"/>
            <w:tcBorders>
              <w:top w:val="nil"/>
              <w:left w:val="nil"/>
              <w:bottom w:val="single" w:sz="8" w:space="0" w:color="DCDDDE"/>
              <w:right w:val="nil"/>
            </w:tcBorders>
            <w:shd w:val="clear" w:color="000000" w:fill="FFFFFF"/>
            <w:noWrap/>
            <w:vAlign w:val="center"/>
            <w:hideMark/>
          </w:tcPr>
          <w:p w14:paraId="71C7CD3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482</w:t>
            </w:r>
          </w:p>
        </w:tc>
        <w:tc>
          <w:tcPr>
            <w:tcW w:w="581" w:type="dxa"/>
            <w:tcBorders>
              <w:top w:val="nil"/>
              <w:left w:val="nil"/>
              <w:bottom w:val="single" w:sz="8" w:space="0" w:color="DCDDDE"/>
              <w:right w:val="nil"/>
            </w:tcBorders>
            <w:shd w:val="clear" w:color="000000" w:fill="FFFFFF"/>
            <w:noWrap/>
            <w:vAlign w:val="center"/>
            <w:hideMark/>
          </w:tcPr>
          <w:p w14:paraId="1917F4E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514</w:t>
            </w:r>
          </w:p>
        </w:tc>
        <w:tc>
          <w:tcPr>
            <w:tcW w:w="581" w:type="dxa"/>
            <w:tcBorders>
              <w:top w:val="nil"/>
              <w:left w:val="nil"/>
              <w:bottom w:val="single" w:sz="8" w:space="0" w:color="DCDDDE"/>
              <w:right w:val="nil"/>
            </w:tcBorders>
            <w:shd w:val="clear" w:color="000000" w:fill="FFFFFF"/>
            <w:noWrap/>
            <w:vAlign w:val="center"/>
            <w:hideMark/>
          </w:tcPr>
          <w:p w14:paraId="471AC73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547</w:t>
            </w:r>
          </w:p>
        </w:tc>
        <w:tc>
          <w:tcPr>
            <w:tcW w:w="581" w:type="dxa"/>
            <w:tcBorders>
              <w:top w:val="nil"/>
              <w:left w:val="nil"/>
              <w:bottom w:val="single" w:sz="8" w:space="0" w:color="DCDDDE"/>
              <w:right w:val="nil"/>
            </w:tcBorders>
            <w:shd w:val="clear" w:color="000000" w:fill="FFFFFF"/>
            <w:noWrap/>
            <w:vAlign w:val="center"/>
            <w:hideMark/>
          </w:tcPr>
          <w:p w14:paraId="695A450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582</w:t>
            </w:r>
          </w:p>
        </w:tc>
        <w:tc>
          <w:tcPr>
            <w:tcW w:w="582" w:type="dxa"/>
            <w:tcBorders>
              <w:top w:val="nil"/>
              <w:left w:val="nil"/>
              <w:bottom w:val="single" w:sz="8" w:space="0" w:color="DCDDDE"/>
              <w:right w:val="nil"/>
            </w:tcBorders>
            <w:shd w:val="clear" w:color="000000" w:fill="FFFFFF"/>
            <w:noWrap/>
            <w:vAlign w:val="center"/>
            <w:hideMark/>
          </w:tcPr>
          <w:p w14:paraId="4716FD8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613</w:t>
            </w:r>
          </w:p>
        </w:tc>
      </w:tr>
      <w:tr w:rsidR="00C97435" w:rsidRPr="009A6333" w14:paraId="6E21D49F" w14:textId="77777777" w:rsidTr="00C97435">
        <w:trPr>
          <w:trHeight w:val="193"/>
          <w:jc w:val="center"/>
        </w:trPr>
        <w:tc>
          <w:tcPr>
            <w:tcW w:w="1741" w:type="dxa"/>
            <w:tcBorders>
              <w:top w:val="nil"/>
              <w:left w:val="nil"/>
              <w:bottom w:val="single" w:sz="8" w:space="0" w:color="DCDDDE"/>
              <w:right w:val="nil"/>
            </w:tcBorders>
            <w:shd w:val="clear" w:color="000000" w:fill="FFFFFF"/>
            <w:vAlign w:val="center"/>
            <w:hideMark/>
          </w:tcPr>
          <w:p w14:paraId="6A2C0DDA"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Low Income</w:t>
            </w:r>
          </w:p>
        </w:tc>
        <w:tc>
          <w:tcPr>
            <w:tcW w:w="581" w:type="dxa"/>
            <w:tcBorders>
              <w:top w:val="nil"/>
              <w:left w:val="nil"/>
              <w:bottom w:val="single" w:sz="8" w:space="0" w:color="DCDDDE"/>
              <w:right w:val="nil"/>
            </w:tcBorders>
            <w:shd w:val="clear" w:color="000000" w:fill="FFFFFF"/>
            <w:noWrap/>
            <w:vAlign w:val="center"/>
            <w:hideMark/>
          </w:tcPr>
          <w:p w14:paraId="371C512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57</w:t>
            </w:r>
          </w:p>
        </w:tc>
        <w:tc>
          <w:tcPr>
            <w:tcW w:w="581" w:type="dxa"/>
            <w:tcBorders>
              <w:top w:val="nil"/>
              <w:left w:val="nil"/>
              <w:bottom w:val="single" w:sz="8" w:space="0" w:color="DCDDDE"/>
              <w:right w:val="nil"/>
            </w:tcBorders>
            <w:shd w:val="clear" w:color="000000" w:fill="FFFFFF"/>
            <w:noWrap/>
            <w:vAlign w:val="center"/>
            <w:hideMark/>
          </w:tcPr>
          <w:p w14:paraId="5461AFF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57</w:t>
            </w:r>
          </w:p>
        </w:tc>
        <w:tc>
          <w:tcPr>
            <w:tcW w:w="581" w:type="dxa"/>
            <w:tcBorders>
              <w:top w:val="nil"/>
              <w:left w:val="nil"/>
              <w:bottom w:val="single" w:sz="8" w:space="0" w:color="DCDDDE"/>
              <w:right w:val="nil"/>
            </w:tcBorders>
            <w:shd w:val="clear" w:color="000000" w:fill="FFFFFF"/>
            <w:noWrap/>
            <w:vAlign w:val="center"/>
            <w:hideMark/>
          </w:tcPr>
          <w:p w14:paraId="42A8610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57</w:t>
            </w:r>
          </w:p>
        </w:tc>
        <w:tc>
          <w:tcPr>
            <w:tcW w:w="581" w:type="dxa"/>
            <w:tcBorders>
              <w:top w:val="nil"/>
              <w:left w:val="nil"/>
              <w:bottom w:val="single" w:sz="8" w:space="0" w:color="DCDDDE"/>
              <w:right w:val="nil"/>
            </w:tcBorders>
            <w:shd w:val="clear" w:color="000000" w:fill="FFFFFF"/>
            <w:noWrap/>
            <w:vAlign w:val="center"/>
            <w:hideMark/>
          </w:tcPr>
          <w:p w14:paraId="50A05D7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332F1A2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310AA47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0054CE8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50834A8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57CF468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45D1B2B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18C0D74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390F109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2" w:type="dxa"/>
            <w:tcBorders>
              <w:top w:val="nil"/>
              <w:left w:val="nil"/>
              <w:bottom w:val="single" w:sz="8" w:space="0" w:color="DCDDDE"/>
              <w:right w:val="nil"/>
            </w:tcBorders>
            <w:shd w:val="clear" w:color="000000" w:fill="FFFFFF"/>
            <w:noWrap/>
            <w:vAlign w:val="center"/>
            <w:hideMark/>
          </w:tcPr>
          <w:p w14:paraId="11FB3B6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r>
      <w:tr w:rsidR="00C97435" w:rsidRPr="009A6333" w14:paraId="58CBED87" w14:textId="77777777" w:rsidTr="00C97435">
        <w:trPr>
          <w:trHeight w:val="507"/>
          <w:jc w:val="center"/>
        </w:trPr>
        <w:tc>
          <w:tcPr>
            <w:tcW w:w="1741" w:type="dxa"/>
            <w:tcBorders>
              <w:top w:val="nil"/>
              <w:left w:val="nil"/>
              <w:bottom w:val="single" w:sz="8" w:space="0" w:color="DCDDDE"/>
              <w:right w:val="nil"/>
            </w:tcBorders>
            <w:shd w:val="clear" w:color="000000" w:fill="FFFFFF"/>
            <w:vAlign w:val="center"/>
            <w:hideMark/>
          </w:tcPr>
          <w:p w14:paraId="22E6D68B"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Incentive Programs (Subtotal)</w:t>
            </w:r>
          </w:p>
        </w:tc>
        <w:tc>
          <w:tcPr>
            <w:tcW w:w="581" w:type="dxa"/>
            <w:tcBorders>
              <w:top w:val="nil"/>
              <w:left w:val="nil"/>
              <w:bottom w:val="single" w:sz="8" w:space="0" w:color="DCDDDE"/>
              <w:right w:val="nil"/>
            </w:tcBorders>
            <w:shd w:val="clear" w:color="000000" w:fill="FFFFFF"/>
            <w:noWrap/>
            <w:vAlign w:val="center"/>
            <w:hideMark/>
          </w:tcPr>
          <w:p w14:paraId="0CC152D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1,118</w:t>
            </w:r>
          </w:p>
        </w:tc>
        <w:tc>
          <w:tcPr>
            <w:tcW w:w="581" w:type="dxa"/>
            <w:tcBorders>
              <w:top w:val="nil"/>
              <w:left w:val="nil"/>
              <w:bottom w:val="single" w:sz="8" w:space="0" w:color="DCDDDE"/>
              <w:right w:val="nil"/>
            </w:tcBorders>
            <w:shd w:val="clear" w:color="000000" w:fill="FFFFFF"/>
            <w:noWrap/>
            <w:vAlign w:val="center"/>
            <w:hideMark/>
          </w:tcPr>
          <w:p w14:paraId="6F949CE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1,218</w:t>
            </w:r>
          </w:p>
        </w:tc>
        <w:tc>
          <w:tcPr>
            <w:tcW w:w="581" w:type="dxa"/>
            <w:tcBorders>
              <w:top w:val="nil"/>
              <w:left w:val="nil"/>
              <w:bottom w:val="single" w:sz="8" w:space="0" w:color="DCDDDE"/>
              <w:right w:val="nil"/>
            </w:tcBorders>
            <w:shd w:val="clear" w:color="000000" w:fill="FFFFFF"/>
            <w:noWrap/>
            <w:vAlign w:val="center"/>
            <w:hideMark/>
          </w:tcPr>
          <w:p w14:paraId="3353779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1,214</w:t>
            </w:r>
          </w:p>
        </w:tc>
        <w:tc>
          <w:tcPr>
            <w:tcW w:w="581" w:type="dxa"/>
            <w:tcBorders>
              <w:top w:val="nil"/>
              <w:left w:val="nil"/>
              <w:bottom w:val="single" w:sz="8" w:space="0" w:color="DCDDDE"/>
              <w:right w:val="nil"/>
            </w:tcBorders>
            <w:shd w:val="clear" w:color="000000" w:fill="FFFFFF"/>
            <w:noWrap/>
            <w:vAlign w:val="center"/>
            <w:hideMark/>
          </w:tcPr>
          <w:p w14:paraId="241F046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1,306</w:t>
            </w:r>
          </w:p>
        </w:tc>
        <w:tc>
          <w:tcPr>
            <w:tcW w:w="581" w:type="dxa"/>
            <w:tcBorders>
              <w:top w:val="nil"/>
              <w:left w:val="nil"/>
              <w:bottom w:val="single" w:sz="8" w:space="0" w:color="DCDDDE"/>
              <w:right w:val="nil"/>
            </w:tcBorders>
            <w:shd w:val="clear" w:color="000000" w:fill="FFFFFF"/>
            <w:noWrap/>
            <w:vAlign w:val="center"/>
            <w:hideMark/>
          </w:tcPr>
          <w:p w14:paraId="54F9315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1,344</w:t>
            </w:r>
          </w:p>
        </w:tc>
        <w:tc>
          <w:tcPr>
            <w:tcW w:w="581" w:type="dxa"/>
            <w:tcBorders>
              <w:top w:val="nil"/>
              <w:left w:val="nil"/>
              <w:bottom w:val="single" w:sz="8" w:space="0" w:color="DCDDDE"/>
              <w:right w:val="nil"/>
            </w:tcBorders>
            <w:shd w:val="clear" w:color="000000" w:fill="FFFFFF"/>
            <w:noWrap/>
            <w:vAlign w:val="center"/>
            <w:hideMark/>
          </w:tcPr>
          <w:p w14:paraId="76E5F65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1,381</w:t>
            </w:r>
          </w:p>
        </w:tc>
        <w:tc>
          <w:tcPr>
            <w:tcW w:w="581" w:type="dxa"/>
            <w:tcBorders>
              <w:top w:val="nil"/>
              <w:left w:val="nil"/>
              <w:bottom w:val="single" w:sz="8" w:space="0" w:color="DCDDDE"/>
              <w:right w:val="nil"/>
            </w:tcBorders>
            <w:shd w:val="clear" w:color="000000" w:fill="FFFFFF"/>
            <w:noWrap/>
            <w:vAlign w:val="center"/>
            <w:hideMark/>
          </w:tcPr>
          <w:p w14:paraId="6F27985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1,410</w:t>
            </w:r>
          </w:p>
        </w:tc>
        <w:tc>
          <w:tcPr>
            <w:tcW w:w="581" w:type="dxa"/>
            <w:tcBorders>
              <w:top w:val="nil"/>
              <w:left w:val="nil"/>
              <w:bottom w:val="single" w:sz="8" w:space="0" w:color="DCDDDE"/>
              <w:right w:val="nil"/>
            </w:tcBorders>
            <w:shd w:val="clear" w:color="000000" w:fill="FFFFFF"/>
            <w:noWrap/>
            <w:vAlign w:val="center"/>
            <w:hideMark/>
          </w:tcPr>
          <w:p w14:paraId="5D0BC81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1,455</w:t>
            </w:r>
          </w:p>
        </w:tc>
        <w:tc>
          <w:tcPr>
            <w:tcW w:w="581" w:type="dxa"/>
            <w:tcBorders>
              <w:top w:val="nil"/>
              <w:left w:val="nil"/>
              <w:bottom w:val="single" w:sz="8" w:space="0" w:color="DCDDDE"/>
              <w:right w:val="nil"/>
            </w:tcBorders>
            <w:shd w:val="clear" w:color="000000" w:fill="FFFFFF"/>
            <w:noWrap/>
            <w:vAlign w:val="center"/>
            <w:hideMark/>
          </w:tcPr>
          <w:p w14:paraId="280945F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1,486</w:t>
            </w:r>
          </w:p>
        </w:tc>
        <w:tc>
          <w:tcPr>
            <w:tcW w:w="581" w:type="dxa"/>
            <w:tcBorders>
              <w:top w:val="nil"/>
              <w:left w:val="nil"/>
              <w:bottom w:val="single" w:sz="8" w:space="0" w:color="DCDDDE"/>
              <w:right w:val="nil"/>
            </w:tcBorders>
            <w:shd w:val="clear" w:color="000000" w:fill="FFFFFF"/>
            <w:noWrap/>
            <w:vAlign w:val="center"/>
            <w:hideMark/>
          </w:tcPr>
          <w:p w14:paraId="06CE2CD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1,521</w:t>
            </w:r>
          </w:p>
        </w:tc>
        <w:tc>
          <w:tcPr>
            <w:tcW w:w="581" w:type="dxa"/>
            <w:tcBorders>
              <w:top w:val="nil"/>
              <w:left w:val="nil"/>
              <w:bottom w:val="single" w:sz="8" w:space="0" w:color="DCDDDE"/>
              <w:right w:val="nil"/>
            </w:tcBorders>
            <w:shd w:val="clear" w:color="000000" w:fill="FFFFFF"/>
            <w:noWrap/>
            <w:vAlign w:val="center"/>
            <w:hideMark/>
          </w:tcPr>
          <w:p w14:paraId="2E9ADD3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1,556</w:t>
            </w:r>
          </w:p>
        </w:tc>
        <w:tc>
          <w:tcPr>
            <w:tcW w:w="581" w:type="dxa"/>
            <w:tcBorders>
              <w:top w:val="nil"/>
              <w:left w:val="nil"/>
              <w:bottom w:val="single" w:sz="8" w:space="0" w:color="DCDDDE"/>
              <w:right w:val="nil"/>
            </w:tcBorders>
            <w:shd w:val="clear" w:color="000000" w:fill="FFFFFF"/>
            <w:noWrap/>
            <w:vAlign w:val="center"/>
            <w:hideMark/>
          </w:tcPr>
          <w:p w14:paraId="062662A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1,587</w:t>
            </w:r>
          </w:p>
        </w:tc>
        <w:tc>
          <w:tcPr>
            <w:tcW w:w="582" w:type="dxa"/>
            <w:tcBorders>
              <w:top w:val="nil"/>
              <w:left w:val="nil"/>
              <w:bottom w:val="single" w:sz="8" w:space="0" w:color="DCDDDE"/>
              <w:right w:val="nil"/>
            </w:tcBorders>
            <w:shd w:val="clear" w:color="000000" w:fill="FFFFFF"/>
            <w:noWrap/>
            <w:vAlign w:val="center"/>
            <w:hideMark/>
          </w:tcPr>
          <w:p w14:paraId="09A34CF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1,611</w:t>
            </w:r>
          </w:p>
        </w:tc>
      </w:tr>
      <w:tr w:rsidR="00C97435" w:rsidRPr="009A6333" w14:paraId="024D09B8" w14:textId="77777777" w:rsidTr="00C97435">
        <w:trPr>
          <w:trHeight w:val="193"/>
          <w:jc w:val="center"/>
        </w:trPr>
        <w:tc>
          <w:tcPr>
            <w:tcW w:w="1741" w:type="dxa"/>
            <w:tcBorders>
              <w:top w:val="nil"/>
              <w:left w:val="nil"/>
              <w:bottom w:val="single" w:sz="8" w:space="0" w:color="DCDDDE"/>
              <w:right w:val="nil"/>
            </w:tcBorders>
            <w:shd w:val="clear" w:color="000000" w:fill="FFFFFF"/>
            <w:vAlign w:val="center"/>
            <w:hideMark/>
          </w:tcPr>
          <w:p w14:paraId="2264396C"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C&amp;S*</w:t>
            </w:r>
          </w:p>
        </w:tc>
        <w:tc>
          <w:tcPr>
            <w:tcW w:w="581" w:type="dxa"/>
            <w:tcBorders>
              <w:top w:val="nil"/>
              <w:left w:val="nil"/>
              <w:bottom w:val="single" w:sz="8" w:space="0" w:color="DCDDDE"/>
              <w:right w:val="nil"/>
            </w:tcBorders>
            <w:shd w:val="clear" w:color="000000" w:fill="FFFFFF"/>
            <w:noWrap/>
            <w:vAlign w:val="center"/>
            <w:hideMark/>
          </w:tcPr>
          <w:p w14:paraId="79FBB4D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1,212</w:t>
            </w:r>
          </w:p>
        </w:tc>
        <w:tc>
          <w:tcPr>
            <w:tcW w:w="581" w:type="dxa"/>
            <w:tcBorders>
              <w:top w:val="nil"/>
              <w:left w:val="nil"/>
              <w:bottom w:val="single" w:sz="8" w:space="0" w:color="DCDDDE"/>
              <w:right w:val="nil"/>
            </w:tcBorders>
            <w:shd w:val="clear" w:color="000000" w:fill="FFFFFF"/>
            <w:noWrap/>
            <w:vAlign w:val="center"/>
            <w:hideMark/>
          </w:tcPr>
          <w:p w14:paraId="4856207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1,257</w:t>
            </w:r>
          </w:p>
        </w:tc>
        <w:tc>
          <w:tcPr>
            <w:tcW w:w="581" w:type="dxa"/>
            <w:tcBorders>
              <w:top w:val="nil"/>
              <w:left w:val="nil"/>
              <w:bottom w:val="single" w:sz="8" w:space="0" w:color="DCDDDE"/>
              <w:right w:val="nil"/>
            </w:tcBorders>
            <w:shd w:val="clear" w:color="000000" w:fill="FFFFFF"/>
            <w:noWrap/>
            <w:vAlign w:val="center"/>
            <w:hideMark/>
          </w:tcPr>
          <w:p w14:paraId="2B28F05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1,266</w:t>
            </w:r>
          </w:p>
        </w:tc>
        <w:tc>
          <w:tcPr>
            <w:tcW w:w="581" w:type="dxa"/>
            <w:tcBorders>
              <w:top w:val="nil"/>
              <w:left w:val="nil"/>
              <w:bottom w:val="single" w:sz="8" w:space="0" w:color="DCDDDE"/>
              <w:right w:val="nil"/>
            </w:tcBorders>
            <w:shd w:val="clear" w:color="000000" w:fill="FFFFFF"/>
            <w:noWrap/>
            <w:vAlign w:val="center"/>
            <w:hideMark/>
          </w:tcPr>
          <w:p w14:paraId="5C9820E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1,304</w:t>
            </w:r>
          </w:p>
        </w:tc>
        <w:tc>
          <w:tcPr>
            <w:tcW w:w="581" w:type="dxa"/>
            <w:tcBorders>
              <w:top w:val="nil"/>
              <w:left w:val="nil"/>
              <w:bottom w:val="single" w:sz="8" w:space="0" w:color="DCDDDE"/>
              <w:right w:val="nil"/>
            </w:tcBorders>
            <w:shd w:val="clear" w:color="000000" w:fill="FFFFFF"/>
            <w:noWrap/>
            <w:vAlign w:val="center"/>
            <w:hideMark/>
          </w:tcPr>
          <w:p w14:paraId="533310B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1,269</w:t>
            </w:r>
          </w:p>
        </w:tc>
        <w:tc>
          <w:tcPr>
            <w:tcW w:w="581" w:type="dxa"/>
            <w:tcBorders>
              <w:top w:val="nil"/>
              <w:left w:val="nil"/>
              <w:bottom w:val="single" w:sz="8" w:space="0" w:color="DCDDDE"/>
              <w:right w:val="nil"/>
            </w:tcBorders>
            <w:shd w:val="clear" w:color="000000" w:fill="FFFFFF"/>
            <w:noWrap/>
            <w:vAlign w:val="center"/>
            <w:hideMark/>
          </w:tcPr>
          <w:p w14:paraId="69150B4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1,406</w:t>
            </w:r>
          </w:p>
        </w:tc>
        <w:tc>
          <w:tcPr>
            <w:tcW w:w="581" w:type="dxa"/>
            <w:tcBorders>
              <w:top w:val="nil"/>
              <w:left w:val="nil"/>
              <w:bottom w:val="single" w:sz="8" w:space="0" w:color="DCDDDE"/>
              <w:right w:val="nil"/>
            </w:tcBorders>
            <w:shd w:val="clear" w:color="000000" w:fill="FFFFFF"/>
            <w:noWrap/>
            <w:vAlign w:val="center"/>
            <w:hideMark/>
          </w:tcPr>
          <w:p w14:paraId="675F8C7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1,347</w:t>
            </w:r>
          </w:p>
        </w:tc>
        <w:tc>
          <w:tcPr>
            <w:tcW w:w="581" w:type="dxa"/>
            <w:tcBorders>
              <w:top w:val="nil"/>
              <w:left w:val="nil"/>
              <w:bottom w:val="single" w:sz="8" w:space="0" w:color="DCDDDE"/>
              <w:right w:val="nil"/>
            </w:tcBorders>
            <w:shd w:val="clear" w:color="000000" w:fill="FFFFFF"/>
            <w:noWrap/>
            <w:vAlign w:val="center"/>
            <w:hideMark/>
          </w:tcPr>
          <w:p w14:paraId="579CCF5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1,299</w:t>
            </w:r>
          </w:p>
        </w:tc>
        <w:tc>
          <w:tcPr>
            <w:tcW w:w="581" w:type="dxa"/>
            <w:tcBorders>
              <w:top w:val="nil"/>
              <w:left w:val="nil"/>
              <w:bottom w:val="single" w:sz="8" w:space="0" w:color="DCDDDE"/>
              <w:right w:val="nil"/>
            </w:tcBorders>
            <w:shd w:val="clear" w:color="000000" w:fill="FFFFFF"/>
            <w:noWrap/>
            <w:vAlign w:val="center"/>
            <w:hideMark/>
          </w:tcPr>
          <w:p w14:paraId="35CAAD6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1,218</w:t>
            </w:r>
          </w:p>
        </w:tc>
        <w:tc>
          <w:tcPr>
            <w:tcW w:w="581" w:type="dxa"/>
            <w:tcBorders>
              <w:top w:val="nil"/>
              <w:left w:val="nil"/>
              <w:bottom w:val="single" w:sz="8" w:space="0" w:color="DCDDDE"/>
              <w:right w:val="nil"/>
            </w:tcBorders>
            <w:shd w:val="clear" w:color="000000" w:fill="FFFFFF"/>
            <w:noWrap/>
            <w:vAlign w:val="center"/>
            <w:hideMark/>
          </w:tcPr>
          <w:p w14:paraId="3B6ADA6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1,173</w:t>
            </w:r>
          </w:p>
        </w:tc>
        <w:tc>
          <w:tcPr>
            <w:tcW w:w="581" w:type="dxa"/>
            <w:tcBorders>
              <w:top w:val="nil"/>
              <w:left w:val="nil"/>
              <w:bottom w:val="single" w:sz="8" w:space="0" w:color="DCDDDE"/>
              <w:right w:val="nil"/>
            </w:tcBorders>
            <w:shd w:val="clear" w:color="000000" w:fill="FFFFFF"/>
            <w:noWrap/>
            <w:vAlign w:val="center"/>
            <w:hideMark/>
          </w:tcPr>
          <w:p w14:paraId="0D496BA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1,067</w:t>
            </w:r>
          </w:p>
        </w:tc>
        <w:tc>
          <w:tcPr>
            <w:tcW w:w="581" w:type="dxa"/>
            <w:tcBorders>
              <w:top w:val="nil"/>
              <w:left w:val="nil"/>
              <w:bottom w:val="single" w:sz="8" w:space="0" w:color="DCDDDE"/>
              <w:right w:val="nil"/>
            </w:tcBorders>
            <w:shd w:val="clear" w:color="000000" w:fill="FFFFFF"/>
            <w:noWrap/>
            <w:vAlign w:val="center"/>
            <w:hideMark/>
          </w:tcPr>
          <w:p w14:paraId="54B47F8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966</w:t>
            </w:r>
          </w:p>
        </w:tc>
        <w:tc>
          <w:tcPr>
            <w:tcW w:w="582" w:type="dxa"/>
            <w:tcBorders>
              <w:top w:val="nil"/>
              <w:left w:val="nil"/>
              <w:bottom w:val="single" w:sz="8" w:space="0" w:color="DCDDDE"/>
              <w:right w:val="nil"/>
            </w:tcBorders>
            <w:shd w:val="clear" w:color="000000" w:fill="FFFFFF"/>
            <w:noWrap/>
            <w:vAlign w:val="center"/>
            <w:hideMark/>
          </w:tcPr>
          <w:p w14:paraId="2B8E047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864</w:t>
            </w:r>
          </w:p>
        </w:tc>
      </w:tr>
      <w:tr w:rsidR="00C97435" w:rsidRPr="009A6333" w14:paraId="26083DA9" w14:textId="77777777" w:rsidTr="00C97435">
        <w:trPr>
          <w:trHeight w:val="193"/>
          <w:jc w:val="center"/>
        </w:trPr>
        <w:tc>
          <w:tcPr>
            <w:tcW w:w="1741" w:type="dxa"/>
            <w:tcBorders>
              <w:top w:val="nil"/>
              <w:left w:val="nil"/>
              <w:bottom w:val="single" w:sz="8" w:space="0" w:color="DCDDDE"/>
              <w:right w:val="nil"/>
            </w:tcBorders>
            <w:shd w:val="clear" w:color="000000" w:fill="FFFFFF"/>
            <w:vAlign w:val="center"/>
            <w:hideMark/>
          </w:tcPr>
          <w:p w14:paraId="607A80D4"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Total</w:t>
            </w:r>
          </w:p>
        </w:tc>
        <w:tc>
          <w:tcPr>
            <w:tcW w:w="581" w:type="dxa"/>
            <w:tcBorders>
              <w:top w:val="nil"/>
              <w:left w:val="nil"/>
              <w:bottom w:val="single" w:sz="8" w:space="0" w:color="DCDDDE"/>
              <w:right w:val="nil"/>
            </w:tcBorders>
            <w:shd w:val="clear" w:color="000000" w:fill="FFFFFF"/>
            <w:noWrap/>
            <w:vAlign w:val="center"/>
            <w:hideMark/>
          </w:tcPr>
          <w:p w14:paraId="56AD2C91"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2,330</w:t>
            </w:r>
          </w:p>
        </w:tc>
        <w:tc>
          <w:tcPr>
            <w:tcW w:w="581" w:type="dxa"/>
            <w:tcBorders>
              <w:top w:val="nil"/>
              <w:left w:val="nil"/>
              <w:bottom w:val="single" w:sz="8" w:space="0" w:color="DCDDDE"/>
              <w:right w:val="nil"/>
            </w:tcBorders>
            <w:shd w:val="clear" w:color="000000" w:fill="FFFFFF"/>
            <w:noWrap/>
            <w:vAlign w:val="center"/>
            <w:hideMark/>
          </w:tcPr>
          <w:p w14:paraId="4C93A891"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2,476</w:t>
            </w:r>
          </w:p>
        </w:tc>
        <w:tc>
          <w:tcPr>
            <w:tcW w:w="581" w:type="dxa"/>
            <w:tcBorders>
              <w:top w:val="nil"/>
              <w:left w:val="nil"/>
              <w:bottom w:val="single" w:sz="8" w:space="0" w:color="DCDDDE"/>
              <w:right w:val="nil"/>
            </w:tcBorders>
            <w:shd w:val="clear" w:color="000000" w:fill="FFFFFF"/>
            <w:noWrap/>
            <w:vAlign w:val="center"/>
            <w:hideMark/>
          </w:tcPr>
          <w:p w14:paraId="57B6A01C"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2,481</w:t>
            </w:r>
          </w:p>
        </w:tc>
        <w:tc>
          <w:tcPr>
            <w:tcW w:w="581" w:type="dxa"/>
            <w:tcBorders>
              <w:top w:val="nil"/>
              <w:left w:val="nil"/>
              <w:bottom w:val="single" w:sz="8" w:space="0" w:color="DCDDDE"/>
              <w:right w:val="nil"/>
            </w:tcBorders>
            <w:shd w:val="clear" w:color="000000" w:fill="FFFFFF"/>
            <w:noWrap/>
            <w:vAlign w:val="center"/>
            <w:hideMark/>
          </w:tcPr>
          <w:p w14:paraId="14293F6C"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2,611</w:t>
            </w:r>
          </w:p>
        </w:tc>
        <w:tc>
          <w:tcPr>
            <w:tcW w:w="581" w:type="dxa"/>
            <w:tcBorders>
              <w:top w:val="nil"/>
              <w:left w:val="nil"/>
              <w:bottom w:val="single" w:sz="8" w:space="0" w:color="DCDDDE"/>
              <w:right w:val="nil"/>
            </w:tcBorders>
            <w:shd w:val="clear" w:color="000000" w:fill="FFFFFF"/>
            <w:noWrap/>
            <w:vAlign w:val="center"/>
            <w:hideMark/>
          </w:tcPr>
          <w:p w14:paraId="0D72BF45"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2,613</w:t>
            </w:r>
          </w:p>
        </w:tc>
        <w:tc>
          <w:tcPr>
            <w:tcW w:w="581" w:type="dxa"/>
            <w:tcBorders>
              <w:top w:val="nil"/>
              <w:left w:val="nil"/>
              <w:bottom w:val="single" w:sz="8" w:space="0" w:color="DCDDDE"/>
              <w:right w:val="nil"/>
            </w:tcBorders>
            <w:shd w:val="clear" w:color="000000" w:fill="FFFFFF"/>
            <w:noWrap/>
            <w:vAlign w:val="center"/>
            <w:hideMark/>
          </w:tcPr>
          <w:p w14:paraId="062073EA"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2,787</w:t>
            </w:r>
          </w:p>
        </w:tc>
        <w:tc>
          <w:tcPr>
            <w:tcW w:w="581" w:type="dxa"/>
            <w:tcBorders>
              <w:top w:val="nil"/>
              <w:left w:val="nil"/>
              <w:bottom w:val="single" w:sz="8" w:space="0" w:color="DCDDDE"/>
              <w:right w:val="nil"/>
            </w:tcBorders>
            <w:shd w:val="clear" w:color="000000" w:fill="FFFFFF"/>
            <w:noWrap/>
            <w:vAlign w:val="center"/>
            <w:hideMark/>
          </w:tcPr>
          <w:p w14:paraId="260B942D"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2,758</w:t>
            </w:r>
          </w:p>
        </w:tc>
        <w:tc>
          <w:tcPr>
            <w:tcW w:w="581" w:type="dxa"/>
            <w:tcBorders>
              <w:top w:val="nil"/>
              <w:left w:val="nil"/>
              <w:bottom w:val="single" w:sz="8" w:space="0" w:color="DCDDDE"/>
              <w:right w:val="nil"/>
            </w:tcBorders>
            <w:shd w:val="clear" w:color="000000" w:fill="FFFFFF"/>
            <w:noWrap/>
            <w:vAlign w:val="center"/>
            <w:hideMark/>
          </w:tcPr>
          <w:p w14:paraId="254056B8"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2,753</w:t>
            </w:r>
          </w:p>
        </w:tc>
        <w:tc>
          <w:tcPr>
            <w:tcW w:w="581" w:type="dxa"/>
            <w:tcBorders>
              <w:top w:val="nil"/>
              <w:left w:val="nil"/>
              <w:bottom w:val="single" w:sz="8" w:space="0" w:color="DCDDDE"/>
              <w:right w:val="nil"/>
            </w:tcBorders>
            <w:shd w:val="clear" w:color="000000" w:fill="FFFFFF"/>
            <w:noWrap/>
            <w:vAlign w:val="center"/>
            <w:hideMark/>
          </w:tcPr>
          <w:p w14:paraId="304B988D"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2,703</w:t>
            </w:r>
          </w:p>
        </w:tc>
        <w:tc>
          <w:tcPr>
            <w:tcW w:w="581" w:type="dxa"/>
            <w:tcBorders>
              <w:top w:val="nil"/>
              <w:left w:val="nil"/>
              <w:bottom w:val="single" w:sz="8" w:space="0" w:color="DCDDDE"/>
              <w:right w:val="nil"/>
            </w:tcBorders>
            <w:shd w:val="clear" w:color="000000" w:fill="FFFFFF"/>
            <w:noWrap/>
            <w:vAlign w:val="center"/>
            <w:hideMark/>
          </w:tcPr>
          <w:p w14:paraId="5F282C8B"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2,695</w:t>
            </w:r>
          </w:p>
        </w:tc>
        <w:tc>
          <w:tcPr>
            <w:tcW w:w="581" w:type="dxa"/>
            <w:tcBorders>
              <w:top w:val="nil"/>
              <w:left w:val="nil"/>
              <w:bottom w:val="single" w:sz="8" w:space="0" w:color="DCDDDE"/>
              <w:right w:val="nil"/>
            </w:tcBorders>
            <w:shd w:val="clear" w:color="000000" w:fill="FFFFFF"/>
            <w:noWrap/>
            <w:vAlign w:val="center"/>
            <w:hideMark/>
          </w:tcPr>
          <w:p w14:paraId="2341A9BD"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2,622</w:t>
            </w:r>
          </w:p>
        </w:tc>
        <w:tc>
          <w:tcPr>
            <w:tcW w:w="581" w:type="dxa"/>
            <w:tcBorders>
              <w:top w:val="nil"/>
              <w:left w:val="nil"/>
              <w:bottom w:val="single" w:sz="8" w:space="0" w:color="DCDDDE"/>
              <w:right w:val="nil"/>
            </w:tcBorders>
            <w:shd w:val="clear" w:color="000000" w:fill="FFFFFF"/>
            <w:noWrap/>
            <w:vAlign w:val="center"/>
            <w:hideMark/>
          </w:tcPr>
          <w:p w14:paraId="291977F3"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2,553</w:t>
            </w:r>
          </w:p>
        </w:tc>
        <w:tc>
          <w:tcPr>
            <w:tcW w:w="582" w:type="dxa"/>
            <w:tcBorders>
              <w:top w:val="nil"/>
              <w:left w:val="nil"/>
              <w:bottom w:val="single" w:sz="8" w:space="0" w:color="DCDDDE"/>
              <w:right w:val="nil"/>
            </w:tcBorders>
            <w:shd w:val="clear" w:color="000000" w:fill="FFFFFF"/>
            <w:noWrap/>
            <w:vAlign w:val="center"/>
            <w:hideMark/>
          </w:tcPr>
          <w:p w14:paraId="511B7945"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2,476</w:t>
            </w:r>
          </w:p>
        </w:tc>
      </w:tr>
      <w:tr w:rsidR="009A6333" w:rsidRPr="009A6333" w14:paraId="137FB760" w14:textId="77777777" w:rsidTr="00C97435">
        <w:trPr>
          <w:trHeight w:val="193"/>
          <w:jc w:val="center"/>
        </w:trPr>
        <w:tc>
          <w:tcPr>
            <w:tcW w:w="9299" w:type="dxa"/>
            <w:gridSpan w:val="14"/>
            <w:tcBorders>
              <w:top w:val="single" w:sz="8" w:space="0" w:color="DCDDDE"/>
              <w:left w:val="nil"/>
              <w:bottom w:val="single" w:sz="8" w:space="0" w:color="DCDDDE"/>
              <w:right w:val="nil"/>
            </w:tcBorders>
            <w:shd w:val="clear" w:color="000000" w:fill="DADADA"/>
            <w:noWrap/>
            <w:vAlign w:val="center"/>
            <w:hideMark/>
          </w:tcPr>
          <w:p w14:paraId="25323DF5"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PAC | Aggressive</w:t>
            </w:r>
          </w:p>
        </w:tc>
      </w:tr>
      <w:tr w:rsidR="00C97435" w:rsidRPr="009A6333" w14:paraId="5D924394" w14:textId="77777777" w:rsidTr="00C97435">
        <w:trPr>
          <w:trHeight w:val="341"/>
          <w:jc w:val="center"/>
        </w:trPr>
        <w:tc>
          <w:tcPr>
            <w:tcW w:w="1741" w:type="dxa"/>
            <w:tcBorders>
              <w:top w:val="nil"/>
              <w:left w:val="nil"/>
              <w:bottom w:val="single" w:sz="8" w:space="0" w:color="DCDDDE"/>
              <w:right w:val="nil"/>
            </w:tcBorders>
            <w:shd w:val="clear" w:color="000000" w:fill="FFFFFF"/>
            <w:vAlign w:val="center"/>
            <w:hideMark/>
          </w:tcPr>
          <w:p w14:paraId="25AA8969"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Equipment Rebates</w:t>
            </w:r>
          </w:p>
        </w:tc>
        <w:tc>
          <w:tcPr>
            <w:tcW w:w="581" w:type="dxa"/>
            <w:tcBorders>
              <w:top w:val="nil"/>
              <w:left w:val="nil"/>
              <w:bottom w:val="single" w:sz="8" w:space="0" w:color="DCDDDE"/>
              <w:right w:val="nil"/>
            </w:tcBorders>
            <w:shd w:val="clear" w:color="000000" w:fill="FFFFFF"/>
            <w:noWrap/>
            <w:vAlign w:val="center"/>
            <w:hideMark/>
          </w:tcPr>
          <w:p w14:paraId="1A66491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896</w:t>
            </w:r>
          </w:p>
        </w:tc>
        <w:tc>
          <w:tcPr>
            <w:tcW w:w="581" w:type="dxa"/>
            <w:tcBorders>
              <w:top w:val="nil"/>
              <w:left w:val="nil"/>
              <w:bottom w:val="single" w:sz="8" w:space="0" w:color="DCDDDE"/>
              <w:right w:val="nil"/>
            </w:tcBorders>
            <w:shd w:val="clear" w:color="000000" w:fill="FFFFFF"/>
            <w:noWrap/>
            <w:vAlign w:val="center"/>
            <w:hideMark/>
          </w:tcPr>
          <w:p w14:paraId="610E462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944</w:t>
            </w:r>
          </w:p>
        </w:tc>
        <w:tc>
          <w:tcPr>
            <w:tcW w:w="581" w:type="dxa"/>
            <w:tcBorders>
              <w:top w:val="nil"/>
              <w:left w:val="nil"/>
              <w:bottom w:val="single" w:sz="8" w:space="0" w:color="DCDDDE"/>
              <w:right w:val="nil"/>
            </w:tcBorders>
            <w:shd w:val="clear" w:color="000000" w:fill="FFFFFF"/>
            <w:noWrap/>
            <w:vAlign w:val="center"/>
            <w:hideMark/>
          </w:tcPr>
          <w:p w14:paraId="7BA52CD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910</w:t>
            </w:r>
          </w:p>
        </w:tc>
        <w:tc>
          <w:tcPr>
            <w:tcW w:w="581" w:type="dxa"/>
            <w:tcBorders>
              <w:top w:val="nil"/>
              <w:left w:val="nil"/>
              <w:bottom w:val="single" w:sz="8" w:space="0" w:color="DCDDDE"/>
              <w:right w:val="nil"/>
            </w:tcBorders>
            <w:shd w:val="clear" w:color="000000" w:fill="FFFFFF"/>
            <w:noWrap/>
            <w:vAlign w:val="center"/>
            <w:hideMark/>
          </w:tcPr>
          <w:p w14:paraId="0AB7021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998</w:t>
            </w:r>
          </w:p>
        </w:tc>
        <w:tc>
          <w:tcPr>
            <w:tcW w:w="581" w:type="dxa"/>
            <w:tcBorders>
              <w:top w:val="nil"/>
              <w:left w:val="nil"/>
              <w:bottom w:val="single" w:sz="8" w:space="0" w:color="DCDDDE"/>
              <w:right w:val="nil"/>
            </w:tcBorders>
            <w:shd w:val="clear" w:color="000000" w:fill="FFFFFF"/>
            <w:noWrap/>
            <w:vAlign w:val="center"/>
            <w:hideMark/>
          </w:tcPr>
          <w:p w14:paraId="29D6E95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1,008</w:t>
            </w:r>
          </w:p>
        </w:tc>
        <w:tc>
          <w:tcPr>
            <w:tcW w:w="581" w:type="dxa"/>
            <w:tcBorders>
              <w:top w:val="nil"/>
              <w:left w:val="nil"/>
              <w:bottom w:val="single" w:sz="8" w:space="0" w:color="DCDDDE"/>
              <w:right w:val="nil"/>
            </w:tcBorders>
            <w:shd w:val="clear" w:color="000000" w:fill="FFFFFF"/>
            <w:noWrap/>
            <w:vAlign w:val="center"/>
            <w:hideMark/>
          </w:tcPr>
          <w:p w14:paraId="34C1A98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1,020</w:t>
            </w:r>
          </w:p>
        </w:tc>
        <w:tc>
          <w:tcPr>
            <w:tcW w:w="581" w:type="dxa"/>
            <w:tcBorders>
              <w:top w:val="nil"/>
              <w:left w:val="nil"/>
              <w:bottom w:val="single" w:sz="8" w:space="0" w:color="DCDDDE"/>
              <w:right w:val="nil"/>
            </w:tcBorders>
            <w:shd w:val="clear" w:color="000000" w:fill="FFFFFF"/>
            <w:noWrap/>
            <w:vAlign w:val="center"/>
            <w:hideMark/>
          </w:tcPr>
          <w:p w14:paraId="0491AFD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1,021</w:t>
            </w:r>
          </w:p>
        </w:tc>
        <w:tc>
          <w:tcPr>
            <w:tcW w:w="581" w:type="dxa"/>
            <w:tcBorders>
              <w:top w:val="nil"/>
              <w:left w:val="nil"/>
              <w:bottom w:val="single" w:sz="8" w:space="0" w:color="DCDDDE"/>
              <w:right w:val="nil"/>
            </w:tcBorders>
            <w:shd w:val="clear" w:color="000000" w:fill="FFFFFF"/>
            <w:noWrap/>
            <w:vAlign w:val="center"/>
            <w:hideMark/>
          </w:tcPr>
          <w:p w14:paraId="641347A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1,023</w:t>
            </w:r>
          </w:p>
        </w:tc>
        <w:tc>
          <w:tcPr>
            <w:tcW w:w="581" w:type="dxa"/>
            <w:tcBorders>
              <w:top w:val="nil"/>
              <w:left w:val="nil"/>
              <w:bottom w:val="single" w:sz="8" w:space="0" w:color="DCDDDE"/>
              <w:right w:val="nil"/>
            </w:tcBorders>
            <w:shd w:val="clear" w:color="000000" w:fill="FFFFFF"/>
            <w:noWrap/>
            <w:vAlign w:val="center"/>
            <w:hideMark/>
          </w:tcPr>
          <w:p w14:paraId="52B0EA9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1,027</w:t>
            </w:r>
          </w:p>
        </w:tc>
        <w:tc>
          <w:tcPr>
            <w:tcW w:w="581" w:type="dxa"/>
            <w:tcBorders>
              <w:top w:val="nil"/>
              <w:left w:val="nil"/>
              <w:bottom w:val="single" w:sz="8" w:space="0" w:color="DCDDDE"/>
              <w:right w:val="nil"/>
            </w:tcBorders>
            <w:shd w:val="clear" w:color="000000" w:fill="FFFFFF"/>
            <w:noWrap/>
            <w:vAlign w:val="center"/>
            <w:hideMark/>
          </w:tcPr>
          <w:p w14:paraId="6824BF0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1,029</w:t>
            </w:r>
          </w:p>
        </w:tc>
        <w:tc>
          <w:tcPr>
            <w:tcW w:w="581" w:type="dxa"/>
            <w:tcBorders>
              <w:top w:val="nil"/>
              <w:left w:val="nil"/>
              <w:bottom w:val="single" w:sz="8" w:space="0" w:color="DCDDDE"/>
              <w:right w:val="nil"/>
            </w:tcBorders>
            <w:shd w:val="clear" w:color="000000" w:fill="FFFFFF"/>
            <w:noWrap/>
            <w:vAlign w:val="center"/>
            <w:hideMark/>
          </w:tcPr>
          <w:p w14:paraId="64C077E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1,030</w:t>
            </w:r>
          </w:p>
        </w:tc>
        <w:tc>
          <w:tcPr>
            <w:tcW w:w="581" w:type="dxa"/>
            <w:tcBorders>
              <w:top w:val="nil"/>
              <w:left w:val="nil"/>
              <w:bottom w:val="single" w:sz="8" w:space="0" w:color="DCDDDE"/>
              <w:right w:val="nil"/>
            </w:tcBorders>
            <w:shd w:val="clear" w:color="000000" w:fill="FFFFFF"/>
            <w:noWrap/>
            <w:vAlign w:val="center"/>
            <w:hideMark/>
          </w:tcPr>
          <w:p w14:paraId="46C3EFD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1,028</w:t>
            </w:r>
          </w:p>
        </w:tc>
        <w:tc>
          <w:tcPr>
            <w:tcW w:w="582" w:type="dxa"/>
            <w:tcBorders>
              <w:top w:val="nil"/>
              <w:left w:val="nil"/>
              <w:bottom w:val="single" w:sz="8" w:space="0" w:color="DCDDDE"/>
              <w:right w:val="nil"/>
            </w:tcBorders>
            <w:shd w:val="clear" w:color="000000" w:fill="FFFFFF"/>
            <w:noWrap/>
            <w:vAlign w:val="center"/>
            <w:hideMark/>
          </w:tcPr>
          <w:p w14:paraId="65D5FE8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1,027</w:t>
            </w:r>
          </w:p>
        </w:tc>
      </w:tr>
      <w:tr w:rsidR="00C97435" w:rsidRPr="009A6333" w14:paraId="4451E421" w14:textId="77777777" w:rsidTr="00C97435">
        <w:trPr>
          <w:trHeight w:val="193"/>
          <w:jc w:val="center"/>
        </w:trPr>
        <w:tc>
          <w:tcPr>
            <w:tcW w:w="1741" w:type="dxa"/>
            <w:tcBorders>
              <w:top w:val="nil"/>
              <w:left w:val="nil"/>
              <w:bottom w:val="single" w:sz="8" w:space="0" w:color="DCDDDE"/>
              <w:right w:val="nil"/>
            </w:tcBorders>
            <w:shd w:val="clear" w:color="000000" w:fill="FFFFFF"/>
            <w:vAlign w:val="center"/>
            <w:hideMark/>
          </w:tcPr>
          <w:p w14:paraId="4F3769FE"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BROs</w:t>
            </w:r>
          </w:p>
        </w:tc>
        <w:tc>
          <w:tcPr>
            <w:tcW w:w="581" w:type="dxa"/>
            <w:tcBorders>
              <w:top w:val="nil"/>
              <w:left w:val="nil"/>
              <w:bottom w:val="single" w:sz="8" w:space="0" w:color="DCDDDE"/>
              <w:right w:val="nil"/>
            </w:tcBorders>
            <w:shd w:val="clear" w:color="000000" w:fill="FFFFFF"/>
            <w:noWrap/>
            <w:vAlign w:val="center"/>
            <w:hideMark/>
          </w:tcPr>
          <w:p w14:paraId="1BEA1E5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264</w:t>
            </w:r>
          </w:p>
        </w:tc>
        <w:tc>
          <w:tcPr>
            <w:tcW w:w="581" w:type="dxa"/>
            <w:tcBorders>
              <w:top w:val="nil"/>
              <w:left w:val="nil"/>
              <w:bottom w:val="single" w:sz="8" w:space="0" w:color="DCDDDE"/>
              <w:right w:val="nil"/>
            </w:tcBorders>
            <w:shd w:val="clear" w:color="000000" w:fill="FFFFFF"/>
            <w:noWrap/>
            <w:vAlign w:val="center"/>
            <w:hideMark/>
          </w:tcPr>
          <w:p w14:paraId="7F9A22F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369</w:t>
            </w:r>
          </w:p>
        </w:tc>
        <w:tc>
          <w:tcPr>
            <w:tcW w:w="581" w:type="dxa"/>
            <w:tcBorders>
              <w:top w:val="nil"/>
              <w:left w:val="nil"/>
              <w:bottom w:val="single" w:sz="8" w:space="0" w:color="DCDDDE"/>
              <w:right w:val="nil"/>
            </w:tcBorders>
            <w:shd w:val="clear" w:color="000000" w:fill="FFFFFF"/>
            <w:noWrap/>
            <w:vAlign w:val="center"/>
            <w:hideMark/>
          </w:tcPr>
          <w:p w14:paraId="573BCB7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433</w:t>
            </w:r>
          </w:p>
        </w:tc>
        <w:tc>
          <w:tcPr>
            <w:tcW w:w="581" w:type="dxa"/>
            <w:tcBorders>
              <w:top w:val="nil"/>
              <w:left w:val="nil"/>
              <w:bottom w:val="single" w:sz="8" w:space="0" w:color="DCDDDE"/>
              <w:right w:val="nil"/>
            </w:tcBorders>
            <w:shd w:val="clear" w:color="000000" w:fill="FFFFFF"/>
            <w:noWrap/>
            <w:vAlign w:val="center"/>
            <w:hideMark/>
          </w:tcPr>
          <w:p w14:paraId="2BF8C85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479</w:t>
            </w:r>
          </w:p>
        </w:tc>
        <w:tc>
          <w:tcPr>
            <w:tcW w:w="581" w:type="dxa"/>
            <w:tcBorders>
              <w:top w:val="nil"/>
              <w:left w:val="nil"/>
              <w:bottom w:val="single" w:sz="8" w:space="0" w:color="DCDDDE"/>
              <w:right w:val="nil"/>
            </w:tcBorders>
            <w:shd w:val="clear" w:color="000000" w:fill="FFFFFF"/>
            <w:noWrap/>
            <w:vAlign w:val="center"/>
            <w:hideMark/>
          </w:tcPr>
          <w:p w14:paraId="022A184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529</w:t>
            </w:r>
          </w:p>
        </w:tc>
        <w:tc>
          <w:tcPr>
            <w:tcW w:w="581" w:type="dxa"/>
            <w:tcBorders>
              <w:top w:val="nil"/>
              <w:left w:val="nil"/>
              <w:bottom w:val="single" w:sz="8" w:space="0" w:color="DCDDDE"/>
              <w:right w:val="nil"/>
            </w:tcBorders>
            <w:shd w:val="clear" w:color="000000" w:fill="FFFFFF"/>
            <w:noWrap/>
            <w:vAlign w:val="center"/>
            <w:hideMark/>
          </w:tcPr>
          <w:p w14:paraId="23F24CD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576</w:t>
            </w:r>
          </w:p>
        </w:tc>
        <w:tc>
          <w:tcPr>
            <w:tcW w:w="581" w:type="dxa"/>
            <w:tcBorders>
              <w:top w:val="nil"/>
              <w:left w:val="nil"/>
              <w:bottom w:val="single" w:sz="8" w:space="0" w:color="DCDDDE"/>
              <w:right w:val="nil"/>
            </w:tcBorders>
            <w:shd w:val="clear" w:color="000000" w:fill="FFFFFF"/>
            <w:noWrap/>
            <w:vAlign w:val="center"/>
            <w:hideMark/>
          </w:tcPr>
          <w:p w14:paraId="217B717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654</w:t>
            </w:r>
          </w:p>
        </w:tc>
        <w:tc>
          <w:tcPr>
            <w:tcW w:w="581" w:type="dxa"/>
            <w:tcBorders>
              <w:top w:val="nil"/>
              <w:left w:val="nil"/>
              <w:bottom w:val="single" w:sz="8" w:space="0" w:color="DCDDDE"/>
              <w:right w:val="nil"/>
            </w:tcBorders>
            <w:shd w:val="clear" w:color="000000" w:fill="FFFFFF"/>
            <w:noWrap/>
            <w:vAlign w:val="center"/>
            <w:hideMark/>
          </w:tcPr>
          <w:p w14:paraId="17BB942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748</w:t>
            </w:r>
          </w:p>
        </w:tc>
        <w:tc>
          <w:tcPr>
            <w:tcW w:w="581" w:type="dxa"/>
            <w:tcBorders>
              <w:top w:val="nil"/>
              <w:left w:val="nil"/>
              <w:bottom w:val="single" w:sz="8" w:space="0" w:color="DCDDDE"/>
              <w:right w:val="nil"/>
            </w:tcBorders>
            <w:shd w:val="clear" w:color="000000" w:fill="FFFFFF"/>
            <w:noWrap/>
            <w:vAlign w:val="center"/>
            <w:hideMark/>
          </w:tcPr>
          <w:p w14:paraId="12306EE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812</w:t>
            </w:r>
          </w:p>
        </w:tc>
        <w:tc>
          <w:tcPr>
            <w:tcW w:w="581" w:type="dxa"/>
            <w:tcBorders>
              <w:top w:val="nil"/>
              <w:left w:val="nil"/>
              <w:bottom w:val="single" w:sz="8" w:space="0" w:color="DCDDDE"/>
              <w:right w:val="nil"/>
            </w:tcBorders>
            <w:shd w:val="clear" w:color="000000" w:fill="FFFFFF"/>
            <w:noWrap/>
            <w:vAlign w:val="center"/>
            <w:hideMark/>
          </w:tcPr>
          <w:p w14:paraId="671C0EC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884</w:t>
            </w:r>
          </w:p>
        </w:tc>
        <w:tc>
          <w:tcPr>
            <w:tcW w:w="581" w:type="dxa"/>
            <w:tcBorders>
              <w:top w:val="nil"/>
              <w:left w:val="nil"/>
              <w:bottom w:val="single" w:sz="8" w:space="0" w:color="DCDDDE"/>
              <w:right w:val="nil"/>
            </w:tcBorders>
            <w:shd w:val="clear" w:color="000000" w:fill="FFFFFF"/>
            <w:noWrap/>
            <w:vAlign w:val="center"/>
            <w:hideMark/>
          </w:tcPr>
          <w:p w14:paraId="3A6FC73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967</w:t>
            </w:r>
          </w:p>
        </w:tc>
        <w:tc>
          <w:tcPr>
            <w:tcW w:w="581" w:type="dxa"/>
            <w:tcBorders>
              <w:top w:val="nil"/>
              <w:left w:val="nil"/>
              <w:bottom w:val="single" w:sz="8" w:space="0" w:color="DCDDDE"/>
              <w:right w:val="nil"/>
            </w:tcBorders>
            <w:shd w:val="clear" w:color="000000" w:fill="FFFFFF"/>
            <w:noWrap/>
            <w:vAlign w:val="center"/>
            <w:hideMark/>
          </w:tcPr>
          <w:p w14:paraId="6D3ADB3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1,059</w:t>
            </w:r>
          </w:p>
        </w:tc>
        <w:tc>
          <w:tcPr>
            <w:tcW w:w="582" w:type="dxa"/>
            <w:tcBorders>
              <w:top w:val="nil"/>
              <w:left w:val="nil"/>
              <w:bottom w:val="single" w:sz="8" w:space="0" w:color="DCDDDE"/>
              <w:right w:val="nil"/>
            </w:tcBorders>
            <w:shd w:val="clear" w:color="000000" w:fill="FFFFFF"/>
            <w:noWrap/>
            <w:vAlign w:val="center"/>
            <w:hideMark/>
          </w:tcPr>
          <w:p w14:paraId="05F9342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1,164</w:t>
            </w:r>
          </w:p>
        </w:tc>
      </w:tr>
      <w:tr w:rsidR="00C97435" w:rsidRPr="009A6333" w14:paraId="569F44FD" w14:textId="77777777" w:rsidTr="00C97435">
        <w:trPr>
          <w:trHeight w:val="193"/>
          <w:jc w:val="center"/>
        </w:trPr>
        <w:tc>
          <w:tcPr>
            <w:tcW w:w="1741" w:type="dxa"/>
            <w:tcBorders>
              <w:top w:val="nil"/>
              <w:left w:val="nil"/>
              <w:bottom w:val="single" w:sz="8" w:space="0" w:color="DCDDDE"/>
              <w:right w:val="nil"/>
            </w:tcBorders>
            <w:shd w:val="clear" w:color="000000" w:fill="FFFFFF"/>
            <w:vAlign w:val="center"/>
            <w:hideMark/>
          </w:tcPr>
          <w:p w14:paraId="14A98F6C"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Low Income</w:t>
            </w:r>
          </w:p>
        </w:tc>
        <w:tc>
          <w:tcPr>
            <w:tcW w:w="581" w:type="dxa"/>
            <w:tcBorders>
              <w:top w:val="nil"/>
              <w:left w:val="nil"/>
              <w:bottom w:val="single" w:sz="8" w:space="0" w:color="DCDDDE"/>
              <w:right w:val="nil"/>
            </w:tcBorders>
            <w:shd w:val="clear" w:color="000000" w:fill="FFFFFF"/>
            <w:noWrap/>
            <w:vAlign w:val="center"/>
            <w:hideMark/>
          </w:tcPr>
          <w:p w14:paraId="47EFD60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57</w:t>
            </w:r>
          </w:p>
        </w:tc>
        <w:tc>
          <w:tcPr>
            <w:tcW w:w="581" w:type="dxa"/>
            <w:tcBorders>
              <w:top w:val="nil"/>
              <w:left w:val="nil"/>
              <w:bottom w:val="single" w:sz="8" w:space="0" w:color="DCDDDE"/>
              <w:right w:val="nil"/>
            </w:tcBorders>
            <w:shd w:val="clear" w:color="000000" w:fill="FFFFFF"/>
            <w:noWrap/>
            <w:vAlign w:val="center"/>
            <w:hideMark/>
          </w:tcPr>
          <w:p w14:paraId="56F1F84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57</w:t>
            </w:r>
          </w:p>
        </w:tc>
        <w:tc>
          <w:tcPr>
            <w:tcW w:w="581" w:type="dxa"/>
            <w:tcBorders>
              <w:top w:val="nil"/>
              <w:left w:val="nil"/>
              <w:bottom w:val="single" w:sz="8" w:space="0" w:color="DCDDDE"/>
              <w:right w:val="nil"/>
            </w:tcBorders>
            <w:shd w:val="clear" w:color="000000" w:fill="FFFFFF"/>
            <w:noWrap/>
            <w:vAlign w:val="center"/>
            <w:hideMark/>
          </w:tcPr>
          <w:p w14:paraId="1BCE5E5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57</w:t>
            </w:r>
          </w:p>
        </w:tc>
        <w:tc>
          <w:tcPr>
            <w:tcW w:w="581" w:type="dxa"/>
            <w:tcBorders>
              <w:top w:val="nil"/>
              <w:left w:val="nil"/>
              <w:bottom w:val="single" w:sz="8" w:space="0" w:color="DCDDDE"/>
              <w:right w:val="nil"/>
            </w:tcBorders>
            <w:shd w:val="clear" w:color="000000" w:fill="FFFFFF"/>
            <w:noWrap/>
            <w:vAlign w:val="center"/>
            <w:hideMark/>
          </w:tcPr>
          <w:p w14:paraId="5705D8F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16615FC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30A3822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0BC3C7A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70CE930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3FEB531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41DEF08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20BDF86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1" w:type="dxa"/>
            <w:tcBorders>
              <w:top w:val="nil"/>
              <w:left w:val="nil"/>
              <w:bottom w:val="single" w:sz="8" w:space="0" w:color="DCDDDE"/>
              <w:right w:val="nil"/>
            </w:tcBorders>
            <w:shd w:val="clear" w:color="000000" w:fill="FFFFFF"/>
            <w:noWrap/>
            <w:vAlign w:val="center"/>
            <w:hideMark/>
          </w:tcPr>
          <w:p w14:paraId="32EE87D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82" w:type="dxa"/>
            <w:tcBorders>
              <w:top w:val="nil"/>
              <w:left w:val="nil"/>
              <w:bottom w:val="single" w:sz="8" w:space="0" w:color="DCDDDE"/>
              <w:right w:val="nil"/>
            </w:tcBorders>
            <w:shd w:val="clear" w:color="000000" w:fill="FFFFFF"/>
            <w:noWrap/>
            <w:vAlign w:val="center"/>
            <w:hideMark/>
          </w:tcPr>
          <w:p w14:paraId="03DD29F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r>
      <w:tr w:rsidR="00C97435" w:rsidRPr="009A6333" w14:paraId="2418576B" w14:textId="77777777" w:rsidTr="00C97435">
        <w:trPr>
          <w:trHeight w:val="507"/>
          <w:jc w:val="center"/>
        </w:trPr>
        <w:tc>
          <w:tcPr>
            <w:tcW w:w="1741" w:type="dxa"/>
            <w:tcBorders>
              <w:top w:val="nil"/>
              <w:left w:val="nil"/>
              <w:bottom w:val="single" w:sz="8" w:space="0" w:color="DCDDDE"/>
              <w:right w:val="nil"/>
            </w:tcBorders>
            <w:shd w:val="clear" w:color="000000" w:fill="FFFFFF"/>
            <w:vAlign w:val="center"/>
            <w:hideMark/>
          </w:tcPr>
          <w:p w14:paraId="37268576"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Incentive Programs (Subtotal)</w:t>
            </w:r>
          </w:p>
        </w:tc>
        <w:tc>
          <w:tcPr>
            <w:tcW w:w="581" w:type="dxa"/>
            <w:tcBorders>
              <w:top w:val="nil"/>
              <w:left w:val="nil"/>
              <w:bottom w:val="single" w:sz="8" w:space="0" w:color="DCDDDE"/>
              <w:right w:val="nil"/>
            </w:tcBorders>
            <w:shd w:val="clear" w:color="000000" w:fill="FFFFFF"/>
            <w:noWrap/>
            <w:vAlign w:val="center"/>
            <w:hideMark/>
          </w:tcPr>
          <w:p w14:paraId="5BDADAC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1,217</w:t>
            </w:r>
          </w:p>
        </w:tc>
        <w:tc>
          <w:tcPr>
            <w:tcW w:w="581" w:type="dxa"/>
            <w:tcBorders>
              <w:top w:val="nil"/>
              <w:left w:val="nil"/>
              <w:bottom w:val="single" w:sz="8" w:space="0" w:color="DCDDDE"/>
              <w:right w:val="nil"/>
            </w:tcBorders>
            <w:shd w:val="clear" w:color="000000" w:fill="FFFFFF"/>
            <w:noWrap/>
            <w:vAlign w:val="center"/>
            <w:hideMark/>
          </w:tcPr>
          <w:p w14:paraId="7607049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1,370</w:t>
            </w:r>
          </w:p>
        </w:tc>
        <w:tc>
          <w:tcPr>
            <w:tcW w:w="581" w:type="dxa"/>
            <w:tcBorders>
              <w:top w:val="nil"/>
              <w:left w:val="nil"/>
              <w:bottom w:val="single" w:sz="8" w:space="0" w:color="DCDDDE"/>
              <w:right w:val="nil"/>
            </w:tcBorders>
            <w:shd w:val="clear" w:color="000000" w:fill="FFFFFF"/>
            <w:noWrap/>
            <w:vAlign w:val="center"/>
            <w:hideMark/>
          </w:tcPr>
          <w:p w14:paraId="0648E77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1,400</w:t>
            </w:r>
          </w:p>
        </w:tc>
        <w:tc>
          <w:tcPr>
            <w:tcW w:w="581" w:type="dxa"/>
            <w:tcBorders>
              <w:top w:val="nil"/>
              <w:left w:val="nil"/>
              <w:bottom w:val="single" w:sz="8" w:space="0" w:color="DCDDDE"/>
              <w:right w:val="nil"/>
            </w:tcBorders>
            <w:shd w:val="clear" w:color="000000" w:fill="FFFFFF"/>
            <w:noWrap/>
            <w:vAlign w:val="center"/>
            <w:hideMark/>
          </w:tcPr>
          <w:p w14:paraId="35E4470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1,510</w:t>
            </w:r>
          </w:p>
        </w:tc>
        <w:tc>
          <w:tcPr>
            <w:tcW w:w="581" w:type="dxa"/>
            <w:tcBorders>
              <w:top w:val="nil"/>
              <w:left w:val="nil"/>
              <w:bottom w:val="single" w:sz="8" w:space="0" w:color="DCDDDE"/>
              <w:right w:val="nil"/>
            </w:tcBorders>
            <w:shd w:val="clear" w:color="000000" w:fill="FFFFFF"/>
            <w:noWrap/>
            <w:vAlign w:val="center"/>
            <w:hideMark/>
          </w:tcPr>
          <w:p w14:paraId="1186858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1,570</w:t>
            </w:r>
          </w:p>
        </w:tc>
        <w:tc>
          <w:tcPr>
            <w:tcW w:w="581" w:type="dxa"/>
            <w:tcBorders>
              <w:top w:val="nil"/>
              <w:left w:val="nil"/>
              <w:bottom w:val="single" w:sz="8" w:space="0" w:color="DCDDDE"/>
              <w:right w:val="nil"/>
            </w:tcBorders>
            <w:shd w:val="clear" w:color="000000" w:fill="FFFFFF"/>
            <w:noWrap/>
            <w:vAlign w:val="center"/>
            <w:hideMark/>
          </w:tcPr>
          <w:p w14:paraId="70BC802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1,628</w:t>
            </w:r>
          </w:p>
        </w:tc>
        <w:tc>
          <w:tcPr>
            <w:tcW w:w="581" w:type="dxa"/>
            <w:tcBorders>
              <w:top w:val="nil"/>
              <w:left w:val="nil"/>
              <w:bottom w:val="single" w:sz="8" w:space="0" w:color="DCDDDE"/>
              <w:right w:val="nil"/>
            </w:tcBorders>
            <w:shd w:val="clear" w:color="000000" w:fill="FFFFFF"/>
            <w:noWrap/>
            <w:vAlign w:val="center"/>
            <w:hideMark/>
          </w:tcPr>
          <w:p w14:paraId="0A8D2D4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1,707</w:t>
            </w:r>
          </w:p>
        </w:tc>
        <w:tc>
          <w:tcPr>
            <w:tcW w:w="581" w:type="dxa"/>
            <w:tcBorders>
              <w:top w:val="nil"/>
              <w:left w:val="nil"/>
              <w:bottom w:val="single" w:sz="8" w:space="0" w:color="DCDDDE"/>
              <w:right w:val="nil"/>
            </w:tcBorders>
            <w:shd w:val="clear" w:color="000000" w:fill="FFFFFF"/>
            <w:noWrap/>
            <w:vAlign w:val="center"/>
            <w:hideMark/>
          </w:tcPr>
          <w:p w14:paraId="650F308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1,803</w:t>
            </w:r>
          </w:p>
        </w:tc>
        <w:tc>
          <w:tcPr>
            <w:tcW w:w="581" w:type="dxa"/>
            <w:tcBorders>
              <w:top w:val="nil"/>
              <w:left w:val="nil"/>
              <w:bottom w:val="single" w:sz="8" w:space="0" w:color="DCDDDE"/>
              <w:right w:val="nil"/>
            </w:tcBorders>
            <w:shd w:val="clear" w:color="000000" w:fill="FFFFFF"/>
            <w:noWrap/>
            <w:vAlign w:val="center"/>
            <w:hideMark/>
          </w:tcPr>
          <w:p w14:paraId="12C63B5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1,872</w:t>
            </w:r>
          </w:p>
        </w:tc>
        <w:tc>
          <w:tcPr>
            <w:tcW w:w="581" w:type="dxa"/>
            <w:tcBorders>
              <w:top w:val="nil"/>
              <w:left w:val="nil"/>
              <w:bottom w:val="single" w:sz="8" w:space="0" w:color="DCDDDE"/>
              <w:right w:val="nil"/>
            </w:tcBorders>
            <w:shd w:val="clear" w:color="000000" w:fill="FFFFFF"/>
            <w:noWrap/>
            <w:vAlign w:val="center"/>
            <w:hideMark/>
          </w:tcPr>
          <w:p w14:paraId="59DF08D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1,946</w:t>
            </w:r>
          </w:p>
        </w:tc>
        <w:tc>
          <w:tcPr>
            <w:tcW w:w="581" w:type="dxa"/>
            <w:tcBorders>
              <w:top w:val="nil"/>
              <w:left w:val="nil"/>
              <w:bottom w:val="single" w:sz="8" w:space="0" w:color="DCDDDE"/>
              <w:right w:val="nil"/>
            </w:tcBorders>
            <w:shd w:val="clear" w:color="000000" w:fill="FFFFFF"/>
            <w:noWrap/>
            <w:vAlign w:val="center"/>
            <w:hideMark/>
          </w:tcPr>
          <w:p w14:paraId="5C63F01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2,030</w:t>
            </w:r>
          </w:p>
        </w:tc>
        <w:tc>
          <w:tcPr>
            <w:tcW w:w="581" w:type="dxa"/>
            <w:tcBorders>
              <w:top w:val="nil"/>
              <w:left w:val="nil"/>
              <w:bottom w:val="single" w:sz="8" w:space="0" w:color="DCDDDE"/>
              <w:right w:val="nil"/>
            </w:tcBorders>
            <w:shd w:val="clear" w:color="000000" w:fill="FFFFFF"/>
            <w:noWrap/>
            <w:vAlign w:val="center"/>
            <w:hideMark/>
          </w:tcPr>
          <w:p w14:paraId="00FE41C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2,120</w:t>
            </w:r>
          </w:p>
        </w:tc>
        <w:tc>
          <w:tcPr>
            <w:tcW w:w="582" w:type="dxa"/>
            <w:tcBorders>
              <w:top w:val="nil"/>
              <w:left w:val="nil"/>
              <w:bottom w:val="single" w:sz="8" w:space="0" w:color="DCDDDE"/>
              <w:right w:val="nil"/>
            </w:tcBorders>
            <w:shd w:val="clear" w:color="000000" w:fill="FFFFFF"/>
            <w:noWrap/>
            <w:vAlign w:val="center"/>
            <w:hideMark/>
          </w:tcPr>
          <w:p w14:paraId="352D40B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2,223</w:t>
            </w:r>
          </w:p>
        </w:tc>
      </w:tr>
      <w:tr w:rsidR="00C97435" w:rsidRPr="009A6333" w14:paraId="01CCC431" w14:textId="77777777" w:rsidTr="00C97435">
        <w:trPr>
          <w:trHeight w:val="193"/>
          <w:jc w:val="center"/>
        </w:trPr>
        <w:tc>
          <w:tcPr>
            <w:tcW w:w="1741" w:type="dxa"/>
            <w:tcBorders>
              <w:top w:val="nil"/>
              <w:left w:val="nil"/>
              <w:bottom w:val="single" w:sz="8" w:space="0" w:color="DCDDDE"/>
              <w:right w:val="nil"/>
            </w:tcBorders>
            <w:shd w:val="clear" w:color="000000" w:fill="FFFFFF"/>
            <w:vAlign w:val="center"/>
            <w:hideMark/>
          </w:tcPr>
          <w:p w14:paraId="54DE65EB"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C&amp;S*</w:t>
            </w:r>
          </w:p>
        </w:tc>
        <w:tc>
          <w:tcPr>
            <w:tcW w:w="581" w:type="dxa"/>
            <w:tcBorders>
              <w:top w:val="nil"/>
              <w:left w:val="nil"/>
              <w:bottom w:val="single" w:sz="8" w:space="0" w:color="DCDDDE"/>
              <w:right w:val="nil"/>
            </w:tcBorders>
            <w:shd w:val="clear" w:color="000000" w:fill="FFFFFF"/>
            <w:noWrap/>
            <w:vAlign w:val="center"/>
            <w:hideMark/>
          </w:tcPr>
          <w:p w14:paraId="72F8D9D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1,212</w:t>
            </w:r>
          </w:p>
        </w:tc>
        <w:tc>
          <w:tcPr>
            <w:tcW w:w="581" w:type="dxa"/>
            <w:tcBorders>
              <w:top w:val="nil"/>
              <w:left w:val="nil"/>
              <w:bottom w:val="single" w:sz="8" w:space="0" w:color="DCDDDE"/>
              <w:right w:val="nil"/>
            </w:tcBorders>
            <w:shd w:val="clear" w:color="000000" w:fill="FFFFFF"/>
            <w:noWrap/>
            <w:vAlign w:val="center"/>
            <w:hideMark/>
          </w:tcPr>
          <w:p w14:paraId="4FCA4A8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1,257</w:t>
            </w:r>
          </w:p>
        </w:tc>
        <w:tc>
          <w:tcPr>
            <w:tcW w:w="581" w:type="dxa"/>
            <w:tcBorders>
              <w:top w:val="nil"/>
              <w:left w:val="nil"/>
              <w:bottom w:val="single" w:sz="8" w:space="0" w:color="DCDDDE"/>
              <w:right w:val="nil"/>
            </w:tcBorders>
            <w:shd w:val="clear" w:color="000000" w:fill="FFFFFF"/>
            <w:noWrap/>
            <w:vAlign w:val="center"/>
            <w:hideMark/>
          </w:tcPr>
          <w:p w14:paraId="1E99D7B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1,266</w:t>
            </w:r>
          </w:p>
        </w:tc>
        <w:tc>
          <w:tcPr>
            <w:tcW w:w="581" w:type="dxa"/>
            <w:tcBorders>
              <w:top w:val="nil"/>
              <w:left w:val="nil"/>
              <w:bottom w:val="single" w:sz="8" w:space="0" w:color="DCDDDE"/>
              <w:right w:val="nil"/>
            </w:tcBorders>
            <w:shd w:val="clear" w:color="000000" w:fill="FFFFFF"/>
            <w:noWrap/>
            <w:vAlign w:val="center"/>
            <w:hideMark/>
          </w:tcPr>
          <w:p w14:paraId="0EF5439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1,304</w:t>
            </w:r>
          </w:p>
        </w:tc>
        <w:tc>
          <w:tcPr>
            <w:tcW w:w="581" w:type="dxa"/>
            <w:tcBorders>
              <w:top w:val="nil"/>
              <w:left w:val="nil"/>
              <w:bottom w:val="single" w:sz="8" w:space="0" w:color="DCDDDE"/>
              <w:right w:val="nil"/>
            </w:tcBorders>
            <w:shd w:val="clear" w:color="000000" w:fill="FFFFFF"/>
            <w:noWrap/>
            <w:vAlign w:val="center"/>
            <w:hideMark/>
          </w:tcPr>
          <w:p w14:paraId="722E2BC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1,269</w:t>
            </w:r>
          </w:p>
        </w:tc>
        <w:tc>
          <w:tcPr>
            <w:tcW w:w="581" w:type="dxa"/>
            <w:tcBorders>
              <w:top w:val="nil"/>
              <w:left w:val="nil"/>
              <w:bottom w:val="single" w:sz="8" w:space="0" w:color="DCDDDE"/>
              <w:right w:val="nil"/>
            </w:tcBorders>
            <w:shd w:val="clear" w:color="000000" w:fill="FFFFFF"/>
            <w:noWrap/>
            <w:vAlign w:val="center"/>
            <w:hideMark/>
          </w:tcPr>
          <w:p w14:paraId="705349A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1,406</w:t>
            </w:r>
          </w:p>
        </w:tc>
        <w:tc>
          <w:tcPr>
            <w:tcW w:w="581" w:type="dxa"/>
            <w:tcBorders>
              <w:top w:val="nil"/>
              <w:left w:val="nil"/>
              <w:bottom w:val="single" w:sz="8" w:space="0" w:color="DCDDDE"/>
              <w:right w:val="nil"/>
            </w:tcBorders>
            <w:shd w:val="clear" w:color="000000" w:fill="FFFFFF"/>
            <w:noWrap/>
            <w:vAlign w:val="center"/>
            <w:hideMark/>
          </w:tcPr>
          <w:p w14:paraId="463DD1B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1,347</w:t>
            </w:r>
          </w:p>
        </w:tc>
        <w:tc>
          <w:tcPr>
            <w:tcW w:w="581" w:type="dxa"/>
            <w:tcBorders>
              <w:top w:val="nil"/>
              <w:left w:val="nil"/>
              <w:bottom w:val="single" w:sz="8" w:space="0" w:color="DCDDDE"/>
              <w:right w:val="nil"/>
            </w:tcBorders>
            <w:shd w:val="clear" w:color="000000" w:fill="FFFFFF"/>
            <w:noWrap/>
            <w:vAlign w:val="center"/>
            <w:hideMark/>
          </w:tcPr>
          <w:p w14:paraId="4CA2C33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1,299</w:t>
            </w:r>
          </w:p>
        </w:tc>
        <w:tc>
          <w:tcPr>
            <w:tcW w:w="581" w:type="dxa"/>
            <w:tcBorders>
              <w:top w:val="nil"/>
              <w:left w:val="nil"/>
              <w:bottom w:val="single" w:sz="8" w:space="0" w:color="DCDDDE"/>
              <w:right w:val="nil"/>
            </w:tcBorders>
            <w:shd w:val="clear" w:color="000000" w:fill="FFFFFF"/>
            <w:noWrap/>
            <w:vAlign w:val="center"/>
            <w:hideMark/>
          </w:tcPr>
          <w:p w14:paraId="1B2863E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1,218</w:t>
            </w:r>
          </w:p>
        </w:tc>
        <w:tc>
          <w:tcPr>
            <w:tcW w:w="581" w:type="dxa"/>
            <w:tcBorders>
              <w:top w:val="nil"/>
              <w:left w:val="nil"/>
              <w:bottom w:val="single" w:sz="8" w:space="0" w:color="DCDDDE"/>
              <w:right w:val="nil"/>
            </w:tcBorders>
            <w:shd w:val="clear" w:color="000000" w:fill="FFFFFF"/>
            <w:noWrap/>
            <w:vAlign w:val="center"/>
            <w:hideMark/>
          </w:tcPr>
          <w:p w14:paraId="778E95D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1,173</w:t>
            </w:r>
          </w:p>
        </w:tc>
        <w:tc>
          <w:tcPr>
            <w:tcW w:w="581" w:type="dxa"/>
            <w:tcBorders>
              <w:top w:val="nil"/>
              <w:left w:val="nil"/>
              <w:bottom w:val="single" w:sz="8" w:space="0" w:color="DCDDDE"/>
              <w:right w:val="nil"/>
            </w:tcBorders>
            <w:shd w:val="clear" w:color="000000" w:fill="FFFFFF"/>
            <w:noWrap/>
            <w:vAlign w:val="center"/>
            <w:hideMark/>
          </w:tcPr>
          <w:p w14:paraId="34169CD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1,067</w:t>
            </w:r>
          </w:p>
        </w:tc>
        <w:tc>
          <w:tcPr>
            <w:tcW w:w="581" w:type="dxa"/>
            <w:tcBorders>
              <w:top w:val="nil"/>
              <w:left w:val="nil"/>
              <w:bottom w:val="single" w:sz="8" w:space="0" w:color="DCDDDE"/>
              <w:right w:val="nil"/>
            </w:tcBorders>
            <w:shd w:val="clear" w:color="000000" w:fill="FFFFFF"/>
            <w:noWrap/>
            <w:vAlign w:val="center"/>
            <w:hideMark/>
          </w:tcPr>
          <w:p w14:paraId="628CA2A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966</w:t>
            </w:r>
          </w:p>
        </w:tc>
        <w:tc>
          <w:tcPr>
            <w:tcW w:w="582" w:type="dxa"/>
            <w:tcBorders>
              <w:top w:val="nil"/>
              <w:left w:val="nil"/>
              <w:bottom w:val="single" w:sz="8" w:space="0" w:color="DCDDDE"/>
              <w:right w:val="nil"/>
            </w:tcBorders>
            <w:shd w:val="clear" w:color="000000" w:fill="FFFFFF"/>
            <w:noWrap/>
            <w:vAlign w:val="center"/>
            <w:hideMark/>
          </w:tcPr>
          <w:p w14:paraId="4847B3E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864</w:t>
            </w:r>
          </w:p>
        </w:tc>
      </w:tr>
      <w:tr w:rsidR="00C97435" w:rsidRPr="009A6333" w14:paraId="6797BE9B" w14:textId="77777777" w:rsidTr="00C97435">
        <w:trPr>
          <w:trHeight w:val="193"/>
          <w:jc w:val="center"/>
        </w:trPr>
        <w:tc>
          <w:tcPr>
            <w:tcW w:w="1741" w:type="dxa"/>
            <w:tcBorders>
              <w:top w:val="nil"/>
              <w:left w:val="nil"/>
              <w:bottom w:val="single" w:sz="8" w:space="0" w:color="DCDDDE"/>
              <w:right w:val="nil"/>
            </w:tcBorders>
            <w:shd w:val="clear" w:color="000000" w:fill="FFFFFF"/>
            <w:vAlign w:val="center"/>
            <w:hideMark/>
          </w:tcPr>
          <w:p w14:paraId="278F2C2C"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Total</w:t>
            </w:r>
          </w:p>
        </w:tc>
        <w:tc>
          <w:tcPr>
            <w:tcW w:w="581" w:type="dxa"/>
            <w:tcBorders>
              <w:top w:val="nil"/>
              <w:left w:val="nil"/>
              <w:bottom w:val="single" w:sz="8" w:space="0" w:color="DCDDDE"/>
              <w:right w:val="nil"/>
            </w:tcBorders>
            <w:shd w:val="clear" w:color="000000" w:fill="FFFFFF"/>
            <w:noWrap/>
            <w:vAlign w:val="center"/>
            <w:hideMark/>
          </w:tcPr>
          <w:p w14:paraId="3A9E5972"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2,429</w:t>
            </w:r>
          </w:p>
        </w:tc>
        <w:tc>
          <w:tcPr>
            <w:tcW w:w="581" w:type="dxa"/>
            <w:tcBorders>
              <w:top w:val="nil"/>
              <w:left w:val="nil"/>
              <w:bottom w:val="single" w:sz="8" w:space="0" w:color="DCDDDE"/>
              <w:right w:val="nil"/>
            </w:tcBorders>
            <w:shd w:val="clear" w:color="000000" w:fill="FFFFFF"/>
            <w:noWrap/>
            <w:vAlign w:val="center"/>
            <w:hideMark/>
          </w:tcPr>
          <w:p w14:paraId="67DA4380"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2,627</w:t>
            </w:r>
          </w:p>
        </w:tc>
        <w:tc>
          <w:tcPr>
            <w:tcW w:w="581" w:type="dxa"/>
            <w:tcBorders>
              <w:top w:val="nil"/>
              <w:left w:val="nil"/>
              <w:bottom w:val="single" w:sz="8" w:space="0" w:color="DCDDDE"/>
              <w:right w:val="nil"/>
            </w:tcBorders>
            <w:shd w:val="clear" w:color="000000" w:fill="FFFFFF"/>
            <w:noWrap/>
            <w:vAlign w:val="center"/>
            <w:hideMark/>
          </w:tcPr>
          <w:p w14:paraId="3B5C8494"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2,666</w:t>
            </w:r>
          </w:p>
        </w:tc>
        <w:tc>
          <w:tcPr>
            <w:tcW w:w="581" w:type="dxa"/>
            <w:tcBorders>
              <w:top w:val="nil"/>
              <w:left w:val="nil"/>
              <w:bottom w:val="single" w:sz="8" w:space="0" w:color="DCDDDE"/>
              <w:right w:val="nil"/>
            </w:tcBorders>
            <w:shd w:val="clear" w:color="000000" w:fill="FFFFFF"/>
            <w:noWrap/>
            <w:vAlign w:val="center"/>
            <w:hideMark/>
          </w:tcPr>
          <w:p w14:paraId="6756FE00"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2,814</w:t>
            </w:r>
          </w:p>
        </w:tc>
        <w:tc>
          <w:tcPr>
            <w:tcW w:w="581" w:type="dxa"/>
            <w:tcBorders>
              <w:top w:val="nil"/>
              <w:left w:val="nil"/>
              <w:bottom w:val="single" w:sz="8" w:space="0" w:color="DCDDDE"/>
              <w:right w:val="nil"/>
            </w:tcBorders>
            <w:shd w:val="clear" w:color="000000" w:fill="FFFFFF"/>
            <w:noWrap/>
            <w:vAlign w:val="center"/>
            <w:hideMark/>
          </w:tcPr>
          <w:p w14:paraId="0F5B36D8"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2,839</w:t>
            </w:r>
          </w:p>
        </w:tc>
        <w:tc>
          <w:tcPr>
            <w:tcW w:w="581" w:type="dxa"/>
            <w:tcBorders>
              <w:top w:val="nil"/>
              <w:left w:val="nil"/>
              <w:bottom w:val="single" w:sz="8" w:space="0" w:color="DCDDDE"/>
              <w:right w:val="nil"/>
            </w:tcBorders>
            <w:shd w:val="clear" w:color="000000" w:fill="FFFFFF"/>
            <w:noWrap/>
            <w:vAlign w:val="center"/>
            <w:hideMark/>
          </w:tcPr>
          <w:p w14:paraId="3953C513"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3,034</w:t>
            </w:r>
          </w:p>
        </w:tc>
        <w:tc>
          <w:tcPr>
            <w:tcW w:w="581" w:type="dxa"/>
            <w:tcBorders>
              <w:top w:val="nil"/>
              <w:left w:val="nil"/>
              <w:bottom w:val="single" w:sz="8" w:space="0" w:color="DCDDDE"/>
              <w:right w:val="nil"/>
            </w:tcBorders>
            <w:shd w:val="clear" w:color="000000" w:fill="FFFFFF"/>
            <w:noWrap/>
            <w:vAlign w:val="center"/>
            <w:hideMark/>
          </w:tcPr>
          <w:p w14:paraId="5DBC441D"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3,055</w:t>
            </w:r>
          </w:p>
        </w:tc>
        <w:tc>
          <w:tcPr>
            <w:tcW w:w="581" w:type="dxa"/>
            <w:tcBorders>
              <w:top w:val="nil"/>
              <w:left w:val="nil"/>
              <w:bottom w:val="single" w:sz="8" w:space="0" w:color="DCDDDE"/>
              <w:right w:val="nil"/>
            </w:tcBorders>
            <w:shd w:val="clear" w:color="000000" w:fill="FFFFFF"/>
            <w:noWrap/>
            <w:vAlign w:val="center"/>
            <w:hideMark/>
          </w:tcPr>
          <w:p w14:paraId="1A8E010D"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3,102</w:t>
            </w:r>
          </w:p>
        </w:tc>
        <w:tc>
          <w:tcPr>
            <w:tcW w:w="581" w:type="dxa"/>
            <w:tcBorders>
              <w:top w:val="nil"/>
              <w:left w:val="nil"/>
              <w:bottom w:val="single" w:sz="8" w:space="0" w:color="DCDDDE"/>
              <w:right w:val="nil"/>
            </w:tcBorders>
            <w:shd w:val="clear" w:color="000000" w:fill="FFFFFF"/>
            <w:noWrap/>
            <w:vAlign w:val="center"/>
            <w:hideMark/>
          </w:tcPr>
          <w:p w14:paraId="54CB1482"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3,090</w:t>
            </w:r>
          </w:p>
        </w:tc>
        <w:tc>
          <w:tcPr>
            <w:tcW w:w="581" w:type="dxa"/>
            <w:tcBorders>
              <w:top w:val="nil"/>
              <w:left w:val="nil"/>
              <w:bottom w:val="single" w:sz="8" w:space="0" w:color="DCDDDE"/>
              <w:right w:val="nil"/>
            </w:tcBorders>
            <w:shd w:val="clear" w:color="000000" w:fill="FFFFFF"/>
            <w:noWrap/>
            <w:vAlign w:val="center"/>
            <w:hideMark/>
          </w:tcPr>
          <w:p w14:paraId="0DDE8F54"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3,119</w:t>
            </w:r>
          </w:p>
        </w:tc>
        <w:tc>
          <w:tcPr>
            <w:tcW w:w="581" w:type="dxa"/>
            <w:tcBorders>
              <w:top w:val="nil"/>
              <w:left w:val="nil"/>
              <w:bottom w:val="single" w:sz="8" w:space="0" w:color="DCDDDE"/>
              <w:right w:val="nil"/>
            </w:tcBorders>
            <w:shd w:val="clear" w:color="000000" w:fill="FFFFFF"/>
            <w:noWrap/>
            <w:vAlign w:val="center"/>
            <w:hideMark/>
          </w:tcPr>
          <w:p w14:paraId="2E2D43A9"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3,097</w:t>
            </w:r>
          </w:p>
        </w:tc>
        <w:tc>
          <w:tcPr>
            <w:tcW w:w="581" w:type="dxa"/>
            <w:tcBorders>
              <w:top w:val="nil"/>
              <w:left w:val="nil"/>
              <w:bottom w:val="single" w:sz="8" w:space="0" w:color="DCDDDE"/>
              <w:right w:val="nil"/>
            </w:tcBorders>
            <w:shd w:val="clear" w:color="000000" w:fill="FFFFFF"/>
            <w:noWrap/>
            <w:vAlign w:val="center"/>
            <w:hideMark/>
          </w:tcPr>
          <w:p w14:paraId="19898270"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3,086</w:t>
            </w:r>
          </w:p>
        </w:tc>
        <w:tc>
          <w:tcPr>
            <w:tcW w:w="582" w:type="dxa"/>
            <w:tcBorders>
              <w:top w:val="nil"/>
              <w:left w:val="nil"/>
              <w:bottom w:val="single" w:sz="8" w:space="0" w:color="DCDDDE"/>
              <w:right w:val="nil"/>
            </w:tcBorders>
            <w:shd w:val="clear" w:color="000000" w:fill="FFFFFF"/>
            <w:noWrap/>
            <w:vAlign w:val="center"/>
            <w:hideMark/>
          </w:tcPr>
          <w:p w14:paraId="4B5DC692"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3,088</w:t>
            </w:r>
          </w:p>
        </w:tc>
      </w:tr>
    </w:tbl>
    <w:p w14:paraId="43782BE8" w14:textId="77777777" w:rsidR="009A6333" w:rsidRDefault="009A6333" w:rsidP="009A6333">
      <w:pPr>
        <w:spacing w:line="240" w:lineRule="auto"/>
        <w:jc w:val="center"/>
      </w:pPr>
      <w:r w:rsidRPr="00252D53">
        <w:t>*includes interactive effects</w:t>
      </w:r>
    </w:p>
    <w:p w14:paraId="743936D3" w14:textId="625DE02B" w:rsidR="00C97435" w:rsidRDefault="00C97435">
      <w:pPr>
        <w:spacing w:line="240" w:lineRule="auto"/>
      </w:pPr>
      <w:r>
        <w:br w:type="page"/>
      </w:r>
    </w:p>
    <w:p w14:paraId="466DAD42" w14:textId="77777777" w:rsidR="009A6333" w:rsidRDefault="009A6333" w:rsidP="009A6333"/>
    <w:p w14:paraId="0AB642F5" w14:textId="204FD5B5" w:rsidR="00C97435" w:rsidRDefault="00C97435" w:rsidP="00C97435">
      <w:pPr>
        <w:pStyle w:val="Caption"/>
      </w:pPr>
      <w:bookmarkStart w:id="770" w:name="_Toc490560692"/>
      <w:r w:rsidRPr="007F4CCF">
        <w:t xml:space="preserve">Table </w:t>
      </w:r>
      <w:fldSimple w:instr=" STYLEREF 1 \s ">
        <w:r>
          <w:rPr>
            <w:noProof/>
          </w:rPr>
          <w:t>4</w:t>
        </w:r>
      </w:fldSimple>
      <w:r w:rsidRPr="007F4CCF">
        <w:noBreakHyphen/>
      </w:r>
      <w:fldSimple w:instr=" SEQ Table \* ARABIC \s 1 ">
        <w:r>
          <w:rPr>
            <w:noProof/>
          </w:rPr>
          <w:t>2</w:t>
        </w:r>
      </w:fldSimple>
      <w:r w:rsidRPr="007F4CCF">
        <w:t xml:space="preserve">. Statewide Net Incremental </w:t>
      </w:r>
      <w:r>
        <w:t>Demand</w:t>
      </w:r>
      <w:r w:rsidRPr="007F4CCF">
        <w:t xml:space="preserve"> Savings by Scenario</w:t>
      </w:r>
      <w:bookmarkEnd w:id="770"/>
    </w:p>
    <w:tbl>
      <w:tblPr>
        <w:tblW w:w="8863" w:type="dxa"/>
        <w:tblLook w:val="04A0" w:firstRow="1" w:lastRow="0" w:firstColumn="1" w:lastColumn="0" w:noHBand="0" w:noVBand="1"/>
      </w:tblPr>
      <w:tblGrid>
        <w:gridCol w:w="1771"/>
        <w:gridCol w:w="545"/>
        <w:gridCol w:w="545"/>
        <w:gridCol w:w="545"/>
        <w:gridCol w:w="545"/>
        <w:gridCol w:w="545"/>
        <w:gridCol w:w="545"/>
        <w:gridCol w:w="545"/>
        <w:gridCol w:w="545"/>
        <w:gridCol w:w="545"/>
        <w:gridCol w:w="545"/>
        <w:gridCol w:w="545"/>
        <w:gridCol w:w="545"/>
        <w:gridCol w:w="545"/>
        <w:gridCol w:w="7"/>
      </w:tblGrid>
      <w:tr w:rsidR="00C97435" w:rsidRPr="00C97435" w14:paraId="70048F54" w14:textId="77777777" w:rsidTr="00C97435">
        <w:trPr>
          <w:trHeight w:val="217"/>
        </w:trPr>
        <w:tc>
          <w:tcPr>
            <w:tcW w:w="8863" w:type="dxa"/>
            <w:gridSpan w:val="15"/>
            <w:tcBorders>
              <w:top w:val="nil"/>
              <w:left w:val="nil"/>
              <w:bottom w:val="single" w:sz="12" w:space="0" w:color="95D600"/>
              <w:right w:val="nil"/>
            </w:tcBorders>
            <w:shd w:val="clear" w:color="000000" w:fill="555759"/>
            <w:noWrap/>
            <w:vAlign w:val="center"/>
            <w:hideMark/>
          </w:tcPr>
          <w:p w14:paraId="2AEA0D14" w14:textId="77777777" w:rsidR="00C97435" w:rsidRPr="00C97435" w:rsidRDefault="00C97435" w:rsidP="00C97435">
            <w:pPr>
              <w:spacing w:line="240" w:lineRule="auto"/>
              <w:jc w:val="center"/>
              <w:rPr>
                <w:rFonts w:ascii="Arial Narrow" w:hAnsi="Arial Narrow" w:cs="Calibri"/>
                <w:b/>
                <w:bCs/>
                <w:color w:val="FFFFFF"/>
                <w:sz w:val="18"/>
                <w:szCs w:val="18"/>
              </w:rPr>
            </w:pPr>
            <w:r w:rsidRPr="00C97435">
              <w:rPr>
                <w:rFonts w:ascii="Arial Narrow" w:hAnsi="Arial Narrow" w:cs="Calibri"/>
                <w:b/>
                <w:bCs/>
                <w:color w:val="FFFFFF"/>
                <w:sz w:val="18"/>
                <w:szCs w:val="18"/>
              </w:rPr>
              <w:t>Electric Demand (MW)</w:t>
            </w:r>
          </w:p>
        </w:tc>
      </w:tr>
      <w:tr w:rsidR="00C97435" w:rsidRPr="00C97435" w14:paraId="06C651B0" w14:textId="77777777" w:rsidTr="0058478E">
        <w:trPr>
          <w:gridAfter w:val="1"/>
          <w:wAfter w:w="7" w:type="dxa"/>
          <w:trHeight w:val="227"/>
        </w:trPr>
        <w:tc>
          <w:tcPr>
            <w:tcW w:w="1771" w:type="dxa"/>
            <w:tcBorders>
              <w:top w:val="nil"/>
              <w:left w:val="nil"/>
              <w:bottom w:val="single" w:sz="8" w:space="0" w:color="DCDDDE"/>
              <w:right w:val="nil"/>
            </w:tcBorders>
            <w:shd w:val="clear" w:color="auto" w:fill="auto"/>
            <w:vAlign w:val="center"/>
            <w:hideMark/>
          </w:tcPr>
          <w:p w14:paraId="79FB8C43" w14:textId="77777777" w:rsidR="00C97435" w:rsidRPr="00C97435" w:rsidRDefault="00C97435" w:rsidP="00C97435">
            <w:pPr>
              <w:spacing w:line="240" w:lineRule="auto"/>
              <w:jc w:val="center"/>
              <w:rPr>
                <w:rFonts w:ascii="Arial Narrow" w:hAnsi="Arial Narrow" w:cs="Calibri"/>
                <w:b/>
                <w:bCs/>
                <w:sz w:val="18"/>
                <w:szCs w:val="18"/>
              </w:rPr>
            </w:pPr>
            <w:r w:rsidRPr="00C97435">
              <w:rPr>
                <w:rFonts w:ascii="Arial Narrow" w:hAnsi="Arial Narrow" w:cs="Calibri"/>
                <w:b/>
                <w:bCs/>
                <w:sz w:val="18"/>
                <w:szCs w:val="18"/>
              </w:rPr>
              <w:t>Year</w:t>
            </w:r>
          </w:p>
        </w:tc>
        <w:tc>
          <w:tcPr>
            <w:tcW w:w="545" w:type="dxa"/>
            <w:tcBorders>
              <w:top w:val="nil"/>
              <w:left w:val="nil"/>
              <w:bottom w:val="single" w:sz="8" w:space="0" w:color="DCDDDE"/>
              <w:right w:val="nil"/>
            </w:tcBorders>
            <w:shd w:val="clear" w:color="auto" w:fill="auto"/>
            <w:noWrap/>
            <w:vAlign w:val="center"/>
            <w:hideMark/>
          </w:tcPr>
          <w:p w14:paraId="4240E532" w14:textId="77777777" w:rsidR="00C97435" w:rsidRPr="00C97435" w:rsidRDefault="00C97435" w:rsidP="00C97435">
            <w:pPr>
              <w:spacing w:line="240" w:lineRule="auto"/>
              <w:jc w:val="center"/>
              <w:rPr>
                <w:rFonts w:ascii="Arial Narrow" w:hAnsi="Arial Narrow" w:cs="Calibri"/>
                <w:b/>
                <w:bCs/>
                <w:sz w:val="18"/>
                <w:szCs w:val="18"/>
              </w:rPr>
            </w:pPr>
            <w:r w:rsidRPr="00C97435">
              <w:rPr>
                <w:rFonts w:ascii="Arial Narrow" w:hAnsi="Arial Narrow" w:cs="Calibri"/>
                <w:b/>
                <w:bCs/>
                <w:sz w:val="18"/>
                <w:szCs w:val="18"/>
              </w:rPr>
              <w:t>2018</w:t>
            </w:r>
          </w:p>
        </w:tc>
        <w:tc>
          <w:tcPr>
            <w:tcW w:w="545" w:type="dxa"/>
            <w:tcBorders>
              <w:top w:val="nil"/>
              <w:left w:val="nil"/>
              <w:bottom w:val="single" w:sz="8" w:space="0" w:color="DCDDDE"/>
              <w:right w:val="nil"/>
            </w:tcBorders>
            <w:shd w:val="clear" w:color="auto" w:fill="auto"/>
            <w:noWrap/>
            <w:vAlign w:val="center"/>
            <w:hideMark/>
          </w:tcPr>
          <w:p w14:paraId="4EA57692" w14:textId="77777777" w:rsidR="00C97435" w:rsidRPr="00C97435" w:rsidRDefault="00C97435" w:rsidP="00C97435">
            <w:pPr>
              <w:spacing w:line="240" w:lineRule="auto"/>
              <w:jc w:val="center"/>
              <w:rPr>
                <w:rFonts w:ascii="Arial Narrow" w:hAnsi="Arial Narrow" w:cs="Calibri"/>
                <w:b/>
                <w:bCs/>
                <w:sz w:val="18"/>
                <w:szCs w:val="18"/>
              </w:rPr>
            </w:pPr>
            <w:r w:rsidRPr="00C97435">
              <w:rPr>
                <w:rFonts w:ascii="Arial Narrow" w:hAnsi="Arial Narrow" w:cs="Calibri"/>
                <w:b/>
                <w:bCs/>
                <w:sz w:val="18"/>
                <w:szCs w:val="18"/>
              </w:rPr>
              <w:t>2019</w:t>
            </w:r>
          </w:p>
        </w:tc>
        <w:tc>
          <w:tcPr>
            <w:tcW w:w="545" w:type="dxa"/>
            <w:tcBorders>
              <w:top w:val="nil"/>
              <w:left w:val="nil"/>
              <w:bottom w:val="single" w:sz="8" w:space="0" w:color="DCDDDE"/>
              <w:right w:val="nil"/>
            </w:tcBorders>
            <w:shd w:val="clear" w:color="auto" w:fill="auto"/>
            <w:noWrap/>
            <w:vAlign w:val="center"/>
            <w:hideMark/>
          </w:tcPr>
          <w:p w14:paraId="3CC29CDA" w14:textId="77777777" w:rsidR="00C97435" w:rsidRPr="00C97435" w:rsidRDefault="00C97435" w:rsidP="00C97435">
            <w:pPr>
              <w:spacing w:line="240" w:lineRule="auto"/>
              <w:jc w:val="center"/>
              <w:rPr>
                <w:rFonts w:ascii="Arial Narrow" w:hAnsi="Arial Narrow" w:cs="Calibri"/>
                <w:b/>
                <w:bCs/>
                <w:sz w:val="18"/>
                <w:szCs w:val="18"/>
              </w:rPr>
            </w:pPr>
            <w:r w:rsidRPr="00C97435">
              <w:rPr>
                <w:rFonts w:ascii="Arial Narrow" w:hAnsi="Arial Narrow" w:cs="Calibri"/>
                <w:b/>
                <w:bCs/>
                <w:sz w:val="18"/>
                <w:szCs w:val="18"/>
              </w:rPr>
              <w:t>2020</w:t>
            </w:r>
          </w:p>
        </w:tc>
        <w:tc>
          <w:tcPr>
            <w:tcW w:w="545" w:type="dxa"/>
            <w:tcBorders>
              <w:top w:val="nil"/>
              <w:left w:val="nil"/>
              <w:bottom w:val="single" w:sz="8" w:space="0" w:color="DCDDDE"/>
              <w:right w:val="nil"/>
            </w:tcBorders>
            <w:shd w:val="clear" w:color="auto" w:fill="auto"/>
            <w:noWrap/>
            <w:vAlign w:val="center"/>
            <w:hideMark/>
          </w:tcPr>
          <w:p w14:paraId="11081A8F" w14:textId="77777777" w:rsidR="00C97435" w:rsidRPr="00C97435" w:rsidRDefault="00C97435" w:rsidP="00C97435">
            <w:pPr>
              <w:spacing w:line="240" w:lineRule="auto"/>
              <w:jc w:val="center"/>
              <w:rPr>
                <w:rFonts w:ascii="Arial Narrow" w:hAnsi="Arial Narrow" w:cs="Calibri"/>
                <w:b/>
                <w:bCs/>
                <w:sz w:val="18"/>
                <w:szCs w:val="18"/>
              </w:rPr>
            </w:pPr>
            <w:r w:rsidRPr="00C97435">
              <w:rPr>
                <w:rFonts w:ascii="Arial Narrow" w:hAnsi="Arial Narrow" w:cs="Calibri"/>
                <w:b/>
                <w:bCs/>
                <w:sz w:val="18"/>
                <w:szCs w:val="18"/>
              </w:rPr>
              <w:t>2021</w:t>
            </w:r>
          </w:p>
        </w:tc>
        <w:tc>
          <w:tcPr>
            <w:tcW w:w="545" w:type="dxa"/>
            <w:tcBorders>
              <w:top w:val="nil"/>
              <w:left w:val="nil"/>
              <w:bottom w:val="single" w:sz="8" w:space="0" w:color="DCDDDE"/>
              <w:right w:val="nil"/>
            </w:tcBorders>
            <w:shd w:val="clear" w:color="auto" w:fill="auto"/>
            <w:noWrap/>
            <w:vAlign w:val="center"/>
            <w:hideMark/>
          </w:tcPr>
          <w:p w14:paraId="7EEF9EBC" w14:textId="77777777" w:rsidR="00C97435" w:rsidRPr="00C97435" w:rsidRDefault="00C97435" w:rsidP="00C97435">
            <w:pPr>
              <w:spacing w:line="240" w:lineRule="auto"/>
              <w:jc w:val="center"/>
              <w:rPr>
                <w:rFonts w:ascii="Arial Narrow" w:hAnsi="Arial Narrow" w:cs="Calibri"/>
                <w:b/>
                <w:bCs/>
                <w:sz w:val="18"/>
                <w:szCs w:val="18"/>
              </w:rPr>
            </w:pPr>
            <w:r w:rsidRPr="00C97435">
              <w:rPr>
                <w:rFonts w:ascii="Arial Narrow" w:hAnsi="Arial Narrow" w:cs="Calibri"/>
                <w:b/>
                <w:bCs/>
                <w:sz w:val="18"/>
                <w:szCs w:val="18"/>
              </w:rPr>
              <w:t>2022</w:t>
            </w:r>
          </w:p>
        </w:tc>
        <w:tc>
          <w:tcPr>
            <w:tcW w:w="545" w:type="dxa"/>
            <w:tcBorders>
              <w:top w:val="nil"/>
              <w:left w:val="nil"/>
              <w:bottom w:val="single" w:sz="8" w:space="0" w:color="DCDDDE"/>
              <w:right w:val="nil"/>
            </w:tcBorders>
            <w:shd w:val="clear" w:color="auto" w:fill="auto"/>
            <w:noWrap/>
            <w:vAlign w:val="center"/>
            <w:hideMark/>
          </w:tcPr>
          <w:p w14:paraId="49A99ABE" w14:textId="77777777" w:rsidR="00C97435" w:rsidRPr="00C97435" w:rsidRDefault="00C97435" w:rsidP="00C97435">
            <w:pPr>
              <w:spacing w:line="240" w:lineRule="auto"/>
              <w:jc w:val="center"/>
              <w:rPr>
                <w:rFonts w:ascii="Arial Narrow" w:hAnsi="Arial Narrow" w:cs="Calibri"/>
                <w:b/>
                <w:bCs/>
                <w:sz w:val="18"/>
                <w:szCs w:val="18"/>
              </w:rPr>
            </w:pPr>
            <w:r w:rsidRPr="00C97435">
              <w:rPr>
                <w:rFonts w:ascii="Arial Narrow" w:hAnsi="Arial Narrow" w:cs="Calibri"/>
                <w:b/>
                <w:bCs/>
                <w:sz w:val="18"/>
                <w:szCs w:val="18"/>
              </w:rPr>
              <w:t>2023</w:t>
            </w:r>
          </w:p>
        </w:tc>
        <w:tc>
          <w:tcPr>
            <w:tcW w:w="545" w:type="dxa"/>
            <w:tcBorders>
              <w:top w:val="nil"/>
              <w:left w:val="nil"/>
              <w:bottom w:val="single" w:sz="8" w:space="0" w:color="DCDDDE"/>
              <w:right w:val="nil"/>
            </w:tcBorders>
            <w:shd w:val="clear" w:color="auto" w:fill="auto"/>
            <w:noWrap/>
            <w:vAlign w:val="center"/>
            <w:hideMark/>
          </w:tcPr>
          <w:p w14:paraId="0AA23C06" w14:textId="77777777" w:rsidR="00C97435" w:rsidRPr="00C97435" w:rsidRDefault="00C97435" w:rsidP="00C97435">
            <w:pPr>
              <w:spacing w:line="240" w:lineRule="auto"/>
              <w:jc w:val="center"/>
              <w:rPr>
                <w:rFonts w:ascii="Arial Narrow" w:hAnsi="Arial Narrow" w:cs="Calibri"/>
                <w:b/>
                <w:bCs/>
                <w:sz w:val="18"/>
                <w:szCs w:val="18"/>
              </w:rPr>
            </w:pPr>
            <w:r w:rsidRPr="00C97435">
              <w:rPr>
                <w:rFonts w:ascii="Arial Narrow" w:hAnsi="Arial Narrow" w:cs="Calibri"/>
                <w:b/>
                <w:bCs/>
                <w:sz w:val="18"/>
                <w:szCs w:val="18"/>
              </w:rPr>
              <w:t>2024</w:t>
            </w:r>
          </w:p>
        </w:tc>
        <w:tc>
          <w:tcPr>
            <w:tcW w:w="545" w:type="dxa"/>
            <w:tcBorders>
              <w:top w:val="nil"/>
              <w:left w:val="nil"/>
              <w:bottom w:val="single" w:sz="8" w:space="0" w:color="DCDDDE"/>
              <w:right w:val="nil"/>
            </w:tcBorders>
            <w:shd w:val="clear" w:color="auto" w:fill="auto"/>
            <w:noWrap/>
            <w:vAlign w:val="center"/>
            <w:hideMark/>
          </w:tcPr>
          <w:p w14:paraId="0CE57339" w14:textId="77777777" w:rsidR="00C97435" w:rsidRPr="00C97435" w:rsidRDefault="00C97435" w:rsidP="00C97435">
            <w:pPr>
              <w:spacing w:line="240" w:lineRule="auto"/>
              <w:jc w:val="center"/>
              <w:rPr>
                <w:rFonts w:ascii="Arial Narrow" w:hAnsi="Arial Narrow" w:cs="Calibri"/>
                <w:b/>
                <w:bCs/>
                <w:sz w:val="18"/>
                <w:szCs w:val="18"/>
              </w:rPr>
            </w:pPr>
            <w:r w:rsidRPr="00C97435">
              <w:rPr>
                <w:rFonts w:ascii="Arial Narrow" w:hAnsi="Arial Narrow" w:cs="Calibri"/>
                <w:b/>
                <w:bCs/>
                <w:sz w:val="18"/>
                <w:szCs w:val="18"/>
              </w:rPr>
              <w:t>2025</w:t>
            </w:r>
          </w:p>
        </w:tc>
        <w:tc>
          <w:tcPr>
            <w:tcW w:w="545" w:type="dxa"/>
            <w:tcBorders>
              <w:top w:val="nil"/>
              <w:left w:val="nil"/>
              <w:bottom w:val="single" w:sz="8" w:space="0" w:color="DCDDDE"/>
              <w:right w:val="nil"/>
            </w:tcBorders>
            <w:shd w:val="clear" w:color="auto" w:fill="auto"/>
            <w:noWrap/>
            <w:vAlign w:val="center"/>
            <w:hideMark/>
          </w:tcPr>
          <w:p w14:paraId="5981F84B" w14:textId="77777777" w:rsidR="00C97435" w:rsidRPr="00C97435" w:rsidRDefault="00C97435" w:rsidP="00C97435">
            <w:pPr>
              <w:spacing w:line="240" w:lineRule="auto"/>
              <w:jc w:val="center"/>
              <w:rPr>
                <w:rFonts w:ascii="Arial Narrow" w:hAnsi="Arial Narrow" w:cs="Calibri"/>
                <w:b/>
                <w:bCs/>
                <w:sz w:val="18"/>
                <w:szCs w:val="18"/>
              </w:rPr>
            </w:pPr>
            <w:r w:rsidRPr="00C97435">
              <w:rPr>
                <w:rFonts w:ascii="Arial Narrow" w:hAnsi="Arial Narrow" w:cs="Calibri"/>
                <w:b/>
                <w:bCs/>
                <w:sz w:val="18"/>
                <w:szCs w:val="18"/>
              </w:rPr>
              <w:t>2026</w:t>
            </w:r>
          </w:p>
        </w:tc>
        <w:tc>
          <w:tcPr>
            <w:tcW w:w="545" w:type="dxa"/>
            <w:tcBorders>
              <w:top w:val="nil"/>
              <w:left w:val="nil"/>
              <w:bottom w:val="single" w:sz="8" w:space="0" w:color="DCDDDE"/>
              <w:right w:val="nil"/>
            </w:tcBorders>
            <w:shd w:val="clear" w:color="auto" w:fill="auto"/>
            <w:noWrap/>
            <w:vAlign w:val="center"/>
            <w:hideMark/>
          </w:tcPr>
          <w:p w14:paraId="6A1F43FD" w14:textId="77777777" w:rsidR="00C97435" w:rsidRPr="00C97435" w:rsidRDefault="00C97435" w:rsidP="00C97435">
            <w:pPr>
              <w:spacing w:line="240" w:lineRule="auto"/>
              <w:jc w:val="center"/>
              <w:rPr>
                <w:rFonts w:ascii="Arial Narrow" w:hAnsi="Arial Narrow" w:cs="Calibri"/>
                <w:b/>
                <w:bCs/>
                <w:sz w:val="18"/>
                <w:szCs w:val="18"/>
              </w:rPr>
            </w:pPr>
            <w:r w:rsidRPr="00C97435">
              <w:rPr>
                <w:rFonts w:ascii="Arial Narrow" w:hAnsi="Arial Narrow" w:cs="Calibri"/>
                <w:b/>
                <w:bCs/>
                <w:sz w:val="18"/>
                <w:szCs w:val="18"/>
              </w:rPr>
              <w:t>2027</w:t>
            </w:r>
          </w:p>
        </w:tc>
        <w:tc>
          <w:tcPr>
            <w:tcW w:w="545" w:type="dxa"/>
            <w:tcBorders>
              <w:top w:val="nil"/>
              <w:left w:val="nil"/>
              <w:bottom w:val="single" w:sz="8" w:space="0" w:color="DCDDDE"/>
              <w:right w:val="nil"/>
            </w:tcBorders>
            <w:shd w:val="clear" w:color="auto" w:fill="auto"/>
            <w:noWrap/>
            <w:vAlign w:val="center"/>
            <w:hideMark/>
          </w:tcPr>
          <w:p w14:paraId="4C802C95" w14:textId="77777777" w:rsidR="00C97435" w:rsidRPr="00C97435" w:rsidRDefault="00C97435" w:rsidP="00C97435">
            <w:pPr>
              <w:spacing w:line="240" w:lineRule="auto"/>
              <w:jc w:val="center"/>
              <w:rPr>
                <w:rFonts w:ascii="Arial Narrow" w:hAnsi="Arial Narrow" w:cs="Calibri"/>
                <w:b/>
                <w:bCs/>
                <w:sz w:val="18"/>
                <w:szCs w:val="18"/>
              </w:rPr>
            </w:pPr>
            <w:r w:rsidRPr="00C97435">
              <w:rPr>
                <w:rFonts w:ascii="Arial Narrow" w:hAnsi="Arial Narrow" w:cs="Calibri"/>
                <w:b/>
                <w:bCs/>
                <w:sz w:val="18"/>
                <w:szCs w:val="18"/>
              </w:rPr>
              <w:t>2028</w:t>
            </w:r>
          </w:p>
        </w:tc>
        <w:tc>
          <w:tcPr>
            <w:tcW w:w="545" w:type="dxa"/>
            <w:tcBorders>
              <w:top w:val="nil"/>
              <w:left w:val="nil"/>
              <w:bottom w:val="single" w:sz="8" w:space="0" w:color="DCDDDE"/>
              <w:right w:val="nil"/>
            </w:tcBorders>
            <w:shd w:val="clear" w:color="auto" w:fill="auto"/>
            <w:noWrap/>
            <w:vAlign w:val="center"/>
            <w:hideMark/>
          </w:tcPr>
          <w:p w14:paraId="6C3B2AA4" w14:textId="77777777" w:rsidR="00C97435" w:rsidRPr="00C97435" w:rsidRDefault="00C97435" w:rsidP="00C97435">
            <w:pPr>
              <w:spacing w:line="240" w:lineRule="auto"/>
              <w:jc w:val="center"/>
              <w:rPr>
                <w:rFonts w:ascii="Arial Narrow" w:hAnsi="Arial Narrow" w:cs="Calibri"/>
                <w:b/>
                <w:bCs/>
                <w:sz w:val="18"/>
                <w:szCs w:val="18"/>
              </w:rPr>
            </w:pPr>
            <w:r w:rsidRPr="00C97435">
              <w:rPr>
                <w:rFonts w:ascii="Arial Narrow" w:hAnsi="Arial Narrow" w:cs="Calibri"/>
                <w:b/>
                <w:bCs/>
                <w:sz w:val="18"/>
                <w:szCs w:val="18"/>
              </w:rPr>
              <w:t>2029</w:t>
            </w:r>
          </w:p>
        </w:tc>
        <w:tc>
          <w:tcPr>
            <w:tcW w:w="545" w:type="dxa"/>
            <w:tcBorders>
              <w:top w:val="nil"/>
              <w:left w:val="nil"/>
              <w:bottom w:val="single" w:sz="8" w:space="0" w:color="DCDDDE"/>
              <w:right w:val="nil"/>
            </w:tcBorders>
            <w:shd w:val="clear" w:color="auto" w:fill="auto"/>
            <w:noWrap/>
            <w:vAlign w:val="center"/>
            <w:hideMark/>
          </w:tcPr>
          <w:p w14:paraId="34DFBF9A" w14:textId="77777777" w:rsidR="00C97435" w:rsidRPr="00C97435" w:rsidRDefault="00C97435" w:rsidP="00C97435">
            <w:pPr>
              <w:spacing w:line="240" w:lineRule="auto"/>
              <w:jc w:val="center"/>
              <w:rPr>
                <w:rFonts w:ascii="Arial Narrow" w:hAnsi="Arial Narrow" w:cs="Calibri"/>
                <w:b/>
                <w:bCs/>
                <w:sz w:val="18"/>
                <w:szCs w:val="18"/>
              </w:rPr>
            </w:pPr>
            <w:r w:rsidRPr="00C97435">
              <w:rPr>
                <w:rFonts w:ascii="Arial Narrow" w:hAnsi="Arial Narrow" w:cs="Calibri"/>
                <w:b/>
                <w:bCs/>
                <w:sz w:val="18"/>
                <w:szCs w:val="18"/>
              </w:rPr>
              <w:t>2030</w:t>
            </w:r>
          </w:p>
        </w:tc>
      </w:tr>
      <w:tr w:rsidR="00C97435" w:rsidRPr="00C97435" w14:paraId="6F725660" w14:textId="77777777" w:rsidTr="00C97435">
        <w:trPr>
          <w:trHeight w:val="217"/>
        </w:trPr>
        <w:tc>
          <w:tcPr>
            <w:tcW w:w="8863" w:type="dxa"/>
            <w:gridSpan w:val="15"/>
            <w:tcBorders>
              <w:top w:val="single" w:sz="8" w:space="0" w:color="DCDDDE"/>
              <w:left w:val="nil"/>
              <w:bottom w:val="single" w:sz="8" w:space="0" w:color="DCDDDE"/>
              <w:right w:val="nil"/>
            </w:tcBorders>
            <w:shd w:val="clear" w:color="000000" w:fill="DADADA"/>
            <w:noWrap/>
            <w:vAlign w:val="center"/>
            <w:hideMark/>
          </w:tcPr>
          <w:p w14:paraId="01387F25" w14:textId="77777777" w:rsidR="00C97435" w:rsidRPr="00C97435" w:rsidRDefault="00C97435" w:rsidP="00C97435">
            <w:pPr>
              <w:spacing w:line="240" w:lineRule="auto"/>
              <w:jc w:val="center"/>
              <w:rPr>
                <w:rFonts w:ascii="Arial Narrow" w:hAnsi="Arial Narrow" w:cs="Calibri"/>
                <w:b/>
                <w:bCs/>
                <w:sz w:val="18"/>
                <w:szCs w:val="18"/>
              </w:rPr>
            </w:pPr>
            <w:r w:rsidRPr="00C97435">
              <w:rPr>
                <w:rFonts w:ascii="Arial Narrow" w:hAnsi="Arial Narrow" w:cs="Calibri"/>
                <w:b/>
                <w:bCs/>
                <w:sz w:val="18"/>
                <w:szCs w:val="18"/>
              </w:rPr>
              <w:t>TRC | Reference</w:t>
            </w:r>
          </w:p>
        </w:tc>
      </w:tr>
      <w:tr w:rsidR="00C97435" w:rsidRPr="00C97435" w14:paraId="7EB9D485" w14:textId="77777777" w:rsidTr="0058478E">
        <w:trPr>
          <w:gridAfter w:val="1"/>
          <w:wAfter w:w="7" w:type="dxa"/>
          <w:trHeight w:val="383"/>
        </w:trPr>
        <w:tc>
          <w:tcPr>
            <w:tcW w:w="1771" w:type="dxa"/>
            <w:tcBorders>
              <w:top w:val="nil"/>
              <w:left w:val="nil"/>
              <w:bottom w:val="single" w:sz="8" w:space="0" w:color="DCDDDE"/>
              <w:right w:val="nil"/>
            </w:tcBorders>
            <w:shd w:val="clear" w:color="000000" w:fill="FFFFFF"/>
            <w:vAlign w:val="center"/>
            <w:hideMark/>
          </w:tcPr>
          <w:p w14:paraId="106899F7"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17E745C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119</w:t>
            </w:r>
          </w:p>
        </w:tc>
        <w:tc>
          <w:tcPr>
            <w:tcW w:w="545" w:type="dxa"/>
            <w:tcBorders>
              <w:top w:val="nil"/>
              <w:left w:val="nil"/>
              <w:bottom w:val="single" w:sz="8" w:space="0" w:color="DCDDDE"/>
              <w:right w:val="nil"/>
            </w:tcBorders>
            <w:shd w:val="clear" w:color="000000" w:fill="FFFFFF"/>
            <w:noWrap/>
            <w:vAlign w:val="center"/>
            <w:hideMark/>
          </w:tcPr>
          <w:p w14:paraId="1E6C2A0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133</w:t>
            </w:r>
          </w:p>
        </w:tc>
        <w:tc>
          <w:tcPr>
            <w:tcW w:w="545" w:type="dxa"/>
            <w:tcBorders>
              <w:top w:val="nil"/>
              <w:left w:val="nil"/>
              <w:bottom w:val="single" w:sz="8" w:space="0" w:color="DCDDDE"/>
              <w:right w:val="nil"/>
            </w:tcBorders>
            <w:shd w:val="clear" w:color="000000" w:fill="FFFFFF"/>
            <w:noWrap/>
            <w:vAlign w:val="center"/>
            <w:hideMark/>
          </w:tcPr>
          <w:p w14:paraId="3695F0E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126</w:t>
            </w:r>
          </w:p>
        </w:tc>
        <w:tc>
          <w:tcPr>
            <w:tcW w:w="545" w:type="dxa"/>
            <w:tcBorders>
              <w:top w:val="nil"/>
              <w:left w:val="nil"/>
              <w:bottom w:val="single" w:sz="8" w:space="0" w:color="DCDDDE"/>
              <w:right w:val="nil"/>
            </w:tcBorders>
            <w:shd w:val="clear" w:color="000000" w:fill="FFFFFF"/>
            <w:noWrap/>
            <w:vAlign w:val="center"/>
            <w:hideMark/>
          </w:tcPr>
          <w:p w14:paraId="31472F33"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142</w:t>
            </w:r>
          </w:p>
        </w:tc>
        <w:tc>
          <w:tcPr>
            <w:tcW w:w="545" w:type="dxa"/>
            <w:tcBorders>
              <w:top w:val="nil"/>
              <w:left w:val="nil"/>
              <w:bottom w:val="single" w:sz="8" w:space="0" w:color="DCDDDE"/>
              <w:right w:val="nil"/>
            </w:tcBorders>
            <w:shd w:val="clear" w:color="000000" w:fill="FFFFFF"/>
            <w:noWrap/>
            <w:vAlign w:val="center"/>
            <w:hideMark/>
          </w:tcPr>
          <w:p w14:paraId="12EA7F3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148</w:t>
            </w:r>
          </w:p>
        </w:tc>
        <w:tc>
          <w:tcPr>
            <w:tcW w:w="545" w:type="dxa"/>
            <w:tcBorders>
              <w:top w:val="nil"/>
              <w:left w:val="nil"/>
              <w:bottom w:val="single" w:sz="8" w:space="0" w:color="DCDDDE"/>
              <w:right w:val="nil"/>
            </w:tcBorders>
            <w:shd w:val="clear" w:color="000000" w:fill="FFFFFF"/>
            <w:noWrap/>
            <w:vAlign w:val="center"/>
            <w:hideMark/>
          </w:tcPr>
          <w:p w14:paraId="491FF41E"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154</w:t>
            </w:r>
          </w:p>
        </w:tc>
        <w:tc>
          <w:tcPr>
            <w:tcW w:w="545" w:type="dxa"/>
            <w:tcBorders>
              <w:top w:val="nil"/>
              <w:left w:val="nil"/>
              <w:bottom w:val="single" w:sz="8" w:space="0" w:color="DCDDDE"/>
              <w:right w:val="nil"/>
            </w:tcBorders>
            <w:shd w:val="clear" w:color="000000" w:fill="FFFFFF"/>
            <w:noWrap/>
            <w:vAlign w:val="center"/>
            <w:hideMark/>
          </w:tcPr>
          <w:p w14:paraId="69E4FC23"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163</w:t>
            </w:r>
          </w:p>
        </w:tc>
        <w:tc>
          <w:tcPr>
            <w:tcW w:w="545" w:type="dxa"/>
            <w:tcBorders>
              <w:top w:val="nil"/>
              <w:left w:val="nil"/>
              <w:bottom w:val="single" w:sz="8" w:space="0" w:color="DCDDDE"/>
              <w:right w:val="nil"/>
            </w:tcBorders>
            <w:shd w:val="clear" w:color="000000" w:fill="FFFFFF"/>
            <w:noWrap/>
            <w:vAlign w:val="center"/>
            <w:hideMark/>
          </w:tcPr>
          <w:p w14:paraId="10A9B15F"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170</w:t>
            </w:r>
          </w:p>
        </w:tc>
        <w:tc>
          <w:tcPr>
            <w:tcW w:w="545" w:type="dxa"/>
            <w:tcBorders>
              <w:top w:val="nil"/>
              <w:left w:val="nil"/>
              <w:bottom w:val="single" w:sz="8" w:space="0" w:color="DCDDDE"/>
              <w:right w:val="nil"/>
            </w:tcBorders>
            <w:shd w:val="clear" w:color="000000" w:fill="FFFFFF"/>
            <w:noWrap/>
            <w:vAlign w:val="center"/>
            <w:hideMark/>
          </w:tcPr>
          <w:p w14:paraId="5906372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175</w:t>
            </w:r>
          </w:p>
        </w:tc>
        <w:tc>
          <w:tcPr>
            <w:tcW w:w="545" w:type="dxa"/>
            <w:tcBorders>
              <w:top w:val="nil"/>
              <w:left w:val="nil"/>
              <w:bottom w:val="single" w:sz="8" w:space="0" w:color="DCDDDE"/>
              <w:right w:val="nil"/>
            </w:tcBorders>
            <w:shd w:val="clear" w:color="000000" w:fill="FFFFFF"/>
            <w:noWrap/>
            <w:vAlign w:val="center"/>
            <w:hideMark/>
          </w:tcPr>
          <w:p w14:paraId="5E7E51AB"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177</w:t>
            </w:r>
          </w:p>
        </w:tc>
        <w:tc>
          <w:tcPr>
            <w:tcW w:w="545" w:type="dxa"/>
            <w:tcBorders>
              <w:top w:val="nil"/>
              <w:left w:val="nil"/>
              <w:bottom w:val="single" w:sz="8" w:space="0" w:color="DCDDDE"/>
              <w:right w:val="nil"/>
            </w:tcBorders>
            <w:shd w:val="clear" w:color="000000" w:fill="FFFFFF"/>
            <w:noWrap/>
            <w:vAlign w:val="center"/>
            <w:hideMark/>
          </w:tcPr>
          <w:p w14:paraId="2F0FF50C"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181</w:t>
            </w:r>
          </w:p>
        </w:tc>
        <w:tc>
          <w:tcPr>
            <w:tcW w:w="545" w:type="dxa"/>
            <w:tcBorders>
              <w:top w:val="nil"/>
              <w:left w:val="nil"/>
              <w:bottom w:val="single" w:sz="8" w:space="0" w:color="DCDDDE"/>
              <w:right w:val="nil"/>
            </w:tcBorders>
            <w:shd w:val="clear" w:color="000000" w:fill="FFFFFF"/>
            <w:noWrap/>
            <w:vAlign w:val="center"/>
            <w:hideMark/>
          </w:tcPr>
          <w:p w14:paraId="1238A4BB"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182</w:t>
            </w:r>
          </w:p>
        </w:tc>
        <w:tc>
          <w:tcPr>
            <w:tcW w:w="545" w:type="dxa"/>
            <w:tcBorders>
              <w:top w:val="nil"/>
              <w:left w:val="nil"/>
              <w:bottom w:val="single" w:sz="8" w:space="0" w:color="DCDDDE"/>
              <w:right w:val="nil"/>
            </w:tcBorders>
            <w:shd w:val="clear" w:color="000000" w:fill="FFFFFF"/>
            <w:noWrap/>
            <w:vAlign w:val="center"/>
            <w:hideMark/>
          </w:tcPr>
          <w:p w14:paraId="22144578"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183</w:t>
            </w:r>
          </w:p>
        </w:tc>
      </w:tr>
      <w:tr w:rsidR="00C97435" w:rsidRPr="00C97435" w14:paraId="14CD74CD" w14:textId="77777777" w:rsidTr="0058478E">
        <w:trPr>
          <w:gridAfter w:val="1"/>
          <w:wAfter w:w="7" w:type="dxa"/>
          <w:trHeight w:val="217"/>
        </w:trPr>
        <w:tc>
          <w:tcPr>
            <w:tcW w:w="1771" w:type="dxa"/>
            <w:tcBorders>
              <w:top w:val="nil"/>
              <w:left w:val="nil"/>
              <w:bottom w:val="single" w:sz="8" w:space="0" w:color="DCDDDE"/>
              <w:right w:val="nil"/>
            </w:tcBorders>
            <w:shd w:val="clear" w:color="000000" w:fill="FFFFFF"/>
            <w:vAlign w:val="center"/>
            <w:hideMark/>
          </w:tcPr>
          <w:p w14:paraId="3A1B00E8"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38FE913C"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39</w:t>
            </w:r>
          </w:p>
        </w:tc>
        <w:tc>
          <w:tcPr>
            <w:tcW w:w="545" w:type="dxa"/>
            <w:tcBorders>
              <w:top w:val="nil"/>
              <w:left w:val="nil"/>
              <w:bottom w:val="single" w:sz="8" w:space="0" w:color="DCDDDE"/>
              <w:right w:val="nil"/>
            </w:tcBorders>
            <w:shd w:val="clear" w:color="000000" w:fill="FFFFFF"/>
            <w:noWrap/>
            <w:vAlign w:val="center"/>
            <w:hideMark/>
          </w:tcPr>
          <w:p w14:paraId="1916732E"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49</w:t>
            </w:r>
          </w:p>
        </w:tc>
        <w:tc>
          <w:tcPr>
            <w:tcW w:w="545" w:type="dxa"/>
            <w:tcBorders>
              <w:top w:val="nil"/>
              <w:left w:val="nil"/>
              <w:bottom w:val="single" w:sz="8" w:space="0" w:color="DCDDDE"/>
              <w:right w:val="nil"/>
            </w:tcBorders>
            <w:shd w:val="clear" w:color="000000" w:fill="FFFFFF"/>
            <w:noWrap/>
            <w:vAlign w:val="center"/>
            <w:hideMark/>
          </w:tcPr>
          <w:p w14:paraId="0D4D710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55</w:t>
            </w:r>
          </w:p>
        </w:tc>
        <w:tc>
          <w:tcPr>
            <w:tcW w:w="545" w:type="dxa"/>
            <w:tcBorders>
              <w:top w:val="nil"/>
              <w:left w:val="nil"/>
              <w:bottom w:val="single" w:sz="8" w:space="0" w:color="DCDDDE"/>
              <w:right w:val="nil"/>
            </w:tcBorders>
            <w:shd w:val="clear" w:color="000000" w:fill="FFFFFF"/>
            <w:noWrap/>
            <w:vAlign w:val="center"/>
            <w:hideMark/>
          </w:tcPr>
          <w:p w14:paraId="6EF5A75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61</w:t>
            </w:r>
          </w:p>
        </w:tc>
        <w:tc>
          <w:tcPr>
            <w:tcW w:w="545" w:type="dxa"/>
            <w:tcBorders>
              <w:top w:val="nil"/>
              <w:left w:val="nil"/>
              <w:bottom w:val="single" w:sz="8" w:space="0" w:color="DCDDDE"/>
              <w:right w:val="nil"/>
            </w:tcBorders>
            <w:shd w:val="clear" w:color="000000" w:fill="FFFFFF"/>
            <w:noWrap/>
            <w:vAlign w:val="center"/>
            <w:hideMark/>
          </w:tcPr>
          <w:p w14:paraId="61212B8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65</w:t>
            </w:r>
          </w:p>
        </w:tc>
        <w:tc>
          <w:tcPr>
            <w:tcW w:w="545" w:type="dxa"/>
            <w:tcBorders>
              <w:top w:val="nil"/>
              <w:left w:val="nil"/>
              <w:bottom w:val="single" w:sz="8" w:space="0" w:color="DCDDDE"/>
              <w:right w:val="nil"/>
            </w:tcBorders>
            <w:shd w:val="clear" w:color="000000" w:fill="FFFFFF"/>
            <w:noWrap/>
            <w:vAlign w:val="center"/>
            <w:hideMark/>
          </w:tcPr>
          <w:p w14:paraId="509027DF"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70</w:t>
            </w:r>
          </w:p>
        </w:tc>
        <w:tc>
          <w:tcPr>
            <w:tcW w:w="545" w:type="dxa"/>
            <w:tcBorders>
              <w:top w:val="nil"/>
              <w:left w:val="nil"/>
              <w:bottom w:val="single" w:sz="8" w:space="0" w:color="DCDDDE"/>
              <w:right w:val="nil"/>
            </w:tcBorders>
            <w:shd w:val="clear" w:color="000000" w:fill="FFFFFF"/>
            <w:noWrap/>
            <w:vAlign w:val="center"/>
            <w:hideMark/>
          </w:tcPr>
          <w:p w14:paraId="45566E9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74</w:t>
            </w:r>
          </w:p>
        </w:tc>
        <w:tc>
          <w:tcPr>
            <w:tcW w:w="545" w:type="dxa"/>
            <w:tcBorders>
              <w:top w:val="nil"/>
              <w:left w:val="nil"/>
              <w:bottom w:val="single" w:sz="8" w:space="0" w:color="DCDDDE"/>
              <w:right w:val="nil"/>
            </w:tcBorders>
            <w:shd w:val="clear" w:color="000000" w:fill="FFFFFF"/>
            <w:noWrap/>
            <w:vAlign w:val="center"/>
            <w:hideMark/>
          </w:tcPr>
          <w:p w14:paraId="1FDCF211"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81</w:t>
            </w:r>
          </w:p>
        </w:tc>
        <w:tc>
          <w:tcPr>
            <w:tcW w:w="545" w:type="dxa"/>
            <w:tcBorders>
              <w:top w:val="nil"/>
              <w:left w:val="nil"/>
              <w:bottom w:val="single" w:sz="8" w:space="0" w:color="DCDDDE"/>
              <w:right w:val="nil"/>
            </w:tcBorders>
            <w:shd w:val="clear" w:color="000000" w:fill="FFFFFF"/>
            <w:noWrap/>
            <w:vAlign w:val="center"/>
            <w:hideMark/>
          </w:tcPr>
          <w:p w14:paraId="7A3F48E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87</w:t>
            </w:r>
          </w:p>
        </w:tc>
        <w:tc>
          <w:tcPr>
            <w:tcW w:w="545" w:type="dxa"/>
            <w:tcBorders>
              <w:top w:val="nil"/>
              <w:left w:val="nil"/>
              <w:bottom w:val="single" w:sz="8" w:space="0" w:color="DCDDDE"/>
              <w:right w:val="nil"/>
            </w:tcBorders>
            <w:shd w:val="clear" w:color="000000" w:fill="FFFFFF"/>
            <w:noWrap/>
            <w:vAlign w:val="center"/>
            <w:hideMark/>
          </w:tcPr>
          <w:p w14:paraId="68DC6769"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92</w:t>
            </w:r>
          </w:p>
        </w:tc>
        <w:tc>
          <w:tcPr>
            <w:tcW w:w="545" w:type="dxa"/>
            <w:tcBorders>
              <w:top w:val="nil"/>
              <w:left w:val="nil"/>
              <w:bottom w:val="single" w:sz="8" w:space="0" w:color="DCDDDE"/>
              <w:right w:val="nil"/>
            </w:tcBorders>
            <w:shd w:val="clear" w:color="000000" w:fill="FFFFFF"/>
            <w:noWrap/>
            <w:vAlign w:val="center"/>
            <w:hideMark/>
          </w:tcPr>
          <w:p w14:paraId="6A780879"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98</w:t>
            </w:r>
          </w:p>
        </w:tc>
        <w:tc>
          <w:tcPr>
            <w:tcW w:w="545" w:type="dxa"/>
            <w:tcBorders>
              <w:top w:val="nil"/>
              <w:left w:val="nil"/>
              <w:bottom w:val="single" w:sz="8" w:space="0" w:color="DCDDDE"/>
              <w:right w:val="nil"/>
            </w:tcBorders>
            <w:shd w:val="clear" w:color="000000" w:fill="FFFFFF"/>
            <w:noWrap/>
            <w:vAlign w:val="center"/>
            <w:hideMark/>
          </w:tcPr>
          <w:p w14:paraId="19EA084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104</w:t>
            </w:r>
          </w:p>
        </w:tc>
        <w:tc>
          <w:tcPr>
            <w:tcW w:w="545" w:type="dxa"/>
            <w:tcBorders>
              <w:top w:val="nil"/>
              <w:left w:val="nil"/>
              <w:bottom w:val="single" w:sz="8" w:space="0" w:color="DCDDDE"/>
              <w:right w:val="nil"/>
            </w:tcBorders>
            <w:shd w:val="clear" w:color="000000" w:fill="FFFFFF"/>
            <w:noWrap/>
            <w:vAlign w:val="center"/>
            <w:hideMark/>
          </w:tcPr>
          <w:p w14:paraId="424CBBC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109</w:t>
            </w:r>
          </w:p>
        </w:tc>
      </w:tr>
      <w:tr w:rsidR="00C97435" w:rsidRPr="00C97435" w14:paraId="166021E4" w14:textId="77777777" w:rsidTr="0058478E">
        <w:trPr>
          <w:gridAfter w:val="1"/>
          <w:wAfter w:w="7" w:type="dxa"/>
          <w:trHeight w:val="217"/>
        </w:trPr>
        <w:tc>
          <w:tcPr>
            <w:tcW w:w="1771" w:type="dxa"/>
            <w:tcBorders>
              <w:top w:val="nil"/>
              <w:left w:val="nil"/>
              <w:bottom w:val="single" w:sz="8" w:space="0" w:color="DCDDDE"/>
              <w:right w:val="nil"/>
            </w:tcBorders>
            <w:shd w:val="clear" w:color="000000" w:fill="FFFFFF"/>
            <w:vAlign w:val="center"/>
            <w:hideMark/>
          </w:tcPr>
          <w:p w14:paraId="2906A155"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7E6810F1"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795EF04C"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4A35927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0440A6A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3F459907"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6C0C64E7"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3287D713"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2052AFC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1F2DF76E"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4179E8C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7CE45F33"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60253537"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0E776B68"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r>
      <w:tr w:rsidR="00C97435" w:rsidRPr="00C97435" w14:paraId="0C852D55" w14:textId="77777777" w:rsidTr="0058478E">
        <w:trPr>
          <w:gridAfter w:val="1"/>
          <w:wAfter w:w="7" w:type="dxa"/>
          <w:trHeight w:val="277"/>
        </w:trPr>
        <w:tc>
          <w:tcPr>
            <w:tcW w:w="1771" w:type="dxa"/>
            <w:tcBorders>
              <w:top w:val="nil"/>
              <w:left w:val="nil"/>
              <w:bottom w:val="single" w:sz="8" w:space="0" w:color="DCDDDE"/>
              <w:right w:val="nil"/>
            </w:tcBorders>
            <w:shd w:val="clear" w:color="000000" w:fill="FFFFFF"/>
            <w:vAlign w:val="center"/>
            <w:hideMark/>
          </w:tcPr>
          <w:p w14:paraId="0100E8A5"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1AE9B9FE"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168</w:t>
            </w:r>
          </w:p>
        </w:tc>
        <w:tc>
          <w:tcPr>
            <w:tcW w:w="545" w:type="dxa"/>
            <w:tcBorders>
              <w:top w:val="nil"/>
              <w:left w:val="nil"/>
              <w:bottom w:val="single" w:sz="8" w:space="0" w:color="DCDDDE"/>
              <w:right w:val="nil"/>
            </w:tcBorders>
            <w:shd w:val="clear" w:color="000000" w:fill="FFFFFF"/>
            <w:noWrap/>
            <w:vAlign w:val="center"/>
            <w:hideMark/>
          </w:tcPr>
          <w:p w14:paraId="1390F3A9"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193</w:t>
            </w:r>
          </w:p>
        </w:tc>
        <w:tc>
          <w:tcPr>
            <w:tcW w:w="545" w:type="dxa"/>
            <w:tcBorders>
              <w:top w:val="nil"/>
              <w:left w:val="nil"/>
              <w:bottom w:val="single" w:sz="8" w:space="0" w:color="DCDDDE"/>
              <w:right w:val="nil"/>
            </w:tcBorders>
            <w:shd w:val="clear" w:color="000000" w:fill="FFFFFF"/>
            <w:noWrap/>
            <w:vAlign w:val="center"/>
            <w:hideMark/>
          </w:tcPr>
          <w:p w14:paraId="3AE043B8"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191</w:t>
            </w:r>
          </w:p>
        </w:tc>
        <w:tc>
          <w:tcPr>
            <w:tcW w:w="545" w:type="dxa"/>
            <w:tcBorders>
              <w:top w:val="nil"/>
              <w:left w:val="nil"/>
              <w:bottom w:val="single" w:sz="8" w:space="0" w:color="DCDDDE"/>
              <w:right w:val="nil"/>
            </w:tcBorders>
            <w:shd w:val="clear" w:color="000000" w:fill="FFFFFF"/>
            <w:noWrap/>
            <w:vAlign w:val="center"/>
            <w:hideMark/>
          </w:tcPr>
          <w:p w14:paraId="4892B73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209</w:t>
            </w:r>
          </w:p>
        </w:tc>
        <w:tc>
          <w:tcPr>
            <w:tcW w:w="545" w:type="dxa"/>
            <w:tcBorders>
              <w:top w:val="nil"/>
              <w:left w:val="nil"/>
              <w:bottom w:val="single" w:sz="8" w:space="0" w:color="DCDDDE"/>
              <w:right w:val="nil"/>
            </w:tcBorders>
            <w:shd w:val="clear" w:color="000000" w:fill="FFFFFF"/>
            <w:noWrap/>
            <w:vAlign w:val="center"/>
            <w:hideMark/>
          </w:tcPr>
          <w:p w14:paraId="3F8B47D1"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219</w:t>
            </w:r>
          </w:p>
        </w:tc>
        <w:tc>
          <w:tcPr>
            <w:tcW w:w="545" w:type="dxa"/>
            <w:tcBorders>
              <w:top w:val="nil"/>
              <w:left w:val="nil"/>
              <w:bottom w:val="single" w:sz="8" w:space="0" w:color="DCDDDE"/>
              <w:right w:val="nil"/>
            </w:tcBorders>
            <w:shd w:val="clear" w:color="000000" w:fill="FFFFFF"/>
            <w:noWrap/>
            <w:vAlign w:val="center"/>
            <w:hideMark/>
          </w:tcPr>
          <w:p w14:paraId="5D4EF56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229</w:t>
            </w:r>
          </w:p>
        </w:tc>
        <w:tc>
          <w:tcPr>
            <w:tcW w:w="545" w:type="dxa"/>
            <w:tcBorders>
              <w:top w:val="nil"/>
              <w:left w:val="nil"/>
              <w:bottom w:val="single" w:sz="8" w:space="0" w:color="DCDDDE"/>
              <w:right w:val="nil"/>
            </w:tcBorders>
            <w:shd w:val="clear" w:color="000000" w:fill="FFFFFF"/>
            <w:noWrap/>
            <w:vAlign w:val="center"/>
            <w:hideMark/>
          </w:tcPr>
          <w:p w14:paraId="3929D13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243</w:t>
            </w:r>
          </w:p>
        </w:tc>
        <w:tc>
          <w:tcPr>
            <w:tcW w:w="545" w:type="dxa"/>
            <w:tcBorders>
              <w:top w:val="nil"/>
              <w:left w:val="nil"/>
              <w:bottom w:val="single" w:sz="8" w:space="0" w:color="DCDDDE"/>
              <w:right w:val="nil"/>
            </w:tcBorders>
            <w:shd w:val="clear" w:color="000000" w:fill="FFFFFF"/>
            <w:noWrap/>
            <w:vAlign w:val="center"/>
            <w:hideMark/>
          </w:tcPr>
          <w:p w14:paraId="144B8EBC"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257</w:t>
            </w:r>
          </w:p>
        </w:tc>
        <w:tc>
          <w:tcPr>
            <w:tcW w:w="545" w:type="dxa"/>
            <w:tcBorders>
              <w:top w:val="nil"/>
              <w:left w:val="nil"/>
              <w:bottom w:val="single" w:sz="8" w:space="0" w:color="DCDDDE"/>
              <w:right w:val="nil"/>
            </w:tcBorders>
            <w:shd w:val="clear" w:color="000000" w:fill="FFFFFF"/>
            <w:noWrap/>
            <w:vAlign w:val="center"/>
            <w:hideMark/>
          </w:tcPr>
          <w:p w14:paraId="31AF89C8"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267</w:t>
            </w:r>
          </w:p>
        </w:tc>
        <w:tc>
          <w:tcPr>
            <w:tcW w:w="545" w:type="dxa"/>
            <w:tcBorders>
              <w:top w:val="nil"/>
              <w:left w:val="nil"/>
              <w:bottom w:val="single" w:sz="8" w:space="0" w:color="DCDDDE"/>
              <w:right w:val="nil"/>
            </w:tcBorders>
            <w:shd w:val="clear" w:color="000000" w:fill="FFFFFF"/>
            <w:noWrap/>
            <w:vAlign w:val="center"/>
            <w:hideMark/>
          </w:tcPr>
          <w:p w14:paraId="36457C13"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275</w:t>
            </w:r>
          </w:p>
        </w:tc>
        <w:tc>
          <w:tcPr>
            <w:tcW w:w="545" w:type="dxa"/>
            <w:tcBorders>
              <w:top w:val="nil"/>
              <w:left w:val="nil"/>
              <w:bottom w:val="single" w:sz="8" w:space="0" w:color="DCDDDE"/>
              <w:right w:val="nil"/>
            </w:tcBorders>
            <w:shd w:val="clear" w:color="000000" w:fill="FFFFFF"/>
            <w:noWrap/>
            <w:vAlign w:val="center"/>
            <w:hideMark/>
          </w:tcPr>
          <w:p w14:paraId="22B5A42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284</w:t>
            </w:r>
          </w:p>
        </w:tc>
        <w:tc>
          <w:tcPr>
            <w:tcW w:w="545" w:type="dxa"/>
            <w:tcBorders>
              <w:top w:val="nil"/>
              <w:left w:val="nil"/>
              <w:bottom w:val="single" w:sz="8" w:space="0" w:color="DCDDDE"/>
              <w:right w:val="nil"/>
            </w:tcBorders>
            <w:shd w:val="clear" w:color="000000" w:fill="FFFFFF"/>
            <w:noWrap/>
            <w:vAlign w:val="center"/>
            <w:hideMark/>
          </w:tcPr>
          <w:p w14:paraId="2D66DE9B"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292</w:t>
            </w:r>
          </w:p>
        </w:tc>
        <w:tc>
          <w:tcPr>
            <w:tcW w:w="545" w:type="dxa"/>
            <w:tcBorders>
              <w:top w:val="nil"/>
              <w:left w:val="nil"/>
              <w:bottom w:val="single" w:sz="8" w:space="0" w:color="DCDDDE"/>
              <w:right w:val="nil"/>
            </w:tcBorders>
            <w:shd w:val="clear" w:color="000000" w:fill="FFFFFF"/>
            <w:noWrap/>
            <w:vAlign w:val="center"/>
            <w:hideMark/>
          </w:tcPr>
          <w:p w14:paraId="5E76BEDE"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298</w:t>
            </w:r>
          </w:p>
        </w:tc>
      </w:tr>
      <w:tr w:rsidR="00C97435" w:rsidRPr="00C97435" w14:paraId="4EAB2710" w14:textId="77777777" w:rsidTr="0058478E">
        <w:trPr>
          <w:gridAfter w:val="1"/>
          <w:wAfter w:w="7" w:type="dxa"/>
          <w:trHeight w:val="217"/>
        </w:trPr>
        <w:tc>
          <w:tcPr>
            <w:tcW w:w="1771" w:type="dxa"/>
            <w:tcBorders>
              <w:top w:val="nil"/>
              <w:left w:val="nil"/>
              <w:bottom w:val="single" w:sz="8" w:space="0" w:color="DCDDDE"/>
              <w:right w:val="nil"/>
            </w:tcBorders>
            <w:shd w:val="clear" w:color="000000" w:fill="FFFFFF"/>
            <w:vAlign w:val="center"/>
            <w:hideMark/>
          </w:tcPr>
          <w:p w14:paraId="6C28D1D2"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75064B1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272</w:t>
            </w:r>
          </w:p>
        </w:tc>
        <w:tc>
          <w:tcPr>
            <w:tcW w:w="545" w:type="dxa"/>
            <w:tcBorders>
              <w:top w:val="nil"/>
              <w:left w:val="nil"/>
              <w:bottom w:val="single" w:sz="8" w:space="0" w:color="DCDDDE"/>
              <w:right w:val="nil"/>
            </w:tcBorders>
            <w:shd w:val="clear" w:color="000000" w:fill="FFFFFF"/>
            <w:noWrap/>
            <w:vAlign w:val="center"/>
            <w:hideMark/>
          </w:tcPr>
          <w:p w14:paraId="0D7C920C"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275</w:t>
            </w:r>
          </w:p>
        </w:tc>
        <w:tc>
          <w:tcPr>
            <w:tcW w:w="545" w:type="dxa"/>
            <w:tcBorders>
              <w:top w:val="nil"/>
              <w:left w:val="nil"/>
              <w:bottom w:val="single" w:sz="8" w:space="0" w:color="DCDDDE"/>
              <w:right w:val="nil"/>
            </w:tcBorders>
            <w:shd w:val="clear" w:color="000000" w:fill="FFFFFF"/>
            <w:noWrap/>
            <w:vAlign w:val="center"/>
            <w:hideMark/>
          </w:tcPr>
          <w:p w14:paraId="7EFB893B"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311</w:t>
            </w:r>
          </w:p>
        </w:tc>
        <w:tc>
          <w:tcPr>
            <w:tcW w:w="545" w:type="dxa"/>
            <w:tcBorders>
              <w:top w:val="nil"/>
              <w:left w:val="nil"/>
              <w:bottom w:val="single" w:sz="8" w:space="0" w:color="DCDDDE"/>
              <w:right w:val="nil"/>
            </w:tcBorders>
            <w:shd w:val="clear" w:color="000000" w:fill="FFFFFF"/>
            <w:noWrap/>
            <w:vAlign w:val="center"/>
            <w:hideMark/>
          </w:tcPr>
          <w:p w14:paraId="12CCA97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368</w:t>
            </w:r>
          </w:p>
        </w:tc>
        <w:tc>
          <w:tcPr>
            <w:tcW w:w="545" w:type="dxa"/>
            <w:tcBorders>
              <w:top w:val="nil"/>
              <w:left w:val="nil"/>
              <w:bottom w:val="single" w:sz="8" w:space="0" w:color="DCDDDE"/>
              <w:right w:val="nil"/>
            </w:tcBorders>
            <w:shd w:val="clear" w:color="000000" w:fill="FFFFFF"/>
            <w:noWrap/>
            <w:vAlign w:val="center"/>
            <w:hideMark/>
          </w:tcPr>
          <w:p w14:paraId="508D74EC"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359</w:t>
            </w:r>
          </w:p>
        </w:tc>
        <w:tc>
          <w:tcPr>
            <w:tcW w:w="545" w:type="dxa"/>
            <w:tcBorders>
              <w:top w:val="nil"/>
              <w:left w:val="nil"/>
              <w:bottom w:val="single" w:sz="8" w:space="0" w:color="DCDDDE"/>
              <w:right w:val="nil"/>
            </w:tcBorders>
            <w:shd w:val="clear" w:color="000000" w:fill="FFFFFF"/>
            <w:noWrap/>
            <w:vAlign w:val="center"/>
            <w:hideMark/>
          </w:tcPr>
          <w:p w14:paraId="5DCB5AE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440</w:t>
            </w:r>
          </w:p>
        </w:tc>
        <w:tc>
          <w:tcPr>
            <w:tcW w:w="545" w:type="dxa"/>
            <w:tcBorders>
              <w:top w:val="nil"/>
              <w:left w:val="nil"/>
              <w:bottom w:val="single" w:sz="8" w:space="0" w:color="DCDDDE"/>
              <w:right w:val="nil"/>
            </w:tcBorders>
            <w:shd w:val="clear" w:color="000000" w:fill="FFFFFF"/>
            <w:noWrap/>
            <w:vAlign w:val="center"/>
            <w:hideMark/>
          </w:tcPr>
          <w:p w14:paraId="5D6B093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422</w:t>
            </w:r>
          </w:p>
        </w:tc>
        <w:tc>
          <w:tcPr>
            <w:tcW w:w="545" w:type="dxa"/>
            <w:tcBorders>
              <w:top w:val="nil"/>
              <w:left w:val="nil"/>
              <w:bottom w:val="single" w:sz="8" w:space="0" w:color="DCDDDE"/>
              <w:right w:val="nil"/>
            </w:tcBorders>
            <w:shd w:val="clear" w:color="000000" w:fill="FFFFFF"/>
            <w:noWrap/>
            <w:vAlign w:val="center"/>
            <w:hideMark/>
          </w:tcPr>
          <w:p w14:paraId="6E4E414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408</w:t>
            </w:r>
          </w:p>
        </w:tc>
        <w:tc>
          <w:tcPr>
            <w:tcW w:w="545" w:type="dxa"/>
            <w:tcBorders>
              <w:top w:val="nil"/>
              <w:left w:val="nil"/>
              <w:bottom w:val="single" w:sz="8" w:space="0" w:color="DCDDDE"/>
              <w:right w:val="nil"/>
            </w:tcBorders>
            <w:shd w:val="clear" w:color="000000" w:fill="FFFFFF"/>
            <w:noWrap/>
            <w:vAlign w:val="center"/>
            <w:hideMark/>
          </w:tcPr>
          <w:p w14:paraId="4B2B0BA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392</w:t>
            </w:r>
          </w:p>
        </w:tc>
        <w:tc>
          <w:tcPr>
            <w:tcW w:w="545" w:type="dxa"/>
            <w:tcBorders>
              <w:top w:val="nil"/>
              <w:left w:val="nil"/>
              <w:bottom w:val="single" w:sz="8" w:space="0" w:color="DCDDDE"/>
              <w:right w:val="nil"/>
            </w:tcBorders>
            <w:shd w:val="clear" w:color="000000" w:fill="FFFFFF"/>
            <w:noWrap/>
            <w:vAlign w:val="center"/>
            <w:hideMark/>
          </w:tcPr>
          <w:p w14:paraId="4D6AA477"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382</w:t>
            </w:r>
          </w:p>
        </w:tc>
        <w:tc>
          <w:tcPr>
            <w:tcW w:w="545" w:type="dxa"/>
            <w:tcBorders>
              <w:top w:val="nil"/>
              <w:left w:val="nil"/>
              <w:bottom w:val="single" w:sz="8" w:space="0" w:color="DCDDDE"/>
              <w:right w:val="nil"/>
            </w:tcBorders>
            <w:shd w:val="clear" w:color="000000" w:fill="FFFFFF"/>
            <w:noWrap/>
            <w:vAlign w:val="center"/>
            <w:hideMark/>
          </w:tcPr>
          <w:p w14:paraId="0F3435CF"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361</w:t>
            </w:r>
          </w:p>
        </w:tc>
        <w:tc>
          <w:tcPr>
            <w:tcW w:w="545" w:type="dxa"/>
            <w:tcBorders>
              <w:top w:val="nil"/>
              <w:left w:val="nil"/>
              <w:bottom w:val="single" w:sz="8" w:space="0" w:color="DCDDDE"/>
              <w:right w:val="nil"/>
            </w:tcBorders>
            <w:shd w:val="clear" w:color="000000" w:fill="FFFFFF"/>
            <w:noWrap/>
            <w:vAlign w:val="center"/>
            <w:hideMark/>
          </w:tcPr>
          <w:p w14:paraId="6101121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344</w:t>
            </w:r>
          </w:p>
        </w:tc>
        <w:tc>
          <w:tcPr>
            <w:tcW w:w="545" w:type="dxa"/>
            <w:tcBorders>
              <w:top w:val="nil"/>
              <w:left w:val="nil"/>
              <w:bottom w:val="single" w:sz="8" w:space="0" w:color="DCDDDE"/>
              <w:right w:val="nil"/>
            </w:tcBorders>
            <w:shd w:val="clear" w:color="000000" w:fill="FFFFFF"/>
            <w:noWrap/>
            <w:vAlign w:val="center"/>
            <w:hideMark/>
          </w:tcPr>
          <w:p w14:paraId="0120495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327</w:t>
            </w:r>
          </w:p>
        </w:tc>
      </w:tr>
      <w:tr w:rsidR="00C97435" w:rsidRPr="00C97435" w14:paraId="727E9E21" w14:textId="77777777" w:rsidTr="0058478E">
        <w:trPr>
          <w:gridAfter w:val="1"/>
          <w:wAfter w:w="7" w:type="dxa"/>
          <w:trHeight w:val="217"/>
        </w:trPr>
        <w:tc>
          <w:tcPr>
            <w:tcW w:w="1771" w:type="dxa"/>
            <w:tcBorders>
              <w:top w:val="nil"/>
              <w:left w:val="nil"/>
              <w:bottom w:val="single" w:sz="8" w:space="0" w:color="DCDDDE"/>
              <w:right w:val="nil"/>
            </w:tcBorders>
            <w:shd w:val="clear" w:color="000000" w:fill="FFFFFF"/>
            <w:vAlign w:val="center"/>
            <w:hideMark/>
          </w:tcPr>
          <w:p w14:paraId="17066616"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6B870DB1"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440</w:t>
            </w:r>
          </w:p>
        </w:tc>
        <w:tc>
          <w:tcPr>
            <w:tcW w:w="545" w:type="dxa"/>
            <w:tcBorders>
              <w:top w:val="nil"/>
              <w:left w:val="nil"/>
              <w:bottom w:val="single" w:sz="8" w:space="0" w:color="DCDDDE"/>
              <w:right w:val="nil"/>
            </w:tcBorders>
            <w:shd w:val="clear" w:color="000000" w:fill="FFFFFF"/>
            <w:noWrap/>
            <w:vAlign w:val="center"/>
            <w:hideMark/>
          </w:tcPr>
          <w:p w14:paraId="372525E1"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468</w:t>
            </w:r>
          </w:p>
        </w:tc>
        <w:tc>
          <w:tcPr>
            <w:tcW w:w="545" w:type="dxa"/>
            <w:tcBorders>
              <w:top w:val="nil"/>
              <w:left w:val="nil"/>
              <w:bottom w:val="single" w:sz="8" w:space="0" w:color="DCDDDE"/>
              <w:right w:val="nil"/>
            </w:tcBorders>
            <w:shd w:val="clear" w:color="000000" w:fill="FFFFFF"/>
            <w:noWrap/>
            <w:vAlign w:val="center"/>
            <w:hideMark/>
          </w:tcPr>
          <w:p w14:paraId="272AF5D7"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502</w:t>
            </w:r>
          </w:p>
        </w:tc>
        <w:tc>
          <w:tcPr>
            <w:tcW w:w="545" w:type="dxa"/>
            <w:tcBorders>
              <w:top w:val="nil"/>
              <w:left w:val="nil"/>
              <w:bottom w:val="single" w:sz="8" w:space="0" w:color="DCDDDE"/>
              <w:right w:val="nil"/>
            </w:tcBorders>
            <w:shd w:val="clear" w:color="000000" w:fill="FFFFFF"/>
            <w:noWrap/>
            <w:vAlign w:val="center"/>
            <w:hideMark/>
          </w:tcPr>
          <w:p w14:paraId="36260F6C"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577</w:t>
            </w:r>
          </w:p>
        </w:tc>
        <w:tc>
          <w:tcPr>
            <w:tcW w:w="545" w:type="dxa"/>
            <w:tcBorders>
              <w:top w:val="nil"/>
              <w:left w:val="nil"/>
              <w:bottom w:val="single" w:sz="8" w:space="0" w:color="DCDDDE"/>
              <w:right w:val="nil"/>
            </w:tcBorders>
            <w:shd w:val="clear" w:color="000000" w:fill="FFFFFF"/>
            <w:noWrap/>
            <w:vAlign w:val="center"/>
            <w:hideMark/>
          </w:tcPr>
          <w:p w14:paraId="6D2A85A9"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578</w:t>
            </w:r>
          </w:p>
        </w:tc>
        <w:tc>
          <w:tcPr>
            <w:tcW w:w="545" w:type="dxa"/>
            <w:tcBorders>
              <w:top w:val="nil"/>
              <w:left w:val="nil"/>
              <w:bottom w:val="single" w:sz="8" w:space="0" w:color="DCDDDE"/>
              <w:right w:val="nil"/>
            </w:tcBorders>
            <w:shd w:val="clear" w:color="000000" w:fill="FFFFFF"/>
            <w:noWrap/>
            <w:vAlign w:val="center"/>
            <w:hideMark/>
          </w:tcPr>
          <w:p w14:paraId="1356A606"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669</w:t>
            </w:r>
          </w:p>
        </w:tc>
        <w:tc>
          <w:tcPr>
            <w:tcW w:w="545" w:type="dxa"/>
            <w:tcBorders>
              <w:top w:val="nil"/>
              <w:left w:val="nil"/>
              <w:bottom w:val="single" w:sz="8" w:space="0" w:color="DCDDDE"/>
              <w:right w:val="nil"/>
            </w:tcBorders>
            <w:shd w:val="clear" w:color="000000" w:fill="FFFFFF"/>
            <w:noWrap/>
            <w:vAlign w:val="center"/>
            <w:hideMark/>
          </w:tcPr>
          <w:p w14:paraId="7E2BF0F1"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665</w:t>
            </w:r>
          </w:p>
        </w:tc>
        <w:tc>
          <w:tcPr>
            <w:tcW w:w="545" w:type="dxa"/>
            <w:tcBorders>
              <w:top w:val="nil"/>
              <w:left w:val="nil"/>
              <w:bottom w:val="single" w:sz="8" w:space="0" w:color="DCDDDE"/>
              <w:right w:val="nil"/>
            </w:tcBorders>
            <w:shd w:val="clear" w:color="000000" w:fill="FFFFFF"/>
            <w:noWrap/>
            <w:vAlign w:val="center"/>
            <w:hideMark/>
          </w:tcPr>
          <w:p w14:paraId="76C759AA"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665</w:t>
            </w:r>
          </w:p>
        </w:tc>
        <w:tc>
          <w:tcPr>
            <w:tcW w:w="545" w:type="dxa"/>
            <w:tcBorders>
              <w:top w:val="nil"/>
              <w:left w:val="nil"/>
              <w:bottom w:val="single" w:sz="8" w:space="0" w:color="DCDDDE"/>
              <w:right w:val="nil"/>
            </w:tcBorders>
            <w:shd w:val="clear" w:color="000000" w:fill="FFFFFF"/>
            <w:noWrap/>
            <w:vAlign w:val="center"/>
            <w:hideMark/>
          </w:tcPr>
          <w:p w14:paraId="58C7C25F"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659</w:t>
            </w:r>
          </w:p>
        </w:tc>
        <w:tc>
          <w:tcPr>
            <w:tcW w:w="545" w:type="dxa"/>
            <w:tcBorders>
              <w:top w:val="nil"/>
              <w:left w:val="nil"/>
              <w:bottom w:val="single" w:sz="8" w:space="0" w:color="DCDDDE"/>
              <w:right w:val="nil"/>
            </w:tcBorders>
            <w:shd w:val="clear" w:color="000000" w:fill="FFFFFF"/>
            <w:noWrap/>
            <w:vAlign w:val="center"/>
            <w:hideMark/>
          </w:tcPr>
          <w:p w14:paraId="02789AD8"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658</w:t>
            </w:r>
          </w:p>
        </w:tc>
        <w:tc>
          <w:tcPr>
            <w:tcW w:w="545" w:type="dxa"/>
            <w:tcBorders>
              <w:top w:val="nil"/>
              <w:left w:val="nil"/>
              <w:bottom w:val="single" w:sz="8" w:space="0" w:color="DCDDDE"/>
              <w:right w:val="nil"/>
            </w:tcBorders>
            <w:shd w:val="clear" w:color="000000" w:fill="FFFFFF"/>
            <w:noWrap/>
            <w:vAlign w:val="center"/>
            <w:hideMark/>
          </w:tcPr>
          <w:p w14:paraId="67D90C42"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646</w:t>
            </w:r>
          </w:p>
        </w:tc>
        <w:tc>
          <w:tcPr>
            <w:tcW w:w="545" w:type="dxa"/>
            <w:tcBorders>
              <w:top w:val="nil"/>
              <w:left w:val="nil"/>
              <w:bottom w:val="single" w:sz="8" w:space="0" w:color="DCDDDE"/>
              <w:right w:val="nil"/>
            </w:tcBorders>
            <w:shd w:val="clear" w:color="000000" w:fill="FFFFFF"/>
            <w:noWrap/>
            <w:vAlign w:val="center"/>
            <w:hideMark/>
          </w:tcPr>
          <w:p w14:paraId="0CB83E3D"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636</w:t>
            </w:r>
          </w:p>
        </w:tc>
        <w:tc>
          <w:tcPr>
            <w:tcW w:w="545" w:type="dxa"/>
            <w:tcBorders>
              <w:top w:val="nil"/>
              <w:left w:val="nil"/>
              <w:bottom w:val="single" w:sz="8" w:space="0" w:color="DCDDDE"/>
              <w:right w:val="nil"/>
            </w:tcBorders>
            <w:shd w:val="clear" w:color="000000" w:fill="FFFFFF"/>
            <w:noWrap/>
            <w:vAlign w:val="center"/>
            <w:hideMark/>
          </w:tcPr>
          <w:p w14:paraId="133850C0"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625</w:t>
            </w:r>
          </w:p>
        </w:tc>
      </w:tr>
      <w:tr w:rsidR="00C97435" w:rsidRPr="00C97435" w14:paraId="598184FB" w14:textId="77777777" w:rsidTr="00C97435">
        <w:trPr>
          <w:trHeight w:val="217"/>
        </w:trPr>
        <w:tc>
          <w:tcPr>
            <w:tcW w:w="8863" w:type="dxa"/>
            <w:gridSpan w:val="15"/>
            <w:tcBorders>
              <w:top w:val="single" w:sz="8" w:space="0" w:color="DCDDDE"/>
              <w:left w:val="nil"/>
              <w:bottom w:val="single" w:sz="8" w:space="0" w:color="DCDDDE"/>
              <w:right w:val="nil"/>
            </w:tcBorders>
            <w:shd w:val="clear" w:color="000000" w:fill="DADADA"/>
            <w:noWrap/>
            <w:vAlign w:val="center"/>
            <w:hideMark/>
          </w:tcPr>
          <w:p w14:paraId="7E8543A8" w14:textId="77777777" w:rsidR="00C97435" w:rsidRPr="00C97435" w:rsidRDefault="00C97435" w:rsidP="00C97435">
            <w:pPr>
              <w:spacing w:line="240" w:lineRule="auto"/>
              <w:jc w:val="center"/>
              <w:rPr>
                <w:rFonts w:ascii="Arial Narrow" w:hAnsi="Arial Narrow" w:cs="Calibri"/>
                <w:b/>
                <w:bCs/>
                <w:sz w:val="18"/>
                <w:szCs w:val="18"/>
              </w:rPr>
            </w:pPr>
            <w:r w:rsidRPr="00C97435">
              <w:rPr>
                <w:rFonts w:ascii="Arial Narrow" w:hAnsi="Arial Narrow" w:cs="Calibri"/>
                <w:b/>
                <w:bCs/>
                <w:sz w:val="18"/>
                <w:szCs w:val="18"/>
              </w:rPr>
              <w:t>mTRC (GHG adder 1) | Reference</w:t>
            </w:r>
          </w:p>
        </w:tc>
      </w:tr>
      <w:tr w:rsidR="00C97435" w:rsidRPr="00C97435" w14:paraId="4F0DB118" w14:textId="77777777" w:rsidTr="0058478E">
        <w:trPr>
          <w:gridAfter w:val="1"/>
          <w:wAfter w:w="7" w:type="dxa"/>
          <w:trHeight w:val="383"/>
        </w:trPr>
        <w:tc>
          <w:tcPr>
            <w:tcW w:w="1771" w:type="dxa"/>
            <w:tcBorders>
              <w:top w:val="nil"/>
              <w:left w:val="nil"/>
              <w:bottom w:val="single" w:sz="8" w:space="0" w:color="DCDDDE"/>
              <w:right w:val="nil"/>
            </w:tcBorders>
            <w:shd w:val="clear" w:color="000000" w:fill="FFFFFF"/>
            <w:vAlign w:val="center"/>
            <w:hideMark/>
          </w:tcPr>
          <w:p w14:paraId="58D78240"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5EACAEC2"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131</w:t>
            </w:r>
          </w:p>
        </w:tc>
        <w:tc>
          <w:tcPr>
            <w:tcW w:w="545" w:type="dxa"/>
            <w:tcBorders>
              <w:top w:val="nil"/>
              <w:left w:val="nil"/>
              <w:bottom w:val="single" w:sz="8" w:space="0" w:color="DCDDDE"/>
              <w:right w:val="nil"/>
            </w:tcBorders>
            <w:shd w:val="clear" w:color="000000" w:fill="FFFFFF"/>
            <w:noWrap/>
            <w:vAlign w:val="center"/>
            <w:hideMark/>
          </w:tcPr>
          <w:p w14:paraId="21B93CB1"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143</w:t>
            </w:r>
          </w:p>
        </w:tc>
        <w:tc>
          <w:tcPr>
            <w:tcW w:w="545" w:type="dxa"/>
            <w:tcBorders>
              <w:top w:val="nil"/>
              <w:left w:val="nil"/>
              <w:bottom w:val="single" w:sz="8" w:space="0" w:color="DCDDDE"/>
              <w:right w:val="nil"/>
            </w:tcBorders>
            <w:shd w:val="clear" w:color="000000" w:fill="FFFFFF"/>
            <w:noWrap/>
            <w:vAlign w:val="center"/>
            <w:hideMark/>
          </w:tcPr>
          <w:p w14:paraId="5A5A2193"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134</w:t>
            </w:r>
          </w:p>
        </w:tc>
        <w:tc>
          <w:tcPr>
            <w:tcW w:w="545" w:type="dxa"/>
            <w:tcBorders>
              <w:top w:val="nil"/>
              <w:left w:val="nil"/>
              <w:bottom w:val="single" w:sz="8" w:space="0" w:color="DCDDDE"/>
              <w:right w:val="nil"/>
            </w:tcBorders>
            <w:shd w:val="clear" w:color="000000" w:fill="FFFFFF"/>
            <w:noWrap/>
            <w:vAlign w:val="center"/>
            <w:hideMark/>
          </w:tcPr>
          <w:p w14:paraId="4EC6E4FC"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155</w:t>
            </w:r>
          </w:p>
        </w:tc>
        <w:tc>
          <w:tcPr>
            <w:tcW w:w="545" w:type="dxa"/>
            <w:tcBorders>
              <w:top w:val="nil"/>
              <w:left w:val="nil"/>
              <w:bottom w:val="single" w:sz="8" w:space="0" w:color="DCDDDE"/>
              <w:right w:val="nil"/>
            </w:tcBorders>
            <w:shd w:val="clear" w:color="000000" w:fill="FFFFFF"/>
            <w:noWrap/>
            <w:vAlign w:val="center"/>
            <w:hideMark/>
          </w:tcPr>
          <w:p w14:paraId="3F4B768E"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159</w:t>
            </w:r>
          </w:p>
        </w:tc>
        <w:tc>
          <w:tcPr>
            <w:tcW w:w="545" w:type="dxa"/>
            <w:tcBorders>
              <w:top w:val="nil"/>
              <w:left w:val="nil"/>
              <w:bottom w:val="single" w:sz="8" w:space="0" w:color="DCDDDE"/>
              <w:right w:val="nil"/>
            </w:tcBorders>
            <w:shd w:val="clear" w:color="000000" w:fill="FFFFFF"/>
            <w:noWrap/>
            <w:vAlign w:val="center"/>
            <w:hideMark/>
          </w:tcPr>
          <w:p w14:paraId="4D100BB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165</w:t>
            </w:r>
          </w:p>
        </w:tc>
        <w:tc>
          <w:tcPr>
            <w:tcW w:w="545" w:type="dxa"/>
            <w:tcBorders>
              <w:top w:val="nil"/>
              <w:left w:val="nil"/>
              <w:bottom w:val="single" w:sz="8" w:space="0" w:color="DCDDDE"/>
              <w:right w:val="nil"/>
            </w:tcBorders>
            <w:shd w:val="clear" w:color="000000" w:fill="FFFFFF"/>
            <w:noWrap/>
            <w:vAlign w:val="center"/>
            <w:hideMark/>
          </w:tcPr>
          <w:p w14:paraId="7B9E350F"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174</w:t>
            </w:r>
          </w:p>
        </w:tc>
        <w:tc>
          <w:tcPr>
            <w:tcW w:w="545" w:type="dxa"/>
            <w:tcBorders>
              <w:top w:val="nil"/>
              <w:left w:val="nil"/>
              <w:bottom w:val="single" w:sz="8" w:space="0" w:color="DCDDDE"/>
              <w:right w:val="nil"/>
            </w:tcBorders>
            <w:shd w:val="clear" w:color="000000" w:fill="FFFFFF"/>
            <w:noWrap/>
            <w:vAlign w:val="center"/>
            <w:hideMark/>
          </w:tcPr>
          <w:p w14:paraId="7F66688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179</w:t>
            </w:r>
          </w:p>
        </w:tc>
        <w:tc>
          <w:tcPr>
            <w:tcW w:w="545" w:type="dxa"/>
            <w:tcBorders>
              <w:top w:val="nil"/>
              <w:left w:val="nil"/>
              <w:bottom w:val="single" w:sz="8" w:space="0" w:color="DCDDDE"/>
              <w:right w:val="nil"/>
            </w:tcBorders>
            <w:shd w:val="clear" w:color="000000" w:fill="FFFFFF"/>
            <w:noWrap/>
            <w:vAlign w:val="center"/>
            <w:hideMark/>
          </w:tcPr>
          <w:p w14:paraId="16C4C20F"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180</w:t>
            </w:r>
          </w:p>
        </w:tc>
        <w:tc>
          <w:tcPr>
            <w:tcW w:w="545" w:type="dxa"/>
            <w:tcBorders>
              <w:top w:val="nil"/>
              <w:left w:val="nil"/>
              <w:bottom w:val="single" w:sz="8" w:space="0" w:color="DCDDDE"/>
              <w:right w:val="nil"/>
            </w:tcBorders>
            <w:shd w:val="clear" w:color="000000" w:fill="FFFFFF"/>
            <w:noWrap/>
            <w:vAlign w:val="center"/>
            <w:hideMark/>
          </w:tcPr>
          <w:p w14:paraId="15558A2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182</w:t>
            </w:r>
          </w:p>
        </w:tc>
        <w:tc>
          <w:tcPr>
            <w:tcW w:w="545" w:type="dxa"/>
            <w:tcBorders>
              <w:top w:val="nil"/>
              <w:left w:val="nil"/>
              <w:bottom w:val="single" w:sz="8" w:space="0" w:color="DCDDDE"/>
              <w:right w:val="nil"/>
            </w:tcBorders>
            <w:shd w:val="clear" w:color="000000" w:fill="FFFFFF"/>
            <w:noWrap/>
            <w:vAlign w:val="center"/>
            <w:hideMark/>
          </w:tcPr>
          <w:p w14:paraId="0DA19F5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185</w:t>
            </w:r>
          </w:p>
        </w:tc>
        <w:tc>
          <w:tcPr>
            <w:tcW w:w="545" w:type="dxa"/>
            <w:tcBorders>
              <w:top w:val="nil"/>
              <w:left w:val="nil"/>
              <w:bottom w:val="single" w:sz="8" w:space="0" w:color="DCDDDE"/>
              <w:right w:val="nil"/>
            </w:tcBorders>
            <w:shd w:val="clear" w:color="000000" w:fill="FFFFFF"/>
            <w:noWrap/>
            <w:vAlign w:val="center"/>
            <w:hideMark/>
          </w:tcPr>
          <w:p w14:paraId="0C6A5D51"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188</w:t>
            </w:r>
          </w:p>
        </w:tc>
        <w:tc>
          <w:tcPr>
            <w:tcW w:w="545" w:type="dxa"/>
            <w:tcBorders>
              <w:top w:val="nil"/>
              <w:left w:val="nil"/>
              <w:bottom w:val="single" w:sz="8" w:space="0" w:color="DCDDDE"/>
              <w:right w:val="nil"/>
            </w:tcBorders>
            <w:shd w:val="clear" w:color="000000" w:fill="FFFFFF"/>
            <w:noWrap/>
            <w:vAlign w:val="center"/>
            <w:hideMark/>
          </w:tcPr>
          <w:p w14:paraId="678AB34E"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188</w:t>
            </w:r>
          </w:p>
        </w:tc>
      </w:tr>
      <w:tr w:rsidR="00C97435" w:rsidRPr="00C97435" w14:paraId="548FBD2C" w14:textId="77777777" w:rsidTr="0058478E">
        <w:trPr>
          <w:gridAfter w:val="1"/>
          <w:wAfter w:w="7" w:type="dxa"/>
          <w:trHeight w:val="217"/>
        </w:trPr>
        <w:tc>
          <w:tcPr>
            <w:tcW w:w="1771" w:type="dxa"/>
            <w:tcBorders>
              <w:top w:val="nil"/>
              <w:left w:val="nil"/>
              <w:bottom w:val="single" w:sz="8" w:space="0" w:color="DCDDDE"/>
              <w:right w:val="nil"/>
            </w:tcBorders>
            <w:shd w:val="clear" w:color="000000" w:fill="FFFFFF"/>
            <w:vAlign w:val="center"/>
            <w:hideMark/>
          </w:tcPr>
          <w:p w14:paraId="5B4FC5ED"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1E68F7A1"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39</w:t>
            </w:r>
          </w:p>
        </w:tc>
        <w:tc>
          <w:tcPr>
            <w:tcW w:w="545" w:type="dxa"/>
            <w:tcBorders>
              <w:top w:val="nil"/>
              <w:left w:val="nil"/>
              <w:bottom w:val="single" w:sz="8" w:space="0" w:color="DCDDDE"/>
              <w:right w:val="nil"/>
            </w:tcBorders>
            <w:shd w:val="clear" w:color="000000" w:fill="FFFFFF"/>
            <w:noWrap/>
            <w:vAlign w:val="center"/>
            <w:hideMark/>
          </w:tcPr>
          <w:p w14:paraId="3BF0AFDC"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49</w:t>
            </w:r>
          </w:p>
        </w:tc>
        <w:tc>
          <w:tcPr>
            <w:tcW w:w="545" w:type="dxa"/>
            <w:tcBorders>
              <w:top w:val="nil"/>
              <w:left w:val="nil"/>
              <w:bottom w:val="single" w:sz="8" w:space="0" w:color="DCDDDE"/>
              <w:right w:val="nil"/>
            </w:tcBorders>
            <w:shd w:val="clear" w:color="000000" w:fill="FFFFFF"/>
            <w:noWrap/>
            <w:vAlign w:val="center"/>
            <w:hideMark/>
          </w:tcPr>
          <w:p w14:paraId="1B9752A1"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55</w:t>
            </w:r>
          </w:p>
        </w:tc>
        <w:tc>
          <w:tcPr>
            <w:tcW w:w="545" w:type="dxa"/>
            <w:tcBorders>
              <w:top w:val="nil"/>
              <w:left w:val="nil"/>
              <w:bottom w:val="single" w:sz="8" w:space="0" w:color="DCDDDE"/>
              <w:right w:val="nil"/>
            </w:tcBorders>
            <w:shd w:val="clear" w:color="000000" w:fill="FFFFFF"/>
            <w:noWrap/>
            <w:vAlign w:val="center"/>
            <w:hideMark/>
          </w:tcPr>
          <w:p w14:paraId="1749BDD0"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61</w:t>
            </w:r>
          </w:p>
        </w:tc>
        <w:tc>
          <w:tcPr>
            <w:tcW w:w="545" w:type="dxa"/>
            <w:tcBorders>
              <w:top w:val="nil"/>
              <w:left w:val="nil"/>
              <w:bottom w:val="single" w:sz="8" w:space="0" w:color="DCDDDE"/>
              <w:right w:val="nil"/>
            </w:tcBorders>
            <w:shd w:val="clear" w:color="000000" w:fill="FFFFFF"/>
            <w:noWrap/>
            <w:vAlign w:val="center"/>
            <w:hideMark/>
          </w:tcPr>
          <w:p w14:paraId="03038771"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65</w:t>
            </w:r>
          </w:p>
        </w:tc>
        <w:tc>
          <w:tcPr>
            <w:tcW w:w="545" w:type="dxa"/>
            <w:tcBorders>
              <w:top w:val="nil"/>
              <w:left w:val="nil"/>
              <w:bottom w:val="single" w:sz="8" w:space="0" w:color="DCDDDE"/>
              <w:right w:val="nil"/>
            </w:tcBorders>
            <w:shd w:val="clear" w:color="000000" w:fill="FFFFFF"/>
            <w:noWrap/>
            <w:vAlign w:val="center"/>
            <w:hideMark/>
          </w:tcPr>
          <w:p w14:paraId="396FBA57"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70</w:t>
            </w:r>
          </w:p>
        </w:tc>
        <w:tc>
          <w:tcPr>
            <w:tcW w:w="545" w:type="dxa"/>
            <w:tcBorders>
              <w:top w:val="nil"/>
              <w:left w:val="nil"/>
              <w:bottom w:val="single" w:sz="8" w:space="0" w:color="DCDDDE"/>
              <w:right w:val="nil"/>
            </w:tcBorders>
            <w:shd w:val="clear" w:color="000000" w:fill="FFFFFF"/>
            <w:noWrap/>
            <w:vAlign w:val="center"/>
            <w:hideMark/>
          </w:tcPr>
          <w:p w14:paraId="0E4C6F9B"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74</w:t>
            </w:r>
          </w:p>
        </w:tc>
        <w:tc>
          <w:tcPr>
            <w:tcW w:w="545" w:type="dxa"/>
            <w:tcBorders>
              <w:top w:val="nil"/>
              <w:left w:val="nil"/>
              <w:bottom w:val="single" w:sz="8" w:space="0" w:color="DCDDDE"/>
              <w:right w:val="nil"/>
            </w:tcBorders>
            <w:shd w:val="clear" w:color="000000" w:fill="FFFFFF"/>
            <w:noWrap/>
            <w:vAlign w:val="center"/>
            <w:hideMark/>
          </w:tcPr>
          <w:p w14:paraId="2562492E"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81</w:t>
            </w:r>
          </w:p>
        </w:tc>
        <w:tc>
          <w:tcPr>
            <w:tcW w:w="545" w:type="dxa"/>
            <w:tcBorders>
              <w:top w:val="nil"/>
              <w:left w:val="nil"/>
              <w:bottom w:val="single" w:sz="8" w:space="0" w:color="DCDDDE"/>
              <w:right w:val="nil"/>
            </w:tcBorders>
            <w:shd w:val="clear" w:color="000000" w:fill="FFFFFF"/>
            <w:noWrap/>
            <w:vAlign w:val="center"/>
            <w:hideMark/>
          </w:tcPr>
          <w:p w14:paraId="469E223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87</w:t>
            </w:r>
          </w:p>
        </w:tc>
        <w:tc>
          <w:tcPr>
            <w:tcW w:w="545" w:type="dxa"/>
            <w:tcBorders>
              <w:top w:val="nil"/>
              <w:left w:val="nil"/>
              <w:bottom w:val="single" w:sz="8" w:space="0" w:color="DCDDDE"/>
              <w:right w:val="nil"/>
            </w:tcBorders>
            <w:shd w:val="clear" w:color="000000" w:fill="FFFFFF"/>
            <w:noWrap/>
            <w:vAlign w:val="center"/>
            <w:hideMark/>
          </w:tcPr>
          <w:p w14:paraId="3B932372"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92</w:t>
            </w:r>
          </w:p>
        </w:tc>
        <w:tc>
          <w:tcPr>
            <w:tcW w:w="545" w:type="dxa"/>
            <w:tcBorders>
              <w:top w:val="nil"/>
              <w:left w:val="nil"/>
              <w:bottom w:val="single" w:sz="8" w:space="0" w:color="DCDDDE"/>
              <w:right w:val="nil"/>
            </w:tcBorders>
            <w:shd w:val="clear" w:color="000000" w:fill="FFFFFF"/>
            <w:noWrap/>
            <w:vAlign w:val="center"/>
            <w:hideMark/>
          </w:tcPr>
          <w:p w14:paraId="16C39E3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98</w:t>
            </w:r>
          </w:p>
        </w:tc>
        <w:tc>
          <w:tcPr>
            <w:tcW w:w="545" w:type="dxa"/>
            <w:tcBorders>
              <w:top w:val="nil"/>
              <w:left w:val="nil"/>
              <w:bottom w:val="single" w:sz="8" w:space="0" w:color="DCDDDE"/>
              <w:right w:val="nil"/>
            </w:tcBorders>
            <w:shd w:val="clear" w:color="000000" w:fill="FFFFFF"/>
            <w:noWrap/>
            <w:vAlign w:val="center"/>
            <w:hideMark/>
          </w:tcPr>
          <w:p w14:paraId="699A4B1F"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104</w:t>
            </w:r>
          </w:p>
        </w:tc>
        <w:tc>
          <w:tcPr>
            <w:tcW w:w="545" w:type="dxa"/>
            <w:tcBorders>
              <w:top w:val="nil"/>
              <w:left w:val="nil"/>
              <w:bottom w:val="single" w:sz="8" w:space="0" w:color="DCDDDE"/>
              <w:right w:val="nil"/>
            </w:tcBorders>
            <w:shd w:val="clear" w:color="000000" w:fill="FFFFFF"/>
            <w:noWrap/>
            <w:vAlign w:val="center"/>
            <w:hideMark/>
          </w:tcPr>
          <w:p w14:paraId="5F40D09B"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109</w:t>
            </w:r>
          </w:p>
        </w:tc>
      </w:tr>
      <w:tr w:rsidR="00C97435" w:rsidRPr="00C97435" w14:paraId="65DA2F7C" w14:textId="77777777" w:rsidTr="0058478E">
        <w:trPr>
          <w:gridAfter w:val="1"/>
          <w:wAfter w:w="7" w:type="dxa"/>
          <w:trHeight w:val="217"/>
        </w:trPr>
        <w:tc>
          <w:tcPr>
            <w:tcW w:w="1771" w:type="dxa"/>
            <w:tcBorders>
              <w:top w:val="nil"/>
              <w:left w:val="nil"/>
              <w:bottom w:val="single" w:sz="8" w:space="0" w:color="DCDDDE"/>
              <w:right w:val="nil"/>
            </w:tcBorders>
            <w:shd w:val="clear" w:color="000000" w:fill="FFFFFF"/>
            <w:vAlign w:val="center"/>
            <w:hideMark/>
          </w:tcPr>
          <w:p w14:paraId="29592C49"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5D04A431"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161BC412"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423D98F7"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50221EEF"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4809A38C"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34D3FAD7"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434AE0CC"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2A9ED20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29EBD07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56A996CF"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430B6FC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28CBB9F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2AAA646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r>
      <w:tr w:rsidR="00C97435" w:rsidRPr="00C97435" w14:paraId="5689DB99" w14:textId="77777777" w:rsidTr="0058478E">
        <w:trPr>
          <w:gridAfter w:val="1"/>
          <w:wAfter w:w="7" w:type="dxa"/>
          <w:trHeight w:val="331"/>
        </w:trPr>
        <w:tc>
          <w:tcPr>
            <w:tcW w:w="1771" w:type="dxa"/>
            <w:tcBorders>
              <w:top w:val="nil"/>
              <w:left w:val="nil"/>
              <w:bottom w:val="single" w:sz="8" w:space="0" w:color="DCDDDE"/>
              <w:right w:val="nil"/>
            </w:tcBorders>
            <w:shd w:val="clear" w:color="000000" w:fill="FFFFFF"/>
            <w:vAlign w:val="center"/>
            <w:hideMark/>
          </w:tcPr>
          <w:p w14:paraId="7E5C9C1B"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41DDC5DF"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179</w:t>
            </w:r>
          </w:p>
        </w:tc>
        <w:tc>
          <w:tcPr>
            <w:tcW w:w="545" w:type="dxa"/>
            <w:tcBorders>
              <w:top w:val="nil"/>
              <w:left w:val="nil"/>
              <w:bottom w:val="single" w:sz="8" w:space="0" w:color="DCDDDE"/>
              <w:right w:val="nil"/>
            </w:tcBorders>
            <w:shd w:val="clear" w:color="000000" w:fill="FFFFFF"/>
            <w:noWrap/>
            <w:vAlign w:val="center"/>
            <w:hideMark/>
          </w:tcPr>
          <w:p w14:paraId="73FCE4D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202</w:t>
            </w:r>
          </w:p>
        </w:tc>
        <w:tc>
          <w:tcPr>
            <w:tcW w:w="545" w:type="dxa"/>
            <w:tcBorders>
              <w:top w:val="nil"/>
              <w:left w:val="nil"/>
              <w:bottom w:val="single" w:sz="8" w:space="0" w:color="DCDDDE"/>
              <w:right w:val="nil"/>
            </w:tcBorders>
            <w:shd w:val="clear" w:color="000000" w:fill="FFFFFF"/>
            <w:noWrap/>
            <w:vAlign w:val="center"/>
            <w:hideMark/>
          </w:tcPr>
          <w:p w14:paraId="47E3C400"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199</w:t>
            </w:r>
          </w:p>
        </w:tc>
        <w:tc>
          <w:tcPr>
            <w:tcW w:w="545" w:type="dxa"/>
            <w:tcBorders>
              <w:top w:val="nil"/>
              <w:left w:val="nil"/>
              <w:bottom w:val="single" w:sz="8" w:space="0" w:color="DCDDDE"/>
              <w:right w:val="nil"/>
            </w:tcBorders>
            <w:shd w:val="clear" w:color="000000" w:fill="FFFFFF"/>
            <w:noWrap/>
            <w:vAlign w:val="center"/>
            <w:hideMark/>
          </w:tcPr>
          <w:p w14:paraId="07E32153"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222</w:t>
            </w:r>
          </w:p>
        </w:tc>
        <w:tc>
          <w:tcPr>
            <w:tcW w:w="545" w:type="dxa"/>
            <w:tcBorders>
              <w:top w:val="nil"/>
              <w:left w:val="nil"/>
              <w:bottom w:val="single" w:sz="8" w:space="0" w:color="DCDDDE"/>
              <w:right w:val="nil"/>
            </w:tcBorders>
            <w:shd w:val="clear" w:color="000000" w:fill="FFFFFF"/>
            <w:noWrap/>
            <w:vAlign w:val="center"/>
            <w:hideMark/>
          </w:tcPr>
          <w:p w14:paraId="2F822127"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230</w:t>
            </w:r>
          </w:p>
        </w:tc>
        <w:tc>
          <w:tcPr>
            <w:tcW w:w="545" w:type="dxa"/>
            <w:tcBorders>
              <w:top w:val="nil"/>
              <w:left w:val="nil"/>
              <w:bottom w:val="single" w:sz="8" w:space="0" w:color="DCDDDE"/>
              <w:right w:val="nil"/>
            </w:tcBorders>
            <w:shd w:val="clear" w:color="000000" w:fill="FFFFFF"/>
            <w:noWrap/>
            <w:vAlign w:val="center"/>
            <w:hideMark/>
          </w:tcPr>
          <w:p w14:paraId="2E3EB142"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241</w:t>
            </w:r>
          </w:p>
        </w:tc>
        <w:tc>
          <w:tcPr>
            <w:tcW w:w="545" w:type="dxa"/>
            <w:tcBorders>
              <w:top w:val="nil"/>
              <w:left w:val="nil"/>
              <w:bottom w:val="single" w:sz="8" w:space="0" w:color="DCDDDE"/>
              <w:right w:val="nil"/>
            </w:tcBorders>
            <w:shd w:val="clear" w:color="000000" w:fill="FFFFFF"/>
            <w:noWrap/>
            <w:vAlign w:val="center"/>
            <w:hideMark/>
          </w:tcPr>
          <w:p w14:paraId="3622ED8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254</w:t>
            </w:r>
          </w:p>
        </w:tc>
        <w:tc>
          <w:tcPr>
            <w:tcW w:w="545" w:type="dxa"/>
            <w:tcBorders>
              <w:top w:val="nil"/>
              <w:left w:val="nil"/>
              <w:bottom w:val="single" w:sz="8" w:space="0" w:color="DCDDDE"/>
              <w:right w:val="nil"/>
            </w:tcBorders>
            <w:shd w:val="clear" w:color="000000" w:fill="FFFFFF"/>
            <w:noWrap/>
            <w:vAlign w:val="center"/>
            <w:hideMark/>
          </w:tcPr>
          <w:p w14:paraId="74FED829"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265</w:t>
            </w:r>
          </w:p>
        </w:tc>
        <w:tc>
          <w:tcPr>
            <w:tcW w:w="545" w:type="dxa"/>
            <w:tcBorders>
              <w:top w:val="nil"/>
              <w:left w:val="nil"/>
              <w:bottom w:val="single" w:sz="8" w:space="0" w:color="DCDDDE"/>
              <w:right w:val="nil"/>
            </w:tcBorders>
            <w:shd w:val="clear" w:color="000000" w:fill="FFFFFF"/>
            <w:noWrap/>
            <w:vAlign w:val="center"/>
            <w:hideMark/>
          </w:tcPr>
          <w:p w14:paraId="6FB79CB8"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272</w:t>
            </w:r>
          </w:p>
        </w:tc>
        <w:tc>
          <w:tcPr>
            <w:tcW w:w="545" w:type="dxa"/>
            <w:tcBorders>
              <w:top w:val="nil"/>
              <w:left w:val="nil"/>
              <w:bottom w:val="single" w:sz="8" w:space="0" w:color="DCDDDE"/>
              <w:right w:val="nil"/>
            </w:tcBorders>
            <w:shd w:val="clear" w:color="000000" w:fill="FFFFFF"/>
            <w:noWrap/>
            <w:vAlign w:val="center"/>
            <w:hideMark/>
          </w:tcPr>
          <w:p w14:paraId="72043A8C"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280</w:t>
            </w:r>
          </w:p>
        </w:tc>
        <w:tc>
          <w:tcPr>
            <w:tcW w:w="545" w:type="dxa"/>
            <w:tcBorders>
              <w:top w:val="nil"/>
              <w:left w:val="nil"/>
              <w:bottom w:val="single" w:sz="8" w:space="0" w:color="DCDDDE"/>
              <w:right w:val="nil"/>
            </w:tcBorders>
            <w:shd w:val="clear" w:color="000000" w:fill="FFFFFF"/>
            <w:noWrap/>
            <w:vAlign w:val="center"/>
            <w:hideMark/>
          </w:tcPr>
          <w:p w14:paraId="274708DE"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289</w:t>
            </w:r>
          </w:p>
        </w:tc>
        <w:tc>
          <w:tcPr>
            <w:tcW w:w="545" w:type="dxa"/>
            <w:tcBorders>
              <w:top w:val="nil"/>
              <w:left w:val="nil"/>
              <w:bottom w:val="single" w:sz="8" w:space="0" w:color="DCDDDE"/>
              <w:right w:val="nil"/>
            </w:tcBorders>
            <w:shd w:val="clear" w:color="000000" w:fill="FFFFFF"/>
            <w:noWrap/>
            <w:vAlign w:val="center"/>
            <w:hideMark/>
          </w:tcPr>
          <w:p w14:paraId="6B2BF7C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297</w:t>
            </w:r>
          </w:p>
        </w:tc>
        <w:tc>
          <w:tcPr>
            <w:tcW w:w="545" w:type="dxa"/>
            <w:tcBorders>
              <w:top w:val="nil"/>
              <w:left w:val="nil"/>
              <w:bottom w:val="single" w:sz="8" w:space="0" w:color="DCDDDE"/>
              <w:right w:val="nil"/>
            </w:tcBorders>
            <w:shd w:val="clear" w:color="000000" w:fill="FFFFFF"/>
            <w:noWrap/>
            <w:vAlign w:val="center"/>
            <w:hideMark/>
          </w:tcPr>
          <w:p w14:paraId="10CE546F"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303</w:t>
            </w:r>
          </w:p>
        </w:tc>
      </w:tr>
      <w:tr w:rsidR="00C97435" w:rsidRPr="00C97435" w14:paraId="0D37D539" w14:textId="77777777" w:rsidTr="0058478E">
        <w:trPr>
          <w:gridAfter w:val="1"/>
          <w:wAfter w:w="7" w:type="dxa"/>
          <w:trHeight w:val="217"/>
        </w:trPr>
        <w:tc>
          <w:tcPr>
            <w:tcW w:w="1771" w:type="dxa"/>
            <w:tcBorders>
              <w:top w:val="nil"/>
              <w:left w:val="nil"/>
              <w:bottom w:val="single" w:sz="8" w:space="0" w:color="DCDDDE"/>
              <w:right w:val="nil"/>
            </w:tcBorders>
            <w:shd w:val="clear" w:color="000000" w:fill="FFFFFF"/>
            <w:vAlign w:val="center"/>
            <w:hideMark/>
          </w:tcPr>
          <w:p w14:paraId="01BA5C0B"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6569D53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272</w:t>
            </w:r>
          </w:p>
        </w:tc>
        <w:tc>
          <w:tcPr>
            <w:tcW w:w="545" w:type="dxa"/>
            <w:tcBorders>
              <w:top w:val="nil"/>
              <w:left w:val="nil"/>
              <w:bottom w:val="single" w:sz="8" w:space="0" w:color="DCDDDE"/>
              <w:right w:val="nil"/>
            </w:tcBorders>
            <w:shd w:val="clear" w:color="000000" w:fill="FFFFFF"/>
            <w:noWrap/>
            <w:vAlign w:val="center"/>
            <w:hideMark/>
          </w:tcPr>
          <w:p w14:paraId="28252979"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275</w:t>
            </w:r>
          </w:p>
        </w:tc>
        <w:tc>
          <w:tcPr>
            <w:tcW w:w="545" w:type="dxa"/>
            <w:tcBorders>
              <w:top w:val="nil"/>
              <w:left w:val="nil"/>
              <w:bottom w:val="single" w:sz="8" w:space="0" w:color="DCDDDE"/>
              <w:right w:val="nil"/>
            </w:tcBorders>
            <w:shd w:val="clear" w:color="000000" w:fill="FFFFFF"/>
            <w:noWrap/>
            <w:vAlign w:val="center"/>
            <w:hideMark/>
          </w:tcPr>
          <w:p w14:paraId="34B4E1EC"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311</w:t>
            </w:r>
          </w:p>
        </w:tc>
        <w:tc>
          <w:tcPr>
            <w:tcW w:w="545" w:type="dxa"/>
            <w:tcBorders>
              <w:top w:val="nil"/>
              <w:left w:val="nil"/>
              <w:bottom w:val="single" w:sz="8" w:space="0" w:color="DCDDDE"/>
              <w:right w:val="nil"/>
            </w:tcBorders>
            <w:shd w:val="clear" w:color="000000" w:fill="FFFFFF"/>
            <w:noWrap/>
            <w:vAlign w:val="center"/>
            <w:hideMark/>
          </w:tcPr>
          <w:p w14:paraId="1A4BE1D8"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368</w:t>
            </w:r>
          </w:p>
        </w:tc>
        <w:tc>
          <w:tcPr>
            <w:tcW w:w="545" w:type="dxa"/>
            <w:tcBorders>
              <w:top w:val="nil"/>
              <w:left w:val="nil"/>
              <w:bottom w:val="single" w:sz="8" w:space="0" w:color="DCDDDE"/>
              <w:right w:val="nil"/>
            </w:tcBorders>
            <w:shd w:val="clear" w:color="000000" w:fill="FFFFFF"/>
            <w:noWrap/>
            <w:vAlign w:val="center"/>
            <w:hideMark/>
          </w:tcPr>
          <w:p w14:paraId="6C23DD67"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359</w:t>
            </w:r>
          </w:p>
        </w:tc>
        <w:tc>
          <w:tcPr>
            <w:tcW w:w="545" w:type="dxa"/>
            <w:tcBorders>
              <w:top w:val="nil"/>
              <w:left w:val="nil"/>
              <w:bottom w:val="single" w:sz="8" w:space="0" w:color="DCDDDE"/>
              <w:right w:val="nil"/>
            </w:tcBorders>
            <w:shd w:val="clear" w:color="000000" w:fill="FFFFFF"/>
            <w:noWrap/>
            <w:vAlign w:val="center"/>
            <w:hideMark/>
          </w:tcPr>
          <w:p w14:paraId="36F1B2A0"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440</w:t>
            </w:r>
          </w:p>
        </w:tc>
        <w:tc>
          <w:tcPr>
            <w:tcW w:w="545" w:type="dxa"/>
            <w:tcBorders>
              <w:top w:val="nil"/>
              <w:left w:val="nil"/>
              <w:bottom w:val="single" w:sz="8" w:space="0" w:color="DCDDDE"/>
              <w:right w:val="nil"/>
            </w:tcBorders>
            <w:shd w:val="clear" w:color="000000" w:fill="FFFFFF"/>
            <w:noWrap/>
            <w:vAlign w:val="center"/>
            <w:hideMark/>
          </w:tcPr>
          <w:p w14:paraId="715E87D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422</w:t>
            </w:r>
          </w:p>
        </w:tc>
        <w:tc>
          <w:tcPr>
            <w:tcW w:w="545" w:type="dxa"/>
            <w:tcBorders>
              <w:top w:val="nil"/>
              <w:left w:val="nil"/>
              <w:bottom w:val="single" w:sz="8" w:space="0" w:color="DCDDDE"/>
              <w:right w:val="nil"/>
            </w:tcBorders>
            <w:shd w:val="clear" w:color="000000" w:fill="FFFFFF"/>
            <w:noWrap/>
            <w:vAlign w:val="center"/>
            <w:hideMark/>
          </w:tcPr>
          <w:p w14:paraId="528EAD5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408</w:t>
            </w:r>
          </w:p>
        </w:tc>
        <w:tc>
          <w:tcPr>
            <w:tcW w:w="545" w:type="dxa"/>
            <w:tcBorders>
              <w:top w:val="nil"/>
              <w:left w:val="nil"/>
              <w:bottom w:val="single" w:sz="8" w:space="0" w:color="DCDDDE"/>
              <w:right w:val="nil"/>
            </w:tcBorders>
            <w:shd w:val="clear" w:color="000000" w:fill="FFFFFF"/>
            <w:noWrap/>
            <w:vAlign w:val="center"/>
            <w:hideMark/>
          </w:tcPr>
          <w:p w14:paraId="469C688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392</w:t>
            </w:r>
          </w:p>
        </w:tc>
        <w:tc>
          <w:tcPr>
            <w:tcW w:w="545" w:type="dxa"/>
            <w:tcBorders>
              <w:top w:val="nil"/>
              <w:left w:val="nil"/>
              <w:bottom w:val="single" w:sz="8" w:space="0" w:color="DCDDDE"/>
              <w:right w:val="nil"/>
            </w:tcBorders>
            <w:shd w:val="clear" w:color="000000" w:fill="FFFFFF"/>
            <w:noWrap/>
            <w:vAlign w:val="center"/>
            <w:hideMark/>
          </w:tcPr>
          <w:p w14:paraId="7962C3E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382</w:t>
            </w:r>
          </w:p>
        </w:tc>
        <w:tc>
          <w:tcPr>
            <w:tcW w:w="545" w:type="dxa"/>
            <w:tcBorders>
              <w:top w:val="nil"/>
              <w:left w:val="nil"/>
              <w:bottom w:val="single" w:sz="8" w:space="0" w:color="DCDDDE"/>
              <w:right w:val="nil"/>
            </w:tcBorders>
            <w:shd w:val="clear" w:color="000000" w:fill="FFFFFF"/>
            <w:noWrap/>
            <w:vAlign w:val="center"/>
            <w:hideMark/>
          </w:tcPr>
          <w:p w14:paraId="5D0366D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361</w:t>
            </w:r>
          </w:p>
        </w:tc>
        <w:tc>
          <w:tcPr>
            <w:tcW w:w="545" w:type="dxa"/>
            <w:tcBorders>
              <w:top w:val="nil"/>
              <w:left w:val="nil"/>
              <w:bottom w:val="single" w:sz="8" w:space="0" w:color="DCDDDE"/>
              <w:right w:val="nil"/>
            </w:tcBorders>
            <w:shd w:val="clear" w:color="000000" w:fill="FFFFFF"/>
            <w:noWrap/>
            <w:vAlign w:val="center"/>
            <w:hideMark/>
          </w:tcPr>
          <w:p w14:paraId="668D16C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344</w:t>
            </w:r>
          </w:p>
        </w:tc>
        <w:tc>
          <w:tcPr>
            <w:tcW w:w="545" w:type="dxa"/>
            <w:tcBorders>
              <w:top w:val="nil"/>
              <w:left w:val="nil"/>
              <w:bottom w:val="single" w:sz="8" w:space="0" w:color="DCDDDE"/>
              <w:right w:val="nil"/>
            </w:tcBorders>
            <w:shd w:val="clear" w:color="000000" w:fill="FFFFFF"/>
            <w:noWrap/>
            <w:vAlign w:val="center"/>
            <w:hideMark/>
          </w:tcPr>
          <w:p w14:paraId="4DB0A85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327</w:t>
            </w:r>
          </w:p>
        </w:tc>
      </w:tr>
      <w:tr w:rsidR="00C97435" w:rsidRPr="00C97435" w14:paraId="609D61C3" w14:textId="77777777" w:rsidTr="0058478E">
        <w:trPr>
          <w:gridAfter w:val="1"/>
          <w:wAfter w:w="7" w:type="dxa"/>
          <w:trHeight w:val="217"/>
        </w:trPr>
        <w:tc>
          <w:tcPr>
            <w:tcW w:w="1771" w:type="dxa"/>
            <w:tcBorders>
              <w:top w:val="nil"/>
              <w:left w:val="nil"/>
              <w:bottom w:val="single" w:sz="8" w:space="0" w:color="DCDDDE"/>
              <w:right w:val="nil"/>
            </w:tcBorders>
            <w:shd w:val="clear" w:color="000000" w:fill="FFFFFF"/>
            <w:vAlign w:val="center"/>
            <w:hideMark/>
          </w:tcPr>
          <w:p w14:paraId="31FBB297"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1FFF1E41"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451</w:t>
            </w:r>
          </w:p>
        </w:tc>
        <w:tc>
          <w:tcPr>
            <w:tcW w:w="545" w:type="dxa"/>
            <w:tcBorders>
              <w:top w:val="nil"/>
              <w:left w:val="nil"/>
              <w:bottom w:val="single" w:sz="8" w:space="0" w:color="DCDDDE"/>
              <w:right w:val="nil"/>
            </w:tcBorders>
            <w:shd w:val="clear" w:color="000000" w:fill="FFFFFF"/>
            <w:noWrap/>
            <w:vAlign w:val="center"/>
            <w:hideMark/>
          </w:tcPr>
          <w:p w14:paraId="19385D76"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478</w:t>
            </w:r>
          </w:p>
        </w:tc>
        <w:tc>
          <w:tcPr>
            <w:tcW w:w="545" w:type="dxa"/>
            <w:tcBorders>
              <w:top w:val="nil"/>
              <w:left w:val="nil"/>
              <w:bottom w:val="single" w:sz="8" w:space="0" w:color="DCDDDE"/>
              <w:right w:val="nil"/>
            </w:tcBorders>
            <w:shd w:val="clear" w:color="000000" w:fill="FFFFFF"/>
            <w:noWrap/>
            <w:vAlign w:val="center"/>
            <w:hideMark/>
          </w:tcPr>
          <w:p w14:paraId="22663409"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511</w:t>
            </w:r>
          </w:p>
        </w:tc>
        <w:tc>
          <w:tcPr>
            <w:tcW w:w="545" w:type="dxa"/>
            <w:tcBorders>
              <w:top w:val="nil"/>
              <w:left w:val="nil"/>
              <w:bottom w:val="single" w:sz="8" w:space="0" w:color="DCDDDE"/>
              <w:right w:val="nil"/>
            </w:tcBorders>
            <w:shd w:val="clear" w:color="000000" w:fill="FFFFFF"/>
            <w:noWrap/>
            <w:vAlign w:val="center"/>
            <w:hideMark/>
          </w:tcPr>
          <w:p w14:paraId="45E711A4"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590</w:t>
            </w:r>
          </w:p>
        </w:tc>
        <w:tc>
          <w:tcPr>
            <w:tcW w:w="545" w:type="dxa"/>
            <w:tcBorders>
              <w:top w:val="nil"/>
              <w:left w:val="nil"/>
              <w:bottom w:val="single" w:sz="8" w:space="0" w:color="DCDDDE"/>
              <w:right w:val="nil"/>
            </w:tcBorders>
            <w:shd w:val="clear" w:color="000000" w:fill="FFFFFF"/>
            <w:noWrap/>
            <w:vAlign w:val="center"/>
            <w:hideMark/>
          </w:tcPr>
          <w:p w14:paraId="4C9C8849"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589</w:t>
            </w:r>
          </w:p>
        </w:tc>
        <w:tc>
          <w:tcPr>
            <w:tcW w:w="545" w:type="dxa"/>
            <w:tcBorders>
              <w:top w:val="nil"/>
              <w:left w:val="nil"/>
              <w:bottom w:val="single" w:sz="8" w:space="0" w:color="DCDDDE"/>
              <w:right w:val="nil"/>
            </w:tcBorders>
            <w:shd w:val="clear" w:color="000000" w:fill="FFFFFF"/>
            <w:noWrap/>
            <w:vAlign w:val="center"/>
            <w:hideMark/>
          </w:tcPr>
          <w:p w14:paraId="2C252BD7"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681</w:t>
            </w:r>
          </w:p>
        </w:tc>
        <w:tc>
          <w:tcPr>
            <w:tcW w:w="545" w:type="dxa"/>
            <w:tcBorders>
              <w:top w:val="nil"/>
              <w:left w:val="nil"/>
              <w:bottom w:val="single" w:sz="8" w:space="0" w:color="DCDDDE"/>
              <w:right w:val="nil"/>
            </w:tcBorders>
            <w:shd w:val="clear" w:color="000000" w:fill="FFFFFF"/>
            <w:noWrap/>
            <w:vAlign w:val="center"/>
            <w:hideMark/>
          </w:tcPr>
          <w:p w14:paraId="290FB059"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676</w:t>
            </w:r>
          </w:p>
        </w:tc>
        <w:tc>
          <w:tcPr>
            <w:tcW w:w="545" w:type="dxa"/>
            <w:tcBorders>
              <w:top w:val="nil"/>
              <w:left w:val="nil"/>
              <w:bottom w:val="single" w:sz="8" w:space="0" w:color="DCDDDE"/>
              <w:right w:val="nil"/>
            </w:tcBorders>
            <w:shd w:val="clear" w:color="000000" w:fill="FFFFFF"/>
            <w:noWrap/>
            <w:vAlign w:val="center"/>
            <w:hideMark/>
          </w:tcPr>
          <w:p w14:paraId="59ED069F"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674</w:t>
            </w:r>
          </w:p>
        </w:tc>
        <w:tc>
          <w:tcPr>
            <w:tcW w:w="545" w:type="dxa"/>
            <w:tcBorders>
              <w:top w:val="nil"/>
              <w:left w:val="nil"/>
              <w:bottom w:val="single" w:sz="8" w:space="0" w:color="DCDDDE"/>
              <w:right w:val="nil"/>
            </w:tcBorders>
            <w:shd w:val="clear" w:color="000000" w:fill="FFFFFF"/>
            <w:noWrap/>
            <w:vAlign w:val="center"/>
            <w:hideMark/>
          </w:tcPr>
          <w:p w14:paraId="7523D5C1"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664</w:t>
            </w:r>
          </w:p>
        </w:tc>
        <w:tc>
          <w:tcPr>
            <w:tcW w:w="545" w:type="dxa"/>
            <w:tcBorders>
              <w:top w:val="nil"/>
              <w:left w:val="nil"/>
              <w:bottom w:val="single" w:sz="8" w:space="0" w:color="DCDDDE"/>
              <w:right w:val="nil"/>
            </w:tcBorders>
            <w:shd w:val="clear" w:color="000000" w:fill="FFFFFF"/>
            <w:noWrap/>
            <w:vAlign w:val="center"/>
            <w:hideMark/>
          </w:tcPr>
          <w:p w14:paraId="7ACC3EB4"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663</w:t>
            </w:r>
          </w:p>
        </w:tc>
        <w:tc>
          <w:tcPr>
            <w:tcW w:w="545" w:type="dxa"/>
            <w:tcBorders>
              <w:top w:val="nil"/>
              <w:left w:val="nil"/>
              <w:bottom w:val="single" w:sz="8" w:space="0" w:color="DCDDDE"/>
              <w:right w:val="nil"/>
            </w:tcBorders>
            <w:shd w:val="clear" w:color="000000" w:fill="FFFFFF"/>
            <w:noWrap/>
            <w:vAlign w:val="center"/>
            <w:hideMark/>
          </w:tcPr>
          <w:p w14:paraId="088E6752"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651</w:t>
            </w:r>
          </w:p>
        </w:tc>
        <w:tc>
          <w:tcPr>
            <w:tcW w:w="545" w:type="dxa"/>
            <w:tcBorders>
              <w:top w:val="nil"/>
              <w:left w:val="nil"/>
              <w:bottom w:val="single" w:sz="8" w:space="0" w:color="DCDDDE"/>
              <w:right w:val="nil"/>
            </w:tcBorders>
            <w:shd w:val="clear" w:color="000000" w:fill="FFFFFF"/>
            <w:noWrap/>
            <w:vAlign w:val="center"/>
            <w:hideMark/>
          </w:tcPr>
          <w:p w14:paraId="5A1E65DE"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641</w:t>
            </w:r>
          </w:p>
        </w:tc>
        <w:tc>
          <w:tcPr>
            <w:tcW w:w="545" w:type="dxa"/>
            <w:tcBorders>
              <w:top w:val="nil"/>
              <w:left w:val="nil"/>
              <w:bottom w:val="single" w:sz="8" w:space="0" w:color="DCDDDE"/>
              <w:right w:val="nil"/>
            </w:tcBorders>
            <w:shd w:val="clear" w:color="000000" w:fill="FFFFFF"/>
            <w:noWrap/>
            <w:vAlign w:val="center"/>
            <w:hideMark/>
          </w:tcPr>
          <w:p w14:paraId="5B36CE83"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630</w:t>
            </w:r>
          </w:p>
        </w:tc>
      </w:tr>
      <w:tr w:rsidR="00C97435" w:rsidRPr="00C97435" w14:paraId="257FDE68" w14:textId="77777777" w:rsidTr="00C97435">
        <w:trPr>
          <w:trHeight w:val="217"/>
        </w:trPr>
        <w:tc>
          <w:tcPr>
            <w:tcW w:w="8863" w:type="dxa"/>
            <w:gridSpan w:val="15"/>
            <w:tcBorders>
              <w:top w:val="single" w:sz="8" w:space="0" w:color="DCDDDE"/>
              <w:left w:val="nil"/>
              <w:bottom w:val="single" w:sz="8" w:space="0" w:color="DCDDDE"/>
              <w:right w:val="nil"/>
            </w:tcBorders>
            <w:shd w:val="clear" w:color="000000" w:fill="DADADA"/>
            <w:noWrap/>
            <w:vAlign w:val="center"/>
            <w:hideMark/>
          </w:tcPr>
          <w:p w14:paraId="10BC5E71" w14:textId="77777777" w:rsidR="00C97435" w:rsidRPr="00C97435" w:rsidRDefault="00C97435" w:rsidP="00C97435">
            <w:pPr>
              <w:spacing w:line="240" w:lineRule="auto"/>
              <w:jc w:val="center"/>
              <w:rPr>
                <w:rFonts w:ascii="Arial Narrow" w:hAnsi="Arial Narrow" w:cs="Calibri"/>
                <w:b/>
                <w:bCs/>
                <w:sz w:val="18"/>
                <w:szCs w:val="18"/>
              </w:rPr>
            </w:pPr>
            <w:r w:rsidRPr="00C97435">
              <w:rPr>
                <w:rFonts w:ascii="Arial Narrow" w:hAnsi="Arial Narrow" w:cs="Calibri"/>
                <w:b/>
                <w:bCs/>
                <w:sz w:val="18"/>
                <w:szCs w:val="18"/>
              </w:rPr>
              <w:t>mTRC (GHG adder 2) | Reference</w:t>
            </w:r>
          </w:p>
        </w:tc>
      </w:tr>
      <w:tr w:rsidR="00C97435" w:rsidRPr="00C97435" w14:paraId="54C73FD3" w14:textId="77777777" w:rsidTr="0058478E">
        <w:trPr>
          <w:gridAfter w:val="1"/>
          <w:wAfter w:w="7" w:type="dxa"/>
          <w:trHeight w:val="383"/>
        </w:trPr>
        <w:tc>
          <w:tcPr>
            <w:tcW w:w="1771" w:type="dxa"/>
            <w:tcBorders>
              <w:top w:val="nil"/>
              <w:left w:val="nil"/>
              <w:bottom w:val="single" w:sz="8" w:space="0" w:color="DCDDDE"/>
              <w:right w:val="nil"/>
            </w:tcBorders>
            <w:shd w:val="clear" w:color="000000" w:fill="FFFFFF"/>
            <w:vAlign w:val="center"/>
            <w:hideMark/>
          </w:tcPr>
          <w:p w14:paraId="35840EF4"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263E71F2"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134</w:t>
            </w:r>
          </w:p>
        </w:tc>
        <w:tc>
          <w:tcPr>
            <w:tcW w:w="545" w:type="dxa"/>
            <w:tcBorders>
              <w:top w:val="nil"/>
              <w:left w:val="nil"/>
              <w:bottom w:val="single" w:sz="8" w:space="0" w:color="DCDDDE"/>
              <w:right w:val="nil"/>
            </w:tcBorders>
            <w:shd w:val="clear" w:color="000000" w:fill="FFFFFF"/>
            <w:noWrap/>
            <w:vAlign w:val="center"/>
            <w:hideMark/>
          </w:tcPr>
          <w:p w14:paraId="44A61972"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147</w:t>
            </w:r>
          </w:p>
        </w:tc>
        <w:tc>
          <w:tcPr>
            <w:tcW w:w="545" w:type="dxa"/>
            <w:tcBorders>
              <w:top w:val="nil"/>
              <w:left w:val="nil"/>
              <w:bottom w:val="single" w:sz="8" w:space="0" w:color="DCDDDE"/>
              <w:right w:val="nil"/>
            </w:tcBorders>
            <w:shd w:val="clear" w:color="000000" w:fill="FFFFFF"/>
            <w:noWrap/>
            <w:vAlign w:val="center"/>
            <w:hideMark/>
          </w:tcPr>
          <w:p w14:paraId="332AFDA9"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140</w:t>
            </w:r>
          </w:p>
        </w:tc>
        <w:tc>
          <w:tcPr>
            <w:tcW w:w="545" w:type="dxa"/>
            <w:tcBorders>
              <w:top w:val="nil"/>
              <w:left w:val="nil"/>
              <w:bottom w:val="single" w:sz="8" w:space="0" w:color="DCDDDE"/>
              <w:right w:val="nil"/>
            </w:tcBorders>
            <w:shd w:val="clear" w:color="000000" w:fill="FFFFFF"/>
            <w:noWrap/>
            <w:vAlign w:val="center"/>
            <w:hideMark/>
          </w:tcPr>
          <w:p w14:paraId="13520EAB"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165</w:t>
            </w:r>
          </w:p>
        </w:tc>
        <w:tc>
          <w:tcPr>
            <w:tcW w:w="545" w:type="dxa"/>
            <w:tcBorders>
              <w:top w:val="nil"/>
              <w:left w:val="nil"/>
              <w:bottom w:val="single" w:sz="8" w:space="0" w:color="DCDDDE"/>
              <w:right w:val="nil"/>
            </w:tcBorders>
            <w:shd w:val="clear" w:color="000000" w:fill="FFFFFF"/>
            <w:noWrap/>
            <w:vAlign w:val="center"/>
            <w:hideMark/>
          </w:tcPr>
          <w:p w14:paraId="4E097A88"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170</w:t>
            </w:r>
          </w:p>
        </w:tc>
        <w:tc>
          <w:tcPr>
            <w:tcW w:w="545" w:type="dxa"/>
            <w:tcBorders>
              <w:top w:val="nil"/>
              <w:left w:val="nil"/>
              <w:bottom w:val="single" w:sz="8" w:space="0" w:color="DCDDDE"/>
              <w:right w:val="nil"/>
            </w:tcBorders>
            <w:shd w:val="clear" w:color="000000" w:fill="FFFFFF"/>
            <w:noWrap/>
            <w:vAlign w:val="center"/>
            <w:hideMark/>
          </w:tcPr>
          <w:p w14:paraId="5CAE870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180</w:t>
            </w:r>
          </w:p>
        </w:tc>
        <w:tc>
          <w:tcPr>
            <w:tcW w:w="545" w:type="dxa"/>
            <w:tcBorders>
              <w:top w:val="nil"/>
              <w:left w:val="nil"/>
              <w:bottom w:val="single" w:sz="8" w:space="0" w:color="DCDDDE"/>
              <w:right w:val="nil"/>
            </w:tcBorders>
            <w:shd w:val="clear" w:color="000000" w:fill="FFFFFF"/>
            <w:noWrap/>
            <w:vAlign w:val="center"/>
            <w:hideMark/>
          </w:tcPr>
          <w:p w14:paraId="2E7EE64B"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196</w:t>
            </w:r>
          </w:p>
        </w:tc>
        <w:tc>
          <w:tcPr>
            <w:tcW w:w="545" w:type="dxa"/>
            <w:tcBorders>
              <w:top w:val="nil"/>
              <w:left w:val="nil"/>
              <w:bottom w:val="single" w:sz="8" w:space="0" w:color="DCDDDE"/>
              <w:right w:val="nil"/>
            </w:tcBorders>
            <w:shd w:val="clear" w:color="000000" w:fill="FFFFFF"/>
            <w:noWrap/>
            <w:vAlign w:val="center"/>
            <w:hideMark/>
          </w:tcPr>
          <w:p w14:paraId="5555A16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204</w:t>
            </w:r>
          </w:p>
        </w:tc>
        <w:tc>
          <w:tcPr>
            <w:tcW w:w="545" w:type="dxa"/>
            <w:tcBorders>
              <w:top w:val="nil"/>
              <w:left w:val="nil"/>
              <w:bottom w:val="single" w:sz="8" w:space="0" w:color="DCDDDE"/>
              <w:right w:val="nil"/>
            </w:tcBorders>
            <w:shd w:val="clear" w:color="000000" w:fill="FFFFFF"/>
            <w:noWrap/>
            <w:vAlign w:val="center"/>
            <w:hideMark/>
          </w:tcPr>
          <w:p w14:paraId="511E3500"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204</w:t>
            </w:r>
          </w:p>
        </w:tc>
        <w:tc>
          <w:tcPr>
            <w:tcW w:w="545" w:type="dxa"/>
            <w:tcBorders>
              <w:top w:val="nil"/>
              <w:left w:val="nil"/>
              <w:bottom w:val="single" w:sz="8" w:space="0" w:color="DCDDDE"/>
              <w:right w:val="nil"/>
            </w:tcBorders>
            <w:shd w:val="clear" w:color="000000" w:fill="FFFFFF"/>
            <w:noWrap/>
            <w:vAlign w:val="center"/>
            <w:hideMark/>
          </w:tcPr>
          <w:p w14:paraId="0EE42482"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206</w:t>
            </w:r>
          </w:p>
        </w:tc>
        <w:tc>
          <w:tcPr>
            <w:tcW w:w="545" w:type="dxa"/>
            <w:tcBorders>
              <w:top w:val="nil"/>
              <w:left w:val="nil"/>
              <w:bottom w:val="single" w:sz="8" w:space="0" w:color="DCDDDE"/>
              <w:right w:val="nil"/>
            </w:tcBorders>
            <w:shd w:val="clear" w:color="000000" w:fill="FFFFFF"/>
            <w:noWrap/>
            <w:vAlign w:val="center"/>
            <w:hideMark/>
          </w:tcPr>
          <w:p w14:paraId="61594B18"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214</w:t>
            </w:r>
          </w:p>
        </w:tc>
        <w:tc>
          <w:tcPr>
            <w:tcW w:w="545" w:type="dxa"/>
            <w:tcBorders>
              <w:top w:val="nil"/>
              <w:left w:val="nil"/>
              <w:bottom w:val="single" w:sz="8" w:space="0" w:color="DCDDDE"/>
              <w:right w:val="nil"/>
            </w:tcBorders>
            <w:shd w:val="clear" w:color="000000" w:fill="FFFFFF"/>
            <w:noWrap/>
            <w:vAlign w:val="center"/>
            <w:hideMark/>
          </w:tcPr>
          <w:p w14:paraId="39A2B69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214</w:t>
            </w:r>
          </w:p>
        </w:tc>
        <w:tc>
          <w:tcPr>
            <w:tcW w:w="545" w:type="dxa"/>
            <w:tcBorders>
              <w:top w:val="nil"/>
              <w:left w:val="nil"/>
              <w:bottom w:val="single" w:sz="8" w:space="0" w:color="DCDDDE"/>
              <w:right w:val="nil"/>
            </w:tcBorders>
            <w:shd w:val="clear" w:color="000000" w:fill="FFFFFF"/>
            <w:noWrap/>
            <w:vAlign w:val="center"/>
            <w:hideMark/>
          </w:tcPr>
          <w:p w14:paraId="324323F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213</w:t>
            </w:r>
          </w:p>
        </w:tc>
      </w:tr>
      <w:tr w:rsidR="00C97435" w:rsidRPr="00C97435" w14:paraId="3A1730DD" w14:textId="77777777" w:rsidTr="0058478E">
        <w:trPr>
          <w:gridAfter w:val="1"/>
          <w:wAfter w:w="7" w:type="dxa"/>
          <w:trHeight w:val="217"/>
        </w:trPr>
        <w:tc>
          <w:tcPr>
            <w:tcW w:w="1771" w:type="dxa"/>
            <w:tcBorders>
              <w:top w:val="nil"/>
              <w:left w:val="nil"/>
              <w:bottom w:val="single" w:sz="8" w:space="0" w:color="DCDDDE"/>
              <w:right w:val="nil"/>
            </w:tcBorders>
            <w:shd w:val="clear" w:color="000000" w:fill="FFFFFF"/>
            <w:vAlign w:val="center"/>
            <w:hideMark/>
          </w:tcPr>
          <w:p w14:paraId="7AE868FA"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41102B2B"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39</w:t>
            </w:r>
          </w:p>
        </w:tc>
        <w:tc>
          <w:tcPr>
            <w:tcW w:w="545" w:type="dxa"/>
            <w:tcBorders>
              <w:top w:val="nil"/>
              <w:left w:val="nil"/>
              <w:bottom w:val="single" w:sz="8" w:space="0" w:color="DCDDDE"/>
              <w:right w:val="nil"/>
            </w:tcBorders>
            <w:shd w:val="clear" w:color="000000" w:fill="FFFFFF"/>
            <w:noWrap/>
            <w:vAlign w:val="center"/>
            <w:hideMark/>
          </w:tcPr>
          <w:p w14:paraId="2454DD4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49</w:t>
            </w:r>
          </w:p>
        </w:tc>
        <w:tc>
          <w:tcPr>
            <w:tcW w:w="545" w:type="dxa"/>
            <w:tcBorders>
              <w:top w:val="nil"/>
              <w:left w:val="nil"/>
              <w:bottom w:val="single" w:sz="8" w:space="0" w:color="DCDDDE"/>
              <w:right w:val="nil"/>
            </w:tcBorders>
            <w:shd w:val="clear" w:color="000000" w:fill="FFFFFF"/>
            <w:noWrap/>
            <w:vAlign w:val="center"/>
            <w:hideMark/>
          </w:tcPr>
          <w:p w14:paraId="66B9994C"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55</w:t>
            </w:r>
          </w:p>
        </w:tc>
        <w:tc>
          <w:tcPr>
            <w:tcW w:w="545" w:type="dxa"/>
            <w:tcBorders>
              <w:top w:val="nil"/>
              <w:left w:val="nil"/>
              <w:bottom w:val="single" w:sz="8" w:space="0" w:color="DCDDDE"/>
              <w:right w:val="nil"/>
            </w:tcBorders>
            <w:shd w:val="clear" w:color="000000" w:fill="FFFFFF"/>
            <w:noWrap/>
            <w:vAlign w:val="center"/>
            <w:hideMark/>
          </w:tcPr>
          <w:p w14:paraId="793AF4C3"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61</w:t>
            </w:r>
          </w:p>
        </w:tc>
        <w:tc>
          <w:tcPr>
            <w:tcW w:w="545" w:type="dxa"/>
            <w:tcBorders>
              <w:top w:val="nil"/>
              <w:left w:val="nil"/>
              <w:bottom w:val="single" w:sz="8" w:space="0" w:color="DCDDDE"/>
              <w:right w:val="nil"/>
            </w:tcBorders>
            <w:shd w:val="clear" w:color="000000" w:fill="FFFFFF"/>
            <w:noWrap/>
            <w:vAlign w:val="center"/>
            <w:hideMark/>
          </w:tcPr>
          <w:p w14:paraId="65CCDC37"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65</w:t>
            </w:r>
          </w:p>
        </w:tc>
        <w:tc>
          <w:tcPr>
            <w:tcW w:w="545" w:type="dxa"/>
            <w:tcBorders>
              <w:top w:val="nil"/>
              <w:left w:val="nil"/>
              <w:bottom w:val="single" w:sz="8" w:space="0" w:color="DCDDDE"/>
              <w:right w:val="nil"/>
            </w:tcBorders>
            <w:shd w:val="clear" w:color="000000" w:fill="FFFFFF"/>
            <w:noWrap/>
            <w:vAlign w:val="center"/>
            <w:hideMark/>
          </w:tcPr>
          <w:p w14:paraId="7F29221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70</w:t>
            </w:r>
          </w:p>
        </w:tc>
        <w:tc>
          <w:tcPr>
            <w:tcW w:w="545" w:type="dxa"/>
            <w:tcBorders>
              <w:top w:val="nil"/>
              <w:left w:val="nil"/>
              <w:bottom w:val="single" w:sz="8" w:space="0" w:color="DCDDDE"/>
              <w:right w:val="nil"/>
            </w:tcBorders>
            <w:shd w:val="clear" w:color="000000" w:fill="FFFFFF"/>
            <w:noWrap/>
            <w:vAlign w:val="center"/>
            <w:hideMark/>
          </w:tcPr>
          <w:p w14:paraId="680DACB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74</w:t>
            </w:r>
          </w:p>
        </w:tc>
        <w:tc>
          <w:tcPr>
            <w:tcW w:w="545" w:type="dxa"/>
            <w:tcBorders>
              <w:top w:val="nil"/>
              <w:left w:val="nil"/>
              <w:bottom w:val="single" w:sz="8" w:space="0" w:color="DCDDDE"/>
              <w:right w:val="nil"/>
            </w:tcBorders>
            <w:shd w:val="clear" w:color="000000" w:fill="FFFFFF"/>
            <w:noWrap/>
            <w:vAlign w:val="center"/>
            <w:hideMark/>
          </w:tcPr>
          <w:p w14:paraId="6FA7B2BB"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81</w:t>
            </w:r>
          </w:p>
        </w:tc>
        <w:tc>
          <w:tcPr>
            <w:tcW w:w="545" w:type="dxa"/>
            <w:tcBorders>
              <w:top w:val="nil"/>
              <w:left w:val="nil"/>
              <w:bottom w:val="single" w:sz="8" w:space="0" w:color="DCDDDE"/>
              <w:right w:val="nil"/>
            </w:tcBorders>
            <w:shd w:val="clear" w:color="000000" w:fill="FFFFFF"/>
            <w:noWrap/>
            <w:vAlign w:val="center"/>
            <w:hideMark/>
          </w:tcPr>
          <w:p w14:paraId="0F80B05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87</w:t>
            </w:r>
          </w:p>
        </w:tc>
        <w:tc>
          <w:tcPr>
            <w:tcW w:w="545" w:type="dxa"/>
            <w:tcBorders>
              <w:top w:val="nil"/>
              <w:left w:val="nil"/>
              <w:bottom w:val="single" w:sz="8" w:space="0" w:color="DCDDDE"/>
              <w:right w:val="nil"/>
            </w:tcBorders>
            <w:shd w:val="clear" w:color="000000" w:fill="FFFFFF"/>
            <w:noWrap/>
            <w:vAlign w:val="center"/>
            <w:hideMark/>
          </w:tcPr>
          <w:p w14:paraId="56FAA02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92</w:t>
            </w:r>
          </w:p>
        </w:tc>
        <w:tc>
          <w:tcPr>
            <w:tcW w:w="545" w:type="dxa"/>
            <w:tcBorders>
              <w:top w:val="nil"/>
              <w:left w:val="nil"/>
              <w:bottom w:val="single" w:sz="8" w:space="0" w:color="DCDDDE"/>
              <w:right w:val="nil"/>
            </w:tcBorders>
            <w:shd w:val="clear" w:color="000000" w:fill="FFFFFF"/>
            <w:noWrap/>
            <w:vAlign w:val="center"/>
            <w:hideMark/>
          </w:tcPr>
          <w:p w14:paraId="67DEACC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98</w:t>
            </w:r>
          </w:p>
        </w:tc>
        <w:tc>
          <w:tcPr>
            <w:tcW w:w="545" w:type="dxa"/>
            <w:tcBorders>
              <w:top w:val="nil"/>
              <w:left w:val="nil"/>
              <w:bottom w:val="single" w:sz="8" w:space="0" w:color="DCDDDE"/>
              <w:right w:val="nil"/>
            </w:tcBorders>
            <w:shd w:val="clear" w:color="000000" w:fill="FFFFFF"/>
            <w:noWrap/>
            <w:vAlign w:val="center"/>
            <w:hideMark/>
          </w:tcPr>
          <w:p w14:paraId="6496C8AC"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104</w:t>
            </w:r>
          </w:p>
        </w:tc>
        <w:tc>
          <w:tcPr>
            <w:tcW w:w="545" w:type="dxa"/>
            <w:tcBorders>
              <w:top w:val="nil"/>
              <w:left w:val="nil"/>
              <w:bottom w:val="single" w:sz="8" w:space="0" w:color="DCDDDE"/>
              <w:right w:val="nil"/>
            </w:tcBorders>
            <w:shd w:val="clear" w:color="000000" w:fill="FFFFFF"/>
            <w:noWrap/>
            <w:vAlign w:val="center"/>
            <w:hideMark/>
          </w:tcPr>
          <w:p w14:paraId="079D56C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109</w:t>
            </w:r>
          </w:p>
        </w:tc>
      </w:tr>
      <w:tr w:rsidR="00C97435" w:rsidRPr="00C97435" w14:paraId="0B5D3802" w14:textId="77777777" w:rsidTr="0058478E">
        <w:trPr>
          <w:gridAfter w:val="1"/>
          <w:wAfter w:w="7" w:type="dxa"/>
          <w:trHeight w:val="217"/>
        </w:trPr>
        <w:tc>
          <w:tcPr>
            <w:tcW w:w="1771" w:type="dxa"/>
            <w:tcBorders>
              <w:top w:val="nil"/>
              <w:left w:val="nil"/>
              <w:bottom w:val="single" w:sz="8" w:space="0" w:color="DCDDDE"/>
              <w:right w:val="nil"/>
            </w:tcBorders>
            <w:shd w:val="clear" w:color="000000" w:fill="FFFFFF"/>
            <w:vAlign w:val="center"/>
            <w:hideMark/>
          </w:tcPr>
          <w:p w14:paraId="26BA71F1"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59B1F45B"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1AF81DAE"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3B974EC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36B6662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0E7A1760"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7CDF879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266214F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1BCAD82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4FD2AE73"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607B55A8"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7691ECB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5733FF47"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00D520F0"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r>
      <w:tr w:rsidR="00C97435" w:rsidRPr="00C97435" w14:paraId="48A3FD32" w14:textId="77777777" w:rsidTr="0058478E">
        <w:trPr>
          <w:gridAfter w:val="1"/>
          <w:wAfter w:w="7" w:type="dxa"/>
          <w:trHeight w:val="286"/>
        </w:trPr>
        <w:tc>
          <w:tcPr>
            <w:tcW w:w="1771" w:type="dxa"/>
            <w:tcBorders>
              <w:top w:val="nil"/>
              <w:left w:val="nil"/>
              <w:bottom w:val="single" w:sz="8" w:space="0" w:color="DCDDDE"/>
              <w:right w:val="nil"/>
            </w:tcBorders>
            <w:shd w:val="clear" w:color="000000" w:fill="FFFFFF"/>
            <w:vAlign w:val="center"/>
            <w:hideMark/>
          </w:tcPr>
          <w:p w14:paraId="123A6DA3"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668CBB13"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183</w:t>
            </w:r>
          </w:p>
        </w:tc>
        <w:tc>
          <w:tcPr>
            <w:tcW w:w="545" w:type="dxa"/>
            <w:tcBorders>
              <w:top w:val="nil"/>
              <w:left w:val="nil"/>
              <w:bottom w:val="single" w:sz="8" w:space="0" w:color="DCDDDE"/>
              <w:right w:val="nil"/>
            </w:tcBorders>
            <w:shd w:val="clear" w:color="000000" w:fill="FFFFFF"/>
            <w:noWrap/>
            <w:vAlign w:val="center"/>
            <w:hideMark/>
          </w:tcPr>
          <w:p w14:paraId="3FF1BA9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206</w:t>
            </w:r>
          </w:p>
        </w:tc>
        <w:tc>
          <w:tcPr>
            <w:tcW w:w="545" w:type="dxa"/>
            <w:tcBorders>
              <w:top w:val="nil"/>
              <w:left w:val="nil"/>
              <w:bottom w:val="single" w:sz="8" w:space="0" w:color="DCDDDE"/>
              <w:right w:val="nil"/>
            </w:tcBorders>
            <w:shd w:val="clear" w:color="000000" w:fill="FFFFFF"/>
            <w:noWrap/>
            <w:vAlign w:val="center"/>
            <w:hideMark/>
          </w:tcPr>
          <w:p w14:paraId="378FACD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205</w:t>
            </w:r>
          </w:p>
        </w:tc>
        <w:tc>
          <w:tcPr>
            <w:tcW w:w="545" w:type="dxa"/>
            <w:tcBorders>
              <w:top w:val="nil"/>
              <w:left w:val="nil"/>
              <w:bottom w:val="single" w:sz="8" w:space="0" w:color="DCDDDE"/>
              <w:right w:val="nil"/>
            </w:tcBorders>
            <w:shd w:val="clear" w:color="000000" w:fill="FFFFFF"/>
            <w:noWrap/>
            <w:vAlign w:val="center"/>
            <w:hideMark/>
          </w:tcPr>
          <w:p w14:paraId="1DE75FBF"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232</w:t>
            </w:r>
          </w:p>
        </w:tc>
        <w:tc>
          <w:tcPr>
            <w:tcW w:w="545" w:type="dxa"/>
            <w:tcBorders>
              <w:top w:val="nil"/>
              <w:left w:val="nil"/>
              <w:bottom w:val="single" w:sz="8" w:space="0" w:color="DCDDDE"/>
              <w:right w:val="nil"/>
            </w:tcBorders>
            <w:shd w:val="clear" w:color="000000" w:fill="FFFFFF"/>
            <w:noWrap/>
            <w:vAlign w:val="center"/>
            <w:hideMark/>
          </w:tcPr>
          <w:p w14:paraId="5050E479"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241</w:t>
            </w:r>
          </w:p>
        </w:tc>
        <w:tc>
          <w:tcPr>
            <w:tcW w:w="545" w:type="dxa"/>
            <w:tcBorders>
              <w:top w:val="nil"/>
              <w:left w:val="nil"/>
              <w:bottom w:val="single" w:sz="8" w:space="0" w:color="DCDDDE"/>
              <w:right w:val="nil"/>
            </w:tcBorders>
            <w:shd w:val="clear" w:color="000000" w:fill="FFFFFF"/>
            <w:noWrap/>
            <w:vAlign w:val="center"/>
            <w:hideMark/>
          </w:tcPr>
          <w:p w14:paraId="4A59D7B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256</w:t>
            </w:r>
          </w:p>
        </w:tc>
        <w:tc>
          <w:tcPr>
            <w:tcW w:w="545" w:type="dxa"/>
            <w:tcBorders>
              <w:top w:val="nil"/>
              <w:left w:val="nil"/>
              <w:bottom w:val="single" w:sz="8" w:space="0" w:color="DCDDDE"/>
              <w:right w:val="nil"/>
            </w:tcBorders>
            <w:shd w:val="clear" w:color="000000" w:fill="FFFFFF"/>
            <w:noWrap/>
            <w:vAlign w:val="center"/>
            <w:hideMark/>
          </w:tcPr>
          <w:p w14:paraId="73B64912"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276</w:t>
            </w:r>
          </w:p>
        </w:tc>
        <w:tc>
          <w:tcPr>
            <w:tcW w:w="545" w:type="dxa"/>
            <w:tcBorders>
              <w:top w:val="nil"/>
              <w:left w:val="nil"/>
              <w:bottom w:val="single" w:sz="8" w:space="0" w:color="DCDDDE"/>
              <w:right w:val="nil"/>
            </w:tcBorders>
            <w:shd w:val="clear" w:color="000000" w:fill="FFFFFF"/>
            <w:noWrap/>
            <w:vAlign w:val="center"/>
            <w:hideMark/>
          </w:tcPr>
          <w:p w14:paraId="331E287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290</w:t>
            </w:r>
          </w:p>
        </w:tc>
        <w:tc>
          <w:tcPr>
            <w:tcW w:w="545" w:type="dxa"/>
            <w:tcBorders>
              <w:top w:val="nil"/>
              <w:left w:val="nil"/>
              <w:bottom w:val="single" w:sz="8" w:space="0" w:color="DCDDDE"/>
              <w:right w:val="nil"/>
            </w:tcBorders>
            <w:shd w:val="clear" w:color="000000" w:fill="FFFFFF"/>
            <w:noWrap/>
            <w:vAlign w:val="center"/>
            <w:hideMark/>
          </w:tcPr>
          <w:p w14:paraId="2702E028"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296</w:t>
            </w:r>
          </w:p>
        </w:tc>
        <w:tc>
          <w:tcPr>
            <w:tcW w:w="545" w:type="dxa"/>
            <w:tcBorders>
              <w:top w:val="nil"/>
              <w:left w:val="nil"/>
              <w:bottom w:val="single" w:sz="8" w:space="0" w:color="DCDDDE"/>
              <w:right w:val="nil"/>
            </w:tcBorders>
            <w:shd w:val="clear" w:color="000000" w:fill="FFFFFF"/>
            <w:noWrap/>
            <w:vAlign w:val="center"/>
            <w:hideMark/>
          </w:tcPr>
          <w:p w14:paraId="345E153B"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304</w:t>
            </w:r>
          </w:p>
        </w:tc>
        <w:tc>
          <w:tcPr>
            <w:tcW w:w="545" w:type="dxa"/>
            <w:tcBorders>
              <w:top w:val="nil"/>
              <w:left w:val="nil"/>
              <w:bottom w:val="single" w:sz="8" w:space="0" w:color="DCDDDE"/>
              <w:right w:val="nil"/>
            </w:tcBorders>
            <w:shd w:val="clear" w:color="000000" w:fill="FFFFFF"/>
            <w:noWrap/>
            <w:vAlign w:val="center"/>
            <w:hideMark/>
          </w:tcPr>
          <w:p w14:paraId="186142D7"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317</w:t>
            </w:r>
          </w:p>
        </w:tc>
        <w:tc>
          <w:tcPr>
            <w:tcW w:w="545" w:type="dxa"/>
            <w:tcBorders>
              <w:top w:val="nil"/>
              <w:left w:val="nil"/>
              <w:bottom w:val="single" w:sz="8" w:space="0" w:color="DCDDDE"/>
              <w:right w:val="nil"/>
            </w:tcBorders>
            <w:shd w:val="clear" w:color="000000" w:fill="FFFFFF"/>
            <w:noWrap/>
            <w:vAlign w:val="center"/>
            <w:hideMark/>
          </w:tcPr>
          <w:p w14:paraId="664DF3BE"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323</w:t>
            </w:r>
          </w:p>
        </w:tc>
        <w:tc>
          <w:tcPr>
            <w:tcW w:w="545" w:type="dxa"/>
            <w:tcBorders>
              <w:top w:val="nil"/>
              <w:left w:val="nil"/>
              <w:bottom w:val="single" w:sz="8" w:space="0" w:color="DCDDDE"/>
              <w:right w:val="nil"/>
            </w:tcBorders>
            <w:shd w:val="clear" w:color="000000" w:fill="FFFFFF"/>
            <w:noWrap/>
            <w:vAlign w:val="center"/>
            <w:hideMark/>
          </w:tcPr>
          <w:p w14:paraId="578C9E5B"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328</w:t>
            </w:r>
          </w:p>
        </w:tc>
      </w:tr>
      <w:tr w:rsidR="00C97435" w:rsidRPr="00C97435" w14:paraId="24CEDEF2" w14:textId="77777777" w:rsidTr="0058478E">
        <w:trPr>
          <w:gridAfter w:val="1"/>
          <w:wAfter w:w="7" w:type="dxa"/>
          <w:trHeight w:val="217"/>
        </w:trPr>
        <w:tc>
          <w:tcPr>
            <w:tcW w:w="1771" w:type="dxa"/>
            <w:tcBorders>
              <w:top w:val="nil"/>
              <w:left w:val="nil"/>
              <w:bottom w:val="single" w:sz="8" w:space="0" w:color="DCDDDE"/>
              <w:right w:val="nil"/>
            </w:tcBorders>
            <w:shd w:val="clear" w:color="000000" w:fill="FFFFFF"/>
            <w:vAlign w:val="center"/>
            <w:hideMark/>
          </w:tcPr>
          <w:p w14:paraId="563555D5"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572AB11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272</w:t>
            </w:r>
          </w:p>
        </w:tc>
        <w:tc>
          <w:tcPr>
            <w:tcW w:w="545" w:type="dxa"/>
            <w:tcBorders>
              <w:top w:val="nil"/>
              <w:left w:val="nil"/>
              <w:bottom w:val="single" w:sz="8" w:space="0" w:color="DCDDDE"/>
              <w:right w:val="nil"/>
            </w:tcBorders>
            <w:shd w:val="clear" w:color="000000" w:fill="FFFFFF"/>
            <w:noWrap/>
            <w:vAlign w:val="center"/>
            <w:hideMark/>
          </w:tcPr>
          <w:p w14:paraId="1BD8514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275</w:t>
            </w:r>
          </w:p>
        </w:tc>
        <w:tc>
          <w:tcPr>
            <w:tcW w:w="545" w:type="dxa"/>
            <w:tcBorders>
              <w:top w:val="nil"/>
              <w:left w:val="nil"/>
              <w:bottom w:val="single" w:sz="8" w:space="0" w:color="DCDDDE"/>
              <w:right w:val="nil"/>
            </w:tcBorders>
            <w:shd w:val="clear" w:color="000000" w:fill="FFFFFF"/>
            <w:noWrap/>
            <w:vAlign w:val="center"/>
            <w:hideMark/>
          </w:tcPr>
          <w:p w14:paraId="54B260F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311</w:t>
            </w:r>
          </w:p>
        </w:tc>
        <w:tc>
          <w:tcPr>
            <w:tcW w:w="545" w:type="dxa"/>
            <w:tcBorders>
              <w:top w:val="nil"/>
              <w:left w:val="nil"/>
              <w:bottom w:val="single" w:sz="8" w:space="0" w:color="DCDDDE"/>
              <w:right w:val="nil"/>
            </w:tcBorders>
            <w:shd w:val="clear" w:color="000000" w:fill="FFFFFF"/>
            <w:noWrap/>
            <w:vAlign w:val="center"/>
            <w:hideMark/>
          </w:tcPr>
          <w:p w14:paraId="5A3FA818"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368</w:t>
            </w:r>
          </w:p>
        </w:tc>
        <w:tc>
          <w:tcPr>
            <w:tcW w:w="545" w:type="dxa"/>
            <w:tcBorders>
              <w:top w:val="nil"/>
              <w:left w:val="nil"/>
              <w:bottom w:val="single" w:sz="8" w:space="0" w:color="DCDDDE"/>
              <w:right w:val="nil"/>
            </w:tcBorders>
            <w:shd w:val="clear" w:color="000000" w:fill="FFFFFF"/>
            <w:noWrap/>
            <w:vAlign w:val="center"/>
            <w:hideMark/>
          </w:tcPr>
          <w:p w14:paraId="572086EB"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359</w:t>
            </w:r>
          </w:p>
        </w:tc>
        <w:tc>
          <w:tcPr>
            <w:tcW w:w="545" w:type="dxa"/>
            <w:tcBorders>
              <w:top w:val="nil"/>
              <w:left w:val="nil"/>
              <w:bottom w:val="single" w:sz="8" w:space="0" w:color="DCDDDE"/>
              <w:right w:val="nil"/>
            </w:tcBorders>
            <w:shd w:val="clear" w:color="000000" w:fill="FFFFFF"/>
            <w:noWrap/>
            <w:vAlign w:val="center"/>
            <w:hideMark/>
          </w:tcPr>
          <w:p w14:paraId="15E4DC49"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440</w:t>
            </w:r>
          </w:p>
        </w:tc>
        <w:tc>
          <w:tcPr>
            <w:tcW w:w="545" w:type="dxa"/>
            <w:tcBorders>
              <w:top w:val="nil"/>
              <w:left w:val="nil"/>
              <w:bottom w:val="single" w:sz="8" w:space="0" w:color="DCDDDE"/>
              <w:right w:val="nil"/>
            </w:tcBorders>
            <w:shd w:val="clear" w:color="000000" w:fill="FFFFFF"/>
            <w:noWrap/>
            <w:vAlign w:val="center"/>
            <w:hideMark/>
          </w:tcPr>
          <w:p w14:paraId="07E39A1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422</w:t>
            </w:r>
          </w:p>
        </w:tc>
        <w:tc>
          <w:tcPr>
            <w:tcW w:w="545" w:type="dxa"/>
            <w:tcBorders>
              <w:top w:val="nil"/>
              <w:left w:val="nil"/>
              <w:bottom w:val="single" w:sz="8" w:space="0" w:color="DCDDDE"/>
              <w:right w:val="nil"/>
            </w:tcBorders>
            <w:shd w:val="clear" w:color="000000" w:fill="FFFFFF"/>
            <w:noWrap/>
            <w:vAlign w:val="center"/>
            <w:hideMark/>
          </w:tcPr>
          <w:p w14:paraId="419C09D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408</w:t>
            </w:r>
          </w:p>
        </w:tc>
        <w:tc>
          <w:tcPr>
            <w:tcW w:w="545" w:type="dxa"/>
            <w:tcBorders>
              <w:top w:val="nil"/>
              <w:left w:val="nil"/>
              <w:bottom w:val="single" w:sz="8" w:space="0" w:color="DCDDDE"/>
              <w:right w:val="nil"/>
            </w:tcBorders>
            <w:shd w:val="clear" w:color="000000" w:fill="FFFFFF"/>
            <w:noWrap/>
            <w:vAlign w:val="center"/>
            <w:hideMark/>
          </w:tcPr>
          <w:p w14:paraId="1A32B65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392</w:t>
            </w:r>
          </w:p>
        </w:tc>
        <w:tc>
          <w:tcPr>
            <w:tcW w:w="545" w:type="dxa"/>
            <w:tcBorders>
              <w:top w:val="nil"/>
              <w:left w:val="nil"/>
              <w:bottom w:val="single" w:sz="8" w:space="0" w:color="DCDDDE"/>
              <w:right w:val="nil"/>
            </w:tcBorders>
            <w:shd w:val="clear" w:color="000000" w:fill="FFFFFF"/>
            <w:noWrap/>
            <w:vAlign w:val="center"/>
            <w:hideMark/>
          </w:tcPr>
          <w:p w14:paraId="26898EF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382</w:t>
            </w:r>
          </w:p>
        </w:tc>
        <w:tc>
          <w:tcPr>
            <w:tcW w:w="545" w:type="dxa"/>
            <w:tcBorders>
              <w:top w:val="nil"/>
              <w:left w:val="nil"/>
              <w:bottom w:val="single" w:sz="8" w:space="0" w:color="DCDDDE"/>
              <w:right w:val="nil"/>
            </w:tcBorders>
            <w:shd w:val="clear" w:color="000000" w:fill="FFFFFF"/>
            <w:noWrap/>
            <w:vAlign w:val="center"/>
            <w:hideMark/>
          </w:tcPr>
          <w:p w14:paraId="063E09B3"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361</w:t>
            </w:r>
          </w:p>
        </w:tc>
        <w:tc>
          <w:tcPr>
            <w:tcW w:w="545" w:type="dxa"/>
            <w:tcBorders>
              <w:top w:val="nil"/>
              <w:left w:val="nil"/>
              <w:bottom w:val="single" w:sz="8" w:space="0" w:color="DCDDDE"/>
              <w:right w:val="nil"/>
            </w:tcBorders>
            <w:shd w:val="clear" w:color="000000" w:fill="FFFFFF"/>
            <w:noWrap/>
            <w:vAlign w:val="center"/>
            <w:hideMark/>
          </w:tcPr>
          <w:p w14:paraId="1506D07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344</w:t>
            </w:r>
          </w:p>
        </w:tc>
        <w:tc>
          <w:tcPr>
            <w:tcW w:w="545" w:type="dxa"/>
            <w:tcBorders>
              <w:top w:val="nil"/>
              <w:left w:val="nil"/>
              <w:bottom w:val="single" w:sz="8" w:space="0" w:color="DCDDDE"/>
              <w:right w:val="nil"/>
            </w:tcBorders>
            <w:shd w:val="clear" w:color="000000" w:fill="FFFFFF"/>
            <w:noWrap/>
            <w:vAlign w:val="center"/>
            <w:hideMark/>
          </w:tcPr>
          <w:p w14:paraId="41779D00"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327</w:t>
            </w:r>
          </w:p>
        </w:tc>
      </w:tr>
      <w:tr w:rsidR="00C97435" w:rsidRPr="00C97435" w14:paraId="4254CB17" w14:textId="77777777" w:rsidTr="0058478E">
        <w:trPr>
          <w:gridAfter w:val="1"/>
          <w:wAfter w:w="7" w:type="dxa"/>
          <w:trHeight w:val="217"/>
        </w:trPr>
        <w:tc>
          <w:tcPr>
            <w:tcW w:w="1771" w:type="dxa"/>
            <w:tcBorders>
              <w:top w:val="nil"/>
              <w:left w:val="nil"/>
              <w:bottom w:val="single" w:sz="8" w:space="0" w:color="DCDDDE"/>
              <w:right w:val="nil"/>
            </w:tcBorders>
            <w:shd w:val="clear" w:color="000000" w:fill="FFFFFF"/>
            <w:vAlign w:val="center"/>
            <w:hideMark/>
          </w:tcPr>
          <w:p w14:paraId="2F4BAA81"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04D8E05F"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455</w:t>
            </w:r>
          </w:p>
        </w:tc>
        <w:tc>
          <w:tcPr>
            <w:tcW w:w="545" w:type="dxa"/>
            <w:tcBorders>
              <w:top w:val="nil"/>
              <w:left w:val="nil"/>
              <w:bottom w:val="single" w:sz="8" w:space="0" w:color="DCDDDE"/>
              <w:right w:val="nil"/>
            </w:tcBorders>
            <w:shd w:val="clear" w:color="000000" w:fill="FFFFFF"/>
            <w:noWrap/>
            <w:vAlign w:val="center"/>
            <w:hideMark/>
          </w:tcPr>
          <w:p w14:paraId="0F245742"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482</w:t>
            </w:r>
          </w:p>
        </w:tc>
        <w:tc>
          <w:tcPr>
            <w:tcW w:w="545" w:type="dxa"/>
            <w:tcBorders>
              <w:top w:val="nil"/>
              <w:left w:val="nil"/>
              <w:bottom w:val="single" w:sz="8" w:space="0" w:color="DCDDDE"/>
              <w:right w:val="nil"/>
            </w:tcBorders>
            <w:shd w:val="clear" w:color="000000" w:fill="FFFFFF"/>
            <w:noWrap/>
            <w:vAlign w:val="center"/>
            <w:hideMark/>
          </w:tcPr>
          <w:p w14:paraId="0034420B"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517</w:t>
            </w:r>
          </w:p>
        </w:tc>
        <w:tc>
          <w:tcPr>
            <w:tcW w:w="545" w:type="dxa"/>
            <w:tcBorders>
              <w:top w:val="nil"/>
              <w:left w:val="nil"/>
              <w:bottom w:val="single" w:sz="8" w:space="0" w:color="DCDDDE"/>
              <w:right w:val="nil"/>
            </w:tcBorders>
            <w:shd w:val="clear" w:color="000000" w:fill="FFFFFF"/>
            <w:noWrap/>
            <w:vAlign w:val="center"/>
            <w:hideMark/>
          </w:tcPr>
          <w:p w14:paraId="6FD642E9"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600</w:t>
            </w:r>
          </w:p>
        </w:tc>
        <w:tc>
          <w:tcPr>
            <w:tcW w:w="545" w:type="dxa"/>
            <w:tcBorders>
              <w:top w:val="nil"/>
              <w:left w:val="nil"/>
              <w:bottom w:val="single" w:sz="8" w:space="0" w:color="DCDDDE"/>
              <w:right w:val="nil"/>
            </w:tcBorders>
            <w:shd w:val="clear" w:color="000000" w:fill="FFFFFF"/>
            <w:noWrap/>
            <w:vAlign w:val="center"/>
            <w:hideMark/>
          </w:tcPr>
          <w:p w14:paraId="09D1D737"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600</w:t>
            </w:r>
          </w:p>
        </w:tc>
        <w:tc>
          <w:tcPr>
            <w:tcW w:w="545" w:type="dxa"/>
            <w:tcBorders>
              <w:top w:val="nil"/>
              <w:left w:val="nil"/>
              <w:bottom w:val="single" w:sz="8" w:space="0" w:color="DCDDDE"/>
              <w:right w:val="nil"/>
            </w:tcBorders>
            <w:shd w:val="clear" w:color="000000" w:fill="FFFFFF"/>
            <w:noWrap/>
            <w:vAlign w:val="center"/>
            <w:hideMark/>
          </w:tcPr>
          <w:p w14:paraId="523A1080"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695</w:t>
            </w:r>
          </w:p>
        </w:tc>
        <w:tc>
          <w:tcPr>
            <w:tcW w:w="545" w:type="dxa"/>
            <w:tcBorders>
              <w:top w:val="nil"/>
              <w:left w:val="nil"/>
              <w:bottom w:val="single" w:sz="8" w:space="0" w:color="DCDDDE"/>
              <w:right w:val="nil"/>
            </w:tcBorders>
            <w:shd w:val="clear" w:color="000000" w:fill="FFFFFF"/>
            <w:noWrap/>
            <w:vAlign w:val="center"/>
            <w:hideMark/>
          </w:tcPr>
          <w:p w14:paraId="1897EF32"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698</w:t>
            </w:r>
          </w:p>
        </w:tc>
        <w:tc>
          <w:tcPr>
            <w:tcW w:w="545" w:type="dxa"/>
            <w:tcBorders>
              <w:top w:val="nil"/>
              <w:left w:val="nil"/>
              <w:bottom w:val="single" w:sz="8" w:space="0" w:color="DCDDDE"/>
              <w:right w:val="nil"/>
            </w:tcBorders>
            <w:shd w:val="clear" w:color="000000" w:fill="FFFFFF"/>
            <w:noWrap/>
            <w:vAlign w:val="center"/>
            <w:hideMark/>
          </w:tcPr>
          <w:p w14:paraId="17C00BD6"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699</w:t>
            </w:r>
          </w:p>
        </w:tc>
        <w:tc>
          <w:tcPr>
            <w:tcW w:w="545" w:type="dxa"/>
            <w:tcBorders>
              <w:top w:val="nil"/>
              <w:left w:val="nil"/>
              <w:bottom w:val="single" w:sz="8" w:space="0" w:color="DCDDDE"/>
              <w:right w:val="nil"/>
            </w:tcBorders>
            <w:shd w:val="clear" w:color="000000" w:fill="FFFFFF"/>
            <w:noWrap/>
            <w:vAlign w:val="center"/>
            <w:hideMark/>
          </w:tcPr>
          <w:p w14:paraId="3D92CCD6"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688</w:t>
            </w:r>
          </w:p>
        </w:tc>
        <w:tc>
          <w:tcPr>
            <w:tcW w:w="545" w:type="dxa"/>
            <w:tcBorders>
              <w:top w:val="nil"/>
              <w:left w:val="nil"/>
              <w:bottom w:val="single" w:sz="8" w:space="0" w:color="DCDDDE"/>
              <w:right w:val="nil"/>
            </w:tcBorders>
            <w:shd w:val="clear" w:color="000000" w:fill="FFFFFF"/>
            <w:noWrap/>
            <w:vAlign w:val="center"/>
            <w:hideMark/>
          </w:tcPr>
          <w:p w14:paraId="43C8FB25"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686</w:t>
            </w:r>
          </w:p>
        </w:tc>
        <w:tc>
          <w:tcPr>
            <w:tcW w:w="545" w:type="dxa"/>
            <w:tcBorders>
              <w:top w:val="nil"/>
              <w:left w:val="nil"/>
              <w:bottom w:val="single" w:sz="8" w:space="0" w:color="DCDDDE"/>
              <w:right w:val="nil"/>
            </w:tcBorders>
            <w:shd w:val="clear" w:color="000000" w:fill="FFFFFF"/>
            <w:noWrap/>
            <w:vAlign w:val="center"/>
            <w:hideMark/>
          </w:tcPr>
          <w:p w14:paraId="10578646"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679</w:t>
            </w:r>
          </w:p>
        </w:tc>
        <w:tc>
          <w:tcPr>
            <w:tcW w:w="545" w:type="dxa"/>
            <w:tcBorders>
              <w:top w:val="nil"/>
              <w:left w:val="nil"/>
              <w:bottom w:val="single" w:sz="8" w:space="0" w:color="DCDDDE"/>
              <w:right w:val="nil"/>
            </w:tcBorders>
            <w:shd w:val="clear" w:color="000000" w:fill="FFFFFF"/>
            <w:noWrap/>
            <w:vAlign w:val="center"/>
            <w:hideMark/>
          </w:tcPr>
          <w:p w14:paraId="08C6D804"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667</w:t>
            </w:r>
          </w:p>
        </w:tc>
        <w:tc>
          <w:tcPr>
            <w:tcW w:w="545" w:type="dxa"/>
            <w:tcBorders>
              <w:top w:val="nil"/>
              <w:left w:val="nil"/>
              <w:bottom w:val="single" w:sz="8" w:space="0" w:color="DCDDDE"/>
              <w:right w:val="nil"/>
            </w:tcBorders>
            <w:shd w:val="clear" w:color="000000" w:fill="FFFFFF"/>
            <w:noWrap/>
            <w:vAlign w:val="center"/>
            <w:hideMark/>
          </w:tcPr>
          <w:p w14:paraId="4F59C7DA"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655</w:t>
            </w:r>
          </w:p>
        </w:tc>
      </w:tr>
      <w:tr w:rsidR="00C97435" w:rsidRPr="00C97435" w14:paraId="7D923C27" w14:textId="77777777" w:rsidTr="00C97435">
        <w:trPr>
          <w:trHeight w:val="217"/>
        </w:trPr>
        <w:tc>
          <w:tcPr>
            <w:tcW w:w="8863" w:type="dxa"/>
            <w:gridSpan w:val="15"/>
            <w:tcBorders>
              <w:top w:val="single" w:sz="8" w:space="0" w:color="DCDDDE"/>
              <w:left w:val="nil"/>
              <w:bottom w:val="single" w:sz="8" w:space="0" w:color="DCDDDE"/>
              <w:right w:val="nil"/>
            </w:tcBorders>
            <w:shd w:val="clear" w:color="000000" w:fill="DADADA"/>
            <w:noWrap/>
            <w:vAlign w:val="center"/>
            <w:hideMark/>
          </w:tcPr>
          <w:p w14:paraId="4A00037A" w14:textId="77777777" w:rsidR="00C97435" w:rsidRPr="00C97435" w:rsidRDefault="00C97435" w:rsidP="00C97435">
            <w:pPr>
              <w:spacing w:line="240" w:lineRule="auto"/>
              <w:jc w:val="center"/>
              <w:rPr>
                <w:rFonts w:ascii="Arial Narrow" w:hAnsi="Arial Narrow" w:cs="Calibri"/>
                <w:b/>
                <w:bCs/>
                <w:sz w:val="18"/>
                <w:szCs w:val="18"/>
              </w:rPr>
            </w:pPr>
            <w:r w:rsidRPr="00C97435">
              <w:rPr>
                <w:rFonts w:ascii="Arial Narrow" w:hAnsi="Arial Narrow" w:cs="Calibri"/>
                <w:b/>
                <w:bCs/>
                <w:sz w:val="18"/>
                <w:szCs w:val="18"/>
              </w:rPr>
              <w:t>PAC | Reference</w:t>
            </w:r>
          </w:p>
        </w:tc>
      </w:tr>
      <w:tr w:rsidR="00C97435" w:rsidRPr="00C97435" w14:paraId="408F5D9C" w14:textId="77777777" w:rsidTr="0058478E">
        <w:trPr>
          <w:gridAfter w:val="1"/>
          <w:wAfter w:w="7" w:type="dxa"/>
          <w:trHeight w:val="383"/>
        </w:trPr>
        <w:tc>
          <w:tcPr>
            <w:tcW w:w="1771" w:type="dxa"/>
            <w:tcBorders>
              <w:top w:val="nil"/>
              <w:left w:val="nil"/>
              <w:bottom w:val="single" w:sz="8" w:space="0" w:color="DCDDDE"/>
              <w:right w:val="nil"/>
            </w:tcBorders>
            <w:shd w:val="clear" w:color="000000" w:fill="FFFFFF"/>
            <w:vAlign w:val="center"/>
            <w:hideMark/>
          </w:tcPr>
          <w:p w14:paraId="6E1AA664"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0F6E3ED8"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220</w:t>
            </w:r>
          </w:p>
        </w:tc>
        <w:tc>
          <w:tcPr>
            <w:tcW w:w="545" w:type="dxa"/>
            <w:tcBorders>
              <w:top w:val="nil"/>
              <w:left w:val="nil"/>
              <w:bottom w:val="single" w:sz="8" w:space="0" w:color="DCDDDE"/>
              <w:right w:val="nil"/>
            </w:tcBorders>
            <w:shd w:val="clear" w:color="000000" w:fill="FFFFFF"/>
            <w:noWrap/>
            <w:vAlign w:val="center"/>
            <w:hideMark/>
          </w:tcPr>
          <w:p w14:paraId="136DA95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239</w:t>
            </w:r>
          </w:p>
        </w:tc>
        <w:tc>
          <w:tcPr>
            <w:tcW w:w="545" w:type="dxa"/>
            <w:tcBorders>
              <w:top w:val="nil"/>
              <w:left w:val="nil"/>
              <w:bottom w:val="single" w:sz="8" w:space="0" w:color="DCDDDE"/>
              <w:right w:val="nil"/>
            </w:tcBorders>
            <w:shd w:val="clear" w:color="000000" w:fill="FFFFFF"/>
            <w:noWrap/>
            <w:vAlign w:val="center"/>
            <w:hideMark/>
          </w:tcPr>
          <w:p w14:paraId="7105D29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232</w:t>
            </w:r>
          </w:p>
        </w:tc>
        <w:tc>
          <w:tcPr>
            <w:tcW w:w="545" w:type="dxa"/>
            <w:tcBorders>
              <w:top w:val="nil"/>
              <w:left w:val="nil"/>
              <w:bottom w:val="single" w:sz="8" w:space="0" w:color="DCDDDE"/>
              <w:right w:val="nil"/>
            </w:tcBorders>
            <w:shd w:val="clear" w:color="000000" w:fill="FFFFFF"/>
            <w:noWrap/>
            <w:vAlign w:val="center"/>
            <w:hideMark/>
          </w:tcPr>
          <w:p w14:paraId="076C7A8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258</w:t>
            </w:r>
          </w:p>
        </w:tc>
        <w:tc>
          <w:tcPr>
            <w:tcW w:w="545" w:type="dxa"/>
            <w:tcBorders>
              <w:top w:val="nil"/>
              <w:left w:val="nil"/>
              <w:bottom w:val="single" w:sz="8" w:space="0" w:color="DCDDDE"/>
              <w:right w:val="nil"/>
            </w:tcBorders>
            <w:shd w:val="clear" w:color="000000" w:fill="FFFFFF"/>
            <w:noWrap/>
            <w:vAlign w:val="center"/>
            <w:hideMark/>
          </w:tcPr>
          <w:p w14:paraId="67A4F271"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260</w:t>
            </w:r>
          </w:p>
        </w:tc>
        <w:tc>
          <w:tcPr>
            <w:tcW w:w="545" w:type="dxa"/>
            <w:tcBorders>
              <w:top w:val="nil"/>
              <w:left w:val="nil"/>
              <w:bottom w:val="single" w:sz="8" w:space="0" w:color="DCDDDE"/>
              <w:right w:val="nil"/>
            </w:tcBorders>
            <w:shd w:val="clear" w:color="000000" w:fill="FFFFFF"/>
            <w:noWrap/>
            <w:vAlign w:val="center"/>
            <w:hideMark/>
          </w:tcPr>
          <w:p w14:paraId="3DF5C6BF"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271</w:t>
            </w:r>
          </w:p>
        </w:tc>
        <w:tc>
          <w:tcPr>
            <w:tcW w:w="545" w:type="dxa"/>
            <w:tcBorders>
              <w:top w:val="nil"/>
              <w:left w:val="nil"/>
              <w:bottom w:val="single" w:sz="8" w:space="0" w:color="DCDDDE"/>
              <w:right w:val="nil"/>
            </w:tcBorders>
            <w:shd w:val="clear" w:color="000000" w:fill="FFFFFF"/>
            <w:noWrap/>
            <w:vAlign w:val="center"/>
            <w:hideMark/>
          </w:tcPr>
          <w:p w14:paraId="18D6643B"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269</w:t>
            </w:r>
          </w:p>
        </w:tc>
        <w:tc>
          <w:tcPr>
            <w:tcW w:w="545" w:type="dxa"/>
            <w:tcBorders>
              <w:top w:val="nil"/>
              <w:left w:val="nil"/>
              <w:bottom w:val="single" w:sz="8" w:space="0" w:color="DCDDDE"/>
              <w:right w:val="nil"/>
            </w:tcBorders>
            <w:shd w:val="clear" w:color="000000" w:fill="FFFFFF"/>
            <w:noWrap/>
            <w:vAlign w:val="center"/>
            <w:hideMark/>
          </w:tcPr>
          <w:p w14:paraId="73CFF2E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270</w:t>
            </w:r>
          </w:p>
        </w:tc>
        <w:tc>
          <w:tcPr>
            <w:tcW w:w="545" w:type="dxa"/>
            <w:tcBorders>
              <w:top w:val="nil"/>
              <w:left w:val="nil"/>
              <w:bottom w:val="single" w:sz="8" w:space="0" w:color="DCDDDE"/>
              <w:right w:val="nil"/>
            </w:tcBorders>
            <w:shd w:val="clear" w:color="000000" w:fill="FFFFFF"/>
            <w:noWrap/>
            <w:vAlign w:val="center"/>
            <w:hideMark/>
          </w:tcPr>
          <w:p w14:paraId="0BA6DFC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266</w:t>
            </w:r>
          </w:p>
        </w:tc>
        <w:tc>
          <w:tcPr>
            <w:tcW w:w="545" w:type="dxa"/>
            <w:tcBorders>
              <w:top w:val="nil"/>
              <w:left w:val="nil"/>
              <w:bottom w:val="single" w:sz="8" w:space="0" w:color="DCDDDE"/>
              <w:right w:val="nil"/>
            </w:tcBorders>
            <w:shd w:val="clear" w:color="000000" w:fill="FFFFFF"/>
            <w:noWrap/>
            <w:vAlign w:val="center"/>
            <w:hideMark/>
          </w:tcPr>
          <w:p w14:paraId="1BE407B3"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266</w:t>
            </w:r>
          </w:p>
        </w:tc>
        <w:tc>
          <w:tcPr>
            <w:tcW w:w="545" w:type="dxa"/>
            <w:tcBorders>
              <w:top w:val="nil"/>
              <w:left w:val="nil"/>
              <w:bottom w:val="single" w:sz="8" w:space="0" w:color="DCDDDE"/>
              <w:right w:val="nil"/>
            </w:tcBorders>
            <w:shd w:val="clear" w:color="000000" w:fill="FFFFFF"/>
            <w:noWrap/>
            <w:vAlign w:val="center"/>
            <w:hideMark/>
          </w:tcPr>
          <w:p w14:paraId="1608242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267</w:t>
            </w:r>
          </w:p>
        </w:tc>
        <w:tc>
          <w:tcPr>
            <w:tcW w:w="545" w:type="dxa"/>
            <w:tcBorders>
              <w:top w:val="nil"/>
              <w:left w:val="nil"/>
              <w:bottom w:val="single" w:sz="8" w:space="0" w:color="DCDDDE"/>
              <w:right w:val="nil"/>
            </w:tcBorders>
            <w:shd w:val="clear" w:color="000000" w:fill="FFFFFF"/>
            <w:noWrap/>
            <w:vAlign w:val="center"/>
            <w:hideMark/>
          </w:tcPr>
          <w:p w14:paraId="5160135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268</w:t>
            </w:r>
          </w:p>
        </w:tc>
        <w:tc>
          <w:tcPr>
            <w:tcW w:w="545" w:type="dxa"/>
            <w:tcBorders>
              <w:top w:val="nil"/>
              <w:left w:val="nil"/>
              <w:bottom w:val="single" w:sz="8" w:space="0" w:color="DCDDDE"/>
              <w:right w:val="nil"/>
            </w:tcBorders>
            <w:shd w:val="clear" w:color="000000" w:fill="FFFFFF"/>
            <w:noWrap/>
            <w:vAlign w:val="center"/>
            <w:hideMark/>
          </w:tcPr>
          <w:p w14:paraId="6DD286EE"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267</w:t>
            </w:r>
          </w:p>
        </w:tc>
      </w:tr>
      <w:tr w:rsidR="00C97435" w:rsidRPr="00C97435" w14:paraId="4A6FFF1E" w14:textId="77777777" w:rsidTr="0058478E">
        <w:trPr>
          <w:gridAfter w:val="1"/>
          <w:wAfter w:w="7" w:type="dxa"/>
          <w:trHeight w:val="217"/>
        </w:trPr>
        <w:tc>
          <w:tcPr>
            <w:tcW w:w="1771" w:type="dxa"/>
            <w:tcBorders>
              <w:top w:val="nil"/>
              <w:left w:val="nil"/>
              <w:bottom w:val="single" w:sz="8" w:space="0" w:color="DCDDDE"/>
              <w:right w:val="nil"/>
            </w:tcBorders>
            <w:shd w:val="clear" w:color="000000" w:fill="FFFFFF"/>
            <w:vAlign w:val="center"/>
            <w:hideMark/>
          </w:tcPr>
          <w:p w14:paraId="5706FAF8"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41D6D901"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39</w:t>
            </w:r>
          </w:p>
        </w:tc>
        <w:tc>
          <w:tcPr>
            <w:tcW w:w="545" w:type="dxa"/>
            <w:tcBorders>
              <w:top w:val="nil"/>
              <w:left w:val="nil"/>
              <w:bottom w:val="single" w:sz="8" w:space="0" w:color="DCDDDE"/>
              <w:right w:val="nil"/>
            </w:tcBorders>
            <w:shd w:val="clear" w:color="000000" w:fill="FFFFFF"/>
            <w:noWrap/>
            <w:vAlign w:val="center"/>
            <w:hideMark/>
          </w:tcPr>
          <w:p w14:paraId="6A4FDE31"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49</w:t>
            </w:r>
          </w:p>
        </w:tc>
        <w:tc>
          <w:tcPr>
            <w:tcW w:w="545" w:type="dxa"/>
            <w:tcBorders>
              <w:top w:val="nil"/>
              <w:left w:val="nil"/>
              <w:bottom w:val="single" w:sz="8" w:space="0" w:color="DCDDDE"/>
              <w:right w:val="nil"/>
            </w:tcBorders>
            <w:shd w:val="clear" w:color="000000" w:fill="FFFFFF"/>
            <w:noWrap/>
            <w:vAlign w:val="center"/>
            <w:hideMark/>
          </w:tcPr>
          <w:p w14:paraId="150BEE0C"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55</w:t>
            </w:r>
          </w:p>
        </w:tc>
        <w:tc>
          <w:tcPr>
            <w:tcW w:w="545" w:type="dxa"/>
            <w:tcBorders>
              <w:top w:val="nil"/>
              <w:left w:val="nil"/>
              <w:bottom w:val="single" w:sz="8" w:space="0" w:color="DCDDDE"/>
              <w:right w:val="nil"/>
            </w:tcBorders>
            <w:shd w:val="clear" w:color="000000" w:fill="FFFFFF"/>
            <w:noWrap/>
            <w:vAlign w:val="center"/>
            <w:hideMark/>
          </w:tcPr>
          <w:p w14:paraId="05B7F99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61</w:t>
            </w:r>
          </w:p>
        </w:tc>
        <w:tc>
          <w:tcPr>
            <w:tcW w:w="545" w:type="dxa"/>
            <w:tcBorders>
              <w:top w:val="nil"/>
              <w:left w:val="nil"/>
              <w:bottom w:val="single" w:sz="8" w:space="0" w:color="DCDDDE"/>
              <w:right w:val="nil"/>
            </w:tcBorders>
            <w:shd w:val="clear" w:color="000000" w:fill="FFFFFF"/>
            <w:noWrap/>
            <w:vAlign w:val="center"/>
            <w:hideMark/>
          </w:tcPr>
          <w:p w14:paraId="7DEE9DF2"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65</w:t>
            </w:r>
          </w:p>
        </w:tc>
        <w:tc>
          <w:tcPr>
            <w:tcW w:w="545" w:type="dxa"/>
            <w:tcBorders>
              <w:top w:val="nil"/>
              <w:left w:val="nil"/>
              <w:bottom w:val="single" w:sz="8" w:space="0" w:color="DCDDDE"/>
              <w:right w:val="nil"/>
            </w:tcBorders>
            <w:shd w:val="clear" w:color="000000" w:fill="FFFFFF"/>
            <w:noWrap/>
            <w:vAlign w:val="center"/>
            <w:hideMark/>
          </w:tcPr>
          <w:p w14:paraId="462E3E6E"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70</w:t>
            </w:r>
          </w:p>
        </w:tc>
        <w:tc>
          <w:tcPr>
            <w:tcW w:w="545" w:type="dxa"/>
            <w:tcBorders>
              <w:top w:val="nil"/>
              <w:left w:val="nil"/>
              <w:bottom w:val="single" w:sz="8" w:space="0" w:color="DCDDDE"/>
              <w:right w:val="nil"/>
            </w:tcBorders>
            <w:shd w:val="clear" w:color="000000" w:fill="FFFFFF"/>
            <w:noWrap/>
            <w:vAlign w:val="center"/>
            <w:hideMark/>
          </w:tcPr>
          <w:p w14:paraId="771DE2F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74</w:t>
            </w:r>
          </w:p>
        </w:tc>
        <w:tc>
          <w:tcPr>
            <w:tcW w:w="545" w:type="dxa"/>
            <w:tcBorders>
              <w:top w:val="nil"/>
              <w:left w:val="nil"/>
              <w:bottom w:val="single" w:sz="8" w:space="0" w:color="DCDDDE"/>
              <w:right w:val="nil"/>
            </w:tcBorders>
            <w:shd w:val="clear" w:color="000000" w:fill="FFFFFF"/>
            <w:noWrap/>
            <w:vAlign w:val="center"/>
            <w:hideMark/>
          </w:tcPr>
          <w:p w14:paraId="509A0CBB"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81</w:t>
            </w:r>
          </w:p>
        </w:tc>
        <w:tc>
          <w:tcPr>
            <w:tcW w:w="545" w:type="dxa"/>
            <w:tcBorders>
              <w:top w:val="nil"/>
              <w:left w:val="nil"/>
              <w:bottom w:val="single" w:sz="8" w:space="0" w:color="DCDDDE"/>
              <w:right w:val="nil"/>
            </w:tcBorders>
            <w:shd w:val="clear" w:color="000000" w:fill="FFFFFF"/>
            <w:noWrap/>
            <w:vAlign w:val="center"/>
            <w:hideMark/>
          </w:tcPr>
          <w:p w14:paraId="40E72F7C"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87</w:t>
            </w:r>
          </w:p>
        </w:tc>
        <w:tc>
          <w:tcPr>
            <w:tcW w:w="545" w:type="dxa"/>
            <w:tcBorders>
              <w:top w:val="nil"/>
              <w:left w:val="nil"/>
              <w:bottom w:val="single" w:sz="8" w:space="0" w:color="DCDDDE"/>
              <w:right w:val="nil"/>
            </w:tcBorders>
            <w:shd w:val="clear" w:color="000000" w:fill="FFFFFF"/>
            <w:noWrap/>
            <w:vAlign w:val="center"/>
            <w:hideMark/>
          </w:tcPr>
          <w:p w14:paraId="001581D1"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92</w:t>
            </w:r>
          </w:p>
        </w:tc>
        <w:tc>
          <w:tcPr>
            <w:tcW w:w="545" w:type="dxa"/>
            <w:tcBorders>
              <w:top w:val="nil"/>
              <w:left w:val="nil"/>
              <w:bottom w:val="single" w:sz="8" w:space="0" w:color="DCDDDE"/>
              <w:right w:val="nil"/>
            </w:tcBorders>
            <w:shd w:val="clear" w:color="000000" w:fill="FFFFFF"/>
            <w:noWrap/>
            <w:vAlign w:val="center"/>
            <w:hideMark/>
          </w:tcPr>
          <w:p w14:paraId="5421D34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98</w:t>
            </w:r>
          </w:p>
        </w:tc>
        <w:tc>
          <w:tcPr>
            <w:tcW w:w="545" w:type="dxa"/>
            <w:tcBorders>
              <w:top w:val="nil"/>
              <w:left w:val="nil"/>
              <w:bottom w:val="single" w:sz="8" w:space="0" w:color="DCDDDE"/>
              <w:right w:val="nil"/>
            </w:tcBorders>
            <w:shd w:val="clear" w:color="000000" w:fill="FFFFFF"/>
            <w:noWrap/>
            <w:vAlign w:val="center"/>
            <w:hideMark/>
          </w:tcPr>
          <w:p w14:paraId="30B2B537"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104</w:t>
            </w:r>
          </w:p>
        </w:tc>
        <w:tc>
          <w:tcPr>
            <w:tcW w:w="545" w:type="dxa"/>
            <w:tcBorders>
              <w:top w:val="nil"/>
              <w:left w:val="nil"/>
              <w:bottom w:val="single" w:sz="8" w:space="0" w:color="DCDDDE"/>
              <w:right w:val="nil"/>
            </w:tcBorders>
            <w:shd w:val="clear" w:color="000000" w:fill="FFFFFF"/>
            <w:noWrap/>
            <w:vAlign w:val="center"/>
            <w:hideMark/>
          </w:tcPr>
          <w:p w14:paraId="52DEDA78"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109</w:t>
            </w:r>
          </w:p>
        </w:tc>
      </w:tr>
      <w:tr w:rsidR="00C97435" w:rsidRPr="00C97435" w14:paraId="3D763255" w14:textId="77777777" w:rsidTr="0058478E">
        <w:trPr>
          <w:gridAfter w:val="1"/>
          <w:wAfter w:w="7" w:type="dxa"/>
          <w:trHeight w:val="217"/>
        </w:trPr>
        <w:tc>
          <w:tcPr>
            <w:tcW w:w="1771" w:type="dxa"/>
            <w:tcBorders>
              <w:top w:val="nil"/>
              <w:left w:val="nil"/>
              <w:bottom w:val="single" w:sz="8" w:space="0" w:color="DCDDDE"/>
              <w:right w:val="nil"/>
            </w:tcBorders>
            <w:shd w:val="clear" w:color="000000" w:fill="FFFFFF"/>
            <w:vAlign w:val="center"/>
            <w:hideMark/>
          </w:tcPr>
          <w:p w14:paraId="459AED5A"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63906C29"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36925243"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266AA75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64A3582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6979A0F0"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7A20100B"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3B1475A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1AF3351B"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7F491CAE"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32DE312E"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11116FD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64FBE1BE"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2E102C09"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r>
      <w:tr w:rsidR="00C97435" w:rsidRPr="00C97435" w14:paraId="7BAA70FB" w14:textId="77777777" w:rsidTr="0058478E">
        <w:trPr>
          <w:gridAfter w:val="1"/>
          <w:wAfter w:w="7" w:type="dxa"/>
          <w:trHeight w:val="340"/>
        </w:trPr>
        <w:tc>
          <w:tcPr>
            <w:tcW w:w="1771" w:type="dxa"/>
            <w:tcBorders>
              <w:top w:val="nil"/>
              <w:left w:val="nil"/>
              <w:bottom w:val="single" w:sz="8" w:space="0" w:color="DCDDDE"/>
              <w:right w:val="nil"/>
            </w:tcBorders>
            <w:shd w:val="clear" w:color="000000" w:fill="FFFFFF"/>
            <w:vAlign w:val="center"/>
            <w:hideMark/>
          </w:tcPr>
          <w:p w14:paraId="7A75B148"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101EFF29"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269</w:t>
            </w:r>
          </w:p>
        </w:tc>
        <w:tc>
          <w:tcPr>
            <w:tcW w:w="545" w:type="dxa"/>
            <w:tcBorders>
              <w:top w:val="nil"/>
              <w:left w:val="nil"/>
              <w:bottom w:val="single" w:sz="8" w:space="0" w:color="DCDDDE"/>
              <w:right w:val="nil"/>
            </w:tcBorders>
            <w:shd w:val="clear" w:color="000000" w:fill="FFFFFF"/>
            <w:noWrap/>
            <w:vAlign w:val="center"/>
            <w:hideMark/>
          </w:tcPr>
          <w:p w14:paraId="102F7FDF"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299</w:t>
            </w:r>
          </w:p>
        </w:tc>
        <w:tc>
          <w:tcPr>
            <w:tcW w:w="545" w:type="dxa"/>
            <w:tcBorders>
              <w:top w:val="nil"/>
              <w:left w:val="nil"/>
              <w:bottom w:val="single" w:sz="8" w:space="0" w:color="DCDDDE"/>
              <w:right w:val="nil"/>
            </w:tcBorders>
            <w:shd w:val="clear" w:color="000000" w:fill="FFFFFF"/>
            <w:noWrap/>
            <w:vAlign w:val="center"/>
            <w:hideMark/>
          </w:tcPr>
          <w:p w14:paraId="0949356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297</w:t>
            </w:r>
          </w:p>
        </w:tc>
        <w:tc>
          <w:tcPr>
            <w:tcW w:w="545" w:type="dxa"/>
            <w:tcBorders>
              <w:top w:val="nil"/>
              <w:left w:val="nil"/>
              <w:bottom w:val="single" w:sz="8" w:space="0" w:color="DCDDDE"/>
              <w:right w:val="nil"/>
            </w:tcBorders>
            <w:shd w:val="clear" w:color="000000" w:fill="FFFFFF"/>
            <w:noWrap/>
            <w:vAlign w:val="center"/>
            <w:hideMark/>
          </w:tcPr>
          <w:p w14:paraId="58935EE7"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324</w:t>
            </w:r>
          </w:p>
        </w:tc>
        <w:tc>
          <w:tcPr>
            <w:tcW w:w="545" w:type="dxa"/>
            <w:tcBorders>
              <w:top w:val="nil"/>
              <w:left w:val="nil"/>
              <w:bottom w:val="single" w:sz="8" w:space="0" w:color="DCDDDE"/>
              <w:right w:val="nil"/>
            </w:tcBorders>
            <w:shd w:val="clear" w:color="000000" w:fill="FFFFFF"/>
            <w:noWrap/>
            <w:vAlign w:val="center"/>
            <w:hideMark/>
          </w:tcPr>
          <w:p w14:paraId="28ACA8A0"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331</w:t>
            </w:r>
          </w:p>
        </w:tc>
        <w:tc>
          <w:tcPr>
            <w:tcW w:w="545" w:type="dxa"/>
            <w:tcBorders>
              <w:top w:val="nil"/>
              <w:left w:val="nil"/>
              <w:bottom w:val="single" w:sz="8" w:space="0" w:color="DCDDDE"/>
              <w:right w:val="nil"/>
            </w:tcBorders>
            <w:shd w:val="clear" w:color="000000" w:fill="FFFFFF"/>
            <w:noWrap/>
            <w:vAlign w:val="center"/>
            <w:hideMark/>
          </w:tcPr>
          <w:p w14:paraId="02CDBA6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347</w:t>
            </w:r>
          </w:p>
        </w:tc>
        <w:tc>
          <w:tcPr>
            <w:tcW w:w="545" w:type="dxa"/>
            <w:tcBorders>
              <w:top w:val="nil"/>
              <w:left w:val="nil"/>
              <w:bottom w:val="single" w:sz="8" w:space="0" w:color="DCDDDE"/>
              <w:right w:val="nil"/>
            </w:tcBorders>
            <w:shd w:val="clear" w:color="000000" w:fill="FFFFFF"/>
            <w:noWrap/>
            <w:vAlign w:val="center"/>
            <w:hideMark/>
          </w:tcPr>
          <w:p w14:paraId="29749E58"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349</w:t>
            </w:r>
          </w:p>
        </w:tc>
        <w:tc>
          <w:tcPr>
            <w:tcW w:w="545" w:type="dxa"/>
            <w:tcBorders>
              <w:top w:val="nil"/>
              <w:left w:val="nil"/>
              <w:bottom w:val="single" w:sz="8" w:space="0" w:color="DCDDDE"/>
              <w:right w:val="nil"/>
            </w:tcBorders>
            <w:shd w:val="clear" w:color="000000" w:fill="FFFFFF"/>
            <w:noWrap/>
            <w:vAlign w:val="center"/>
            <w:hideMark/>
          </w:tcPr>
          <w:p w14:paraId="79EB4DC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357</w:t>
            </w:r>
          </w:p>
        </w:tc>
        <w:tc>
          <w:tcPr>
            <w:tcW w:w="545" w:type="dxa"/>
            <w:tcBorders>
              <w:top w:val="nil"/>
              <w:left w:val="nil"/>
              <w:bottom w:val="single" w:sz="8" w:space="0" w:color="DCDDDE"/>
              <w:right w:val="nil"/>
            </w:tcBorders>
            <w:shd w:val="clear" w:color="000000" w:fill="FFFFFF"/>
            <w:noWrap/>
            <w:vAlign w:val="center"/>
            <w:hideMark/>
          </w:tcPr>
          <w:p w14:paraId="53143B9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359</w:t>
            </w:r>
          </w:p>
        </w:tc>
        <w:tc>
          <w:tcPr>
            <w:tcW w:w="545" w:type="dxa"/>
            <w:tcBorders>
              <w:top w:val="nil"/>
              <w:left w:val="nil"/>
              <w:bottom w:val="single" w:sz="8" w:space="0" w:color="DCDDDE"/>
              <w:right w:val="nil"/>
            </w:tcBorders>
            <w:shd w:val="clear" w:color="000000" w:fill="FFFFFF"/>
            <w:noWrap/>
            <w:vAlign w:val="center"/>
            <w:hideMark/>
          </w:tcPr>
          <w:p w14:paraId="4A3ED769"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364</w:t>
            </w:r>
          </w:p>
        </w:tc>
        <w:tc>
          <w:tcPr>
            <w:tcW w:w="545" w:type="dxa"/>
            <w:tcBorders>
              <w:top w:val="nil"/>
              <w:left w:val="nil"/>
              <w:bottom w:val="single" w:sz="8" w:space="0" w:color="DCDDDE"/>
              <w:right w:val="nil"/>
            </w:tcBorders>
            <w:shd w:val="clear" w:color="000000" w:fill="FFFFFF"/>
            <w:noWrap/>
            <w:vAlign w:val="center"/>
            <w:hideMark/>
          </w:tcPr>
          <w:p w14:paraId="67DAC2E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371</w:t>
            </w:r>
          </w:p>
        </w:tc>
        <w:tc>
          <w:tcPr>
            <w:tcW w:w="545" w:type="dxa"/>
            <w:tcBorders>
              <w:top w:val="nil"/>
              <w:left w:val="nil"/>
              <w:bottom w:val="single" w:sz="8" w:space="0" w:color="DCDDDE"/>
              <w:right w:val="nil"/>
            </w:tcBorders>
            <w:shd w:val="clear" w:color="000000" w:fill="FFFFFF"/>
            <w:noWrap/>
            <w:vAlign w:val="center"/>
            <w:hideMark/>
          </w:tcPr>
          <w:p w14:paraId="4E73864F"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378</w:t>
            </w:r>
          </w:p>
        </w:tc>
        <w:tc>
          <w:tcPr>
            <w:tcW w:w="545" w:type="dxa"/>
            <w:tcBorders>
              <w:top w:val="nil"/>
              <w:left w:val="nil"/>
              <w:bottom w:val="single" w:sz="8" w:space="0" w:color="DCDDDE"/>
              <w:right w:val="nil"/>
            </w:tcBorders>
            <w:shd w:val="clear" w:color="000000" w:fill="FFFFFF"/>
            <w:noWrap/>
            <w:vAlign w:val="center"/>
            <w:hideMark/>
          </w:tcPr>
          <w:p w14:paraId="40F46A9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382</w:t>
            </w:r>
          </w:p>
        </w:tc>
      </w:tr>
      <w:tr w:rsidR="00C97435" w:rsidRPr="00C97435" w14:paraId="199779CB" w14:textId="77777777" w:rsidTr="0058478E">
        <w:trPr>
          <w:gridAfter w:val="1"/>
          <w:wAfter w:w="7" w:type="dxa"/>
          <w:trHeight w:val="217"/>
        </w:trPr>
        <w:tc>
          <w:tcPr>
            <w:tcW w:w="1771" w:type="dxa"/>
            <w:tcBorders>
              <w:top w:val="nil"/>
              <w:left w:val="nil"/>
              <w:bottom w:val="single" w:sz="8" w:space="0" w:color="DCDDDE"/>
              <w:right w:val="nil"/>
            </w:tcBorders>
            <w:shd w:val="clear" w:color="000000" w:fill="FFFFFF"/>
            <w:vAlign w:val="center"/>
            <w:hideMark/>
          </w:tcPr>
          <w:p w14:paraId="54BD419F"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7B8B551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272</w:t>
            </w:r>
          </w:p>
        </w:tc>
        <w:tc>
          <w:tcPr>
            <w:tcW w:w="545" w:type="dxa"/>
            <w:tcBorders>
              <w:top w:val="nil"/>
              <w:left w:val="nil"/>
              <w:bottom w:val="single" w:sz="8" w:space="0" w:color="DCDDDE"/>
              <w:right w:val="nil"/>
            </w:tcBorders>
            <w:shd w:val="clear" w:color="000000" w:fill="FFFFFF"/>
            <w:noWrap/>
            <w:vAlign w:val="center"/>
            <w:hideMark/>
          </w:tcPr>
          <w:p w14:paraId="2B4C3583"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275</w:t>
            </w:r>
          </w:p>
        </w:tc>
        <w:tc>
          <w:tcPr>
            <w:tcW w:w="545" w:type="dxa"/>
            <w:tcBorders>
              <w:top w:val="nil"/>
              <w:left w:val="nil"/>
              <w:bottom w:val="single" w:sz="8" w:space="0" w:color="DCDDDE"/>
              <w:right w:val="nil"/>
            </w:tcBorders>
            <w:shd w:val="clear" w:color="000000" w:fill="FFFFFF"/>
            <w:noWrap/>
            <w:vAlign w:val="center"/>
            <w:hideMark/>
          </w:tcPr>
          <w:p w14:paraId="25ADBAA2"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311</w:t>
            </w:r>
          </w:p>
        </w:tc>
        <w:tc>
          <w:tcPr>
            <w:tcW w:w="545" w:type="dxa"/>
            <w:tcBorders>
              <w:top w:val="nil"/>
              <w:left w:val="nil"/>
              <w:bottom w:val="single" w:sz="8" w:space="0" w:color="DCDDDE"/>
              <w:right w:val="nil"/>
            </w:tcBorders>
            <w:shd w:val="clear" w:color="000000" w:fill="FFFFFF"/>
            <w:noWrap/>
            <w:vAlign w:val="center"/>
            <w:hideMark/>
          </w:tcPr>
          <w:p w14:paraId="14DD9CB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368</w:t>
            </w:r>
          </w:p>
        </w:tc>
        <w:tc>
          <w:tcPr>
            <w:tcW w:w="545" w:type="dxa"/>
            <w:tcBorders>
              <w:top w:val="nil"/>
              <w:left w:val="nil"/>
              <w:bottom w:val="single" w:sz="8" w:space="0" w:color="DCDDDE"/>
              <w:right w:val="nil"/>
            </w:tcBorders>
            <w:shd w:val="clear" w:color="000000" w:fill="FFFFFF"/>
            <w:noWrap/>
            <w:vAlign w:val="center"/>
            <w:hideMark/>
          </w:tcPr>
          <w:p w14:paraId="14D2C7DE"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359</w:t>
            </w:r>
          </w:p>
        </w:tc>
        <w:tc>
          <w:tcPr>
            <w:tcW w:w="545" w:type="dxa"/>
            <w:tcBorders>
              <w:top w:val="nil"/>
              <w:left w:val="nil"/>
              <w:bottom w:val="single" w:sz="8" w:space="0" w:color="DCDDDE"/>
              <w:right w:val="nil"/>
            </w:tcBorders>
            <w:shd w:val="clear" w:color="000000" w:fill="FFFFFF"/>
            <w:noWrap/>
            <w:vAlign w:val="center"/>
            <w:hideMark/>
          </w:tcPr>
          <w:p w14:paraId="754A54E1"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440</w:t>
            </w:r>
          </w:p>
        </w:tc>
        <w:tc>
          <w:tcPr>
            <w:tcW w:w="545" w:type="dxa"/>
            <w:tcBorders>
              <w:top w:val="nil"/>
              <w:left w:val="nil"/>
              <w:bottom w:val="single" w:sz="8" w:space="0" w:color="DCDDDE"/>
              <w:right w:val="nil"/>
            </w:tcBorders>
            <w:shd w:val="clear" w:color="000000" w:fill="FFFFFF"/>
            <w:noWrap/>
            <w:vAlign w:val="center"/>
            <w:hideMark/>
          </w:tcPr>
          <w:p w14:paraId="3FA735A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422</w:t>
            </w:r>
          </w:p>
        </w:tc>
        <w:tc>
          <w:tcPr>
            <w:tcW w:w="545" w:type="dxa"/>
            <w:tcBorders>
              <w:top w:val="nil"/>
              <w:left w:val="nil"/>
              <w:bottom w:val="single" w:sz="8" w:space="0" w:color="DCDDDE"/>
              <w:right w:val="nil"/>
            </w:tcBorders>
            <w:shd w:val="clear" w:color="000000" w:fill="FFFFFF"/>
            <w:noWrap/>
            <w:vAlign w:val="center"/>
            <w:hideMark/>
          </w:tcPr>
          <w:p w14:paraId="0CC1E92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408</w:t>
            </w:r>
          </w:p>
        </w:tc>
        <w:tc>
          <w:tcPr>
            <w:tcW w:w="545" w:type="dxa"/>
            <w:tcBorders>
              <w:top w:val="nil"/>
              <w:left w:val="nil"/>
              <w:bottom w:val="single" w:sz="8" w:space="0" w:color="DCDDDE"/>
              <w:right w:val="nil"/>
            </w:tcBorders>
            <w:shd w:val="clear" w:color="000000" w:fill="FFFFFF"/>
            <w:noWrap/>
            <w:vAlign w:val="center"/>
            <w:hideMark/>
          </w:tcPr>
          <w:p w14:paraId="061AAB28"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392</w:t>
            </w:r>
          </w:p>
        </w:tc>
        <w:tc>
          <w:tcPr>
            <w:tcW w:w="545" w:type="dxa"/>
            <w:tcBorders>
              <w:top w:val="nil"/>
              <w:left w:val="nil"/>
              <w:bottom w:val="single" w:sz="8" w:space="0" w:color="DCDDDE"/>
              <w:right w:val="nil"/>
            </w:tcBorders>
            <w:shd w:val="clear" w:color="000000" w:fill="FFFFFF"/>
            <w:noWrap/>
            <w:vAlign w:val="center"/>
            <w:hideMark/>
          </w:tcPr>
          <w:p w14:paraId="4824C82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382</w:t>
            </w:r>
          </w:p>
        </w:tc>
        <w:tc>
          <w:tcPr>
            <w:tcW w:w="545" w:type="dxa"/>
            <w:tcBorders>
              <w:top w:val="nil"/>
              <w:left w:val="nil"/>
              <w:bottom w:val="single" w:sz="8" w:space="0" w:color="DCDDDE"/>
              <w:right w:val="nil"/>
            </w:tcBorders>
            <w:shd w:val="clear" w:color="000000" w:fill="FFFFFF"/>
            <w:noWrap/>
            <w:vAlign w:val="center"/>
            <w:hideMark/>
          </w:tcPr>
          <w:p w14:paraId="461FDAA9"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361</w:t>
            </w:r>
          </w:p>
        </w:tc>
        <w:tc>
          <w:tcPr>
            <w:tcW w:w="545" w:type="dxa"/>
            <w:tcBorders>
              <w:top w:val="nil"/>
              <w:left w:val="nil"/>
              <w:bottom w:val="single" w:sz="8" w:space="0" w:color="DCDDDE"/>
              <w:right w:val="nil"/>
            </w:tcBorders>
            <w:shd w:val="clear" w:color="000000" w:fill="FFFFFF"/>
            <w:noWrap/>
            <w:vAlign w:val="center"/>
            <w:hideMark/>
          </w:tcPr>
          <w:p w14:paraId="4F145258"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344</w:t>
            </w:r>
          </w:p>
        </w:tc>
        <w:tc>
          <w:tcPr>
            <w:tcW w:w="545" w:type="dxa"/>
            <w:tcBorders>
              <w:top w:val="nil"/>
              <w:left w:val="nil"/>
              <w:bottom w:val="single" w:sz="8" w:space="0" w:color="DCDDDE"/>
              <w:right w:val="nil"/>
            </w:tcBorders>
            <w:shd w:val="clear" w:color="000000" w:fill="FFFFFF"/>
            <w:noWrap/>
            <w:vAlign w:val="center"/>
            <w:hideMark/>
          </w:tcPr>
          <w:p w14:paraId="59A7E8B6"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327</w:t>
            </w:r>
          </w:p>
        </w:tc>
      </w:tr>
      <w:tr w:rsidR="00C97435" w:rsidRPr="00C97435" w14:paraId="15580728" w14:textId="77777777" w:rsidTr="0058478E">
        <w:trPr>
          <w:gridAfter w:val="1"/>
          <w:wAfter w:w="7" w:type="dxa"/>
          <w:trHeight w:val="217"/>
        </w:trPr>
        <w:tc>
          <w:tcPr>
            <w:tcW w:w="1771" w:type="dxa"/>
            <w:tcBorders>
              <w:top w:val="nil"/>
              <w:left w:val="nil"/>
              <w:bottom w:val="single" w:sz="8" w:space="0" w:color="DCDDDE"/>
              <w:right w:val="nil"/>
            </w:tcBorders>
            <w:shd w:val="clear" w:color="000000" w:fill="FFFFFF"/>
            <w:vAlign w:val="center"/>
            <w:hideMark/>
          </w:tcPr>
          <w:p w14:paraId="632814E5"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13B67F38"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541</w:t>
            </w:r>
          </w:p>
        </w:tc>
        <w:tc>
          <w:tcPr>
            <w:tcW w:w="545" w:type="dxa"/>
            <w:tcBorders>
              <w:top w:val="nil"/>
              <w:left w:val="nil"/>
              <w:bottom w:val="single" w:sz="8" w:space="0" w:color="DCDDDE"/>
              <w:right w:val="nil"/>
            </w:tcBorders>
            <w:shd w:val="clear" w:color="000000" w:fill="FFFFFF"/>
            <w:noWrap/>
            <w:vAlign w:val="center"/>
            <w:hideMark/>
          </w:tcPr>
          <w:p w14:paraId="5B3B3BA4"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574</w:t>
            </w:r>
          </w:p>
        </w:tc>
        <w:tc>
          <w:tcPr>
            <w:tcW w:w="545" w:type="dxa"/>
            <w:tcBorders>
              <w:top w:val="nil"/>
              <w:left w:val="nil"/>
              <w:bottom w:val="single" w:sz="8" w:space="0" w:color="DCDDDE"/>
              <w:right w:val="nil"/>
            </w:tcBorders>
            <w:shd w:val="clear" w:color="000000" w:fill="FFFFFF"/>
            <w:noWrap/>
            <w:vAlign w:val="center"/>
            <w:hideMark/>
          </w:tcPr>
          <w:p w14:paraId="0A6BFA8B"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608</w:t>
            </w:r>
          </w:p>
        </w:tc>
        <w:tc>
          <w:tcPr>
            <w:tcW w:w="545" w:type="dxa"/>
            <w:tcBorders>
              <w:top w:val="nil"/>
              <w:left w:val="nil"/>
              <w:bottom w:val="single" w:sz="8" w:space="0" w:color="DCDDDE"/>
              <w:right w:val="nil"/>
            </w:tcBorders>
            <w:shd w:val="clear" w:color="000000" w:fill="FFFFFF"/>
            <w:noWrap/>
            <w:vAlign w:val="center"/>
            <w:hideMark/>
          </w:tcPr>
          <w:p w14:paraId="6B77528D"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693</w:t>
            </w:r>
          </w:p>
        </w:tc>
        <w:tc>
          <w:tcPr>
            <w:tcW w:w="545" w:type="dxa"/>
            <w:tcBorders>
              <w:top w:val="nil"/>
              <w:left w:val="nil"/>
              <w:bottom w:val="single" w:sz="8" w:space="0" w:color="DCDDDE"/>
              <w:right w:val="nil"/>
            </w:tcBorders>
            <w:shd w:val="clear" w:color="000000" w:fill="FFFFFF"/>
            <w:noWrap/>
            <w:vAlign w:val="center"/>
            <w:hideMark/>
          </w:tcPr>
          <w:p w14:paraId="5BA6E3EE"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690</w:t>
            </w:r>
          </w:p>
        </w:tc>
        <w:tc>
          <w:tcPr>
            <w:tcW w:w="545" w:type="dxa"/>
            <w:tcBorders>
              <w:top w:val="nil"/>
              <w:left w:val="nil"/>
              <w:bottom w:val="single" w:sz="8" w:space="0" w:color="DCDDDE"/>
              <w:right w:val="nil"/>
            </w:tcBorders>
            <w:shd w:val="clear" w:color="000000" w:fill="FFFFFF"/>
            <w:noWrap/>
            <w:vAlign w:val="center"/>
            <w:hideMark/>
          </w:tcPr>
          <w:p w14:paraId="2C831347"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786</w:t>
            </w:r>
          </w:p>
        </w:tc>
        <w:tc>
          <w:tcPr>
            <w:tcW w:w="545" w:type="dxa"/>
            <w:tcBorders>
              <w:top w:val="nil"/>
              <w:left w:val="nil"/>
              <w:bottom w:val="single" w:sz="8" w:space="0" w:color="DCDDDE"/>
              <w:right w:val="nil"/>
            </w:tcBorders>
            <w:shd w:val="clear" w:color="000000" w:fill="FFFFFF"/>
            <w:noWrap/>
            <w:vAlign w:val="center"/>
            <w:hideMark/>
          </w:tcPr>
          <w:p w14:paraId="3B876143"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771</w:t>
            </w:r>
          </w:p>
        </w:tc>
        <w:tc>
          <w:tcPr>
            <w:tcW w:w="545" w:type="dxa"/>
            <w:tcBorders>
              <w:top w:val="nil"/>
              <w:left w:val="nil"/>
              <w:bottom w:val="single" w:sz="8" w:space="0" w:color="DCDDDE"/>
              <w:right w:val="nil"/>
            </w:tcBorders>
            <w:shd w:val="clear" w:color="000000" w:fill="FFFFFF"/>
            <w:noWrap/>
            <w:vAlign w:val="center"/>
            <w:hideMark/>
          </w:tcPr>
          <w:p w14:paraId="53AB1258"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765</w:t>
            </w:r>
          </w:p>
        </w:tc>
        <w:tc>
          <w:tcPr>
            <w:tcW w:w="545" w:type="dxa"/>
            <w:tcBorders>
              <w:top w:val="nil"/>
              <w:left w:val="nil"/>
              <w:bottom w:val="single" w:sz="8" w:space="0" w:color="DCDDDE"/>
              <w:right w:val="nil"/>
            </w:tcBorders>
            <w:shd w:val="clear" w:color="000000" w:fill="FFFFFF"/>
            <w:noWrap/>
            <w:vAlign w:val="center"/>
            <w:hideMark/>
          </w:tcPr>
          <w:p w14:paraId="64EB8CFD"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751</w:t>
            </w:r>
          </w:p>
        </w:tc>
        <w:tc>
          <w:tcPr>
            <w:tcW w:w="545" w:type="dxa"/>
            <w:tcBorders>
              <w:top w:val="nil"/>
              <w:left w:val="nil"/>
              <w:bottom w:val="single" w:sz="8" w:space="0" w:color="DCDDDE"/>
              <w:right w:val="nil"/>
            </w:tcBorders>
            <w:shd w:val="clear" w:color="000000" w:fill="FFFFFF"/>
            <w:noWrap/>
            <w:vAlign w:val="center"/>
            <w:hideMark/>
          </w:tcPr>
          <w:p w14:paraId="3B8CA9A4"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746</w:t>
            </w:r>
          </w:p>
        </w:tc>
        <w:tc>
          <w:tcPr>
            <w:tcW w:w="545" w:type="dxa"/>
            <w:tcBorders>
              <w:top w:val="nil"/>
              <w:left w:val="nil"/>
              <w:bottom w:val="single" w:sz="8" w:space="0" w:color="DCDDDE"/>
              <w:right w:val="nil"/>
            </w:tcBorders>
            <w:shd w:val="clear" w:color="000000" w:fill="FFFFFF"/>
            <w:noWrap/>
            <w:vAlign w:val="center"/>
            <w:hideMark/>
          </w:tcPr>
          <w:p w14:paraId="1E54C95A"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732</w:t>
            </w:r>
          </w:p>
        </w:tc>
        <w:tc>
          <w:tcPr>
            <w:tcW w:w="545" w:type="dxa"/>
            <w:tcBorders>
              <w:top w:val="nil"/>
              <w:left w:val="nil"/>
              <w:bottom w:val="single" w:sz="8" w:space="0" w:color="DCDDDE"/>
              <w:right w:val="nil"/>
            </w:tcBorders>
            <w:shd w:val="clear" w:color="000000" w:fill="FFFFFF"/>
            <w:noWrap/>
            <w:vAlign w:val="center"/>
            <w:hideMark/>
          </w:tcPr>
          <w:p w14:paraId="35BD5431"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722</w:t>
            </w:r>
          </w:p>
        </w:tc>
        <w:tc>
          <w:tcPr>
            <w:tcW w:w="545" w:type="dxa"/>
            <w:tcBorders>
              <w:top w:val="nil"/>
              <w:left w:val="nil"/>
              <w:bottom w:val="single" w:sz="8" w:space="0" w:color="DCDDDE"/>
              <w:right w:val="nil"/>
            </w:tcBorders>
            <w:shd w:val="clear" w:color="000000" w:fill="FFFFFF"/>
            <w:noWrap/>
            <w:vAlign w:val="center"/>
            <w:hideMark/>
          </w:tcPr>
          <w:p w14:paraId="3B53B51E"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709</w:t>
            </w:r>
          </w:p>
        </w:tc>
      </w:tr>
      <w:tr w:rsidR="00C97435" w:rsidRPr="00C97435" w14:paraId="33CDB663" w14:textId="77777777" w:rsidTr="00C97435">
        <w:trPr>
          <w:trHeight w:val="217"/>
        </w:trPr>
        <w:tc>
          <w:tcPr>
            <w:tcW w:w="8863" w:type="dxa"/>
            <w:gridSpan w:val="15"/>
            <w:tcBorders>
              <w:top w:val="single" w:sz="8" w:space="0" w:color="DCDDDE"/>
              <w:left w:val="nil"/>
              <w:bottom w:val="single" w:sz="8" w:space="0" w:color="DCDDDE"/>
              <w:right w:val="nil"/>
            </w:tcBorders>
            <w:shd w:val="clear" w:color="000000" w:fill="DADADA"/>
            <w:noWrap/>
            <w:vAlign w:val="center"/>
            <w:hideMark/>
          </w:tcPr>
          <w:p w14:paraId="6D175967" w14:textId="77777777" w:rsidR="00C97435" w:rsidRPr="00C97435" w:rsidRDefault="00C97435" w:rsidP="00C97435">
            <w:pPr>
              <w:spacing w:line="240" w:lineRule="auto"/>
              <w:jc w:val="center"/>
              <w:rPr>
                <w:rFonts w:ascii="Arial Narrow" w:hAnsi="Arial Narrow" w:cs="Calibri"/>
                <w:b/>
                <w:bCs/>
                <w:sz w:val="18"/>
                <w:szCs w:val="18"/>
              </w:rPr>
            </w:pPr>
            <w:r w:rsidRPr="00C97435">
              <w:rPr>
                <w:rFonts w:ascii="Arial Narrow" w:hAnsi="Arial Narrow" w:cs="Calibri"/>
                <w:b/>
                <w:bCs/>
                <w:sz w:val="18"/>
                <w:szCs w:val="18"/>
              </w:rPr>
              <w:t>PAC | Aggressive</w:t>
            </w:r>
          </w:p>
        </w:tc>
      </w:tr>
      <w:tr w:rsidR="00C97435" w:rsidRPr="00C97435" w14:paraId="76E0F128" w14:textId="77777777" w:rsidTr="0058478E">
        <w:trPr>
          <w:gridAfter w:val="1"/>
          <w:wAfter w:w="7" w:type="dxa"/>
          <w:trHeight w:val="383"/>
        </w:trPr>
        <w:tc>
          <w:tcPr>
            <w:tcW w:w="1771" w:type="dxa"/>
            <w:tcBorders>
              <w:top w:val="nil"/>
              <w:left w:val="nil"/>
              <w:bottom w:val="single" w:sz="8" w:space="0" w:color="DCDDDE"/>
              <w:right w:val="nil"/>
            </w:tcBorders>
            <w:shd w:val="clear" w:color="000000" w:fill="FFFFFF"/>
            <w:vAlign w:val="center"/>
            <w:hideMark/>
          </w:tcPr>
          <w:p w14:paraId="75DAB214"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61EE995B"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233</w:t>
            </w:r>
          </w:p>
        </w:tc>
        <w:tc>
          <w:tcPr>
            <w:tcW w:w="545" w:type="dxa"/>
            <w:tcBorders>
              <w:top w:val="nil"/>
              <w:left w:val="nil"/>
              <w:bottom w:val="single" w:sz="8" w:space="0" w:color="DCDDDE"/>
              <w:right w:val="nil"/>
            </w:tcBorders>
            <w:shd w:val="clear" w:color="000000" w:fill="FFFFFF"/>
            <w:noWrap/>
            <w:vAlign w:val="center"/>
            <w:hideMark/>
          </w:tcPr>
          <w:p w14:paraId="197E2E13"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255</w:t>
            </w:r>
          </w:p>
        </w:tc>
        <w:tc>
          <w:tcPr>
            <w:tcW w:w="545" w:type="dxa"/>
            <w:tcBorders>
              <w:top w:val="nil"/>
              <w:left w:val="nil"/>
              <w:bottom w:val="single" w:sz="8" w:space="0" w:color="DCDDDE"/>
              <w:right w:val="nil"/>
            </w:tcBorders>
            <w:shd w:val="clear" w:color="000000" w:fill="FFFFFF"/>
            <w:noWrap/>
            <w:vAlign w:val="center"/>
            <w:hideMark/>
          </w:tcPr>
          <w:p w14:paraId="18BA459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249</w:t>
            </w:r>
          </w:p>
        </w:tc>
        <w:tc>
          <w:tcPr>
            <w:tcW w:w="545" w:type="dxa"/>
            <w:tcBorders>
              <w:top w:val="nil"/>
              <w:left w:val="nil"/>
              <w:bottom w:val="single" w:sz="8" w:space="0" w:color="DCDDDE"/>
              <w:right w:val="nil"/>
            </w:tcBorders>
            <w:shd w:val="clear" w:color="000000" w:fill="FFFFFF"/>
            <w:noWrap/>
            <w:vAlign w:val="center"/>
            <w:hideMark/>
          </w:tcPr>
          <w:p w14:paraId="3D0CEF5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278</w:t>
            </w:r>
          </w:p>
        </w:tc>
        <w:tc>
          <w:tcPr>
            <w:tcW w:w="545" w:type="dxa"/>
            <w:tcBorders>
              <w:top w:val="nil"/>
              <w:left w:val="nil"/>
              <w:bottom w:val="single" w:sz="8" w:space="0" w:color="DCDDDE"/>
              <w:right w:val="nil"/>
            </w:tcBorders>
            <w:shd w:val="clear" w:color="000000" w:fill="FFFFFF"/>
            <w:noWrap/>
            <w:vAlign w:val="center"/>
            <w:hideMark/>
          </w:tcPr>
          <w:p w14:paraId="3447115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279</w:t>
            </w:r>
          </w:p>
        </w:tc>
        <w:tc>
          <w:tcPr>
            <w:tcW w:w="545" w:type="dxa"/>
            <w:tcBorders>
              <w:top w:val="nil"/>
              <w:left w:val="nil"/>
              <w:bottom w:val="single" w:sz="8" w:space="0" w:color="DCDDDE"/>
              <w:right w:val="nil"/>
            </w:tcBorders>
            <w:shd w:val="clear" w:color="000000" w:fill="FFFFFF"/>
            <w:noWrap/>
            <w:vAlign w:val="center"/>
            <w:hideMark/>
          </w:tcPr>
          <w:p w14:paraId="2570C837"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290</w:t>
            </w:r>
          </w:p>
        </w:tc>
        <w:tc>
          <w:tcPr>
            <w:tcW w:w="545" w:type="dxa"/>
            <w:tcBorders>
              <w:top w:val="nil"/>
              <w:left w:val="nil"/>
              <w:bottom w:val="single" w:sz="8" w:space="0" w:color="DCDDDE"/>
              <w:right w:val="nil"/>
            </w:tcBorders>
            <w:shd w:val="clear" w:color="000000" w:fill="FFFFFF"/>
            <w:noWrap/>
            <w:vAlign w:val="center"/>
            <w:hideMark/>
          </w:tcPr>
          <w:p w14:paraId="72BDB3C1"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287</w:t>
            </w:r>
          </w:p>
        </w:tc>
        <w:tc>
          <w:tcPr>
            <w:tcW w:w="545" w:type="dxa"/>
            <w:tcBorders>
              <w:top w:val="nil"/>
              <w:left w:val="nil"/>
              <w:bottom w:val="single" w:sz="8" w:space="0" w:color="DCDDDE"/>
              <w:right w:val="nil"/>
            </w:tcBorders>
            <w:shd w:val="clear" w:color="000000" w:fill="FFFFFF"/>
            <w:noWrap/>
            <w:vAlign w:val="center"/>
            <w:hideMark/>
          </w:tcPr>
          <w:p w14:paraId="72A5E1C8"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285</w:t>
            </w:r>
          </w:p>
        </w:tc>
        <w:tc>
          <w:tcPr>
            <w:tcW w:w="545" w:type="dxa"/>
            <w:tcBorders>
              <w:top w:val="nil"/>
              <w:left w:val="nil"/>
              <w:bottom w:val="single" w:sz="8" w:space="0" w:color="DCDDDE"/>
              <w:right w:val="nil"/>
            </w:tcBorders>
            <w:shd w:val="clear" w:color="000000" w:fill="FFFFFF"/>
            <w:noWrap/>
            <w:vAlign w:val="center"/>
            <w:hideMark/>
          </w:tcPr>
          <w:p w14:paraId="60D39A6F"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282</w:t>
            </w:r>
          </w:p>
        </w:tc>
        <w:tc>
          <w:tcPr>
            <w:tcW w:w="545" w:type="dxa"/>
            <w:tcBorders>
              <w:top w:val="nil"/>
              <w:left w:val="nil"/>
              <w:bottom w:val="single" w:sz="8" w:space="0" w:color="DCDDDE"/>
              <w:right w:val="nil"/>
            </w:tcBorders>
            <w:shd w:val="clear" w:color="000000" w:fill="FFFFFF"/>
            <w:noWrap/>
            <w:vAlign w:val="center"/>
            <w:hideMark/>
          </w:tcPr>
          <w:p w14:paraId="30D87A01"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282</w:t>
            </w:r>
          </w:p>
        </w:tc>
        <w:tc>
          <w:tcPr>
            <w:tcW w:w="545" w:type="dxa"/>
            <w:tcBorders>
              <w:top w:val="nil"/>
              <w:left w:val="nil"/>
              <w:bottom w:val="single" w:sz="8" w:space="0" w:color="DCDDDE"/>
              <w:right w:val="nil"/>
            </w:tcBorders>
            <w:shd w:val="clear" w:color="000000" w:fill="FFFFFF"/>
            <w:noWrap/>
            <w:vAlign w:val="center"/>
            <w:hideMark/>
          </w:tcPr>
          <w:p w14:paraId="7BCD3E7E"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283</w:t>
            </w:r>
          </w:p>
        </w:tc>
        <w:tc>
          <w:tcPr>
            <w:tcW w:w="545" w:type="dxa"/>
            <w:tcBorders>
              <w:top w:val="nil"/>
              <w:left w:val="nil"/>
              <w:bottom w:val="single" w:sz="8" w:space="0" w:color="DCDDDE"/>
              <w:right w:val="nil"/>
            </w:tcBorders>
            <w:shd w:val="clear" w:color="000000" w:fill="FFFFFF"/>
            <w:noWrap/>
            <w:vAlign w:val="center"/>
            <w:hideMark/>
          </w:tcPr>
          <w:p w14:paraId="0BE3689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284</w:t>
            </w:r>
          </w:p>
        </w:tc>
        <w:tc>
          <w:tcPr>
            <w:tcW w:w="545" w:type="dxa"/>
            <w:tcBorders>
              <w:top w:val="nil"/>
              <w:left w:val="nil"/>
              <w:bottom w:val="single" w:sz="8" w:space="0" w:color="DCDDDE"/>
              <w:right w:val="nil"/>
            </w:tcBorders>
            <w:shd w:val="clear" w:color="000000" w:fill="FFFFFF"/>
            <w:noWrap/>
            <w:vAlign w:val="center"/>
            <w:hideMark/>
          </w:tcPr>
          <w:p w14:paraId="2E2FB289"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284</w:t>
            </w:r>
          </w:p>
        </w:tc>
      </w:tr>
      <w:tr w:rsidR="00C97435" w:rsidRPr="00C97435" w14:paraId="69795E1F" w14:textId="77777777" w:rsidTr="0058478E">
        <w:trPr>
          <w:gridAfter w:val="1"/>
          <w:wAfter w:w="7" w:type="dxa"/>
          <w:trHeight w:val="217"/>
        </w:trPr>
        <w:tc>
          <w:tcPr>
            <w:tcW w:w="1771" w:type="dxa"/>
            <w:tcBorders>
              <w:top w:val="nil"/>
              <w:left w:val="nil"/>
              <w:bottom w:val="single" w:sz="8" w:space="0" w:color="DCDDDE"/>
              <w:right w:val="nil"/>
            </w:tcBorders>
            <w:shd w:val="clear" w:color="000000" w:fill="FFFFFF"/>
            <w:vAlign w:val="center"/>
            <w:hideMark/>
          </w:tcPr>
          <w:p w14:paraId="2E907EFF"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7864D307"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47</w:t>
            </w:r>
          </w:p>
        </w:tc>
        <w:tc>
          <w:tcPr>
            <w:tcW w:w="545" w:type="dxa"/>
            <w:tcBorders>
              <w:top w:val="nil"/>
              <w:left w:val="nil"/>
              <w:bottom w:val="single" w:sz="8" w:space="0" w:color="DCDDDE"/>
              <w:right w:val="nil"/>
            </w:tcBorders>
            <w:shd w:val="clear" w:color="000000" w:fill="FFFFFF"/>
            <w:noWrap/>
            <w:vAlign w:val="center"/>
            <w:hideMark/>
          </w:tcPr>
          <w:p w14:paraId="4F009DF1"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64</w:t>
            </w:r>
          </w:p>
        </w:tc>
        <w:tc>
          <w:tcPr>
            <w:tcW w:w="545" w:type="dxa"/>
            <w:tcBorders>
              <w:top w:val="nil"/>
              <w:left w:val="nil"/>
              <w:bottom w:val="single" w:sz="8" w:space="0" w:color="DCDDDE"/>
              <w:right w:val="nil"/>
            </w:tcBorders>
            <w:shd w:val="clear" w:color="000000" w:fill="FFFFFF"/>
            <w:noWrap/>
            <w:vAlign w:val="center"/>
            <w:hideMark/>
          </w:tcPr>
          <w:p w14:paraId="65B7FDB1"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74</w:t>
            </w:r>
          </w:p>
        </w:tc>
        <w:tc>
          <w:tcPr>
            <w:tcW w:w="545" w:type="dxa"/>
            <w:tcBorders>
              <w:top w:val="nil"/>
              <w:left w:val="nil"/>
              <w:bottom w:val="single" w:sz="8" w:space="0" w:color="DCDDDE"/>
              <w:right w:val="nil"/>
            </w:tcBorders>
            <w:shd w:val="clear" w:color="000000" w:fill="FFFFFF"/>
            <w:noWrap/>
            <w:vAlign w:val="center"/>
            <w:hideMark/>
          </w:tcPr>
          <w:p w14:paraId="5E8C52A7"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82</w:t>
            </w:r>
          </w:p>
        </w:tc>
        <w:tc>
          <w:tcPr>
            <w:tcW w:w="545" w:type="dxa"/>
            <w:tcBorders>
              <w:top w:val="nil"/>
              <w:left w:val="nil"/>
              <w:bottom w:val="single" w:sz="8" w:space="0" w:color="DCDDDE"/>
              <w:right w:val="nil"/>
            </w:tcBorders>
            <w:shd w:val="clear" w:color="000000" w:fill="FFFFFF"/>
            <w:noWrap/>
            <w:vAlign w:val="center"/>
            <w:hideMark/>
          </w:tcPr>
          <w:p w14:paraId="484BCB53"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91</w:t>
            </w:r>
          </w:p>
        </w:tc>
        <w:tc>
          <w:tcPr>
            <w:tcW w:w="545" w:type="dxa"/>
            <w:tcBorders>
              <w:top w:val="nil"/>
              <w:left w:val="nil"/>
              <w:bottom w:val="single" w:sz="8" w:space="0" w:color="DCDDDE"/>
              <w:right w:val="nil"/>
            </w:tcBorders>
            <w:shd w:val="clear" w:color="000000" w:fill="FFFFFF"/>
            <w:noWrap/>
            <w:vAlign w:val="center"/>
            <w:hideMark/>
          </w:tcPr>
          <w:p w14:paraId="1EC41642"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99</w:t>
            </w:r>
          </w:p>
        </w:tc>
        <w:tc>
          <w:tcPr>
            <w:tcW w:w="545" w:type="dxa"/>
            <w:tcBorders>
              <w:top w:val="nil"/>
              <w:left w:val="nil"/>
              <w:bottom w:val="single" w:sz="8" w:space="0" w:color="DCDDDE"/>
              <w:right w:val="nil"/>
            </w:tcBorders>
            <w:shd w:val="clear" w:color="000000" w:fill="FFFFFF"/>
            <w:noWrap/>
            <w:vAlign w:val="center"/>
            <w:hideMark/>
          </w:tcPr>
          <w:p w14:paraId="6396930E"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110</w:t>
            </w:r>
          </w:p>
        </w:tc>
        <w:tc>
          <w:tcPr>
            <w:tcW w:w="545" w:type="dxa"/>
            <w:tcBorders>
              <w:top w:val="nil"/>
              <w:left w:val="nil"/>
              <w:bottom w:val="single" w:sz="8" w:space="0" w:color="DCDDDE"/>
              <w:right w:val="nil"/>
            </w:tcBorders>
            <w:shd w:val="clear" w:color="000000" w:fill="FFFFFF"/>
            <w:noWrap/>
            <w:vAlign w:val="center"/>
            <w:hideMark/>
          </w:tcPr>
          <w:p w14:paraId="229458F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126</w:t>
            </w:r>
          </w:p>
        </w:tc>
        <w:tc>
          <w:tcPr>
            <w:tcW w:w="545" w:type="dxa"/>
            <w:tcBorders>
              <w:top w:val="nil"/>
              <w:left w:val="nil"/>
              <w:bottom w:val="single" w:sz="8" w:space="0" w:color="DCDDDE"/>
              <w:right w:val="nil"/>
            </w:tcBorders>
            <w:shd w:val="clear" w:color="000000" w:fill="FFFFFF"/>
            <w:noWrap/>
            <w:vAlign w:val="center"/>
            <w:hideMark/>
          </w:tcPr>
          <w:p w14:paraId="30254C7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136</w:t>
            </w:r>
          </w:p>
        </w:tc>
        <w:tc>
          <w:tcPr>
            <w:tcW w:w="545" w:type="dxa"/>
            <w:tcBorders>
              <w:top w:val="nil"/>
              <w:left w:val="nil"/>
              <w:bottom w:val="single" w:sz="8" w:space="0" w:color="DCDDDE"/>
              <w:right w:val="nil"/>
            </w:tcBorders>
            <w:shd w:val="clear" w:color="000000" w:fill="FFFFFF"/>
            <w:noWrap/>
            <w:vAlign w:val="center"/>
            <w:hideMark/>
          </w:tcPr>
          <w:p w14:paraId="21F2C061"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148</w:t>
            </w:r>
          </w:p>
        </w:tc>
        <w:tc>
          <w:tcPr>
            <w:tcW w:w="545" w:type="dxa"/>
            <w:tcBorders>
              <w:top w:val="nil"/>
              <w:left w:val="nil"/>
              <w:bottom w:val="single" w:sz="8" w:space="0" w:color="DCDDDE"/>
              <w:right w:val="nil"/>
            </w:tcBorders>
            <w:shd w:val="clear" w:color="000000" w:fill="FFFFFF"/>
            <w:noWrap/>
            <w:vAlign w:val="center"/>
            <w:hideMark/>
          </w:tcPr>
          <w:p w14:paraId="78CB1297"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161</w:t>
            </w:r>
          </w:p>
        </w:tc>
        <w:tc>
          <w:tcPr>
            <w:tcW w:w="545" w:type="dxa"/>
            <w:tcBorders>
              <w:top w:val="nil"/>
              <w:left w:val="nil"/>
              <w:bottom w:val="single" w:sz="8" w:space="0" w:color="DCDDDE"/>
              <w:right w:val="nil"/>
            </w:tcBorders>
            <w:shd w:val="clear" w:color="000000" w:fill="FFFFFF"/>
            <w:noWrap/>
            <w:vAlign w:val="center"/>
            <w:hideMark/>
          </w:tcPr>
          <w:p w14:paraId="2195246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176</w:t>
            </w:r>
          </w:p>
        </w:tc>
        <w:tc>
          <w:tcPr>
            <w:tcW w:w="545" w:type="dxa"/>
            <w:tcBorders>
              <w:top w:val="nil"/>
              <w:left w:val="nil"/>
              <w:bottom w:val="single" w:sz="8" w:space="0" w:color="DCDDDE"/>
              <w:right w:val="nil"/>
            </w:tcBorders>
            <w:shd w:val="clear" w:color="000000" w:fill="FFFFFF"/>
            <w:noWrap/>
            <w:vAlign w:val="center"/>
            <w:hideMark/>
          </w:tcPr>
          <w:p w14:paraId="71A1DBC7"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193</w:t>
            </w:r>
          </w:p>
        </w:tc>
      </w:tr>
      <w:tr w:rsidR="00C97435" w:rsidRPr="00C97435" w14:paraId="1A3806A0" w14:textId="77777777" w:rsidTr="0058478E">
        <w:trPr>
          <w:gridAfter w:val="1"/>
          <w:wAfter w:w="7" w:type="dxa"/>
          <w:trHeight w:val="217"/>
        </w:trPr>
        <w:tc>
          <w:tcPr>
            <w:tcW w:w="1771" w:type="dxa"/>
            <w:tcBorders>
              <w:top w:val="nil"/>
              <w:left w:val="nil"/>
              <w:bottom w:val="single" w:sz="8" w:space="0" w:color="DCDDDE"/>
              <w:right w:val="nil"/>
            </w:tcBorders>
            <w:shd w:val="clear" w:color="000000" w:fill="FFFFFF"/>
            <w:vAlign w:val="center"/>
            <w:hideMark/>
          </w:tcPr>
          <w:p w14:paraId="701CBCC7"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1982FF41"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518715E3"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465F84EC"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597B3B4F"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679F1CE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5E25275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5262B80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303BB233"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7D302272"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3AA65A0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1AD8F76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1097954B"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2247092F"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6</w:t>
            </w:r>
          </w:p>
        </w:tc>
      </w:tr>
      <w:tr w:rsidR="00C97435" w:rsidRPr="00C97435" w14:paraId="4E39FF15" w14:textId="77777777" w:rsidTr="0058478E">
        <w:trPr>
          <w:gridAfter w:val="1"/>
          <w:wAfter w:w="7" w:type="dxa"/>
          <w:trHeight w:val="385"/>
        </w:trPr>
        <w:tc>
          <w:tcPr>
            <w:tcW w:w="1771" w:type="dxa"/>
            <w:tcBorders>
              <w:top w:val="nil"/>
              <w:left w:val="nil"/>
              <w:bottom w:val="single" w:sz="8" w:space="0" w:color="DCDDDE"/>
              <w:right w:val="nil"/>
            </w:tcBorders>
            <w:shd w:val="clear" w:color="000000" w:fill="FFFFFF"/>
            <w:vAlign w:val="center"/>
            <w:hideMark/>
          </w:tcPr>
          <w:p w14:paraId="7262E497"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56E86519"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290</w:t>
            </w:r>
          </w:p>
        </w:tc>
        <w:tc>
          <w:tcPr>
            <w:tcW w:w="545" w:type="dxa"/>
            <w:tcBorders>
              <w:top w:val="nil"/>
              <w:left w:val="nil"/>
              <w:bottom w:val="single" w:sz="8" w:space="0" w:color="DCDDDE"/>
              <w:right w:val="nil"/>
            </w:tcBorders>
            <w:shd w:val="clear" w:color="000000" w:fill="FFFFFF"/>
            <w:noWrap/>
            <w:vAlign w:val="center"/>
            <w:hideMark/>
          </w:tcPr>
          <w:p w14:paraId="2C7B4DD2"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329</w:t>
            </w:r>
          </w:p>
        </w:tc>
        <w:tc>
          <w:tcPr>
            <w:tcW w:w="545" w:type="dxa"/>
            <w:tcBorders>
              <w:top w:val="nil"/>
              <w:left w:val="nil"/>
              <w:bottom w:val="single" w:sz="8" w:space="0" w:color="DCDDDE"/>
              <w:right w:val="nil"/>
            </w:tcBorders>
            <w:shd w:val="clear" w:color="000000" w:fill="FFFFFF"/>
            <w:noWrap/>
            <w:vAlign w:val="center"/>
            <w:hideMark/>
          </w:tcPr>
          <w:p w14:paraId="11652DAF"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333</w:t>
            </w:r>
          </w:p>
        </w:tc>
        <w:tc>
          <w:tcPr>
            <w:tcW w:w="545" w:type="dxa"/>
            <w:tcBorders>
              <w:top w:val="nil"/>
              <w:left w:val="nil"/>
              <w:bottom w:val="single" w:sz="8" w:space="0" w:color="DCDDDE"/>
              <w:right w:val="nil"/>
            </w:tcBorders>
            <w:shd w:val="clear" w:color="000000" w:fill="FFFFFF"/>
            <w:noWrap/>
            <w:vAlign w:val="center"/>
            <w:hideMark/>
          </w:tcPr>
          <w:p w14:paraId="7196557C"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365</w:t>
            </w:r>
          </w:p>
        </w:tc>
        <w:tc>
          <w:tcPr>
            <w:tcW w:w="545" w:type="dxa"/>
            <w:tcBorders>
              <w:top w:val="nil"/>
              <w:left w:val="nil"/>
              <w:bottom w:val="single" w:sz="8" w:space="0" w:color="DCDDDE"/>
              <w:right w:val="nil"/>
            </w:tcBorders>
            <w:shd w:val="clear" w:color="000000" w:fill="FFFFFF"/>
            <w:noWrap/>
            <w:vAlign w:val="center"/>
            <w:hideMark/>
          </w:tcPr>
          <w:p w14:paraId="2F5A57C1"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376</w:t>
            </w:r>
          </w:p>
        </w:tc>
        <w:tc>
          <w:tcPr>
            <w:tcW w:w="545" w:type="dxa"/>
            <w:tcBorders>
              <w:top w:val="nil"/>
              <w:left w:val="nil"/>
              <w:bottom w:val="single" w:sz="8" w:space="0" w:color="DCDDDE"/>
              <w:right w:val="nil"/>
            </w:tcBorders>
            <w:shd w:val="clear" w:color="000000" w:fill="FFFFFF"/>
            <w:noWrap/>
            <w:vAlign w:val="center"/>
            <w:hideMark/>
          </w:tcPr>
          <w:p w14:paraId="37E55B8F"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395</w:t>
            </w:r>
          </w:p>
        </w:tc>
        <w:tc>
          <w:tcPr>
            <w:tcW w:w="545" w:type="dxa"/>
            <w:tcBorders>
              <w:top w:val="nil"/>
              <w:left w:val="nil"/>
              <w:bottom w:val="single" w:sz="8" w:space="0" w:color="DCDDDE"/>
              <w:right w:val="nil"/>
            </w:tcBorders>
            <w:shd w:val="clear" w:color="000000" w:fill="FFFFFF"/>
            <w:noWrap/>
            <w:vAlign w:val="center"/>
            <w:hideMark/>
          </w:tcPr>
          <w:p w14:paraId="74F64B9F"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403</w:t>
            </w:r>
          </w:p>
        </w:tc>
        <w:tc>
          <w:tcPr>
            <w:tcW w:w="545" w:type="dxa"/>
            <w:tcBorders>
              <w:top w:val="nil"/>
              <w:left w:val="nil"/>
              <w:bottom w:val="single" w:sz="8" w:space="0" w:color="DCDDDE"/>
              <w:right w:val="nil"/>
            </w:tcBorders>
            <w:shd w:val="clear" w:color="000000" w:fill="FFFFFF"/>
            <w:noWrap/>
            <w:vAlign w:val="center"/>
            <w:hideMark/>
          </w:tcPr>
          <w:p w14:paraId="27C00853"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416</w:t>
            </w:r>
          </w:p>
        </w:tc>
        <w:tc>
          <w:tcPr>
            <w:tcW w:w="545" w:type="dxa"/>
            <w:tcBorders>
              <w:top w:val="nil"/>
              <w:left w:val="nil"/>
              <w:bottom w:val="single" w:sz="8" w:space="0" w:color="DCDDDE"/>
              <w:right w:val="nil"/>
            </w:tcBorders>
            <w:shd w:val="clear" w:color="000000" w:fill="FFFFFF"/>
            <w:noWrap/>
            <w:vAlign w:val="center"/>
            <w:hideMark/>
          </w:tcPr>
          <w:p w14:paraId="0D0C31D8"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424</w:t>
            </w:r>
          </w:p>
        </w:tc>
        <w:tc>
          <w:tcPr>
            <w:tcW w:w="545" w:type="dxa"/>
            <w:tcBorders>
              <w:top w:val="nil"/>
              <w:left w:val="nil"/>
              <w:bottom w:val="single" w:sz="8" w:space="0" w:color="DCDDDE"/>
              <w:right w:val="nil"/>
            </w:tcBorders>
            <w:shd w:val="clear" w:color="000000" w:fill="FFFFFF"/>
            <w:noWrap/>
            <w:vAlign w:val="center"/>
            <w:hideMark/>
          </w:tcPr>
          <w:p w14:paraId="27E0EF3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436</w:t>
            </w:r>
          </w:p>
        </w:tc>
        <w:tc>
          <w:tcPr>
            <w:tcW w:w="545" w:type="dxa"/>
            <w:tcBorders>
              <w:top w:val="nil"/>
              <w:left w:val="nil"/>
              <w:bottom w:val="single" w:sz="8" w:space="0" w:color="DCDDDE"/>
              <w:right w:val="nil"/>
            </w:tcBorders>
            <w:shd w:val="clear" w:color="000000" w:fill="FFFFFF"/>
            <w:noWrap/>
            <w:vAlign w:val="center"/>
            <w:hideMark/>
          </w:tcPr>
          <w:p w14:paraId="7B457F85"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450</w:t>
            </w:r>
          </w:p>
        </w:tc>
        <w:tc>
          <w:tcPr>
            <w:tcW w:w="545" w:type="dxa"/>
            <w:tcBorders>
              <w:top w:val="nil"/>
              <w:left w:val="nil"/>
              <w:bottom w:val="single" w:sz="8" w:space="0" w:color="DCDDDE"/>
              <w:right w:val="nil"/>
            </w:tcBorders>
            <w:shd w:val="clear" w:color="000000" w:fill="FFFFFF"/>
            <w:noWrap/>
            <w:vAlign w:val="center"/>
            <w:hideMark/>
          </w:tcPr>
          <w:p w14:paraId="343A0528"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466</w:t>
            </w:r>
          </w:p>
        </w:tc>
        <w:tc>
          <w:tcPr>
            <w:tcW w:w="545" w:type="dxa"/>
            <w:tcBorders>
              <w:top w:val="nil"/>
              <w:left w:val="nil"/>
              <w:bottom w:val="single" w:sz="8" w:space="0" w:color="DCDDDE"/>
              <w:right w:val="nil"/>
            </w:tcBorders>
            <w:shd w:val="clear" w:color="000000" w:fill="FFFFFF"/>
            <w:noWrap/>
            <w:vAlign w:val="center"/>
            <w:hideMark/>
          </w:tcPr>
          <w:p w14:paraId="30E4A27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482</w:t>
            </w:r>
          </w:p>
        </w:tc>
      </w:tr>
      <w:tr w:rsidR="00C97435" w:rsidRPr="00C97435" w14:paraId="165525C9" w14:textId="77777777" w:rsidTr="0058478E">
        <w:trPr>
          <w:gridAfter w:val="1"/>
          <w:wAfter w:w="7" w:type="dxa"/>
          <w:trHeight w:val="217"/>
        </w:trPr>
        <w:tc>
          <w:tcPr>
            <w:tcW w:w="1771" w:type="dxa"/>
            <w:tcBorders>
              <w:top w:val="nil"/>
              <w:left w:val="nil"/>
              <w:bottom w:val="single" w:sz="8" w:space="0" w:color="DCDDDE"/>
              <w:right w:val="nil"/>
            </w:tcBorders>
            <w:shd w:val="clear" w:color="000000" w:fill="FFFFFF"/>
            <w:vAlign w:val="center"/>
            <w:hideMark/>
          </w:tcPr>
          <w:p w14:paraId="21FB9D86"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4CD6EFC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272</w:t>
            </w:r>
          </w:p>
        </w:tc>
        <w:tc>
          <w:tcPr>
            <w:tcW w:w="545" w:type="dxa"/>
            <w:tcBorders>
              <w:top w:val="nil"/>
              <w:left w:val="nil"/>
              <w:bottom w:val="single" w:sz="8" w:space="0" w:color="DCDDDE"/>
              <w:right w:val="nil"/>
            </w:tcBorders>
            <w:shd w:val="clear" w:color="000000" w:fill="FFFFFF"/>
            <w:noWrap/>
            <w:vAlign w:val="center"/>
            <w:hideMark/>
          </w:tcPr>
          <w:p w14:paraId="6CBA684E"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275</w:t>
            </w:r>
          </w:p>
        </w:tc>
        <w:tc>
          <w:tcPr>
            <w:tcW w:w="545" w:type="dxa"/>
            <w:tcBorders>
              <w:top w:val="nil"/>
              <w:left w:val="nil"/>
              <w:bottom w:val="single" w:sz="8" w:space="0" w:color="DCDDDE"/>
              <w:right w:val="nil"/>
            </w:tcBorders>
            <w:shd w:val="clear" w:color="000000" w:fill="FFFFFF"/>
            <w:noWrap/>
            <w:vAlign w:val="center"/>
            <w:hideMark/>
          </w:tcPr>
          <w:p w14:paraId="46407A90"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311</w:t>
            </w:r>
          </w:p>
        </w:tc>
        <w:tc>
          <w:tcPr>
            <w:tcW w:w="545" w:type="dxa"/>
            <w:tcBorders>
              <w:top w:val="nil"/>
              <w:left w:val="nil"/>
              <w:bottom w:val="single" w:sz="8" w:space="0" w:color="DCDDDE"/>
              <w:right w:val="nil"/>
            </w:tcBorders>
            <w:shd w:val="clear" w:color="000000" w:fill="FFFFFF"/>
            <w:noWrap/>
            <w:vAlign w:val="center"/>
            <w:hideMark/>
          </w:tcPr>
          <w:p w14:paraId="32AAB477"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368</w:t>
            </w:r>
          </w:p>
        </w:tc>
        <w:tc>
          <w:tcPr>
            <w:tcW w:w="545" w:type="dxa"/>
            <w:tcBorders>
              <w:top w:val="nil"/>
              <w:left w:val="nil"/>
              <w:bottom w:val="single" w:sz="8" w:space="0" w:color="DCDDDE"/>
              <w:right w:val="nil"/>
            </w:tcBorders>
            <w:shd w:val="clear" w:color="000000" w:fill="FFFFFF"/>
            <w:noWrap/>
            <w:vAlign w:val="center"/>
            <w:hideMark/>
          </w:tcPr>
          <w:p w14:paraId="59D9FE03"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359</w:t>
            </w:r>
          </w:p>
        </w:tc>
        <w:tc>
          <w:tcPr>
            <w:tcW w:w="545" w:type="dxa"/>
            <w:tcBorders>
              <w:top w:val="nil"/>
              <w:left w:val="nil"/>
              <w:bottom w:val="single" w:sz="8" w:space="0" w:color="DCDDDE"/>
              <w:right w:val="nil"/>
            </w:tcBorders>
            <w:shd w:val="clear" w:color="000000" w:fill="FFFFFF"/>
            <w:noWrap/>
            <w:vAlign w:val="center"/>
            <w:hideMark/>
          </w:tcPr>
          <w:p w14:paraId="1AF2AF8E"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440</w:t>
            </w:r>
          </w:p>
        </w:tc>
        <w:tc>
          <w:tcPr>
            <w:tcW w:w="545" w:type="dxa"/>
            <w:tcBorders>
              <w:top w:val="nil"/>
              <w:left w:val="nil"/>
              <w:bottom w:val="single" w:sz="8" w:space="0" w:color="DCDDDE"/>
              <w:right w:val="nil"/>
            </w:tcBorders>
            <w:shd w:val="clear" w:color="000000" w:fill="FFFFFF"/>
            <w:noWrap/>
            <w:vAlign w:val="center"/>
            <w:hideMark/>
          </w:tcPr>
          <w:p w14:paraId="6B4594BA"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422</w:t>
            </w:r>
          </w:p>
        </w:tc>
        <w:tc>
          <w:tcPr>
            <w:tcW w:w="545" w:type="dxa"/>
            <w:tcBorders>
              <w:top w:val="nil"/>
              <w:left w:val="nil"/>
              <w:bottom w:val="single" w:sz="8" w:space="0" w:color="DCDDDE"/>
              <w:right w:val="nil"/>
            </w:tcBorders>
            <w:shd w:val="clear" w:color="000000" w:fill="FFFFFF"/>
            <w:noWrap/>
            <w:vAlign w:val="center"/>
            <w:hideMark/>
          </w:tcPr>
          <w:p w14:paraId="6767A1F9"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408</w:t>
            </w:r>
          </w:p>
        </w:tc>
        <w:tc>
          <w:tcPr>
            <w:tcW w:w="545" w:type="dxa"/>
            <w:tcBorders>
              <w:top w:val="nil"/>
              <w:left w:val="nil"/>
              <w:bottom w:val="single" w:sz="8" w:space="0" w:color="DCDDDE"/>
              <w:right w:val="nil"/>
            </w:tcBorders>
            <w:shd w:val="clear" w:color="000000" w:fill="FFFFFF"/>
            <w:noWrap/>
            <w:vAlign w:val="center"/>
            <w:hideMark/>
          </w:tcPr>
          <w:p w14:paraId="0DBDB7C9"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392</w:t>
            </w:r>
          </w:p>
        </w:tc>
        <w:tc>
          <w:tcPr>
            <w:tcW w:w="545" w:type="dxa"/>
            <w:tcBorders>
              <w:top w:val="nil"/>
              <w:left w:val="nil"/>
              <w:bottom w:val="single" w:sz="8" w:space="0" w:color="DCDDDE"/>
              <w:right w:val="nil"/>
            </w:tcBorders>
            <w:shd w:val="clear" w:color="000000" w:fill="FFFFFF"/>
            <w:noWrap/>
            <w:vAlign w:val="center"/>
            <w:hideMark/>
          </w:tcPr>
          <w:p w14:paraId="424043D4"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382</w:t>
            </w:r>
          </w:p>
        </w:tc>
        <w:tc>
          <w:tcPr>
            <w:tcW w:w="545" w:type="dxa"/>
            <w:tcBorders>
              <w:top w:val="nil"/>
              <w:left w:val="nil"/>
              <w:bottom w:val="single" w:sz="8" w:space="0" w:color="DCDDDE"/>
              <w:right w:val="nil"/>
            </w:tcBorders>
            <w:shd w:val="clear" w:color="000000" w:fill="FFFFFF"/>
            <w:noWrap/>
            <w:vAlign w:val="center"/>
            <w:hideMark/>
          </w:tcPr>
          <w:p w14:paraId="3677037E"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361</w:t>
            </w:r>
          </w:p>
        </w:tc>
        <w:tc>
          <w:tcPr>
            <w:tcW w:w="545" w:type="dxa"/>
            <w:tcBorders>
              <w:top w:val="nil"/>
              <w:left w:val="nil"/>
              <w:bottom w:val="single" w:sz="8" w:space="0" w:color="DCDDDE"/>
              <w:right w:val="nil"/>
            </w:tcBorders>
            <w:shd w:val="clear" w:color="000000" w:fill="FFFFFF"/>
            <w:noWrap/>
            <w:vAlign w:val="center"/>
            <w:hideMark/>
          </w:tcPr>
          <w:p w14:paraId="0ECDCCB2"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344</w:t>
            </w:r>
          </w:p>
        </w:tc>
        <w:tc>
          <w:tcPr>
            <w:tcW w:w="545" w:type="dxa"/>
            <w:tcBorders>
              <w:top w:val="nil"/>
              <w:left w:val="nil"/>
              <w:bottom w:val="single" w:sz="8" w:space="0" w:color="DCDDDE"/>
              <w:right w:val="nil"/>
            </w:tcBorders>
            <w:shd w:val="clear" w:color="000000" w:fill="FFFFFF"/>
            <w:noWrap/>
            <w:vAlign w:val="center"/>
            <w:hideMark/>
          </w:tcPr>
          <w:p w14:paraId="08328CED" w14:textId="77777777" w:rsidR="00C97435" w:rsidRPr="00C97435" w:rsidRDefault="00C97435" w:rsidP="00C97435">
            <w:pPr>
              <w:spacing w:line="240" w:lineRule="auto"/>
              <w:jc w:val="right"/>
              <w:rPr>
                <w:rFonts w:ascii="Arial Narrow" w:hAnsi="Arial Narrow" w:cs="Calibri"/>
                <w:sz w:val="18"/>
                <w:szCs w:val="18"/>
              </w:rPr>
            </w:pPr>
            <w:r w:rsidRPr="00C97435">
              <w:rPr>
                <w:rFonts w:ascii="Arial Narrow" w:hAnsi="Arial Narrow" w:cs="Calibri"/>
                <w:sz w:val="18"/>
                <w:szCs w:val="18"/>
              </w:rPr>
              <w:t>327</w:t>
            </w:r>
          </w:p>
        </w:tc>
      </w:tr>
      <w:tr w:rsidR="00C97435" w:rsidRPr="00C97435" w14:paraId="664EA92E" w14:textId="77777777" w:rsidTr="0058478E">
        <w:trPr>
          <w:gridAfter w:val="1"/>
          <w:wAfter w:w="7" w:type="dxa"/>
          <w:trHeight w:val="217"/>
        </w:trPr>
        <w:tc>
          <w:tcPr>
            <w:tcW w:w="1771" w:type="dxa"/>
            <w:tcBorders>
              <w:top w:val="nil"/>
              <w:left w:val="nil"/>
              <w:bottom w:val="single" w:sz="8" w:space="0" w:color="DCDDDE"/>
              <w:right w:val="nil"/>
            </w:tcBorders>
            <w:shd w:val="clear" w:color="000000" w:fill="FFFFFF"/>
            <w:vAlign w:val="center"/>
            <w:hideMark/>
          </w:tcPr>
          <w:p w14:paraId="5B9740A6" w14:textId="77777777" w:rsidR="00C97435" w:rsidRPr="00C97435" w:rsidRDefault="00C97435" w:rsidP="00C97435">
            <w:pPr>
              <w:spacing w:line="240" w:lineRule="auto"/>
              <w:rPr>
                <w:rFonts w:ascii="Arial Narrow" w:hAnsi="Arial Narrow" w:cs="Calibri"/>
                <w:b/>
                <w:bCs/>
                <w:sz w:val="18"/>
                <w:szCs w:val="18"/>
              </w:rPr>
            </w:pPr>
            <w:r w:rsidRPr="00C97435">
              <w:rPr>
                <w:rFonts w:ascii="Arial Narrow" w:hAnsi="Arial Narrow" w:cs="Calibri"/>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5497F5B9"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562</w:t>
            </w:r>
          </w:p>
        </w:tc>
        <w:tc>
          <w:tcPr>
            <w:tcW w:w="545" w:type="dxa"/>
            <w:tcBorders>
              <w:top w:val="nil"/>
              <w:left w:val="nil"/>
              <w:bottom w:val="single" w:sz="8" w:space="0" w:color="DCDDDE"/>
              <w:right w:val="nil"/>
            </w:tcBorders>
            <w:shd w:val="clear" w:color="000000" w:fill="FFFFFF"/>
            <w:noWrap/>
            <w:vAlign w:val="center"/>
            <w:hideMark/>
          </w:tcPr>
          <w:p w14:paraId="64BA96BE"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604</w:t>
            </w:r>
          </w:p>
        </w:tc>
        <w:tc>
          <w:tcPr>
            <w:tcW w:w="545" w:type="dxa"/>
            <w:tcBorders>
              <w:top w:val="nil"/>
              <w:left w:val="nil"/>
              <w:bottom w:val="single" w:sz="8" w:space="0" w:color="DCDDDE"/>
              <w:right w:val="nil"/>
            </w:tcBorders>
            <w:shd w:val="clear" w:color="000000" w:fill="FFFFFF"/>
            <w:noWrap/>
            <w:vAlign w:val="center"/>
            <w:hideMark/>
          </w:tcPr>
          <w:p w14:paraId="6535DD60"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644</w:t>
            </w:r>
          </w:p>
        </w:tc>
        <w:tc>
          <w:tcPr>
            <w:tcW w:w="545" w:type="dxa"/>
            <w:tcBorders>
              <w:top w:val="nil"/>
              <w:left w:val="nil"/>
              <w:bottom w:val="single" w:sz="8" w:space="0" w:color="DCDDDE"/>
              <w:right w:val="nil"/>
            </w:tcBorders>
            <w:shd w:val="clear" w:color="000000" w:fill="FFFFFF"/>
            <w:noWrap/>
            <w:vAlign w:val="center"/>
            <w:hideMark/>
          </w:tcPr>
          <w:p w14:paraId="5E7A8A5C"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734</w:t>
            </w:r>
          </w:p>
        </w:tc>
        <w:tc>
          <w:tcPr>
            <w:tcW w:w="545" w:type="dxa"/>
            <w:tcBorders>
              <w:top w:val="nil"/>
              <w:left w:val="nil"/>
              <w:bottom w:val="single" w:sz="8" w:space="0" w:color="DCDDDE"/>
              <w:right w:val="nil"/>
            </w:tcBorders>
            <w:shd w:val="clear" w:color="000000" w:fill="FFFFFF"/>
            <w:noWrap/>
            <w:vAlign w:val="center"/>
            <w:hideMark/>
          </w:tcPr>
          <w:p w14:paraId="1E1AC723"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735</w:t>
            </w:r>
          </w:p>
        </w:tc>
        <w:tc>
          <w:tcPr>
            <w:tcW w:w="545" w:type="dxa"/>
            <w:tcBorders>
              <w:top w:val="nil"/>
              <w:left w:val="nil"/>
              <w:bottom w:val="single" w:sz="8" w:space="0" w:color="DCDDDE"/>
              <w:right w:val="nil"/>
            </w:tcBorders>
            <w:shd w:val="clear" w:color="000000" w:fill="FFFFFF"/>
            <w:noWrap/>
            <w:vAlign w:val="center"/>
            <w:hideMark/>
          </w:tcPr>
          <w:p w14:paraId="045649C8"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834</w:t>
            </w:r>
          </w:p>
        </w:tc>
        <w:tc>
          <w:tcPr>
            <w:tcW w:w="545" w:type="dxa"/>
            <w:tcBorders>
              <w:top w:val="nil"/>
              <w:left w:val="nil"/>
              <w:bottom w:val="single" w:sz="8" w:space="0" w:color="DCDDDE"/>
              <w:right w:val="nil"/>
            </w:tcBorders>
            <w:shd w:val="clear" w:color="000000" w:fill="FFFFFF"/>
            <w:noWrap/>
            <w:vAlign w:val="center"/>
            <w:hideMark/>
          </w:tcPr>
          <w:p w14:paraId="7D593CBE"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825</w:t>
            </w:r>
          </w:p>
        </w:tc>
        <w:tc>
          <w:tcPr>
            <w:tcW w:w="545" w:type="dxa"/>
            <w:tcBorders>
              <w:top w:val="nil"/>
              <w:left w:val="nil"/>
              <w:bottom w:val="single" w:sz="8" w:space="0" w:color="DCDDDE"/>
              <w:right w:val="nil"/>
            </w:tcBorders>
            <w:shd w:val="clear" w:color="000000" w:fill="FFFFFF"/>
            <w:noWrap/>
            <w:vAlign w:val="center"/>
            <w:hideMark/>
          </w:tcPr>
          <w:p w14:paraId="637C42FA"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824</w:t>
            </w:r>
          </w:p>
        </w:tc>
        <w:tc>
          <w:tcPr>
            <w:tcW w:w="545" w:type="dxa"/>
            <w:tcBorders>
              <w:top w:val="nil"/>
              <w:left w:val="nil"/>
              <w:bottom w:val="single" w:sz="8" w:space="0" w:color="DCDDDE"/>
              <w:right w:val="nil"/>
            </w:tcBorders>
            <w:shd w:val="clear" w:color="000000" w:fill="FFFFFF"/>
            <w:noWrap/>
            <w:vAlign w:val="center"/>
            <w:hideMark/>
          </w:tcPr>
          <w:p w14:paraId="312257B3"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816</w:t>
            </w:r>
          </w:p>
        </w:tc>
        <w:tc>
          <w:tcPr>
            <w:tcW w:w="545" w:type="dxa"/>
            <w:tcBorders>
              <w:top w:val="nil"/>
              <w:left w:val="nil"/>
              <w:bottom w:val="single" w:sz="8" w:space="0" w:color="DCDDDE"/>
              <w:right w:val="nil"/>
            </w:tcBorders>
            <w:shd w:val="clear" w:color="000000" w:fill="FFFFFF"/>
            <w:noWrap/>
            <w:vAlign w:val="center"/>
            <w:hideMark/>
          </w:tcPr>
          <w:p w14:paraId="0D8B3091"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818</w:t>
            </w:r>
          </w:p>
        </w:tc>
        <w:tc>
          <w:tcPr>
            <w:tcW w:w="545" w:type="dxa"/>
            <w:tcBorders>
              <w:top w:val="nil"/>
              <w:left w:val="nil"/>
              <w:bottom w:val="single" w:sz="8" w:space="0" w:color="DCDDDE"/>
              <w:right w:val="nil"/>
            </w:tcBorders>
            <w:shd w:val="clear" w:color="000000" w:fill="FFFFFF"/>
            <w:noWrap/>
            <w:vAlign w:val="center"/>
            <w:hideMark/>
          </w:tcPr>
          <w:p w14:paraId="2FD2E98B"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812</w:t>
            </w:r>
          </w:p>
        </w:tc>
        <w:tc>
          <w:tcPr>
            <w:tcW w:w="545" w:type="dxa"/>
            <w:tcBorders>
              <w:top w:val="nil"/>
              <w:left w:val="nil"/>
              <w:bottom w:val="single" w:sz="8" w:space="0" w:color="DCDDDE"/>
              <w:right w:val="nil"/>
            </w:tcBorders>
            <w:shd w:val="clear" w:color="000000" w:fill="FFFFFF"/>
            <w:noWrap/>
            <w:vAlign w:val="center"/>
            <w:hideMark/>
          </w:tcPr>
          <w:p w14:paraId="49563C2F"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810</w:t>
            </w:r>
          </w:p>
        </w:tc>
        <w:tc>
          <w:tcPr>
            <w:tcW w:w="545" w:type="dxa"/>
            <w:tcBorders>
              <w:top w:val="nil"/>
              <w:left w:val="nil"/>
              <w:bottom w:val="single" w:sz="8" w:space="0" w:color="DCDDDE"/>
              <w:right w:val="nil"/>
            </w:tcBorders>
            <w:shd w:val="clear" w:color="000000" w:fill="FFFFFF"/>
            <w:noWrap/>
            <w:vAlign w:val="center"/>
            <w:hideMark/>
          </w:tcPr>
          <w:p w14:paraId="0C4FA3E1" w14:textId="77777777" w:rsidR="00C97435" w:rsidRPr="00C97435" w:rsidRDefault="00C97435" w:rsidP="00C97435">
            <w:pPr>
              <w:spacing w:line="240" w:lineRule="auto"/>
              <w:jc w:val="right"/>
              <w:rPr>
                <w:rFonts w:ascii="Arial Narrow" w:hAnsi="Arial Narrow" w:cs="Calibri"/>
                <w:b/>
                <w:bCs/>
                <w:sz w:val="18"/>
                <w:szCs w:val="18"/>
              </w:rPr>
            </w:pPr>
            <w:r w:rsidRPr="00C97435">
              <w:rPr>
                <w:rFonts w:ascii="Arial Narrow" w:hAnsi="Arial Narrow" w:cs="Calibri"/>
                <w:b/>
                <w:bCs/>
                <w:sz w:val="18"/>
                <w:szCs w:val="18"/>
              </w:rPr>
              <w:t>810</w:t>
            </w:r>
          </w:p>
        </w:tc>
      </w:tr>
    </w:tbl>
    <w:p w14:paraId="28D491AD" w14:textId="77777777" w:rsidR="00C97435" w:rsidRDefault="00C97435" w:rsidP="00C97435">
      <w:pPr>
        <w:spacing w:line="240" w:lineRule="auto"/>
        <w:jc w:val="center"/>
      </w:pPr>
      <w:r w:rsidRPr="00252D53">
        <w:t>*includes interactive effects</w:t>
      </w:r>
    </w:p>
    <w:p w14:paraId="51F92ACC" w14:textId="3C1B3C25" w:rsidR="00252D53" w:rsidRDefault="00252D53" w:rsidP="00252D53">
      <w:pPr>
        <w:spacing w:line="240" w:lineRule="auto"/>
        <w:jc w:val="center"/>
      </w:pPr>
    </w:p>
    <w:p w14:paraId="7BDF1C5F" w14:textId="77777777" w:rsidR="0058478E" w:rsidRPr="00252D53" w:rsidRDefault="0058478E" w:rsidP="00252D53">
      <w:pPr>
        <w:spacing w:line="240" w:lineRule="auto"/>
        <w:jc w:val="center"/>
      </w:pPr>
    </w:p>
    <w:p w14:paraId="5EEBAE8C" w14:textId="35B3E107" w:rsidR="009A6333" w:rsidRDefault="00C25BCB" w:rsidP="009A6333">
      <w:pPr>
        <w:pStyle w:val="Caption"/>
      </w:pPr>
      <w:bookmarkStart w:id="771" w:name="_Ref490226100"/>
      <w:bookmarkStart w:id="772" w:name="_Toc490560693"/>
      <w:r w:rsidRPr="00333C73">
        <w:lastRenderedPageBreak/>
        <w:t xml:space="preserve">Table </w:t>
      </w:r>
      <w:fldSimple w:instr=" STYLEREF 1 \s ">
        <w:r w:rsidR="00C97435">
          <w:rPr>
            <w:noProof/>
          </w:rPr>
          <w:t>4</w:t>
        </w:r>
      </w:fldSimple>
      <w:r w:rsidR="009A6333">
        <w:noBreakHyphen/>
      </w:r>
      <w:fldSimple w:instr=" SEQ Table \* ARABIC \s 1 ">
        <w:r w:rsidR="00C97435">
          <w:rPr>
            <w:noProof/>
          </w:rPr>
          <w:t>3</w:t>
        </w:r>
      </w:fldSimple>
      <w:bookmarkEnd w:id="771"/>
      <w:r w:rsidR="009A6333" w:rsidRPr="009A6333">
        <w:rPr>
          <w:b w:val="0"/>
        </w:rPr>
        <w:t xml:space="preserve">. </w:t>
      </w:r>
      <w:r w:rsidR="009A6333" w:rsidRPr="009A6333">
        <w:t xml:space="preserve">Statewide </w:t>
      </w:r>
      <w:r w:rsidR="00D91D8D">
        <w:t xml:space="preserve">Net </w:t>
      </w:r>
      <w:r w:rsidR="009A6333" w:rsidRPr="009A6333">
        <w:t xml:space="preserve">Incremental </w:t>
      </w:r>
      <w:r w:rsidR="009A6333">
        <w:t>Gas</w:t>
      </w:r>
      <w:r w:rsidR="009A6333" w:rsidRPr="009A6333">
        <w:t xml:space="preserve"> Savings by Scenario</w:t>
      </w:r>
      <w:bookmarkEnd w:id="772"/>
    </w:p>
    <w:tbl>
      <w:tblPr>
        <w:tblW w:w="8902" w:type="dxa"/>
        <w:jc w:val="center"/>
        <w:tblLook w:val="04A0" w:firstRow="1" w:lastRow="0" w:firstColumn="1" w:lastColumn="0" w:noHBand="0" w:noVBand="1"/>
      </w:tblPr>
      <w:tblGrid>
        <w:gridCol w:w="1650"/>
        <w:gridCol w:w="557"/>
        <w:gridCol w:w="557"/>
        <w:gridCol w:w="557"/>
        <w:gridCol w:w="557"/>
        <w:gridCol w:w="557"/>
        <w:gridCol w:w="557"/>
        <w:gridCol w:w="557"/>
        <w:gridCol w:w="557"/>
        <w:gridCol w:w="557"/>
        <w:gridCol w:w="557"/>
        <w:gridCol w:w="557"/>
        <w:gridCol w:w="557"/>
        <w:gridCol w:w="557"/>
        <w:gridCol w:w="11"/>
      </w:tblGrid>
      <w:tr w:rsidR="009A6333" w:rsidRPr="009A6333" w14:paraId="55CCD6CB" w14:textId="77777777" w:rsidTr="00D70E28">
        <w:trPr>
          <w:trHeight w:val="218"/>
          <w:jc w:val="center"/>
        </w:trPr>
        <w:tc>
          <w:tcPr>
            <w:tcW w:w="8902" w:type="dxa"/>
            <w:gridSpan w:val="15"/>
            <w:tcBorders>
              <w:top w:val="nil"/>
              <w:left w:val="nil"/>
              <w:bottom w:val="single" w:sz="12" w:space="0" w:color="95D600"/>
              <w:right w:val="nil"/>
            </w:tcBorders>
            <w:shd w:val="clear" w:color="000000" w:fill="555759"/>
            <w:noWrap/>
            <w:vAlign w:val="center"/>
            <w:hideMark/>
          </w:tcPr>
          <w:p w14:paraId="129413EB" w14:textId="77777777" w:rsidR="009A6333" w:rsidRPr="009A6333" w:rsidRDefault="009A6333" w:rsidP="009A6333">
            <w:pPr>
              <w:spacing w:line="240" w:lineRule="auto"/>
              <w:jc w:val="center"/>
              <w:rPr>
                <w:rFonts w:ascii="Arial Narrow" w:hAnsi="Arial Narrow"/>
                <w:b/>
                <w:bCs/>
                <w:color w:val="FFFFFF"/>
                <w:sz w:val="18"/>
                <w:szCs w:val="18"/>
              </w:rPr>
            </w:pPr>
            <w:r w:rsidRPr="009A6333">
              <w:rPr>
                <w:rFonts w:ascii="Arial Narrow" w:hAnsi="Arial Narrow"/>
                <w:b/>
                <w:bCs/>
                <w:color w:val="FFFFFF"/>
                <w:sz w:val="18"/>
                <w:szCs w:val="18"/>
              </w:rPr>
              <w:t>Gas Energy (MMTherm/year)</w:t>
            </w:r>
          </w:p>
        </w:tc>
      </w:tr>
      <w:tr w:rsidR="009A6333" w:rsidRPr="009A6333" w14:paraId="60840D2B" w14:textId="77777777" w:rsidTr="00D70E28">
        <w:trPr>
          <w:gridAfter w:val="1"/>
          <w:wAfter w:w="11" w:type="dxa"/>
          <w:trHeight w:val="229"/>
          <w:jc w:val="center"/>
        </w:trPr>
        <w:tc>
          <w:tcPr>
            <w:tcW w:w="1650" w:type="dxa"/>
            <w:tcBorders>
              <w:top w:val="nil"/>
              <w:left w:val="nil"/>
              <w:bottom w:val="single" w:sz="8" w:space="0" w:color="DCDDDE"/>
              <w:right w:val="nil"/>
            </w:tcBorders>
            <w:shd w:val="clear" w:color="auto" w:fill="auto"/>
            <w:vAlign w:val="center"/>
            <w:hideMark/>
          </w:tcPr>
          <w:p w14:paraId="2E58FAF8"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Year</w:t>
            </w:r>
          </w:p>
        </w:tc>
        <w:tc>
          <w:tcPr>
            <w:tcW w:w="557" w:type="dxa"/>
            <w:tcBorders>
              <w:top w:val="nil"/>
              <w:left w:val="nil"/>
              <w:bottom w:val="single" w:sz="8" w:space="0" w:color="DCDDDE"/>
              <w:right w:val="nil"/>
            </w:tcBorders>
            <w:shd w:val="clear" w:color="auto" w:fill="auto"/>
            <w:noWrap/>
            <w:vAlign w:val="center"/>
            <w:hideMark/>
          </w:tcPr>
          <w:p w14:paraId="26A0D20A"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2018</w:t>
            </w:r>
          </w:p>
        </w:tc>
        <w:tc>
          <w:tcPr>
            <w:tcW w:w="557" w:type="dxa"/>
            <w:tcBorders>
              <w:top w:val="nil"/>
              <w:left w:val="nil"/>
              <w:bottom w:val="single" w:sz="8" w:space="0" w:color="DCDDDE"/>
              <w:right w:val="nil"/>
            </w:tcBorders>
            <w:shd w:val="clear" w:color="auto" w:fill="auto"/>
            <w:noWrap/>
            <w:vAlign w:val="center"/>
            <w:hideMark/>
          </w:tcPr>
          <w:p w14:paraId="02A68A3A"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2019</w:t>
            </w:r>
          </w:p>
        </w:tc>
        <w:tc>
          <w:tcPr>
            <w:tcW w:w="557" w:type="dxa"/>
            <w:tcBorders>
              <w:top w:val="nil"/>
              <w:left w:val="nil"/>
              <w:bottom w:val="single" w:sz="8" w:space="0" w:color="DCDDDE"/>
              <w:right w:val="nil"/>
            </w:tcBorders>
            <w:shd w:val="clear" w:color="auto" w:fill="auto"/>
            <w:noWrap/>
            <w:vAlign w:val="center"/>
            <w:hideMark/>
          </w:tcPr>
          <w:p w14:paraId="4A117636"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2020</w:t>
            </w:r>
          </w:p>
        </w:tc>
        <w:tc>
          <w:tcPr>
            <w:tcW w:w="557" w:type="dxa"/>
            <w:tcBorders>
              <w:top w:val="nil"/>
              <w:left w:val="nil"/>
              <w:bottom w:val="single" w:sz="8" w:space="0" w:color="DCDDDE"/>
              <w:right w:val="nil"/>
            </w:tcBorders>
            <w:shd w:val="clear" w:color="auto" w:fill="auto"/>
            <w:noWrap/>
            <w:vAlign w:val="center"/>
            <w:hideMark/>
          </w:tcPr>
          <w:p w14:paraId="1AF0D6BB"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2021</w:t>
            </w:r>
          </w:p>
        </w:tc>
        <w:tc>
          <w:tcPr>
            <w:tcW w:w="557" w:type="dxa"/>
            <w:tcBorders>
              <w:top w:val="nil"/>
              <w:left w:val="nil"/>
              <w:bottom w:val="single" w:sz="8" w:space="0" w:color="DCDDDE"/>
              <w:right w:val="nil"/>
            </w:tcBorders>
            <w:shd w:val="clear" w:color="auto" w:fill="auto"/>
            <w:noWrap/>
            <w:vAlign w:val="center"/>
            <w:hideMark/>
          </w:tcPr>
          <w:p w14:paraId="246A77A3"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2022</w:t>
            </w:r>
          </w:p>
        </w:tc>
        <w:tc>
          <w:tcPr>
            <w:tcW w:w="557" w:type="dxa"/>
            <w:tcBorders>
              <w:top w:val="nil"/>
              <w:left w:val="nil"/>
              <w:bottom w:val="single" w:sz="8" w:space="0" w:color="DCDDDE"/>
              <w:right w:val="nil"/>
            </w:tcBorders>
            <w:shd w:val="clear" w:color="auto" w:fill="auto"/>
            <w:noWrap/>
            <w:vAlign w:val="center"/>
            <w:hideMark/>
          </w:tcPr>
          <w:p w14:paraId="237C686E"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2023</w:t>
            </w:r>
          </w:p>
        </w:tc>
        <w:tc>
          <w:tcPr>
            <w:tcW w:w="557" w:type="dxa"/>
            <w:tcBorders>
              <w:top w:val="nil"/>
              <w:left w:val="nil"/>
              <w:bottom w:val="single" w:sz="8" w:space="0" w:color="DCDDDE"/>
              <w:right w:val="nil"/>
            </w:tcBorders>
            <w:shd w:val="clear" w:color="auto" w:fill="auto"/>
            <w:noWrap/>
            <w:vAlign w:val="center"/>
            <w:hideMark/>
          </w:tcPr>
          <w:p w14:paraId="76BF10FC"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2024</w:t>
            </w:r>
          </w:p>
        </w:tc>
        <w:tc>
          <w:tcPr>
            <w:tcW w:w="557" w:type="dxa"/>
            <w:tcBorders>
              <w:top w:val="nil"/>
              <w:left w:val="nil"/>
              <w:bottom w:val="single" w:sz="8" w:space="0" w:color="DCDDDE"/>
              <w:right w:val="nil"/>
            </w:tcBorders>
            <w:shd w:val="clear" w:color="auto" w:fill="auto"/>
            <w:noWrap/>
            <w:vAlign w:val="center"/>
            <w:hideMark/>
          </w:tcPr>
          <w:p w14:paraId="1AFB8943"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2025</w:t>
            </w:r>
          </w:p>
        </w:tc>
        <w:tc>
          <w:tcPr>
            <w:tcW w:w="557" w:type="dxa"/>
            <w:tcBorders>
              <w:top w:val="nil"/>
              <w:left w:val="nil"/>
              <w:bottom w:val="single" w:sz="8" w:space="0" w:color="DCDDDE"/>
              <w:right w:val="nil"/>
            </w:tcBorders>
            <w:shd w:val="clear" w:color="auto" w:fill="auto"/>
            <w:noWrap/>
            <w:vAlign w:val="center"/>
            <w:hideMark/>
          </w:tcPr>
          <w:p w14:paraId="3ECD909A"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2026</w:t>
            </w:r>
          </w:p>
        </w:tc>
        <w:tc>
          <w:tcPr>
            <w:tcW w:w="557" w:type="dxa"/>
            <w:tcBorders>
              <w:top w:val="nil"/>
              <w:left w:val="nil"/>
              <w:bottom w:val="single" w:sz="8" w:space="0" w:color="DCDDDE"/>
              <w:right w:val="nil"/>
            </w:tcBorders>
            <w:shd w:val="clear" w:color="auto" w:fill="auto"/>
            <w:noWrap/>
            <w:vAlign w:val="center"/>
            <w:hideMark/>
          </w:tcPr>
          <w:p w14:paraId="6F3145CD"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2027</w:t>
            </w:r>
          </w:p>
        </w:tc>
        <w:tc>
          <w:tcPr>
            <w:tcW w:w="557" w:type="dxa"/>
            <w:tcBorders>
              <w:top w:val="nil"/>
              <w:left w:val="nil"/>
              <w:bottom w:val="single" w:sz="8" w:space="0" w:color="DCDDDE"/>
              <w:right w:val="nil"/>
            </w:tcBorders>
            <w:shd w:val="clear" w:color="auto" w:fill="auto"/>
            <w:noWrap/>
            <w:vAlign w:val="center"/>
            <w:hideMark/>
          </w:tcPr>
          <w:p w14:paraId="504FABDA"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2028</w:t>
            </w:r>
          </w:p>
        </w:tc>
        <w:tc>
          <w:tcPr>
            <w:tcW w:w="557" w:type="dxa"/>
            <w:tcBorders>
              <w:top w:val="nil"/>
              <w:left w:val="nil"/>
              <w:bottom w:val="single" w:sz="8" w:space="0" w:color="DCDDDE"/>
              <w:right w:val="nil"/>
            </w:tcBorders>
            <w:shd w:val="clear" w:color="auto" w:fill="auto"/>
            <w:noWrap/>
            <w:vAlign w:val="center"/>
            <w:hideMark/>
          </w:tcPr>
          <w:p w14:paraId="1B80B712"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2029</w:t>
            </w:r>
          </w:p>
        </w:tc>
        <w:tc>
          <w:tcPr>
            <w:tcW w:w="557" w:type="dxa"/>
            <w:tcBorders>
              <w:top w:val="nil"/>
              <w:left w:val="nil"/>
              <w:bottom w:val="single" w:sz="8" w:space="0" w:color="DCDDDE"/>
              <w:right w:val="nil"/>
            </w:tcBorders>
            <w:shd w:val="clear" w:color="auto" w:fill="auto"/>
            <w:noWrap/>
            <w:vAlign w:val="center"/>
            <w:hideMark/>
          </w:tcPr>
          <w:p w14:paraId="33FBDE18"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2030</w:t>
            </w:r>
          </w:p>
        </w:tc>
      </w:tr>
      <w:tr w:rsidR="009A6333" w:rsidRPr="009A6333" w14:paraId="478F88C5" w14:textId="77777777" w:rsidTr="00D70E28">
        <w:trPr>
          <w:trHeight w:val="218"/>
          <w:jc w:val="center"/>
        </w:trPr>
        <w:tc>
          <w:tcPr>
            <w:tcW w:w="8902" w:type="dxa"/>
            <w:gridSpan w:val="15"/>
            <w:tcBorders>
              <w:top w:val="single" w:sz="8" w:space="0" w:color="DCDDDE"/>
              <w:left w:val="nil"/>
              <w:bottom w:val="single" w:sz="8" w:space="0" w:color="DCDDDE"/>
              <w:right w:val="nil"/>
            </w:tcBorders>
            <w:shd w:val="clear" w:color="000000" w:fill="DADADA"/>
            <w:noWrap/>
            <w:vAlign w:val="center"/>
            <w:hideMark/>
          </w:tcPr>
          <w:p w14:paraId="44FA0B47"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TRC | Reference</w:t>
            </w:r>
          </w:p>
        </w:tc>
      </w:tr>
      <w:tr w:rsidR="009A6333" w:rsidRPr="009A6333" w14:paraId="2F8557DE" w14:textId="77777777" w:rsidTr="00D70E28">
        <w:trPr>
          <w:gridAfter w:val="1"/>
          <w:wAfter w:w="11" w:type="dxa"/>
          <w:trHeight w:val="386"/>
          <w:jc w:val="center"/>
        </w:trPr>
        <w:tc>
          <w:tcPr>
            <w:tcW w:w="1650" w:type="dxa"/>
            <w:tcBorders>
              <w:top w:val="nil"/>
              <w:left w:val="nil"/>
              <w:bottom w:val="single" w:sz="8" w:space="0" w:color="DCDDDE"/>
              <w:right w:val="nil"/>
            </w:tcBorders>
            <w:shd w:val="clear" w:color="000000" w:fill="FFFFFF"/>
            <w:vAlign w:val="center"/>
            <w:hideMark/>
          </w:tcPr>
          <w:p w14:paraId="687ECF92"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Equipment Rebates</w:t>
            </w:r>
          </w:p>
        </w:tc>
        <w:tc>
          <w:tcPr>
            <w:tcW w:w="557" w:type="dxa"/>
            <w:tcBorders>
              <w:top w:val="nil"/>
              <w:left w:val="nil"/>
              <w:bottom w:val="single" w:sz="8" w:space="0" w:color="DCDDDE"/>
              <w:right w:val="nil"/>
            </w:tcBorders>
            <w:shd w:val="clear" w:color="000000" w:fill="FFFFFF"/>
            <w:noWrap/>
            <w:vAlign w:val="center"/>
            <w:hideMark/>
          </w:tcPr>
          <w:p w14:paraId="63EE045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20</w:t>
            </w:r>
          </w:p>
        </w:tc>
        <w:tc>
          <w:tcPr>
            <w:tcW w:w="557" w:type="dxa"/>
            <w:tcBorders>
              <w:top w:val="nil"/>
              <w:left w:val="nil"/>
              <w:bottom w:val="single" w:sz="8" w:space="0" w:color="DCDDDE"/>
              <w:right w:val="nil"/>
            </w:tcBorders>
            <w:shd w:val="clear" w:color="000000" w:fill="FFFFFF"/>
            <w:noWrap/>
            <w:vAlign w:val="center"/>
            <w:hideMark/>
          </w:tcPr>
          <w:p w14:paraId="3D29FB9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20</w:t>
            </w:r>
          </w:p>
        </w:tc>
        <w:tc>
          <w:tcPr>
            <w:tcW w:w="557" w:type="dxa"/>
            <w:tcBorders>
              <w:top w:val="nil"/>
              <w:left w:val="nil"/>
              <w:bottom w:val="single" w:sz="8" w:space="0" w:color="DCDDDE"/>
              <w:right w:val="nil"/>
            </w:tcBorders>
            <w:shd w:val="clear" w:color="000000" w:fill="FFFFFF"/>
            <w:noWrap/>
            <w:vAlign w:val="center"/>
            <w:hideMark/>
          </w:tcPr>
          <w:p w14:paraId="0EA686B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18</w:t>
            </w:r>
          </w:p>
        </w:tc>
        <w:tc>
          <w:tcPr>
            <w:tcW w:w="557" w:type="dxa"/>
            <w:tcBorders>
              <w:top w:val="nil"/>
              <w:left w:val="nil"/>
              <w:bottom w:val="single" w:sz="8" w:space="0" w:color="DCDDDE"/>
              <w:right w:val="nil"/>
            </w:tcBorders>
            <w:shd w:val="clear" w:color="000000" w:fill="FFFFFF"/>
            <w:noWrap/>
            <w:vAlign w:val="center"/>
            <w:hideMark/>
          </w:tcPr>
          <w:p w14:paraId="258BA5D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21</w:t>
            </w:r>
          </w:p>
        </w:tc>
        <w:tc>
          <w:tcPr>
            <w:tcW w:w="557" w:type="dxa"/>
            <w:tcBorders>
              <w:top w:val="nil"/>
              <w:left w:val="nil"/>
              <w:bottom w:val="single" w:sz="8" w:space="0" w:color="DCDDDE"/>
              <w:right w:val="nil"/>
            </w:tcBorders>
            <w:shd w:val="clear" w:color="000000" w:fill="FFFFFF"/>
            <w:noWrap/>
            <w:vAlign w:val="center"/>
            <w:hideMark/>
          </w:tcPr>
          <w:p w14:paraId="79656D1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23</w:t>
            </w:r>
          </w:p>
        </w:tc>
        <w:tc>
          <w:tcPr>
            <w:tcW w:w="557" w:type="dxa"/>
            <w:tcBorders>
              <w:top w:val="nil"/>
              <w:left w:val="nil"/>
              <w:bottom w:val="single" w:sz="8" w:space="0" w:color="DCDDDE"/>
              <w:right w:val="nil"/>
            </w:tcBorders>
            <w:shd w:val="clear" w:color="000000" w:fill="FFFFFF"/>
            <w:noWrap/>
            <w:vAlign w:val="center"/>
            <w:hideMark/>
          </w:tcPr>
          <w:p w14:paraId="4316D23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24</w:t>
            </w:r>
          </w:p>
        </w:tc>
        <w:tc>
          <w:tcPr>
            <w:tcW w:w="557" w:type="dxa"/>
            <w:tcBorders>
              <w:top w:val="nil"/>
              <w:left w:val="nil"/>
              <w:bottom w:val="single" w:sz="8" w:space="0" w:color="DCDDDE"/>
              <w:right w:val="nil"/>
            </w:tcBorders>
            <w:shd w:val="clear" w:color="000000" w:fill="FFFFFF"/>
            <w:noWrap/>
            <w:vAlign w:val="center"/>
            <w:hideMark/>
          </w:tcPr>
          <w:p w14:paraId="5D8C41B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23</w:t>
            </w:r>
          </w:p>
        </w:tc>
        <w:tc>
          <w:tcPr>
            <w:tcW w:w="557" w:type="dxa"/>
            <w:tcBorders>
              <w:top w:val="nil"/>
              <w:left w:val="nil"/>
              <w:bottom w:val="single" w:sz="8" w:space="0" w:color="DCDDDE"/>
              <w:right w:val="nil"/>
            </w:tcBorders>
            <w:shd w:val="clear" w:color="000000" w:fill="FFFFFF"/>
            <w:noWrap/>
            <w:vAlign w:val="center"/>
            <w:hideMark/>
          </w:tcPr>
          <w:p w14:paraId="68C1848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24</w:t>
            </w:r>
          </w:p>
        </w:tc>
        <w:tc>
          <w:tcPr>
            <w:tcW w:w="557" w:type="dxa"/>
            <w:tcBorders>
              <w:top w:val="nil"/>
              <w:left w:val="nil"/>
              <w:bottom w:val="single" w:sz="8" w:space="0" w:color="DCDDDE"/>
              <w:right w:val="nil"/>
            </w:tcBorders>
            <w:shd w:val="clear" w:color="000000" w:fill="FFFFFF"/>
            <w:noWrap/>
            <w:vAlign w:val="center"/>
            <w:hideMark/>
          </w:tcPr>
          <w:p w14:paraId="6306560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26</w:t>
            </w:r>
          </w:p>
        </w:tc>
        <w:tc>
          <w:tcPr>
            <w:tcW w:w="557" w:type="dxa"/>
            <w:tcBorders>
              <w:top w:val="nil"/>
              <w:left w:val="nil"/>
              <w:bottom w:val="single" w:sz="8" w:space="0" w:color="DCDDDE"/>
              <w:right w:val="nil"/>
            </w:tcBorders>
            <w:shd w:val="clear" w:color="000000" w:fill="FFFFFF"/>
            <w:noWrap/>
            <w:vAlign w:val="center"/>
            <w:hideMark/>
          </w:tcPr>
          <w:p w14:paraId="0520529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26</w:t>
            </w:r>
          </w:p>
        </w:tc>
        <w:tc>
          <w:tcPr>
            <w:tcW w:w="557" w:type="dxa"/>
            <w:tcBorders>
              <w:top w:val="nil"/>
              <w:left w:val="nil"/>
              <w:bottom w:val="single" w:sz="8" w:space="0" w:color="DCDDDE"/>
              <w:right w:val="nil"/>
            </w:tcBorders>
            <w:shd w:val="clear" w:color="000000" w:fill="FFFFFF"/>
            <w:noWrap/>
            <w:vAlign w:val="center"/>
            <w:hideMark/>
          </w:tcPr>
          <w:p w14:paraId="440C6BB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26</w:t>
            </w:r>
          </w:p>
        </w:tc>
        <w:tc>
          <w:tcPr>
            <w:tcW w:w="557" w:type="dxa"/>
            <w:tcBorders>
              <w:top w:val="nil"/>
              <w:left w:val="nil"/>
              <w:bottom w:val="single" w:sz="8" w:space="0" w:color="DCDDDE"/>
              <w:right w:val="nil"/>
            </w:tcBorders>
            <w:shd w:val="clear" w:color="000000" w:fill="FFFFFF"/>
            <w:noWrap/>
            <w:vAlign w:val="center"/>
            <w:hideMark/>
          </w:tcPr>
          <w:p w14:paraId="2B8CA8D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26</w:t>
            </w:r>
          </w:p>
        </w:tc>
        <w:tc>
          <w:tcPr>
            <w:tcW w:w="557" w:type="dxa"/>
            <w:tcBorders>
              <w:top w:val="nil"/>
              <w:left w:val="nil"/>
              <w:bottom w:val="single" w:sz="8" w:space="0" w:color="DCDDDE"/>
              <w:right w:val="nil"/>
            </w:tcBorders>
            <w:shd w:val="clear" w:color="000000" w:fill="FFFFFF"/>
            <w:noWrap/>
            <w:vAlign w:val="center"/>
            <w:hideMark/>
          </w:tcPr>
          <w:p w14:paraId="4E37034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27</w:t>
            </w:r>
          </w:p>
        </w:tc>
      </w:tr>
      <w:tr w:rsidR="009A6333" w:rsidRPr="009A6333" w14:paraId="55749D1B" w14:textId="77777777" w:rsidTr="00D70E28">
        <w:trPr>
          <w:gridAfter w:val="1"/>
          <w:wAfter w:w="11" w:type="dxa"/>
          <w:trHeight w:val="218"/>
          <w:jc w:val="center"/>
        </w:trPr>
        <w:tc>
          <w:tcPr>
            <w:tcW w:w="1650" w:type="dxa"/>
            <w:tcBorders>
              <w:top w:val="nil"/>
              <w:left w:val="nil"/>
              <w:bottom w:val="single" w:sz="8" w:space="0" w:color="DCDDDE"/>
              <w:right w:val="nil"/>
            </w:tcBorders>
            <w:shd w:val="clear" w:color="000000" w:fill="FFFFFF"/>
            <w:vAlign w:val="center"/>
            <w:hideMark/>
          </w:tcPr>
          <w:p w14:paraId="2988A569"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BROs</w:t>
            </w:r>
          </w:p>
        </w:tc>
        <w:tc>
          <w:tcPr>
            <w:tcW w:w="557" w:type="dxa"/>
            <w:tcBorders>
              <w:top w:val="nil"/>
              <w:left w:val="nil"/>
              <w:bottom w:val="single" w:sz="8" w:space="0" w:color="DCDDDE"/>
              <w:right w:val="nil"/>
            </w:tcBorders>
            <w:shd w:val="clear" w:color="000000" w:fill="FFFFFF"/>
            <w:noWrap/>
            <w:vAlign w:val="center"/>
            <w:hideMark/>
          </w:tcPr>
          <w:p w14:paraId="7A3E64B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w:t>
            </w:r>
          </w:p>
        </w:tc>
        <w:tc>
          <w:tcPr>
            <w:tcW w:w="557" w:type="dxa"/>
            <w:tcBorders>
              <w:top w:val="nil"/>
              <w:left w:val="nil"/>
              <w:bottom w:val="single" w:sz="8" w:space="0" w:color="DCDDDE"/>
              <w:right w:val="nil"/>
            </w:tcBorders>
            <w:shd w:val="clear" w:color="000000" w:fill="FFFFFF"/>
            <w:noWrap/>
            <w:vAlign w:val="center"/>
            <w:hideMark/>
          </w:tcPr>
          <w:p w14:paraId="46AB9E5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w:t>
            </w:r>
          </w:p>
        </w:tc>
        <w:tc>
          <w:tcPr>
            <w:tcW w:w="557" w:type="dxa"/>
            <w:tcBorders>
              <w:top w:val="nil"/>
              <w:left w:val="nil"/>
              <w:bottom w:val="single" w:sz="8" w:space="0" w:color="DCDDDE"/>
              <w:right w:val="nil"/>
            </w:tcBorders>
            <w:shd w:val="clear" w:color="000000" w:fill="FFFFFF"/>
            <w:noWrap/>
            <w:vAlign w:val="center"/>
            <w:hideMark/>
          </w:tcPr>
          <w:p w14:paraId="40E58CC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14</w:t>
            </w:r>
          </w:p>
        </w:tc>
        <w:tc>
          <w:tcPr>
            <w:tcW w:w="557" w:type="dxa"/>
            <w:tcBorders>
              <w:top w:val="nil"/>
              <w:left w:val="nil"/>
              <w:bottom w:val="single" w:sz="8" w:space="0" w:color="DCDDDE"/>
              <w:right w:val="nil"/>
            </w:tcBorders>
            <w:shd w:val="clear" w:color="000000" w:fill="FFFFFF"/>
            <w:noWrap/>
            <w:vAlign w:val="center"/>
            <w:hideMark/>
          </w:tcPr>
          <w:p w14:paraId="415671B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15</w:t>
            </w:r>
          </w:p>
        </w:tc>
        <w:tc>
          <w:tcPr>
            <w:tcW w:w="557" w:type="dxa"/>
            <w:tcBorders>
              <w:top w:val="nil"/>
              <w:left w:val="nil"/>
              <w:bottom w:val="single" w:sz="8" w:space="0" w:color="DCDDDE"/>
              <w:right w:val="nil"/>
            </w:tcBorders>
            <w:shd w:val="clear" w:color="000000" w:fill="FFFFFF"/>
            <w:noWrap/>
            <w:vAlign w:val="center"/>
            <w:hideMark/>
          </w:tcPr>
          <w:p w14:paraId="2C55D8B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16</w:t>
            </w:r>
          </w:p>
        </w:tc>
        <w:tc>
          <w:tcPr>
            <w:tcW w:w="557" w:type="dxa"/>
            <w:tcBorders>
              <w:top w:val="nil"/>
              <w:left w:val="nil"/>
              <w:bottom w:val="single" w:sz="8" w:space="0" w:color="DCDDDE"/>
              <w:right w:val="nil"/>
            </w:tcBorders>
            <w:shd w:val="clear" w:color="000000" w:fill="FFFFFF"/>
            <w:noWrap/>
            <w:vAlign w:val="center"/>
            <w:hideMark/>
          </w:tcPr>
          <w:p w14:paraId="7466DC4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17</w:t>
            </w:r>
          </w:p>
        </w:tc>
        <w:tc>
          <w:tcPr>
            <w:tcW w:w="557" w:type="dxa"/>
            <w:tcBorders>
              <w:top w:val="nil"/>
              <w:left w:val="nil"/>
              <w:bottom w:val="single" w:sz="8" w:space="0" w:color="DCDDDE"/>
              <w:right w:val="nil"/>
            </w:tcBorders>
            <w:shd w:val="clear" w:color="000000" w:fill="FFFFFF"/>
            <w:noWrap/>
            <w:vAlign w:val="center"/>
            <w:hideMark/>
          </w:tcPr>
          <w:p w14:paraId="291CC7A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18</w:t>
            </w:r>
          </w:p>
        </w:tc>
        <w:tc>
          <w:tcPr>
            <w:tcW w:w="557" w:type="dxa"/>
            <w:tcBorders>
              <w:top w:val="nil"/>
              <w:left w:val="nil"/>
              <w:bottom w:val="single" w:sz="8" w:space="0" w:color="DCDDDE"/>
              <w:right w:val="nil"/>
            </w:tcBorders>
            <w:shd w:val="clear" w:color="000000" w:fill="FFFFFF"/>
            <w:noWrap/>
            <w:vAlign w:val="center"/>
            <w:hideMark/>
          </w:tcPr>
          <w:p w14:paraId="5023953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19</w:t>
            </w:r>
          </w:p>
        </w:tc>
        <w:tc>
          <w:tcPr>
            <w:tcW w:w="557" w:type="dxa"/>
            <w:tcBorders>
              <w:top w:val="nil"/>
              <w:left w:val="nil"/>
              <w:bottom w:val="single" w:sz="8" w:space="0" w:color="DCDDDE"/>
              <w:right w:val="nil"/>
            </w:tcBorders>
            <w:shd w:val="clear" w:color="000000" w:fill="FFFFFF"/>
            <w:noWrap/>
            <w:vAlign w:val="center"/>
            <w:hideMark/>
          </w:tcPr>
          <w:p w14:paraId="001FAF5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19</w:t>
            </w:r>
          </w:p>
        </w:tc>
        <w:tc>
          <w:tcPr>
            <w:tcW w:w="557" w:type="dxa"/>
            <w:tcBorders>
              <w:top w:val="nil"/>
              <w:left w:val="nil"/>
              <w:bottom w:val="single" w:sz="8" w:space="0" w:color="DCDDDE"/>
              <w:right w:val="nil"/>
            </w:tcBorders>
            <w:shd w:val="clear" w:color="000000" w:fill="FFFFFF"/>
            <w:noWrap/>
            <w:vAlign w:val="center"/>
            <w:hideMark/>
          </w:tcPr>
          <w:p w14:paraId="5A95EF4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20</w:t>
            </w:r>
          </w:p>
        </w:tc>
        <w:tc>
          <w:tcPr>
            <w:tcW w:w="557" w:type="dxa"/>
            <w:tcBorders>
              <w:top w:val="nil"/>
              <w:left w:val="nil"/>
              <w:bottom w:val="single" w:sz="8" w:space="0" w:color="DCDDDE"/>
              <w:right w:val="nil"/>
            </w:tcBorders>
            <w:shd w:val="clear" w:color="000000" w:fill="FFFFFF"/>
            <w:noWrap/>
            <w:vAlign w:val="center"/>
            <w:hideMark/>
          </w:tcPr>
          <w:p w14:paraId="45092E6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21</w:t>
            </w:r>
          </w:p>
        </w:tc>
        <w:tc>
          <w:tcPr>
            <w:tcW w:w="557" w:type="dxa"/>
            <w:tcBorders>
              <w:top w:val="nil"/>
              <w:left w:val="nil"/>
              <w:bottom w:val="single" w:sz="8" w:space="0" w:color="DCDDDE"/>
              <w:right w:val="nil"/>
            </w:tcBorders>
            <w:shd w:val="clear" w:color="000000" w:fill="FFFFFF"/>
            <w:noWrap/>
            <w:vAlign w:val="center"/>
            <w:hideMark/>
          </w:tcPr>
          <w:p w14:paraId="0C45920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22</w:t>
            </w:r>
          </w:p>
        </w:tc>
        <w:tc>
          <w:tcPr>
            <w:tcW w:w="557" w:type="dxa"/>
            <w:tcBorders>
              <w:top w:val="nil"/>
              <w:left w:val="nil"/>
              <w:bottom w:val="single" w:sz="8" w:space="0" w:color="DCDDDE"/>
              <w:right w:val="nil"/>
            </w:tcBorders>
            <w:shd w:val="clear" w:color="000000" w:fill="FFFFFF"/>
            <w:noWrap/>
            <w:vAlign w:val="center"/>
            <w:hideMark/>
          </w:tcPr>
          <w:p w14:paraId="63FF553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23</w:t>
            </w:r>
          </w:p>
        </w:tc>
      </w:tr>
      <w:tr w:rsidR="009A6333" w:rsidRPr="009A6333" w14:paraId="256F0D29" w14:textId="77777777" w:rsidTr="00D70E28">
        <w:trPr>
          <w:gridAfter w:val="1"/>
          <w:wAfter w:w="11" w:type="dxa"/>
          <w:trHeight w:val="218"/>
          <w:jc w:val="center"/>
        </w:trPr>
        <w:tc>
          <w:tcPr>
            <w:tcW w:w="1650" w:type="dxa"/>
            <w:tcBorders>
              <w:top w:val="nil"/>
              <w:left w:val="nil"/>
              <w:bottom w:val="single" w:sz="8" w:space="0" w:color="DCDDDE"/>
              <w:right w:val="nil"/>
            </w:tcBorders>
            <w:shd w:val="clear" w:color="000000" w:fill="FFFFFF"/>
            <w:vAlign w:val="center"/>
            <w:hideMark/>
          </w:tcPr>
          <w:p w14:paraId="75BC0041"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Low Income</w:t>
            </w:r>
          </w:p>
        </w:tc>
        <w:tc>
          <w:tcPr>
            <w:tcW w:w="557" w:type="dxa"/>
            <w:tcBorders>
              <w:top w:val="nil"/>
              <w:left w:val="nil"/>
              <w:bottom w:val="single" w:sz="8" w:space="0" w:color="DCDDDE"/>
              <w:right w:val="nil"/>
            </w:tcBorders>
            <w:shd w:val="clear" w:color="000000" w:fill="FFFFFF"/>
            <w:noWrap/>
            <w:vAlign w:val="center"/>
            <w:hideMark/>
          </w:tcPr>
          <w:p w14:paraId="4862A99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w:t>
            </w:r>
          </w:p>
        </w:tc>
        <w:tc>
          <w:tcPr>
            <w:tcW w:w="557" w:type="dxa"/>
            <w:tcBorders>
              <w:top w:val="nil"/>
              <w:left w:val="nil"/>
              <w:bottom w:val="single" w:sz="8" w:space="0" w:color="DCDDDE"/>
              <w:right w:val="nil"/>
            </w:tcBorders>
            <w:shd w:val="clear" w:color="000000" w:fill="FFFFFF"/>
            <w:noWrap/>
            <w:vAlign w:val="center"/>
            <w:hideMark/>
          </w:tcPr>
          <w:p w14:paraId="0C10AF9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w:t>
            </w:r>
          </w:p>
        </w:tc>
        <w:tc>
          <w:tcPr>
            <w:tcW w:w="557" w:type="dxa"/>
            <w:tcBorders>
              <w:top w:val="nil"/>
              <w:left w:val="nil"/>
              <w:bottom w:val="single" w:sz="8" w:space="0" w:color="DCDDDE"/>
              <w:right w:val="nil"/>
            </w:tcBorders>
            <w:shd w:val="clear" w:color="000000" w:fill="FFFFFF"/>
            <w:noWrap/>
            <w:vAlign w:val="center"/>
            <w:hideMark/>
          </w:tcPr>
          <w:p w14:paraId="772D145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w:t>
            </w:r>
          </w:p>
        </w:tc>
        <w:tc>
          <w:tcPr>
            <w:tcW w:w="557" w:type="dxa"/>
            <w:tcBorders>
              <w:top w:val="nil"/>
              <w:left w:val="nil"/>
              <w:bottom w:val="single" w:sz="8" w:space="0" w:color="DCDDDE"/>
              <w:right w:val="nil"/>
            </w:tcBorders>
            <w:shd w:val="clear" w:color="000000" w:fill="FFFFFF"/>
            <w:noWrap/>
            <w:vAlign w:val="center"/>
            <w:hideMark/>
          </w:tcPr>
          <w:p w14:paraId="17730BD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339987F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240251F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081064C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77F5EDA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30ABA3B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43B59C2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2934156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4E25E1B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1E51066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r>
      <w:tr w:rsidR="009A6333" w:rsidRPr="009A6333" w14:paraId="3B967561" w14:textId="77777777" w:rsidTr="00D70E28">
        <w:trPr>
          <w:gridAfter w:val="1"/>
          <w:wAfter w:w="11" w:type="dxa"/>
          <w:trHeight w:val="367"/>
          <w:jc w:val="center"/>
        </w:trPr>
        <w:tc>
          <w:tcPr>
            <w:tcW w:w="1650" w:type="dxa"/>
            <w:tcBorders>
              <w:top w:val="nil"/>
              <w:left w:val="nil"/>
              <w:bottom w:val="single" w:sz="8" w:space="0" w:color="DCDDDE"/>
              <w:right w:val="nil"/>
            </w:tcBorders>
            <w:shd w:val="clear" w:color="000000" w:fill="FFFFFF"/>
            <w:vAlign w:val="center"/>
            <w:hideMark/>
          </w:tcPr>
          <w:p w14:paraId="3058A7C6"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Incentive Programs (Subtotal)</w:t>
            </w:r>
          </w:p>
        </w:tc>
        <w:tc>
          <w:tcPr>
            <w:tcW w:w="557" w:type="dxa"/>
            <w:tcBorders>
              <w:top w:val="nil"/>
              <w:left w:val="nil"/>
              <w:bottom w:val="single" w:sz="8" w:space="0" w:color="DCDDDE"/>
              <w:right w:val="nil"/>
            </w:tcBorders>
            <w:shd w:val="clear" w:color="000000" w:fill="FFFFFF"/>
            <w:noWrap/>
            <w:vAlign w:val="center"/>
            <w:hideMark/>
          </w:tcPr>
          <w:p w14:paraId="5429348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37</w:t>
            </w:r>
          </w:p>
        </w:tc>
        <w:tc>
          <w:tcPr>
            <w:tcW w:w="557" w:type="dxa"/>
            <w:tcBorders>
              <w:top w:val="nil"/>
              <w:left w:val="nil"/>
              <w:bottom w:val="single" w:sz="8" w:space="0" w:color="DCDDDE"/>
              <w:right w:val="nil"/>
            </w:tcBorders>
            <w:shd w:val="clear" w:color="000000" w:fill="FFFFFF"/>
            <w:noWrap/>
            <w:vAlign w:val="center"/>
            <w:hideMark/>
          </w:tcPr>
          <w:p w14:paraId="4BD080C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40</w:t>
            </w:r>
          </w:p>
        </w:tc>
        <w:tc>
          <w:tcPr>
            <w:tcW w:w="557" w:type="dxa"/>
            <w:tcBorders>
              <w:top w:val="nil"/>
              <w:left w:val="nil"/>
              <w:bottom w:val="single" w:sz="8" w:space="0" w:color="DCDDDE"/>
              <w:right w:val="nil"/>
            </w:tcBorders>
            <w:shd w:val="clear" w:color="000000" w:fill="FFFFFF"/>
            <w:noWrap/>
            <w:vAlign w:val="center"/>
            <w:hideMark/>
          </w:tcPr>
          <w:p w14:paraId="18E8F71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38</w:t>
            </w:r>
          </w:p>
        </w:tc>
        <w:tc>
          <w:tcPr>
            <w:tcW w:w="557" w:type="dxa"/>
            <w:tcBorders>
              <w:top w:val="nil"/>
              <w:left w:val="nil"/>
              <w:bottom w:val="single" w:sz="8" w:space="0" w:color="DCDDDE"/>
              <w:right w:val="nil"/>
            </w:tcBorders>
            <w:shd w:val="clear" w:color="000000" w:fill="FFFFFF"/>
            <w:noWrap/>
            <w:vAlign w:val="center"/>
            <w:hideMark/>
          </w:tcPr>
          <w:p w14:paraId="3C5BC19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42</w:t>
            </w:r>
          </w:p>
        </w:tc>
        <w:tc>
          <w:tcPr>
            <w:tcW w:w="557" w:type="dxa"/>
            <w:tcBorders>
              <w:top w:val="nil"/>
              <w:left w:val="nil"/>
              <w:bottom w:val="single" w:sz="8" w:space="0" w:color="DCDDDE"/>
              <w:right w:val="nil"/>
            </w:tcBorders>
            <w:shd w:val="clear" w:color="000000" w:fill="FFFFFF"/>
            <w:noWrap/>
            <w:vAlign w:val="center"/>
            <w:hideMark/>
          </w:tcPr>
          <w:p w14:paraId="271E72F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44</w:t>
            </w:r>
          </w:p>
        </w:tc>
        <w:tc>
          <w:tcPr>
            <w:tcW w:w="557" w:type="dxa"/>
            <w:tcBorders>
              <w:top w:val="nil"/>
              <w:left w:val="nil"/>
              <w:bottom w:val="single" w:sz="8" w:space="0" w:color="DCDDDE"/>
              <w:right w:val="nil"/>
            </w:tcBorders>
            <w:shd w:val="clear" w:color="000000" w:fill="FFFFFF"/>
            <w:noWrap/>
            <w:vAlign w:val="center"/>
            <w:hideMark/>
          </w:tcPr>
          <w:p w14:paraId="562DD8B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45</w:t>
            </w:r>
          </w:p>
        </w:tc>
        <w:tc>
          <w:tcPr>
            <w:tcW w:w="557" w:type="dxa"/>
            <w:tcBorders>
              <w:top w:val="nil"/>
              <w:left w:val="nil"/>
              <w:bottom w:val="single" w:sz="8" w:space="0" w:color="DCDDDE"/>
              <w:right w:val="nil"/>
            </w:tcBorders>
            <w:shd w:val="clear" w:color="000000" w:fill="FFFFFF"/>
            <w:noWrap/>
            <w:vAlign w:val="center"/>
            <w:hideMark/>
          </w:tcPr>
          <w:p w14:paraId="37DF633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46</w:t>
            </w:r>
          </w:p>
        </w:tc>
        <w:tc>
          <w:tcPr>
            <w:tcW w:w="557" w:type="dxa"/>
            <w:tcBorders>
              <w:top w:val="nil"/>
              <w:left w:val="nil"/>
              <w:bottom w:val="single" w:sz="8" w:space="0" w:color="DCDDDE"/>
              <w:right w:val="nil"/>
            </w:tcBorders>
            <w:shd w:val="clear" w:color="000000" w:fill="FFFFFF"/>
            <w:noWrap/>
            <w:vAlign w:val="center"/>
            <w:hideMark/>
          </w:tcPr>
          <w:p w14:paraId="0FEDBEB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48</w:t>
            </w:r>
          </w:p>
        </w:tc>
        <w:tc>
          <w:tcPr>
            <w:tcW w:w="557" w:type="dxa"/>
            <w:tcBorders>
              <w:top w:val="nil"/>
              <w:left w:val="nil"/>
              <w:bottom w:val="single" w:sz="8" w:space="0" w:color="DCDDDE"/>
              <w:right w:val="nil"/>
            </w:tcBorders>
            <w:shd w:val="clear" w:color="000000" w:fill="FFFFFF"/>
            <w:noWrap/>
            <w:vAlign w:val="center"/>
            <w:hideMark/>
          </w:tcPr>
          <w:p w14:paraId="2EBA8A3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50</w:t>
            </w:r>
          </w:p>
        </w:tc>
        <w:tc>
          <w:tcPr>
            <w:tcW w:w="557" w:type="dxa"/>
            <w:tcBorders>
              <w:top w:val="nil"/>
              <w:left w:val="nil"/>
              <w:bottom w:val="single" w:sz="8" w:space="0" w:color="DCDDDE"/>
              <w:right w:val="nil"/>
            </w:tcBorders>
            <w:shd w:val="clear" w:color="000000" w:fill="FFFFFF"/>
            <w:noWrap/>
            <w:vAlign w:val="center"/>
            <w:hideMark/>
          </w:tcPr>
          <w:p w14:paraId="45550CA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51</w:t>
            </w:r>
          </w:p>
        </w:tc>
        <w:tc>
          <w:tcPr>
            <w:tcW w:w="557" w:type="dxa"/>
            <w:tcBorders>
              <w:top w:val="nil"/>
              <w:left w:val="nil"/>
              <w:bottom w:val="single" w:sz="8" w:space="0" w:color="DCDDDE"/>
              <w:right w:val="nil"/>
            </w:tcBorders>
            <w:shd w:val="clear" w:color="000000" w:fill="FFFFFF"/>
            <w:noWrap/>
            <w:vAlign w:val="center"/>
            <w:hideMark/>
          </w:tcPr>
          <w:p w14:paraId="6AD2ACF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52</w:t>
            </w:r>
          </w:p>
        </w:tc>
        <w:tc>
          <w:tcPr>
            <w:tcW w:w="557" w:type="dxa"/>
            <w:tcBorders>
              <w:top w:val="nil"/>
              <w:left w:val="nil"/>
              <w:bottom w:val="single" w:sz="8" w:space="0" w:color="DCDDDE"/>
              <w:right w:val="nil"/>
            </w:tcBorders>
            <w:shd w:val="clear" w:color="000000" w:fill="FFFFFF"/>
            <w:noWrap/>
            <w:vAlign w:val="center"/>
            <w:hideMark/>
          </w:tcPr>
          <w:p w14:paraId="2F4190B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0158829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55</w:t>
            </w:r>
          </w:p>
        </w:tc>
      </w:tr>
      <w:tr w:rsidR="009A6333" w:rsidRPr="009A6333" w14:paraId="7E4A7CCB" w14:textId="77777777" w:rsidTr="00D70E28">
        <w:trPr>
          <w:gridAfter w:val="1"/>
          <w:wAfter w:w="11" w:type="dxa"/>
          <w:trHeight w:val="218"/>
          <w:jc w:val="center"/>
        </w:trPr>
        <w:tc>
          <w:tcPr>
            <w:tcW w:w="1650" w:type="dxa"/>
            <w:tcBorders>
              <w:top w:val="nil"/>
              <w:left w:val="nil"/>
              <w:bottom w:val="single" w:sz="8" w:space="0" w:color="DCDDDE"/>
              <w:right w:val="nil"/>
            </w:tcBorders>
            <w:shd w:val="clear" w:color="000000" w:fill="FFFFFF"/>
            <w:vAlign w:val="center"/>
            <w:hideMark/>
          </w:tcPr>
          <w:p w14:paraId="1621EF9F"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C&amp;S*</w:t>
            </w:r>
          </w:p>
        </w:tc>
        <w:tc>
          <w:tcPr>
            <w:tcW w:w="557" w:type="dxa"/>
            <w:tcBorders>
              <w:top w:val="nil"/>
              <w:left w:val="nil"/>
              <w:bottom w:val="single" w:sz="8" w:space="0" w:color="DCDDDE"/>
              <w:right w:val="nil"/>
            </w:tcBorders>
            <w:shd w:val="clear" w:color="000000" w:fill="FFFFFF"/>
            <w:noWrap/>
            <w:vAlign w:val="center"/>
            <w:hideMark/>
          </w:tcPr>
          <w:p w14:paraId="2EF25C7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39</w:t>
            </w:r>
          </w:p>
        </w:tc>
        <w:tc>
          <w:tcPr>
            <w:tcW w:w="557" w:type="dxa"/>
            <w:tcBorders>
              <w:top w:val="nil"/>
              <w:left w:val="nil"/>
              <w:bottom w:val="single" w:sz="8" w:space="0" w:color="DCDDDE"/>
              <w:right w:val="nil"/>
            </w:tcBorders>
            <w:shd w:val="clear" w:color="000000" w:fill="FFFFFF"/>
            <w:noWrap/>
            <w:vAlign w:val="center"/>
            <w:hideMark/>
          </w:tcPr>
          <w:p w14:paraId="22D2E3F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39</w:t>
            </w:r>
          </w:p>
        </w:tc>
        <w:tc>
          <w:tcPr>
            <w:tcW w:w="557" w:type="dxa"/>
            <w:tcBorders>
              <w:top w:val="nil"/>
              <w:left w:val="nil"/>
              <w:bottom w:val="single" w:sz="8" w:space="0" w:color="DCDDDE"/>
              <w:right w:val="nil"/>
            </w:tcBorders>
            <w:shd w:val="clear" w:color="000000" w:fill="FFFFFF"/>
            <w:noWrap/>
            <w:vAlign w:val="center"/>
            <w:hideMark/>
          </w:tcPr>
          <w:p w14:paraId="0F7FD87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47</w:t>
            </w:r>
          </w:p>
        </w:tc>
        <w:tc>
          <w:tcPr>
            <w:tcW w:w="557" w:type="dxa"/>
            <w:tcBorders>
              <w:top w:val="nil"/>
              <w:left w:val="nil"/>
              <w:bottom w:val="single" w:sz="8" w:space="0" w:color="DCDDDE"/>
              <w:right w:val="nil"/>
            </w:tcBorders>
            <w:shd w:val="clear" w:color="000000" w:fill="FFFFFF"/>
            <w:noWrap/>
            <w:vAlign w:val="center"/>
            <w:hideMark/>
          </w:tcPr>
          <w:p w14:paraId="36A10CE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5B77C29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1C7022A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14EEECD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2D00AB1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53</w:t>
            </w:r>
          </w:p>
        </w:tc>
        <w:tc>
          <w:tcPr>
            <w:tcW w:w="557" w:type="dxa"/>
            <w:tcBorders>
              <w:top w:val="nil"/>
              <w:left w:val="nil"/>
              <w:bottom w:val="single" w:sz="8" w:space="0" w:color="DCDDDE"/>
              <w:right w:val="nil"/>
            </w:tcBorders>
            <w:shd w:val="clear" w:color="000000" w:fill="FFFFFF"/>
            <w:noWrap/>
            <w:vAlign w:val="center"/>
            <w:hideMark/>
          </w:tcPr>
          <w:p w14:paraId="0DB0EAB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40</w:t>
            </w:r>
          </w:p>
        </w:tc>
        <w:tc>
          <w:tcPr>
            <w:tcW w:w="557" w:type="dxa"/>
            <w:tcBorders>
              <w:top w:val="nil"/>
              <w:left w:val="nil"/>
              <w:bottom w:val="single" w:sz="8" w:space="0" w:color="DCDDDE"/>
              <w:right w:val="nil"/>
            </w:tcBorders>
            <w:shd w:val="clear" w:color="000000" w:fill="FFFFFF"/>
            <w:noWrap/>
            <w:vAlign w:val="center"/>
            <w:hideMark/>
          </w:tcPr>
          <w:p w14:paraId="572992B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36</w:t>
            </w:r>
          </w:p>
        </w:tc>
        <w:tc>
          <w:tcPr>
            <w:tcW w:w="557" w:type="dxa"/>
            <w:tcBorders>
              <w:top w:val="nil"/>
              <w:left w:val="nil"/>
              <w:bottom w:val="single" w:sz="8" w:space="0" w:color="DCDDDE"/>
              <w:right w:val="nil"/>
            </w:tcBorders>
            <w:shd w:val="clear" w:color="000000" w:fill="FFFFFF"/>
            <w:noWrap/>
            <w:vAlign w:val="center"/>
            <w:hideMark/>
          </w:tcPr>
          <w:p w14:paraId="70EEA30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35</w:t>
            </w:r>
          </w:p>
        </w:tc>
        <w:tc>
          <w:tcPr>
            <w:tcW w:w="557" w:type="dxa"/>
            <w:tcBorders>
              <w:top w:val="nil"/>
              <w:left w:val="nil"/>
              <w:bottom w:val="single" w:sz="8" w:space="0" w:color="DCDDDE"/>
              <w:right w:val="nil"/>
            </w:tcBorders>
            <w:shd w:val="clear" w:color="000000" w:fill="FFFFFF"/>
            <w:noWrap/>
            <w:vAlign w:val="center"/>
            <w:hideMark/>
          </w:tcPr>
          <w:p w14:paraId="0DF19CB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34</w:t>
            </w:r>
          </w:p>
        </w:tc>
        <w:tc>
          <w:tcPr>
            <w:tcW w:w="557" w:type="dxa"/>
            <w:tcBorders>
              <w:top w:val="nil"/>
              <w:left w:val="nil"/>
              <w:bottom w:val="single" w:sz="8" w:space="0" w:color="DCDDDE"/>
              <w:right w:val="nil"/>
            </w:tcBorders>
            <w:shd w:val="clear" w:color="000000" w:fill="FFFFFF"/>
            <w:noWrap/>
            <w:vAlign w:val="center"/>
            <w:hideMark/>
          </w:tcPr>
          <w:p w14:paraId="0914CEB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35</w:t>
            </w:r>
          </w:p>
        </w:tc>
      </w:tr>
      <w:tr w:rsidR="009A6333" w:rsidRPr="009A6333" w14:paraId="1EB78857" w14:textId="77777777" w:rsidTr="00D70E28">
        <w:trPr>
          <w:gridAfter w:val="1"/>
          <w:wAfter w:w="11" w:type="dxa"/>
          <w:trHeight w:val="218"/>
          <w:jc w:val="center"/>
        </w:trPr>
        <w:tc>
          <w:tcPr>
            <w:tcW w:w="1650" w:type="dxa"/>
            <w:tcBorders>
              <w:top w:val="nil"/>
              <w:left w:val="nil"/>
              <w:bottom w:val="single" w:sz="8" w:space="0" w:color="DCDDDE"/>
              <w:right w:val="nil"/>
            </w:tcBorders>
            <w:shd w:val="clear" w:color="000000" w:fill="FFFFFF"/>
            <w:vAlign w:val="center"/>
            <w:hideMark/>
          </w:tcPr>
          <w:p w14:paraId="0AA27ACD"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Total</w:t>
            </w:r>
          </w:p>
        </w:tc>
        <w:tc>
          <w:tcPr>
            <w:tcW w:w="557" w:type="dxa"/>
            <w:tcBorders>
              <w:top w:val="nil"/>
              <w:left w:val="nil"/>
              <w:bottom w:val="single" w:sz="8" w:space="0" w:color="DCDDDE"/>
              <w:right w:val="nil"/>
            </w:tcBorders>
            <w:shd w:val="clear" w:color="000000" w:fill="FFFFFF"/>
            <w:noWrap/>
            <w:vAlign w:val="center"/>
            <w:hideMark/>
          </w:tcPr>
          <w:p w14:paraId="164DB21D"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77</w:t>
            </w:r>
          </w:p>
        </w:tc>
        <w:tc>
          <w:tcPr>
            <w:tcW w:w="557" w:type="dxa"/>
            <w:tcBorders>
              <w:top w:val="nil"/>
              <w:left w:val="nil"/>
              <w:bottom w:val="single" w:sz="8" w:space="0" w:color="DCDDDE"/>
              <w:right w:val="nil"/>
            </w:tcBorders>
            <w:shd w:val="clear" w:color="000000" w:fill="FFFFFF"/>
            <w:noWrap/>
            <w:vAlign w:val="center"/>
            <w:hideMark/>
          </w:tcPr>
          <w:p w14:paraId="3DB6B962"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78</w:t>
            </w:r>
          </w:p>
        </w:tc>
        <w:tc>
          <w:tcPr>
            <w:tcW w:w="557" w:type="dxa"/>
            <w:tcBorders>
              <w:top w:val="nil"/>
              <w:left w:val="nil"/>
              <w:bottom w:val="single" w:sz="8" w:space="0" w:color="DCDDDE"/>
              <w:right w:val="nil"/>
            </w:tcBorders>
            <w:shd w:val="clear" w:color="000000" w:fill="FFFFFF"/>
            <w:noWrap/>
            <w:vAlign w:val="center"/>
            <w:hideMark/>
          </w:tcPr>
          <w:p w14:paraId="25F2BCF2"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85</w:t>
            </w:r>
          </w:p>
        </w:tc>
        <w:tc>
          <w:tcPr>
            <w:tcW w:w="557" w:type="dxa"/>
            <w:tcBorders>
              <w:top w:val="nil"/>
              <w:left w:val="nil"/>
              <w:bottom w:val="single" w:sz="8" w:space="0" w:color="DCDDDE"/>
              <w:right w:val="nil"/>
            </w:tcBorders>
            <w:shd w:val="clear" w:color="000000" w:fill="FFFFFF"/>
            <w:noWrap/>
            <w:vAlign w:val="center"/>
            <w:hideMark/>
          </w:tcPr>
          <w:p w14:paraId="6C47494F"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95</w:t>
            </w:r>
          </w:p>
        </w:tc>
        <w:tc>
          <w:tcPr>
            <w:tcW w:w="557" w:type="dxa"/>
            <w:tcBorders>
              <w:top w:val="nil"/>
              <w:left w:val="nil"/>
              <w:bottom w:val="single" w:sz="8" w:space="0" w:color="DCDDDE"/>
              <w:right w:val="nil"/>
            </w:tcBorders>
            <w:shd w:val="clear" w:color="000000" w:fill="FFFFFF"/>
            <w:noWrap/>
            <w:vAlign w:val="center"/>
            <w:hideMark/>
          </w:tcPr>
          <w:p w14:paraId="05D43AC9"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98</w:t>
            </w:r>
          </w:p>
        </w:tc>
        <w:tc>
          <w:tcPr>
            <w:tcW w:w="557" w:type="dxa"/>
            <w:tcBorders>
              <w:top w:val="nil"/>
              <w:left w:val="nil"/>
              <w:bottom w:val="single" w:sz="8" w:space="0" w:color="DCDDDE"/>
              <w:right w:val="nil"/>
            </w:tcBorders>
            <w:shd w:val="clear" w:color="000000" w:fill="FFFFFF"/>
            <w:noWrap/>
            <w:vAlign w:val="center"/>
            <w:hideMark/>
          </w:tcPr>
          <w:p w14:paraId="39DFF7D4"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99</w:t>
            </w:r>
          </w:p>
        </w:tc>
        <w:tc>
          <w:tcPr>
            <w:tcW w:w="557" w:type="dxa"/>
            <w:tcBorders>
              <w:top w:val="nil"/>
              <w:left w:val="nil"/>
              <w:bottom w:val="single" w:sz="8" w:space="0" w:color="DCDDDE"/>
              <w:right w:val="nil"/>
            </w:tcBorders>
            <w:shd w:val="clear" w:color="000000" w:fill="FFFFFF"/>
            <w:noWrap/>
            <w:vAlign w:val="center"/>
            <w:hideMark/>
          </w:tcPr>
          <w:p w14:paraId="60334C71"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100</w:t>
            </w:r>
          </w:p>
        </w:tc>
        <w:tc>
          <w:tcPr>
            <w:tcW w:w="557" w:type="dxa"/>
            <w:tcBorders>
              <w:top w:val="nil"/>
              <w:left w:val="nil"/>
              <w:bottom w:val="single" w:sz="8" w:space="0" w:color="DCDDDE"/>
              <w:right w:val="nil"/>
            </w:tcBorders>
            <w:shd w:val="clear" w:color="000000" w:fill="FFFFFF"/>
            <w:noWrap/>
            <w:vAlign w:val="center"/>
            <w:hideMark/>
          </w:tcPr>
          <w:p w14:paraId="2B086F62"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101</w:t>
            </w:r>
          </w:p>
        </w:tc>
        <w:tc>
          <w:tcPr>
            <w:tcW w:w="557" w:type="dxa"/>
            <w:tcBorders>
              <w:top w:val="nil"/>
              <w:left w:val="nil"/>
              <w:bottom w:val="single" w:sz="8" w:space="0" w:color="DCDDDE"/>
              <w:right w:val="nil"/>
            </w:tcBorders>
            <w:shd w:val="clear" w:color="000000" w:fill="FFFFFF"/>
            <w:noWrap/>
            <w:vAlign w:val="center"/>
            <w:hideMark/>
          </w:tcPr>
          <w:p w14:paraId="7DA5BE64"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90</w:t>
            </w:r>
          </w:p>
        </w:tc>
        <w:tc>
          <w:tcPr>
            <w:tcW w:w="557" w:type="dxa"/>
            <w:tcBorders>
              <w:top w:val="nil"/>
              <w:left w:val="nil"/>
              <w:bottom w:val="single" w:sz="8" w:space="0" w:color="DCDDDE"/>
              <w:right w:val="nil"/>
            </w:tcBorders>
            <w:shd w:val="clear" w:color="000000" w:fill="FFFFFF"/>
            <w:noWrap/>
            <w:vAlign w:val="center"/>
            <w:hideMark/>
          </w:tcPr>
          <w:p w14:paraId="5A860095"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88</w:t>
            </w:r>
          </w:p>
        </w:tc>
        <w:tc>
          <w:tcPr>
            <w:tcW w:w="557" w:type="dxa"/>
            <w:tcBorders>
              <w:top w:val="nil"/>
              <w:left w:val="nil"/>
              <w:bottom w:val="single" w:sz="8" w:space="0" w:color="DCDDDE"/>
              <w:right w:val="nil"/>
            </w:tcBorders>
            <w:shd w:val="clear" w:color="000000" w:fill="FFFFFF"/>
            <w:noWrap/>
            <w:vAlign w:val="center"/>
            <w:hideMark/>
          </w:tcPr>
          <w:p w14:paraId="61D13084"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87</w:t>
            </w:r>
          </w:p>
        </w:tc>
        <w:tc>
          <w:tcPr>
            <w:tcW w:w="557" w:type="dxa"/>
            <w:tcBorders>
              <w:top w:val="nil"/>
              <w:left w:val="nil"/>
              <w:bottom w:val="single" w:sz="8" w:space="0" w:color="DCDDDE"/>
              <w:right w:val="nil"/>
            </w:tcBorders>
            <w:shd w:val="clear" w:color="000000" w:fill="FFFFFF"/>
            <w:noWrap/>
            <w:vAlign w:val="center"/>
            <w:hideMark/>
          </w:tcPr>
          <w:p w14:paraId="313F105F"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88</w:t>
            </w:r>
          </w:p>
        </w:tc>
        <w:tc>
          <w:tcPr>
            <w:tcW w:w="557" w:type="dxa"/>
            <w:tcBorders>
              <w:top w:val="nil"/>
              <w:left w:val="nil"/>
              <w:bottom w:val="single" w:sz="8" w:space="0" w:color="DCDDDE"/>
              <w:right w:val="nil"/>
            </w:tcBorders>
            <w:shd w:val="clear" w:color="000000" w:fill="FFFFFF"/>
            <w:noWrap/>
            <w:vAlign w:val="center"/>
            <w:hideMark/>
          </w:tcPr>
          <w:p w14:paraId="5B63CCE0"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90</w:t>
            </w:r>
          </w:p>
        </w:tc>
      </w:tr>
      <w:tr w:rsidR="009A6333" w:rsidRPr="009A6333" w14:paraId="5DEA866A" w14:textId="77777777" w:rsidTr="00D70E28">
        <w:trPr>
          <w:trHeight w:val="218"/>
          <w:jc w:val="center"/>
        </w:trPr>
        <w:tc>
          <w:tcPr>
            <w:tcW w:w="8902" w:type="dxa"/>
            <w:gridSpan w:val="15"/>
            <w:tcBorders>
              <w:top w:val="single" w:sz="8" w:space="0" w:color="DCDDDE"/>
              <w:left w:val="nil"/>
              <w:bottom w:val="single" w:sz="8" w:space="0" w:color="DCDDDE"/>
              <w:right w:val="nil"/>
            </w:tcBorders>
            <w:shd w:val="clear" w:color="000000" w:fill="DADADA"/>
            <w:noWrap/>
            <w:vAlign w:val="center"/>
            <w:hideMark/>
          </w:tcPr>
          <w:p w14:paraId="01F638B7"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mTRC (GHG adder 1) | Reference</w:t>
            </w:r>
          </w:p>
        </w:tc>
      </w:tr>
      <w:tr w:rsidR="009A6333" w:rsidRPr="009A6333" w14:paraId="2E5469E6" w14:textId="77777777" w:rsidTr="00D70E28">
        <w:trPr>
          <w:gridAfter w:val="1"/>
          <w:wAfter w:w="11" w:type="dxa"/>
          <w:trHeight w:val="386"/>
          <w:jc w:val="center"/>
        </w:trPr>
        <w:tc>
          <w:tcPr>
            <w:tcW w:w="1650" w:type="dxa"/>
            <w:tcBorders>
              <w:top w:val="nil"/>
              <w:left w:val="nil"/>
              <w:bottom w:val="single" w:sz="8" w:space="0" w:color="DCDDDE"/>
              <w:right w:val="nil"/>
            </w:tcBorders>
            <w:shd w:val="clear" w:color="000000" w:fill="FFFFFF"/>
            <w:vAlign w:val="center"/>
            <w:hideMark/>
          </w:tcPr>
          <w:p w14:paraId="09338AB9"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Equipment Rebates</w:t>
            </w:r>
          </w:p>
        </w:tc>
        <w:tc>
          <w:tcPr>
            <w:tcW w:w="557" w:type="dxa"/>
            <w:tcBorders>
              <w:top w:val="nil"/>
              <w:left w:val="nil"/>
              <w:bottom w:val="single" w:sz="8" w:space="0" w:color="DCDDDE"/>
              <w:right w:val="nil"/>
            </w:tcBorders>
            <w:shd w:val="clear" w:color="000000" w:fill="FFFFFF"/>
            <w:noWrap/>
            <w:vAlign w:val="center"/>
            <w:hideMark/>
          </w:tcPr>
          <w:p w14:paraId="195D892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25</w:t>
            </w:r>
          </w:p>
        </w:tc>
        <w:tc>
          <w:tcPr>
            <w:tcW w:w="557" w:type="dxa"/>
            <w:tcBorders>
              <w:top w:val="nil"/>
              <w:left w:val="nil"/>
              <w:bottom w:val="single" w:sz="8" w:space="0" w:color="DCDDDE"/>
              <w:right w:val="nil"/>
            </w:tcBorders>
            <w:shd w:val="clear" w:color="000000" w:fill="FFFFFF"/>
            <w:noWrap/>
            <w:vAlign w:val="center"/>
            <w:hideMark/>
          </w:tcPr>
          <w:p w14:paraId="3462EAD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27</w:t>
            </w:r>
          </w:p>
        </w:tc>
        <w:tc>
          <w:tcPr>
            <w:tcW w:w="557" w:type="dxa"/>
            <w:tcBorders>
              <w:top w:val="nil"/>
              <w:left w:val="nil"/>
              <w:bottom w:val="single" w:sz="8" w:space="0" w:color="DCDDDE"/>
              <w:right w:val="nil"/>
            </w:tcBorders>
            <w:shd w:val="clear" w:color="000000" w:fill="FFFFFF"/>
            <w:noWrap/>
            <w:vAlign w:val="center"/>
            <w:hideMark/>
          </w:tcPr>
          <w:p w14:paraId="51D72B5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24</w:t>
            </w:r>
          </w:p>
        </w:tc>
        <w:tc>
          <w:tcPr>
            <w:tcW w:w="557" w:type="dxa"/>
            <w:tcBorders>
              <w:top w:val="nil"/>
              <w:left w:val="nil"/>
              <w:bottom w:val="single" w:sz="8" w:space="0" w:color="DCDDDE"/>
              <w:right w:val="nil"/>
            </w:tcBorders>
            <w:shd w:val="clear" w:color="000000" w:fill="FFFFFF"/>
            <w:noWrap/>
            <w:vAlign w:val="center"/>
            <w:hideMark/>
          </w:tcPr>
          <w:p w14:paraId="46A78E0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28</w:t>
            </w:r>
          </w:p>
        </w:tc>
        <w:tc>
          <w:tcPr>
            <w:tcW w:w="557" w:type="dxa"/>
            <w:tcBorders>
              <w:top w:val="nil"/>
              <w:left w:val="nil"/>
              <w:bottom w:val="single" w:sz="8" w:space="0" w:color="DCDDDE"/>
              <w:right w:val="nil"/>
            </w:tcBorders>
            <w:shd w:val="clear" w:color="000000" w:fill="FFFFFF"/>
            <w:noWrap/>
            <w:vAlign w:val="center"/>
            <w:hideMark/>
          </w:tcPr>
          <w:p w14:paraId="24FFF34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30</w:t>
            </w:r>
          </w:p>
        </w:tc>
        <w:tc>
          <w:tcPr>
            <w:tcW w:w="557" w:type="dxa"/>
            <w:tcBorders>
              <w:top w:val="nil"/>
              <w:left w:val="nil"/>
              <w:bottom w:val="single" w:sz="8" w:space="0" w:color="DCDDDE"/>
              <w:right w:val="nil"/>
            </w:tcBorders>
            <w:shd w:val="clear" w:color="000000" w:fill="FFFFFF"/>
            <w:noWrap/>
            <w:vAlign w:val="center"/>
            <w:hideMark/>
          </w:tcPr>
          <w:p w14:paraId="0A2439F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34</w:t>
            </w:r>
          </w:p>
        </w:tc>
        <w:tc>
          <w:tcPr>
            <w:tcW w:w="557" w:type="dxa"/>
            <w:tcBorders>
              <w:top w:val="nil"/>
              <w:left w:val="nil"/>
              <w:bottom w:val="single" w:sz="8" w:space="0" w:color="DCDDDE"/>
              <w:right w:val="nil"/>
            </w:tcBorders>
            <w:shd w:val="clear" w:color="000000" w:fill="FFFFFF"/>
            <w:noWrap/>
            <w:vAlign w:val="center"/>
            <w:hideMark/>
          </w:tcPr>
          <w:p w14:paraId="2ACF9BE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57" w:type="dxa"/>
            <w:tcBorders>
              <w:top w:val="nil"/>
              <w:left w:val="nil"/>
              <w:bottom w:val="single" w:sz="8" w:space="0" w:color="DCDDDE"/>
              <w:right w:val="nil"/>
            </w:tcBorders>
            <w:shd w:val="clear" w:color="000000" w:fill="FFFFFF"/>
            <w:noWrap/>
            <w:vAlign w:val="center"/>
            <w:hideMark/>
          </w:tcPr>
          <w:p w14:paraId="799CE67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32</w:t>
            </w:r>
          </w:p>
        </w:tc>
        <w:tc>
          <w:tcPr>
            <w:tcW w:w="557" w:type="dxa"/>
            <w:tcBorders>
              <w:top w:val="nil"/>
              <w:left w:val="nil"/>
              <w:bottom w:val="single" w:sz="8" w:space="0" w:color="DCDDDE"/>
              <w:right w:val="nil"/>
            </w:tcBorders>
            <w:shd w:val="clear" w:color="000000" w:fill="FFFFFF"/>
            <w:noWrap/>
            <w:vAlign w:val="center"/>
            <w:hideMark/>
          </w:tcPr>
          <w:p w14:paraId="1341BB7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31</w:t>
            </w:r>
          </w:p>
        </w:tc>
        <w:tc>
          <w:tcPr>
            <w:tcW w:w="557" w:type="dxa"/>
            <w:tcBorders>
              <w:top w:val="nil"/>
              <w:left w:val="nil"/>
              <w:bottom w:val="single" w:sz="8" w:space="0" w:color="DCDDDE"/>
              <w:right w:val="nil"/>
            </w:tcBorders>
            <w:shd w:val="clear" w:color="000000" w:fill="FFFFFF"/>
            <w:noWrap/>
            <w:vAlign w:val="center"/>
            <w:hideMark/>
          </w:tcPr>
          <w:p w14:paraId="5BC0CD0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30</w:t>
            </w:r>
          </w:p>
        </w:tc>
        <w:tc>
          <w:tcPr>
            <w:tcW w:w="557" w:type="dxa"/>
            <w:tcBorders>
              <w:top w:val="nil"/>
              <w:left w:val="nil"/>
              <w:bottom w:val="single" w:sz="8" w:space="0" w:color="DCDDDE"/>
              <w:right w:val="nil"/>
            </w:tcBorders>
            <w:shd w:val="clear" w:color="000000" w:fill="FFFFFF"/>
            <w:noWrap/>
            <w:vAlign w:val="center"/>
            <w:hideMark/>
          </w:tcPr>
          <w:p w14:paraId="0E86130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29</w:t>
            </w:r>
          </w:p>
        </w:tc>
        <w:tc>
          <w:tcPr>
            <w:tcW w:w="557" w:type="dxa"/>
            <w:tcBorders>
              <w:top w:val="nil"/>
              <w:left w:val="nil"/>
              <w:bottom w:val="single" w:sz="8" w:space="0" w:color="DCDDDE"/>
              <w:right w:val="nil"/>
            </w:tcBorders>
            <w:shd w:val="clear" w:color="000000" w:fill="FFFFFF"/>
            <w:noWrap/>
            <w:vAlign w:val="center"/>
            <w:hideMark/>
          </w:tcPr>
          <w:p w14:paraId="4894E80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29</w:t>
            </w:r>
          </w:p>
        </w:tc>
        <w:tc>
          <w:tcPr>
            <w:tcW w:w="557" w:type="dxa"/>
            <w:tcBorders>
              <w:top w:val="nil"/>
              <w:left w:val="nil"/>
              <w:bottom w:val="single" w:sz="8" w:space="0" w:color="DCDDDE"/>
              <w:right w:val="nil"/>
            </w:tcBorders>
            <w:shd w:val="clear" w:color="000000" w:fill="FFFFFF"/>
            <w:noWrap/>
            <w:vAlign w:val="center"/>
            <w:hideMark/>
          </w:tcPr>
          <w:p w14:paraId="13974C3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29</w:t>
            </w:r>
          </w:p>
        </w:tc>
      </w:tr>
      <w:tr w:rsidR="009A6333" w:rsidRPr="009A6333" w14:paraId="52F1EF42" w14:textId="77777777" w:rsidTr="00D70E28">
        <w:trPr>
          <w:gridAfter w:val="1"/>
          <w:wAfter w:w="11" w:type="dxa"/>
          <w:trHeight w:val="218"/>
          <w:jc w:val="center"/>
        </w:trPr>
        <w:tc>
          <w:tcPr>
            <w:tcW w:w="1650" w:type="dxa"/>
            <w:tcBorders>
              <w:top w:val="nil"/>
              <w:left w:val="nil"/>
              <w:bottom w:val="single" w:sz="8" w:space="0" w:color="DCDDDE"/>
              <w:right w:val="nil"/>
            </w:tcBorders>
            <w:shd w:val="clear" w:color="000000" w:fill="FFFFFF"/>
            <w:vAlign w:val="center"/>
            <w:hideMark/>
          </w:tcPr>
          <w:p w14:paraId="776F56B2"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BROs</w:t>
            </w:r>
          </w:p>
        </w:tc>
        <w:tc>
          <w:tcPr>
            <w:tcW w:w="557" w:type="dxa"/>
            <w:tcBorders>
              <w:top w:val="nil"/>
              <w:left w:val="nil"/>
              <w:bottom w:val="single" w:sz="8" w:space="0" w:color="DCDDDE"/>
              <w:right w:val="nil"/>
            </w:tcBorders>
            <w:shd w:val="clear" w:color="000000" w:fill="FFFFFF"/>
            <w:noWrap/>
            <w:vAlign w:val="center"/>
            <w:hideMark/>
          </w:tcPr>
          <w:p w14:paraId="055DE91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w:t>
            </w:r>
          </w:p>
        </w:tc>
        <w:tc>
          <w:tcPr>
            <w:tcW w:w="557" w:type="dxa"/>
            <w:tcBorders>
              <w:top w:val="nil"/>
              <w:left w:val="nil"/>
              <w:bottom w:val="single" w:sz="8" w:space="0" w:color="DCDDDE"/>
              <w:right w:val="nil"/>
            </w:tcBorders>
            <w:shd w:val="clear" w:color="000000" w:fill="FFFFFF"/>
            <w:noWrap/>
            <w:vAlign w:val="center"/>
            <w:hideMark/>
          </w:tcPr>
          <w:p w14:paraId="7EC31B7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w:t>
            </w:r>
          </w:p>
        </w:tc>
        <w:tc>
          <w:tcPr>
            <w:tcW w:w="557" w:type="dxa"/>
            <w:tcBorders>
              <w:top w:val="nil"/>
              <w:left w:val="nil"/>
              <w:bottom w:val="single" w:sz="8" w:space="0" w:color="DCDDDE"/>
              <w:right w:val="nil"/>
            </w:tcBorders>
            <w:shd w:val="clear" w:color="000000" w:fill="FFFFFF"/>
            <w:noWrap/>
            <w:vAlign w:val="center"/>
            <w:hideMark/>
          </w:tcPr>
          <w:p w14:paraId="1E02CDA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14</w:t>
            </w:r>
          </w:p>
        </w:tc>
        <w:tc>
          <w:tcPr>
            <w:tcW w:w="557" w:type="dxa"/>
            <w:tcBorders>
              <w:top w:val="nil"/>
              <w:left w:val="nil"/>
              <w:bottom w:val="single" w:sz="8" w:space="0" w:color="DCDDDE"/>
              <w:right w:val="nil"/>
            </w:tcBorders>
            <w:shd w:val="clear" w:color="000000" w:fill="FFFFFF"/>
            <w:noWrap/>
            <w:vAlign w:val="center"/>
            <w:hideMark/>
          </w:tcPr>
          <w:p w14:paraId="6C99271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15</w:t>
            </w:r>
          </w:p>
        </w:tc>
        <w:tc>
          <w:tcPr>
            <w:tcW w:w="557" w:type="dxa"/>
            <w:tcBorders>
              <w:top w:val="nil"/>
              <w:left w:val="nil"/>
              <w:bottom w:val="single" w:sz="8" w:space="0" w:color="DCDDDE"/>
              <w:right w:val="nil"/>
            </w:tcBorders>
            <w:shd w:val="clear" w:color="000000" w:fill="FFFFFF"/>
            <w:noWrap/>
            <w:vAlign w:val="center"/>
            <w:hideMark/>
          </w:tcPr>
          <w:p w14:paraId="4A7E3F0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16</w:t>
            </w:r>
          </w:p>
        </w:tc>
        <w:tc>
          <w:tcPr>
            <w:tcW w:w="557" w:type="dxa"/>
            <w:tcBorders>
              <w:top w:val="nil"/>
              <w:left w:val="nil"/>
              <w:bottom w:val="single" w:sz="8" w:space="0" w:color="DCDDDE"/>
              <w:right w:val="nil"/>
            </w:tcBorders>
            <w:shd w:val="clear" w:color="000000" w:fill="FFFFFF"/>
            <w:noWrap/>
            <w:vAlign w:val="center"/>
            <w:hideMark/>
          </w:tcPr>
          <w:p w14:paraId="6844D21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17</w:t>
            </w:r>
          </w:p>
        </w:tc>
        <w:tc>
          <w:tcPr>
            <w:tcW w:w="557" w:type="dxa"/>
            <w:tcBorders>
              <w:top w:val="nil"/>
              <w:left w:val="nil"/>
              <w:bottom w:val="single" w:sz="8" w:space="0" w:color="DCDDDE"/>
              <w:right w:val="nil"/>
            </w:tcBorders>
            <w:shd w:val="clear" w:color="000000" w:fill="FFFFFF"/>
            <w:noWrap/>
            <w:vAlign w:val="center"/>
            <w:hideMark/>
          </w:tcPr>
          <w:p w14:paraId="333BF74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18</w:t>
            </w:r>
          </w:p>
        </w:tc>
        <w:tc>
          <w:tcPr>
            <w:tcW w:w="557" w:type="dxa"/>
            <w:tcBorders>
              <w:top w:val="nil"/>
              <w:left w:val="nil"/>
              <w:bottom w:val="single" w:sz="8" w:space="0" w:color="DCDDDE"/>
              <w:right w:val="nil"/>
            </w:tcBorders>
            <w:shd w:val="clear" w:color="000000" w:fill="FFFFFF"/>
            <w:noWrap/>
            <w:vAlign w:val="center"/>
            <w:hideMark/>
          </w:tcPr>
          <w:p w14:paraId="1E8A002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19</w:t>
            </w:r>
          </w:p>
        </w:tc>
        <w:tc>
          <w:tcPr>
            <w:tcW w:w="557" w:type="dxa"/>
            <w:tcBorders>
              <w:top w:val="nil"/>
              <w:left w:val="nil"/>
              <w:bottom w:val="single" w:sz="8" w:space="0" w:color="DCDDDE"/>
              <w:right w:val="nil"/>
            </w:tcBorders>
            <w:shd w:val="clear" w:color="000000" w:fill="FFFFFF"/>
            <w:noWrap/>
            <w:vAlign w:val="center"/>
            <w:hideMark/>
          </w:tcPr>
          <w:p w14:paraId="2F34120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19</w:t>
            </w:r>
          </w:p>
        </w:tc>
        <w:tc>
          <w:tcPr>
            <w:tcW w:w="557" w:type="dxa"/>
            <w:tcBorders>
              <w:top w:val="nil"/>
              <w:left w:val="nil"/>
              <w:bottom w:val="single" w:sz="8" w:space="0" w:color="DCDDDE"/>
              <w:right w:val="nil"/>
            </w:tcBorders>
            <w:shd w:val="clear" w:color="000000" w:fill="FFFFFF"/>
            <w:noWrap/>
            <w:vAlign w:val="center"/>
            <w:hideMark/>
          </w:tcPr>
          <w:p w14:paraId="7BA4BC8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20</w:t>
            </w:r>
          </w:p>
        </w:tc>
        <w:tc>
          <w:tcPr>
            <w:tcW w:w="557" w:type="dxa"/>
            <w:tcBorders>
              <w:top w:val="nil"/>
              <w:left w:val="nil"/>
              <w:bottom w:val="single" w:sz="8" w:space="0" w:color="DCDDDE"/>
              <w:right w:val="nil"/>
            </w:tcBorders>
            <w:shd w:val="clear" w:color="000000" w:fill="FFFFFF"/>
            <w:noWrap/>
            <w:vAlign w:val="center"/>
            <w:hideMark/>
          </w:tcPr>
          <w:p w14:paraId="79E0ADE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21</w:t>
            </w:r>
          </w:p>
        </w:tc>
        <w:tc>
          <w:tcPr>
            <w:tcW w:w="557" w:type="dxa"/>
            <w:tcBorders>
              <w:top w:val="nil"/>
              <w:left w:val="nil"/>
              <w:bottom w:val="single" w:sz="8" w:space="0" w:color="DCDDDE"/>
              <w:right w:val="nil"/>
            </w:tcBorders>
            <w:shd w:val="clear" w:color="000000" w:fill="FFFFFF"/>
            <w:noWrap/>
            <w:vAlign w:val="center"/>
            <w:hideMark/>
          </w:tcPr>
          <w:p w14:paraId="3B7B64E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22</w:t>
            </w:r>
          </w:p>
        </w:tc>
        <w:tc>
          <w:tcPr>
            <w:tcW w:w="557" w:type="dxa"/>
            <w:tcBorders>
              <w:top w:val="nil"/>
              <w:left w:val="nil"/>
              <w:bottom w:val="single" w:sz="8" w:space="0" w:color="DCDDDE"/>
              <w:right w:val="nil"/>
            </w:tcBorders>
            <w:shd w:val="clear" w:color="000000" w:fill="FFFFFF"/>
            <w:noWrap/>
            <w:vAlign w:val="center"/>
            <w:hideMark/>
          </w:tcPr>
          <w:p w14:paraId="07DA0B5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23</w:t>
            </w:r>
          </w:p>
        </w:tc>
      </w:tr>
      <w:tr w:rsidR="009A6333" w:rsidRPr="009A6333" w14:paraId="74701EDE" w14:textId="77777777" w:rsidTr="00D70E28">
        <w:trPr>
          <w:gridAfter w:val="1"/>
          <w:wAfter w:w="11" w:type="dxa"/>
          <w:trHeight w:val="218"/>
          <w:jc w:val="center"/>
        </w:trPr>
        <w:tc>
          <w:tcPr>
            <w:tcW w:w="1650" w:type="dxa"/>
            <w:tcBorders>
              <w:top w:val="nil"/>
              <w:left w:val="nil"/>
              <w:bottom w:val="single" w:sz="8" w:space="0" w:color="DCDDDE"/>
              <w:right w:val="nil"/>
            </w:tcBorders>
            <w:shd w:val="clear" w:color="000000" w:fill="FFFFFF"/>
            <w:vAlign w:val="center"/>
            <w:hideMark/>
          </w:tcPr>
          <w:p w14:paraId="26748AF9"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Low Income</w:t>
            </w:r>
          </w:p>
        </w:tc>
        <w:tc>
          <w:tcPr>
            <w:tcW w:w="557" w:type="dxa"/>
            <w:tcBorders>
              <w:top w:val="nil"/>
              <w:left w:val="nil"/>
              <w:bottom w:val="single" w:sz="8" w:space="0" w:color="DCDDDE"/>
              <w:right w:val="nil"/>
            </w:tcBorders>
            <w:shd w:val="clear" w:color="000000" w:fill="FFFFFF"/>
            <w:noWrap/>
            <w:vAlign w:val="center"/>
            <w:hideMark/>
          </w:tcPr>
          <w:p w14:paraId="60043DA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w:t>
            </w:r>
          </w:p>
        </w:tc>
        <w:tc>
          <w:tcPr>
            <w:tcW w:w="557" w:type="dxa"/>
            <w:tcBorders>
              <w:top w:val="nil"/>
              <w:left w:val="nil"/>
              <w:bottom w:val="single" w:sz="8" w:space="0" w:color="DCDDDE"/>
              <w:right w:val="nil"/>
            </w:tcBorders>
            <w:shd w:val="clear" w:color="000000" w:fill="FFFFFF"/>
            <w:noWrap/>
            <w:vAlign w:val="center"/>
            <w:hideMark/>
          </w:tcPr>
          <w:p w14:paraId="1DBF4A8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w:t>
            </w:r>
          </w:p>
        </w:tc>
        <w:tc>
          <w:tcPr>
            <w:tcW w:w="557" w:type="dxa"/>
            <w:tcBorders>
              <w:top w:val="nil"/>
              <w:left w:val="nil"/>
              <w:bottom w:val="single" w:sz="8" w:space="0" w:color="DCDDDE"/>
              <w:right w:val="nil"/>
            </w:tcBorders>
            <w:shd w:val="clear" w:color="000000" w:fill="FFFFFF"/>
            <w:noWrap/>
            <w:vAlign w:val="center"/>
            <w:hideMark/>
          </w:tcPr>
          <w:p w14:paraId="4E99E7D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w:t>
            </w:r>
          </w:p>
        </w:tc>
        <w:tc>
          <w:tcPr>
            <w:tcW w:w="557" w:type="dxa"/>
            <w:tcBorders>
              <w:top w:val="nil"/>
              <w:left w:val="nil"/>
              <w:bottom w:val="single" w:sz="8" w:space="0" w:color="DCDDDE"/>
              <w:right w:val="nil"/>
            </w:tcBorders>
            <w:shd w:val="clear" w:color="000000" w:fill="FFFFFF"/>
            <w:noWrap/>
            <w:vAlign w:val="center"/>
            <w:hideMark/>
          </w:tcPr>
          <w:p w14:paraId="0161018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01851FC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6B21709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7CE9E90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349E50E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38922B7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5A998E7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4FFBC4E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08BD789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67C7BB7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r>
      <w:tr w:rsidR="009A6333" w:rsidRPr="009A6333" w14:paraId="207340B7" w14:textId="77777777" w:rsidTr="00D70E28">
        <w:trPr>
          <w:gridAfter w:val="1"/>
          <w:wAfter w:w="11" w:type="dxa"/>
          <w:trHeight w:val="395"/>
          <w:jc w:val="center"/>
        </w:trPr>
        <w:tc>
          <w:tcPr>
            <w:tcW w:w="1650" w:type="dxa"/>
            <w:tcBorders>
              <w:top w:val="nil"/>
              <w:left w:val="nil"/>
              <w:bottom w:val="single" w:sz="8" w:space="0" w:color="DCDDDE"/>
              <w:right w:val="nil"/>
            </w:tcBorders>
            <w:shd w:val="clear" w:color="000000" w:fill="FFFFFF"/>
            <w:vAlign w:val="center"/>
            <w:hideMark/>
          </w:tcPr>
          <w:p w14:paraId="0C5D2BE7"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Incentive Programs (Subtotal)</w:t>
            </w:r>
          </w:p>
        </w:tc>
        <w:tc>
          <w:tcPr>
            <w:tcW w:w="557" w:type="dxa"/>
            <w:tcBorders>
              <w:top w:val="nil"/>
              <w:left w:val="nil"/>
              <w:bottom w:val="single" w:sz="8" w:space="0" w:color="DCDDDE"/>
              <w:right w:val="nil"/>
            </w:tcBorders>
            <w:shd w:val="clear" w:color="000000" w:fill="FFFFFF"/>
            <w:noWrap/>
            <w:vAlign w:val="center"/>
            <w:hideMark/>
          </w:tcPr>
          <w:p w14:paraId="6D69FD2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43</w:t>
            </w:r>
          </w:p>
        </w:tc>
        <w:tc>
          <w:tcPr>
            <w:tcW w:w="557" w:type="dxa"/>
            <w:tcBorders>
              <w:top w:val="nil"/>
              <w:left w:val="nil"/>
              <w:bottom w:val="single" w:sz="8" w:space="0" w:color="DCDDDE"/>
              <w:right w:val="nil"/>
            </w:tcBorders>
            <w:shd w:val="clear" w:color="000000" w:fill="FFFFFF"/>
            <w:noWrap/>
            <w:vAlign w:val="center"/>
            <w:hideMark/>
          </w:tcPr>
          <w:p w14:paraId="1620CE6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46</w:t>
            </w:r>
          </w:p>
        </w:tc>
        <w:tc>
          <w:tcPr>
            <w:tcW w:w="557" w:type="dxa"/>
            <w:tcBorders>
              <w:top w:val="nil"/>
              <w:left w:val="nil"/>
              <w:bottom w:val="single" w:sz="8" w:space="0" w:color="DCDDDE"/>
              <w:right w:val="nil"/>
            </w:tcBorders>
            <w:shd w:val="clear" w:color="000000" w:fill="FFFFFF"/>
            <w:noWrap/>
            <w:vAlign w:val="center"/>
            <w:hideMark/>
          </w:tcPr>
          <w:p w14:paraId="039A2E9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45</w:t>
            </w:r>
          </w:p>
        </w:tc>
        <w:tc>
          <w:tcPr>
            <w:tcW w:w="557" w:type="dxa"/>
            <w:tcBorders>
              <w:top w:val="nil"/>
              <w:left w:val="nil"/>
              <w:bottom w:val="single" w:sz="8" w:space="0" w:color="DCDDDE"/>
              <w:right w:val="nil"/>
            </w:tcBorders>
            <w:shd w:val="clear" w:color="000000" w:fill="FFFFFF"/>
            <w:noWrap/>
            <w:vAlign w:val="center"/>
            <w:hideMark/>
          </w:tcPr>
          <w:p w14:paraId="4CFA180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48</w:t>
            </w:r>
          </w:p>
        </w:tc>
        <w:tc>
          <w:tcPr>
            <w:tcW w:w="557" w:type="dxa"/>
            <w:tcBorders>
              <w:top w:val="nil"/>
              <w:left w:val="nil"/>
              <w:bottom w:val="single" w:sz="8" w:space="0" w:color="DCDDDE"/>
              <w:right w:val="nil"/>
            </w:tcBorders>
            <w:shd w:val="clear" w:color="000000" w:fill="FFFFFF"/>
            <w:noWrap/>
            <w:vAlign w:val="center"/>
            <w:hideMark/>
          </w:tcPr>
          <w:p w14:paraId="317938E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51</w:t>
            </w:r>
          </w:p>
        </w:tc>
        <w:tc>
          <w:tcPr>
            <w:tcW w:w="557" w:type="dxa"/>
            <w:tcBorders>
              <w:top w:val="nil"/>
              <w:left w:val="nil"/>
              <w:bottom w:val="single" w:sz="8" w:space="0" w:color="DCDDDE"/>
              <w:right w:val="nil"/>
            </w:tcBorders>
            <w:shd w:val="clear" w:color="000000" w:fill="FFFFFF"/>
            <w:noWrap/>
            <w:vAlign w:val="center"/>
            <w:hideMark/>
          </w:tcPr>
          <w:p w14:paraId="12881C9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56</w:t>
            </w:r>
          </w:p>
        </w:tc>
        <w:tc>
          <w:tcPr>
            <w:tcW w:w="557" w:type="dxa"/>
            <w:tcBorders>
              <w:top w:val="nil"/>
              <w:left w:val="nil"/>
              <w:bottom w:val="single" w:sz="8" w:space="0" w:color="DCDDDE"/>
              <w:right w:val="nil"/>
            </w:tcBorders>
            <w:shd w:val="clear" w:color="000000" w:fill="FFFFFF"/>
            <w:noWrap/>
            <w:vAlign w:val="center"/>
            <w:hideMark/>
          </w:tcPr>
          <w:p w14:paraId="0ABE2C5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56</w:t>
            </w:r>
          </w:p>
        </w:tc>
        <w:tc>
          <w:tcPr>
            <w:tcW w:w="557" w:type="dxa"/>
            <w:tcBorders>
              <w:top w:val="nil"/>
              <w:left w:val="nil"/>
              <w:bottom w:val="single" w:sz="8" w:space="0" w:color="DCDDDE"/>
              <w:right w:val="nil"/>
            </w:tcBorders>
            <w:shd w:val="clear" w:color="000000" w:fill="FFFFFF"/>
            <w:noWrap/>
            <w:vAlign w:val="center"/>
            <w:hideMark/>
          </w:tcPr>
          <w:p w14:paraId="3CB8E59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56</w:t>
            </w:r>
          </w:p>
        </w:tc>
        <w:tc>
          <w:tcPr>
            <w:tcW w:w="557" w:type="dxa"/>
            <w:tcBorders>
              <w:top w:val="nil"/>
              <w:left w:val="nil"/>
              <w:bottom w:val="single" w:sz="8" w:space="0" w:color="DCDDDE"/>
              <w:right w:val="nil"/>
            </w:tcBorders>
            <w:shd w:val="clear" w:color="000000" w:fill="FFFFFF"/>
            <w:noWrap/>
            <w:vAlign w:val="center"/>
            <w:hideMark/>
          </w:tcPr>
          <w:p w14:paraId="1C4DC59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55</w:t>
            </w:r>
          </w:p>
        </w:tc>
        <w:tc>
          <w:tcPr>
            <w:tcW w:w="557" w:type="dxa"/>
            <w:tcBorders>
              <w:top w:val="nil"/>
              <w:left w:val="nil"/>
              <w:bottom w:val="single" w:sz="8" w:space="0" w:color="DCDDDE"/>
              <w:right w:val="nil"/>
            </w:tcBorders>
            <w:shd w:val="clear" w:color="000000" w:fill="FFFFFF"/>
            <w:noWrap/>
            <w:vAlign w:val="center"/>
            <w:hideMark/>
          </w:tcPr>
          <w:p w14:paraId="6EA176C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55</w:t>
            </w:r>
          </w:p>
        </w:tc>
        <w:tc>
          <w:tcPr>
            <w:tcW w:w="557" w:type="dxa"/>
            <w:tcBorders>
              <w:top w:val="nil"/>
              <w:left w:val="nil"/>
              <w:bottom w:val="single" w:sz="8" w:space="0" w:color="DCDDDE"/>
              <w:right w:val="nil"/>
            </w:tcBorders>
            <w:shd w:val="clear" w:color="000000" w:fill="FFFFFF"/>
            <w:noWrap/>
            <w:vAlign w:val="center"/>
            <w:hideMark/>
          </w:tcPr>
          <w:p w14:paraId="4357DE4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55</w:t>
            </w:r>
          </w:p>
        </w:tc>
        <w:tc>
          <w:tcPr>
            <w:tcW w:w="557" w:type="dxa"/>
            <w:tcBorders>
              <w:top w:val="nil"/>
              <w:left w:val="nil"/>
              <w:bottom w:val="single" w:sz="8" w:space="0" w:color="DCDDDE"/>
              <w:right w:val="nil"/>
            </w:tcBorders>
            <w:shd w:val="clear" w:color="000000" w:fill="FFFFFF"/>
            <w:noWrap/>
            <w:vAlign w:val="center"/>
            <w:hideMark/>
          </w:tcPr>
          <w:p w14:paraId="1CF840F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56</w:t>
            </w:r>
          </w:p>
        </w:tc>
        <w:tc>
          <w:tcPr>
            <w:tcW w:w="557" w:type="dxa"/>
            <w:tcBorders>
              <w:top w:val="nil"/>
              <w:left w:val="nil"/>
              <w:bottom w:val="single" w:sz="8" w:space="0" w:color="DCDDDE"/>
              <w:right w:val="nil"/>
            </w:tcBorders>
            <w:shd w:val="clear" w:color="000000" w:fill="FFFFFF"/>
            <w:noWrap/>
            <w:vAlign w:val="center"/>
            <w:hideMark/>
          </w:tcPr>
          <w:p w14:paraId="7AE0E30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58</w:t>
            </w:r>
          </w:p>
        </w:tc>
      </w:tr>
      <w:tr w:rsidR="009A6333" w:rsidRPr="009A6333" w14:paraId="5392EAC2" w14:textId="77777777" w:rsidTr="00D70E28">
        <w:trPr>
          <w:gridAfter w:val="1"/>
          <w:wAfter w:w="11" w:type="dxa"/>
          <w:trHeight w:val="218"/>
          <w:jc w:val="center"/>
        </w:trPr>
        <w:tc>
          <w:tcPr>
            <w:tcW w:w="1650" w:type="dxa"/>
            <w:tcBorders>
              <w:top w:val="nil"/>
              <w:left w:val="nil"/>
              <w:bottom w:val="single" w:sz="8" w:space="0" w:color="DCDDDE"/>
              <w:right w:val="nil"/>
            </w:tcBorders>
            <w:shd w:val="clear" w:color="000000" w:fill="FFFFFF"/>
            <w:vAlign w:val="center"/>
            <w:hideMark/>
          </w:tcPr>
          <w:p w14:paraId="008681FA"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C&amp;S*</w:t>
            </w:r>
          </w:p>
        </w:tc>
        <w:tc>
          <w:tcPr>
            <w:tcW w:w="557" w:type="dxa"/>
            <w:tcBorders>
              <w:top w:val="nil"/>
              <w:left w:val="nil"/>
              <w:bottom w:val="single" w:sz="8" w:space="0" w:color="DCDDDE"/>
              <w:right w:val="nil"/>
            </w:tcBorders>
            <w:shd w:val="clear" w:color="000000" w:fill="FFFFFF"/>
            <w:noWrap/>
            <w:vAlign w:val="center"/>
            <w:hideMark/>
          </w:tcPr>
          <w:p w14:paraId="433510F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39</w:t>
            </w:r>
          </w:p>
        </w:tc>
        <w:tc>
          <w:tcPr>
            <w:tcW w:w="557" w:type="dxa"/>
            <w:tcBorders>
              <w:top w:val="nil"/>
              <w:left w:val="nil"/>
              <w:bottom w:val="single" w:sz="8" w:space="0" w:color="DCDDDE"/>
              <w:right w:val="nil"/>
            </w:tcBorders>
            <w:shd w:val="clear" w:color="000000" w:fill="FFFFFF"/>
            <w:noWrap/>
            <w:vAlign w:val="center"/>
            <w:hideMark/>
          </w:tcPr>
          <w:p w14:paraId="65D88F9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39</w:t>
            </w:r>
          </w:p>
        </w:tc>
        <w:tc>
          <w:tcPr>
            <w:tcW w:w="557" w:type="dxa"/>
            <w:tcBorders>
              <w:top w:val="nil"/>
              <w:left w:val="nil"/>
              <w:bottom w:val="single" w:sz="8" w:space="0" w:color="DCDDDE"/>
              <w:right w:val="nil"/>
            </w:tcBorders>
            <w:shd w:val="clear" w:color="000000" w:fill="FFFFFF"/>
            <w:noWrap/>
            <w:vAlign w:val="center"/>
            <w:hideMark/>
          </w:tcPr>
          <w:p w14:paraId="4009CAE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47</w:t>
            </w:r>
          </w:p>
        </w:tc>
        <w:tc>
          <w:tcPr>
            <w:tcW w:w="557" w:type="dxa"/>
            <w:tcBorders>
              <w:top w:val="nil"/>
              <w:left w:val="nil"/>
              <w:bottom w:val="single" w:sz="8" w:space="0" w:color="DCDDDE"/>
              <w:right w:val="nil"/>
            </w:tcBorders>
            <w:shd w:val="clear" w:color="000000" w:fill="FFFFFF"/>
            <w:noWrap/>
            <w:vAlign w:val="center"/>
            <w:hideMark/>
          </w:tcPr>
          <w:p w14:paraId="52B9F67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4330A79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3C9B2C5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28000A0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248E5A6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53</w:t>
            </w:r>
          </w:p>
        </w:tc>
        <w:tc>
          <w:tcPr>
            <w:tcW w:w="557" w:type="dxa"/>
            <w:tcBorders>
              <w:top w:val="nil"/>
              <w:left w:val="nil"/>
              <w:bottom w:val="single" w:sz="8" w:space="0" w:color="DCDDDE"/>
              <w:right w:val="nil"/>
            </w:tcBorders>
            <w:shd w:val="clear" w:color="000000" w:fill="FFFFFF"/>
            <w:noWrap/>
            <w:vAlign w:val="center"/>
            <w:hideMark/>
          </w:tcPr>
          <w:p w14:paraId="042F1EC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40</w:t>
            </w:r>
          </w:p>
        </w:tc>
        <w:tc>
          <w:tcPr>
            <w:tcW w:w="557" w:type="dxa"/>
            <w:tcBorders>
              <w:top w:val="nil"/>
              <w:left w:val="nil"/>
              <w:bottom w:val="single" w:sz="8" w:space="0" w:color="DCDDDE"/>
              <w:right w:val="nil"/>
            </w:tcBorders>
            <w:shd w:val="clear" w:color="000000" w:fill="FFFFFF"/>
            <w:noWrap/>
            <w:vAlign w:val="center"/>
            <w:hideMark/>
          </w:tcPr>
          <w:p w14:paraId="1EBC675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36</w:t>
            </w:r>
          </w:p>
        </w:tc>
        <w:tc>
          <w:tcPr>
            <w:tcW w:w="557" w:type="dxa"/>
            <w:tcBorders>
              <w:top w:val="nil"/>
              <w:left w:val="nil"/>
              <w:bottom w:val="single" w:sz="8" w:space="0" w:color="DCDDDE"/>
              <w:right w:val="nil"/>
            </w:tcBorders>
            <w:shd w:val="clear" w:color="000000" w:fill="FFFFFF"/>
            <w:noWrap/>
            <w:vAlign w:val="center"/>
            <w:hideMark/>
          </w:tcPr>
          <w:p w14:paraId="3CD59DD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35</w:t>
            </w:r>
          </w:p>
        </w:tc>
        <w:tc>
          <w:tcPr>
            <w:tcW w:w="557" w:type="dxa"/>
            <w:tcBorders>
              <w:top w:val="nil"/>
              <w:left w:val="nil"/>
              <w:bottom w:val="single" w:sz="8" w:space="0" w:color="DCDDDE"/>
              <w:right w:val="nil"/>
            </w:tcBorders>
            <w:shd w:val="clear" w:color="000000" w:fill="FFFFFF"/>
            <w:noWrap/>
            <w:vAlign w:val="center"/>
            <w:hideMark/>
          </w:tcPr>
          <w:p w14:paraId="6A16340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34</w:t>
            </w:r>
          </w:p>
        </w:tc>
        <w:tc>
          <w:tcPr>
            <w:tcW w:w="557" w:type="dxa"/>
            <w:tcBorders>
              <w:top w:val="nil"/>
              <w:left w:val="nil"/>
              <w:bottom w:val="single" w:sz="8" w:space="0" w:color="DCDDDE"/>
              <w:right w:val="nil"/>
            </w:tcBorders>
            <w:shd w:val="clear" w:color="000000" w:fill="FFFFFF"/>
            <w:noWrap/>
            <w:vAlign w:val="center"/>
            <w:hideMark/>
          </w:tcPr>
          <w:p w14:paraId="70D5C27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35</w:t>
            </w:r>
          </w:p>
        </w:tc>
      </w:tr>
      <w:tr w:rsidR="009A6333" w:rsidRPr="009A6333" w14:paraId="6C59A0D5" w14:textId="77777777" w:rsidTr="00D70E28">
        <w:trPr>
          <w:gridAfter w:val="1"/>
          <w:wAfter w:w="11" w:type="dxa"/>
          <w:trHeight w:val="218"/>
          <w:jc w:val="center"/>
        </w:trPr>
        <w:tc>
          <w:tcPr>
            <w:tcW w:w="1650" w:type="dxa"/>
            <w:tcBorders>
              <w:top w:val="nil"/>
              <w:left w:val="nil"/>
              <w:bottom w:val="single" w:sz="8" w:space="0" w:color="DCDDDE"/>
              <w:right w:val="nil"/>
            </w:tcBorders>
            <w:shd w:val="clear" w:color="000000" w:fill="FFFFFF"/>
            <w:vAlign w:val="center"/>
            <w:hideMark/>
          </w:tcPr>
          <w:p w14:paraId="4644FAE7"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Total</w:t>
            </w:r>
          </w:p>
        </w:tc>
        <w:tc>
          <w:tcPr>
            <w:tcW w:w="557" w:type="dxa"/>
            <w:tcBorders>
              <w:top w:val="nil"/>
              <w:left w:val="nil"/>
              <w:bottom w:val="single" w:sz="8" w:space="0" w:color="DCDDDE"/>
              <w:right w:val="nil"/>
            </w:tcBorders>
            <w:shd w:val="clear" w:color="000000" w:fill="FFFFFF"/>
            <w:noWrap/>
            <w:vAlign w:val="center"/>
            <w:hideMark/>
          </w:tcPr>
          <w:p w14:paraId="5F5A555F"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82</w:t>
            </w:r>
          </w:p>
        </w:tc>
        <w:tc>
          <w:tcPr>
            <w:tcW w:w="557" w:type="dxa"/>
            <w:tcBorders>
              <w:top w:val="nil"/>
              <w:left w:val="nil"/>
              <w:bottom w:val="single" w:sz="8" w:space="0" w:color="DCDDDE"/>
              <w:right w:val="nil"/>
            </w:tcBorders>
            <w:shd w:val="clear" w:color="000000" w:fill="FFFFFF"/>
            <w:noWrap/>
            <w:vAlign w:val="center"/>
            <w:hideMark/>
          </w:tcPr>
          <w:p w14:paraId="2789F51B"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85</w:t>
            </w:r>
          </w:p>
        </w:tc>
        <w:tc>
          <w:tcPr>
            <w:tcW w:w="557" w:type="dxa"/>
            <w:tcBorders>
              <w:top w:val="nil"/>
              <w:left w:val="nil"/>
              <w:bottom w:val="single" w:sz="8" w:space="0" w:color="DCDDDE"/>
              <w:right w:val="nil"/>
            </w:tcBorders>
            <w:shd w:val="clear" w:color="000000" w:fill="FFFFFF"/>
            <w:noWrap/>
            <w:vAlign w:val="center"/>
            <w:hideMark/>
          </w:tcPr>
          <w:p w14:paraId="728CCD3F"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92</w:t>
            </w:r>
          </w:p>
        </w:tc>
        <w:tc>
          <w:tcPr>
            <w:tcW w:w="557" w:type="dxa"/>
            <w:tcBorders>
              <w:top w:val="nil"/>
              <w:left w:val="nil"/>
              <w:bottom w:val="single" w:sz="8" w:space="0" w:color="DCDDDE"/>
              <w:right w:val="nil"/>
            </w:tcBorders>
            <w:shd w:val="clear" w:color="000000" w:fill="FFFFFF"/>
            <w:noWrap/>
            <w:vAlign w:val="center"/>
            <w:hideMark/>
          </w:tcPr>
          <w:p w14:paraId="1EAACBD2"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102</w:t>
            </w:r>
          </w:p>
        </w:tc>
        <w:tc>
          <w:tcPr>
            <w:tcW w:w="557" w:type="dxa"/>
            <w:tcBorders>
              <w:top w:val="nil"/>
              <w:left w:val="nil"/>
              <w:bottom w:val="single" w:sz="8" w:space="0" w:color="DCDDDE"/>
              <w:right w:val="nil"/>
            </w:tcBorders>
            <w:shd w:val="clear" w:color="000000" w:fill="FFFFFF"/>
            <w:noWrap/>
            <w:vAlign w:val="center"/>
            <w:hideMark/>
          </w:tcPr>
          <w:p w14:paraId="1959FA5A"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105</w:t>
            </w:r>
          </w:p>
        </w:tc>
        <w:tc>
          <w:tcPr>
            <w:tcW w:w="557" w:type="dxa"/>
            <w:tcBorders>
              <w:top w:val="nil"/>
              <w:left w:val="nil"/>
              <w:bottom w:val="single" w:sz="8" w:space="0" w:color="DCDDDE"/>
              <w:right w:val="nil"/>
            </w:tcBorders>
            <w:shd w:val="clear" w:color="000000" w:fill="FFFFFF"/>
            <w:noWrap/>
            <w:vAlign w:val="center"/>
            <w:hideMark/>
          </w:tcPr>
          <w:p w14:paraId="2BE617FA"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110</w:t>
            </w:r>
          </w:p>
        </w:tc>
        <w:tc>
          <w:tcPr>
            <w:tcW w:w="557" w:type="dxa"/>
            <w:tcBorders>
              <w:top w:val="nil"/>
              <w:left w:val="nil"/>
              <w:bottom w:val="single" w:sz="8" w:space="0" w:color="DCDDDE"/>
              <w:right w:val="nil"/>
            </w:tcBorders>
            <w:shd w:val="clear" w:color="000000" w:fill="FFFFFF"/>
            <w:noWrap/>
            <w:vAlign w:val="center"/>
            <w:hideMark/>
          </w:tcPr>
          <w:p w14:paraId="35329E06"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110</w:t>
            </w:r>
          </w:p>
        </w:tc>
        <w:tc>
          <w:tcPr>
            <w:tcW w:w="557" w:type="dxa"/>
            <w:tcBorders>
              <w:top w:val="nil"/>
              <w:left w:val="nil"/>
              <w:bottom w:val="single" w:sz="8" w:space="0" w:color="DCDDDE"/>
              <w:right w:val="nil"/>
            </w:tcBorders>
            <w:shd w:val="clear" w:color="000000" w:fill="FFFFFF"/>
            <w:noWrap/>
            <w:vAlign w:val="center"/>
            <w:hideMark/>
          </w:tcPr>
          <w:p w14:paraId="71E51B9A"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109</w:t>
            </w:r>
          </w:p>
        </w:tc>
        <w:tc>
          <w:tcPr>
            <w:tcW w:w="557" w:type="dxa"/>
            <w:tcBorders>
              <w:top w:val="nil"/>
              <w:left w:val="nil"/>
              <w:bottom w:val="single" w:sz="8" w:space="0" w:color="DCDDDE"/>
              <w:right w:val="nil"/>
            </w:tcBorders>
            <w:shd w:val="clear" w:color="000000" w:fill="FFFFFF"/>
            <w:noWrap/>
            <w:vAlign w:val="center"/>
            <w:hideMark/>
          </w:tcPr>
          <w:p w14:paraId="7D60D176"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95</w:t>
            </w:r>
          </w:p>
        </w:tc>
        <w:tc>
          <w:tcPr>
            <w:tcW w:w="557" w:type="dxa"/>
            <w:tcBorders>
              <w:top w:val="nil"/>
              <w:left w:val="nil"/>
              <w:bottom w:val="single" w:sz="8" w:space="0" w:color="DCDDDE"/>
              <w:right w:val="nil"/>
            </w:tcBorders>
            <w:shd w:val="clear" w:color="000000" w:fill="FFFFFF"/>
            <w:noWrap/>
            <w:vAlign w:val="center"/>
            <w:hideMark/>
          </w:tcPr>
          <w:p w14:paraId="06509914"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91</w:t>
            </w:r>
          </w:p>
        </w:tc>
        <w:tc>
          <w:tcPr>
            <w:tcW w:w="557" w:type="dxa"/>
            <w:tcBorders>
              <w:top w:val="nil"/>
              <w:left w:val="nil"/>
              <w:bottom w:val="single" w:sz="8" w:space="0" w:color="DCDDDE"/>
              <w:right w:val="nil"/>
            </w:tcBorders>
            <w:shd w:val="clear" w:color="000000" w:fill="FFFFFF"/>
            <w:noWrap/>
            <w:vAlign w:val="center"/>
            <w:hideMark/>
          </w:tcPr>
          <w:p w14:paraId="5D0D3575"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91</w:t>
            </w:r>
          </w:p>
        </w:tc>
        <w:tc>
          <w:tcPr>
            <w:tcW w:w="557" w:type="dxa"/>
            <w:tcBorders>
              <w:top w:val="nil"/>
              <w:left w:val="nil"/>
              <w:bottom w:val="single" w:sz="8" w:space="0" w:color="DCDDDE"/>
              <w:right w:val="nil"/>
            </w:tcBorders>
            <w:shd w:val="clear" w:color="000000" w:fill="FFFFFF"/>
            <w:noWrap/>
            <w:vAlign w:val="center"/>
            <w:hideMark/>
          </w:tcPr>
          <w:p w14:paraId="5EC8B540"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90</w:t>
            </w:r>
          </w:p>
        </w:tc>
        <w:tc>
          <w:tcPr>
            <w:tcW w:w="557" w:type="dxa"/>
            <w:tcBorders>
              <w:top w:val="nil"/>
              <w:left w:val="nil"/>
              <w:bottom w:val="single" w:sz="8" w:space="0" w:color="DCDDDE"/>
              <w:right w:val="nil"/>
            </w:tcBorders>
            <w:shd w:val="clear" w:color="000000" w:fill="FFFFFF"/>
            <w:noWrap/>
            <w:vAlign w:val="center"/>
            <w:hideMark/>
          </w:tcPr>
          <w:p w14:paraId="54DE39BB"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92</w:t>
            </w:r>
          </w:p>
        </w:tc>
      </w:tr>
      <w:tr w:rsidR="009A6333" w:rsidRPr="009A6333" w14:paraId="430322CE" w14:textId="77777777" w:rsidTr="00D70E28">
        <w:trPr>
          <w:trHeight w:val="218"/>
          <w:jc w:val="center"/>
        </w:trPr>
        <w:tc>
          <w:tcPr>
            <w:tcW w:w="8902" w:type="dxa"/>
            <w:gridSpan w:val="15"/>
            <w:tcBorders>
              <w:top w:val="single" w:sz="8" w:space="0" w:color="DCDDDE"/>
              <w:left w:val="nil"/>
              <w:bottom w:val="single" w:sz="8" w:space="0" w:color="DCDDDE"/>
              <w:right w:val="nil"/>
            </w:tcBorders>
            <w:shd w:val="clear" w:color="000000" w:fill="DADADA"/>
            <w:noWrap/>
            <w:vAlign w:val="center"/>
            <w:hideMark/>
          </w:tcPr>
          <w:p w14:paraId="457C0CC8"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mTRC (GHG adder 2) | Reference</w:t>
            </w:r>
          </w:p>
        </w:tc>
      </w:tr>
      <w:tr w:rsidR="009A6333" w:rsidRPr="009A6333" w14:paraId="13991248" w14:textId="77777777" w:rsidTr="00D70E28">
        <w:trPr>
          <w:gridAfter w:val="1"/>
          <w:wAfter w:w="11" w:type="dxa"/>
          <w:trHeight w:val="386"/>
          <w:jc w:val="center"/>
        </w:trPr>
        <w:tc>
          <w:tcPr>
            <w:tcW w:w="1650" w:type="dxa"/>
            <w:tcBorders>
              <w:top w:val="nil"/>
              <w:left w:val="nil"/>
              <w:bottom w:val="single" w:sz="8" w:space="0" w:color="DCDDDE"/>
              <w:right w:val="nil"/>
            </w:tcBorders>
            <w:shd w:val="clear" w:color="000000" w:fill="FFFFFF"/>
            <w:vAlign w:val="center"/>
            <w:hideMark/>
          </w:tcPr>
          <w:p w14:paraId="6A5B23FB"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Equipment Rebates</w:t>
            </w:r>
          </w:p>
        </w:tc>
        <w:tc>
          <w:tcPr>
            <w:tcW w:w="557" w:type="dxa"/>
            <w:tcBorders>
              <w:top w:val="nil"/>
              <w:left w:val="nil"/>
              <w:bottom w:val="single" w:sz="8" w:space="0" w:color="DCDDDE"/>
              <w:right w:val="nil"/>
            </w:tcBorders>
            <w:shd w:val="clear" w:color="000000" w:fill="FFFFFF"/>
            <w:noWrap/>
            <w:vAlign w:val="center"/>
            <w:hideMark/>
          </w:tcPr>
          <w:p w14:paraId="45804AA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29</w:t>
            </w:r>
          </w:p>
        </w:tc>
        <w:tc>
          <w:tcPr>
            <w:tcW w:w="557" w:type="dxa"/>
            <w:tcBorders>
              <w:top w:val="nil"/>
              <w:left w:val="nil"/>
              <w:bottom w:val="single" w:sz="8" w:space="0" w:color="DCDDDE"/>
              <w:right w:val="nil"/>
            </w:tcBorders>
            <w:shd w:val="clear" w:color="000000" w:fill="FFFFFF"/>
            <w:noWrap/>
            <w:vAlign w:val="center"/>
            <w:hideMark/>
          </w:tcPr>
          <w:p w14:paraId="65BC7C7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35</w:t>
            </w:r>
          </w:p>
        </w:tc>
        <w:tc>
          <w:tcPr>
            <w:tcW w:w="557" w:type="dxa"/>
            <w:tcBorders>
              <w:top w:val="nil"/>
              <w:left w:val="nil"/>
              <w:bottom w:val="single" w:sz="8" w:space="0" w:color="DCDDDE"/>
              <w:right w:val="nil"/>
            </w:tcBorders>
            <w:shd w:val="clear" w:color="000000" w:fill="FFFFFF"/>
            <w:noWrap/>
            <w:vAlign w:val="center"/>
            <w:hideMark/>
          </w:tcPr>
          <w:p w14:paraId="0AFF1FD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36</w:t>
            </w:r>
          </w:p>
        </w:tc>
        <w:tc>
          <w:tcPr>
            <w:tcW w:w="557" w:type="dxa"/>
            <w:tcBorders>
              <w:top w:val="nil"/>
              <w:left w:val="nil"/>
              <w:bottom w:val="single" w:sz="8" w:space="0" w:color="DCDDDE"/>
              <w:right w:val="nil"/>
            </w:tcBorders>
            <w:shd w:val="clear" w:color="000000" w:fill="FFFFFF"/>
            <w:noWrap/>
            <w:vAlign w:val="center"/>
            <w:hideMark/>
          </w:tcPr>
          <w:p w14:paraId="78747F2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40</w:t>
            </w:r>
          </w:p>
        </w:tc>
        <w:tc>
          <w:tcPr>
            <w:tcW w:w="557" w:type="dxa"/>
            <w:tcBorders>
              <w:top w:val="nil"/>
              <w:left w:val="nil"/>
              <w:bottom w:val="single" w:sz="8" w:space="0" w:color="DCDDDE"/>
              <w:right w:val="nil"/>
            </w:tcBorders>
            <w:shd w:val="clear" w:color="000000" w:fill="FFFFFF"/>
            <w:noWrap/>
            <w:vAlign w:val="center"/>
            <w:hideMark/>
          </w:tcPr>
          <w:p w14:paraId="283FAA8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40</w:t>
            </w:r>
          </w:p>
        </w:tc>
        <w:tc>
          <w:tcPr>
            <w:tcW w:w="557" w:type="dxa"/>
            <w:tcBorders>
              <w:top w:val="nil"/>
              <w:left w:val="nil"/>
              <w:bottom w:val="single" w:sz="8" w:space="0" w:color="DCDDDE"/>
              <w:right w:val="nil"/>
            </w:tcBorders>
            <w:shd w:val="clear" w:color="000000" w:fill="FFFFFF"/>
            <w:noWrap/>
            <w:vAlign w:val="center"/>
            <w:hideMark/>
          </w:tcPr>
          <w:p w14:paraId="2D7ECEE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45</w:t>
            </w:r>
          </w:p>
        </w:tc>
        <w:tc>
          <w:tcPr>
            <w:tcW w:w="557" w:type="dxa"/>
            <w:tcBorders>
              <w:top w:val="nil"/>
              <w:left w:val="nil"/>
              <w:bottom w:val="single" w:sz="8" w:space="0" w:color="DCDDDE"/>
              <w:right w:val="nil"/>
            </w:tcBorders>
            <w:shd w:val="clear" w:color="000000" w:fill="FFFFFF"/>
            <w:noWrap/>
            <w:vAlign w:val="center"/>
            <w:hideMark/>
          </w:tcPr>
          <w:p w14:paraId="74D401B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43</w:t>
            </w:r>
          </w:p>
        </w:tc>
        <w:tc>
          <w:tcPr>
            <w:tcW w:w="557" w:type="dxa"/>
            <w:tcBorders>
              <w:top w:val="nil"/>
              <w:left w:val="nil"/>
              <w:bottom w:val="single" w:sz="8" w:space="0" w:color="DCDDDE"/>
              <w:right w:val="nil"/>
            </w:tcBorders>
            <w:shd w:val="clear" w:color="000000" w:fill="FFFFFF"/>
            <w:noWrap/>
            <w:vAlign w:val="center"/>
            <w:hideMark/>
          </w:tcPr>
          <w:p w14:paraId="0452406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42</w:t>
            </w:r>
          </w:p>
        </w:tc>
        <w:tc>
          <w:tcPr>
            <w:tcW w:w="557" w:type="dxa"/>
            <w:tcBorders>
              <w:top w:val="nil"/>
              <w:left w:val="nil"/>
              <w:bottom w:val="single" w:sz="8" w:space="0" w:color="DCDDDE"/>
              <w:right w:val="nil"/>
            </w:tcBorders>
            <w:shd w:val="clear" w:color="000000" w:fill="FFFFFF"/>
            <w:noWrap/>
            <w:vAlign w:val="center"/>
            <w:hideMark/>
          </w:tcPr>
          <w:p w14:paraId="627DFD3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40</w:t>
            </w:r>
          </w:p>
        </w:tc>
        <w:tc>
          <w:tcPr>
            <w:tcW w:w="557" w:type="dxa"/>
            <w:tcBorders>
              <w:top w:val="nil"/>
              <w:left w:val="nil"/>
              <w:bottom w:val="single" w:sz="8" w:space="0" w:color="DCDDDE"/>
              <w:right w:val="nil"/>
            </w:tcBorders>
            <w:shd w:val="clear" w:color="000000" w:fill="FFFFFF"/>
            <w:noWrap/>
            <w:vAlign w:val="center"/>
            <w:hideMark/>
          </w:tcPr>
          <w:p w14:paraId="1669327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39</w:t>
            </w:r>
          </w:p>
        </w:tc>
        <w:tc>
          <w:tcPr>
            <w:tcW w:w="557" w:type="dxa"/>
            <w:tcBorders>
              <w:top w:val="nil"/>
              <w:left w:val="nil"/>
              <w:bottom w:val="single" w:sz="8" w:space="0" w:color="DCDDDE"/>
              <w:right w:val="nil"/>
            </w:tcBorders>
            <w:shd w:val="clear" w:color="000000" w:fill="FFFFFF"/>
            <w:noWrap/>
            <w:vAlign w:val="center"/>
            <w:hideMark/>
          </w:tcPr>
          <w:p w14:paraId="5CC15A7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38</w:t>
            </w:r>
          </w:p>
        </w:tc>
        <w:tc>
          <w:tcPr>
            <w:tcW w:w="557" w:type="dxa"/>
            <w:tcBorders>
              <w:top w:val="nil"/>
              <w:left w:val="nil"/>
              <w:bottom w:val="single" w:sz="8" w:space="0" w:color="DCDDDE"/>
              <w:right w:val="nil"/>
            </w:tcBorders>
            <w:shd w:val="clear" w:color="000000" w:fill="FFFFFF"/>
            <w:noWrap/>
            <w:vAlign w:val="center"/>
            <w:hideMark/>
          </w:tcPr>
          <w:p w14:paraId="00B773C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36</w:t>
            </w:r>
          </w:p>
        </w:tc>
        <w:tc>
          <w:tcPr>
            <w:tcW w:w="557" w:type="dxa"/>
            <w:tcBorders>
              <w:top w:val="nil"/>
              <w:left w:val="nil"/>
              <w:bottom w:val="single" w:sz="8" w:space="0" w:color="DCDDDE"/>
              <w:right w:val="nil"/>
            </w:tcBorders>
            <w:shd w:val="clear" w:color="000000" w:fill="FFFFFF"/>
            <w:noWrap/>
            <w:vAlign w:val="center"/>
            <w:hideMark/>
          </w:tcPr>
          <w:p w14:paraId="18E13AC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36</w:t>
            </w:r>
          </w:p>
        </w:tc>
      </w:tr>
      <w:tr w:rsidR="009A6333" w:rsidRPr="009A6333" w14:paraId="37109E4F" w14:textId="77777777" w:rsidTr="00D70E28">
        <w:trPr>
          <w:gridAfter w:val="1"/>
          <w:wAfter w:w="11" w:type="dxa"/>
          <w:trHeight w:val="218"/>
          <w:jc w:val="center"/>
        </w:trPr>
        <w:tc>
          <w:tcPr>
            <w:tcW w:w="1650" w:type="dxa"/>
            <w:tcBorders>
              <w:top w:val="nil"/>
              <w:left w:val="nil"/>
              <w:bottom w:val="single" w:sz="8" w:space="0" w:color="DCDDDE"/>
              <w:right w:val="nil"/>
            </w:tcBorders>
            <w:shd w:val="clear" w:color="000000" w:fill="FFFFFF"/>
            <w:vAlign w:val="center"/>
            <w:hideMark/>
          </w:tcPr>
          <w:p w14:paraId="725F0A4A"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BROs</w:t>
            </w:r>
          </w:p>
        </w:tc>
        <w:tc>
          <w:tcPr>
            <w:tcW w:w="557" w:type="dxa"/>
            <w:tcBorders>
              <w:top w:val="nil"/>
              <w:left w:val="nil"/>
              <w:bottom w:val="single" w:sz="8" w:space="0" w:color="DCDDDE"/>
              <w:right w:val="nil"/>
            </w:tcBorders>
            <w:shd w:val="clear" w:color="000000" w:fill="FFFFFF"/>
            <w:noWrap/>
            <w:vAlign w:val="center"/>
            <w:hideMark/>
          </w:tcPr>
          <w:p w14:paraId="431AAEE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w:t>
            </w:r>
          </w:p>
        </w:tc>
        <w:tc>
          <w:tcPr>
            <w:tcW w:w="557" w:type="dxa"/>
            <w:tcBorders>
              <w:top w:val="nil"/>
              <w:left w:val="nil"/>
              <w:bottom w:val="single" w:sz="8" w:space="0" w:color="DCDDDE"/>
              <w:right w:val="nil"/>
            </w:tcBorders>
            <w:shd w:val="clear" w:color="000000" w:fill="FFFFFF"/>
            <w:noWrap/>
            <w:vAlign w:val="center"/>
            <w:hideMark/>
          </w:tcPr>
          <w:p w14:paraId="71B5D43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w:t>
            </w:r>
          </w:p>
        </w:tc>
        <w:tc>
          <w:tcPr>
            <w:tcW w:w="557" w:type="dxa"/>
            <w:tcBorders>
              <w:top w:val="nil"/>
              <w:left w:val="nil"/>
              <w:bottom w:val="single" w:sz="8" w:space="0" w:color="DCDDDE"/>
              <w:right w:val="nil"/>
            </w:tcBorders>
            <w:shd w:val="clear" w:color="000000" w:fill="FFFFFF"/>
            <w:noWrap/>
            <w:vAlign w:val="center"/>
            <w:hideMark/>
          </w:tcPr>
          <w:p w14:paraId="679B80E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14</w:t>
            </w:r>
          </w:p>
        </w:tc>
        <w:tc>
          <w:tcPr>
            <w:tcW w:w="557" w:type="dxa"/>
            <w:tcBorders>
              <w:top w:val="nil"/>
              <w:left w:val="nil"/>
              <w:bottom w:val="single" w:sz="8" w:space="0" w:color="DCDDDE"/>
              <w:right w:val="nil"/>
            </w:tcBorders>
            <w:shd w:val="clear" w:color="000000" w:fill="FFFFFF"/>
            <w:noWrap/>
            <w:vAlign w:val="center"/>
            <w:hideMark/>
          </w:tcPr>
          <w:p w14:paraId="53ACCA8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15</w:t>
            </w:r>
          </w:p>
        </w:tc>
        <w:tc>
          <w:tcPr>
            <w:tcW w:w="557" w:type="dxa"/>
            <w:tcBorders>
              <w:top w:val="nil"/>
              <w:left w:val="nil"/>
              <w:bottom w:val="single" w:sz="8" w:space="0" w:color="DCDDDE"/>
              <w:right w:val="nil"/>
            </w:tcBorders>
            <w:shd w:val="clear" w:color="000000" w:fill="FFFFFF"/>
            <w:noWrap/>
            <w:vAlign w:val="center"/>
            <w:hideMark/>
          </w:tcPr>
          <w:p w14:paraId="26E16D4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16</w:t>
            </w:r>
          </w:p>
        </w:tc>
        <w:tc>
          <w:tcPr>
            <w:tcW w:w="557" w:type="dxa"/>
            <w:tcBorders>
              <w:top w:val="nil"/>
              <w:left w:val="nil"/>
              <w:bottom w:val="single" w:sz="8" w:space="0" w:color="DCDDDE"/>
              <w:right w:val="nil"/>
            </w:tcBorders>
            <w:shd w:val="clear" w:color="000000" w:fill="FFFFFF"/>
            <w:noWrap/>
            <w:vAlign w:val="center"/>
            <w:hideMark/>
          </w:tcPr>
          <w:p w14:paraId="3129783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17</w:t>
            </w:r>
          </w:p>
        </w:tc>
        <w:tc>
          <w:tcPr>
            <w:tcW w:w="557" w:type="dxa"/>
            <w:tcBorders>
              <w:top w:val="nil"/>
              <w:left w:val="nil"/>
              <w:bottom w:val="single" w:sz="8" w:space="0" w:color="DCDDDE"/>
              <w:right w:val="nil"/>
            </w:tcBorders>
            <w:shd w:val="clear" w:color="000000" w:fill="FFFFFF"/>
            <w:noWrap/>
            <w:vAlign w:val="center"/>
            <w:hideMark/>
          </w:tcPr>
          <w:p w14:paraId="1EF667E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18</w:t>
            </w:r>
          </w:p>
        </w:tc>
        <w:tc>
          <w:tcPr>
            <w:tcW w:w="557" w:type="dxa"/>
            <w:tcBorders>
              <w:top w:val="nil"/>
              <w:left w:val="nil"/>
              <w:bottom w:val="single" w:sz="8" w:space="0" w:color="DCDDDE"/>
              <w:right w:val="nil"/>
            </w:tcBorders>
            <w:shd w:val="clear" w:color="000000" w:fill="FFFFFF"/>
            <w:noWrap/>
            <w:vAlign w:val="center"/>
            <w:hideMark/>
          </w:tcPr>
          <w:p w14:paraId="6DFD7F3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19</w:t>
            </w:r>
          </w:p>
        </w:tc>
        <w:tc>
          <w:tcPr>
            <w:tcW w:w="557" w:type="dxa"/>
            <w:tcBorders>
              <w:top w:val="nil"/>
              <w:left w:val="nil"/>
              <w:bottom w:val="single" w:sz="8" w:space="0" w:color="DCDDDE"/>
              <w:right w:val="nil"/>
            </w:tcBorders>
            <w:shd w:val="clear" w:color="000000" w:fill="FFFFFF"/>
            <w:noWrap/>
            <w:vAlign w:val="center"/>
            <w:hideMark/>
          </w:tcPr>
          <w:p w14:paraId="3105F01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19</w:t>
            </w:r>
          </w:p>
        </w:tc>
        <w:tc>
          <w:tcPr>
            <w:tcW w:w="557" w:type="dxa"/>
            <w:tcBorders>
              <w:top w:val="nil"/>
              <w:left w:val="nil"/>
              <w:bottom w:val="single" w:sz="8" w:space="0" w:color="DCDDDE"/>
              <w:right w:val="nil"/>
            </w:tcBorders>
            <w:shd w:val="clear" w:color="000000" w:fill="FFFFFF"/>
            <w:noWrap/>
            <w:vAlign w:val="center"/>
            <w:hideMark/>
          </w:tcPr>
          <w:p w14:paraId="4BD97D0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20</w:t>
            </w:r>
          </w:p>
        </w:tc>
        <w:tc>
          <w:tcPr>
            <w:tcW w:w="557" w:type="dxa"/>
            <w:tcBorders>
              <w:top w:val="nil"/>
              <w:left w:val="nil"/>
              <w:bottom w:val="single" w:sz="8" w:space="0" w:color="DCDDDE"/>
              <w:right w:val="nil"/>
            </w:tcBorders>
            <w:shd w:val="clear" w:color="000000" w:fill="FFFFFF"/>
            <w:noWrap/>
            <w:vAlign w:val="center"/>
            <w:hideMark/>
          </w:tcPr>
          <w:p w14:paraId="719F208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21</w:t>
            </w:r>
          </w:p>
        </w:tc>
        <w:tc>
          <w:tcPr>
            <w:tcW w:w="557" w:type="dxa"/>
            <w:tcBorders>
              <w:top w:val="nil"/>
              <w:left w:val="nil"/>
              <w:bottom w:val="single" w:sz="8" w:space="0" w:color="DCDDDE"/>
              <w:right w:val="nil"/>
            </w:tcBorders>
            <w:shd w:val="clear" w:color="000000" w:fill="FFFFFF"/>
            <w:noWrap/>
            <w:vAlign w:val="center"/>
            <w:hideMark/>
          </w:tcPr>
          <w:p w14:paraId="00AEEB5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22</w:t>
            </w:r>
          </w:p>
        </w:tc>
        <w:tc>
          <w:tcPr>
            <w:tcW w:w="557" w:type="dxa"/>
            <w:tcBorders>
              <w:top w:val="nil"/>
              <w:left w:val="nil"/>
              <w:bottom w:val="single" w:sz="8" w:space="0" w:color="DCDDDE"/>
              <w:right w:val="nil"/>
            </w:tcBorders>
            <w:shd w:val="clear" w:color="000000" w:fill="FFFFFF"/>
            <w:noWrap/>
            <w:vAlign w:val="center"/>
            <w:hideMark/>
          </w:tcPr>
          <w:p w14:paraId="5186AFB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23</w:t>
            </w:r>
          </w:p>
        </w:tc>
      </w:tr>
      <w:tr w:rsidR="009A6333" w:rsidRPr="009A6333" w14:paraId="2CF8AD78" w14:textId="77777777" w:rsidTr="00D70E28">
        <w:trPr>
          <w:gridAfter w:val="1"/>
          <w:wAfter w:w="11" w:type="dxa"/>
          <w:trHeight w:val="218"/>
          <w:jc w:val="center"/>
        </w:trPr>
        <w:tc>
          <w:tcPr>
            <w:tcW w:w="1650" w:type="dxa"/>
            <w:tcBorders>
              <w:top w:val="nil"/>
              <w:left w:val="nil"/>
              <w:bottom w:val="single" w:sz="8" w:space="0" w:color="DCDDDE"/>
              <w:right w:val="nil"/>
            </w:tcBorders>
            <w:shd w:val="clear" w:color="000000" w:fill="FFFFFF"/>
            <w:vAlign w:val="center"/>
            <w:hideMark/>
          </w:tcPr>
          <w:p w14:paraId="139607EE"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Low Income</w:t>
            </w:r>
          </w:p>
        </w:tc>
        <w:tc>
          <w:tcPr>
            <w:tcW w:w="557" w:type="dxa"/>
            <w:tcBorders>
              <w:top w:val="nil"/>
              <w:left w:val="nil"/>
              <w:bottom w:val="single" w:sz="8" w:space="0" w:color="DCDDDE"/>
              <w:right w:val="nil"/>
            </w:tcBorders>
            <w:shd w:val="clear" w:color="000000" w:fill="FFFFFF"/>
            <w:noWrap/>
            <w:vAlign w:val="center"/>
            <w:hideMark/>
          </w:tcPr>
          <w:p w14:paraId="7DBAF70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w:t>
            </w:r>
          </w:p>
        </w:tc>
        <w:tc>
          <w:tcPr>
            <w:tcW w:w="557" w:type="dxa"/>
            <w:tcBorders>
              <w:top w:val="nil"/>
              <w:left w:val="nil"/>
              <w:bottom w:val="single" w:sz="8" w:space="0" w:color="DCDDDE"/>
              <w:right w:val="nil"/>
            </w:tcBorders>
            <w:shd w:val="clear" w:color="000000" w:fill="FFFFFF"/>
            <w:noWrap/>
            <w:vAlign w:val="center"/>
            <w:hideMark/>
          </w:tcPr>
          <w:p w14:paraId="08A3788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w:t>
            </w:r>
          </w:p>
        </w:tc>
        <w:tc>
          <w:tcPr>
            <w:tcW w:w="557" w:type="dxa"/>
            <w:tcBorders>
              <w:top w:val="nil"/>
              <w:left w:val="nil"/>
              <w:bottom w:val="single" w:sz="8" w:space="0" w:color="DCDDDE"/>
              <w:right w:val="nil"/>
            </w:tcBorders>
            <w:shd w:val="clear" w:color="000000" w:fill="FFFFFF"/>
            <w:noWrap/>
            <w:vAlign w:val="center"/>
            <w:hideMark/>
          </w:tcPr>
          <w:p w14:paraId="025464E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w:t>
            </w:r>
          </w:p>
        </w:tc>
        <w:tc>
          <w:tcPr>
            <w:tcW w:w="557" w:type="dxa"/>
            <w:tcBorders>
              <w:top w:val="nil"/>
              <w:left w:val="nil"/>
              <w:bottom w:val="single" w:sz="8" w:space="0" w:color="DCDDDE"/>
              <w:right w:val="nil"/>
            </w:tcBorders>
            <w:shd w:val="clear" w:color="000000" w:fill="FFFFFF"/>
            <w:noWrap/>
            <w:vAlign w:val="center"/>
            <w:hideMark/>
          </w:tcPr>
          <w:p w14:paraId="7AAFEE2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4A5007C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7B47B50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08F80BC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2EE7D90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0F7DF3A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6DF92F2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0B92AAB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14ABBCC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1B7685D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r>
      <w:tr w:rsidR="009A6333" w:rsidRPr="009A6333" w14:paraId="15D603AE" w14:textId="77777777" w:rsidTr="00D70E28">
        <w:trPr>
          <w:gridAfter w:val="1"/>
          <w:wAfter w:w="11" w:type="dxa"/>
          <w:trHeight w:val="376"/>
          <w:jc w:val="center"/>
        </w:trPr>
        <w:tc>
          <w:tcPr>
            <w:tcW w:w="1650" w:type="dxa"/>
            <w:tcBorders>
              <w:top w:val="nil"/>
              <w:left w:val="nil"/>
              <w:bottom w:val="single" w:sz="8" w:space="0" w:color="DCDDDE"/>
              <w:right w:val="nil"/>
            </w:tcBorders>
            <w:shd w:val="clear" w:color="000000" w:fill="FFFFFF"/>
            <w:vAlign w:val="center"/>
            <w:hideMark/>
          </w:tcPr>
          <w:p w14:paraId="5B23A8D0"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Incentive Programs (Subtotal)</w:t>
            </w:r>
          </w:p>
        </w:tc>
        <w:tc>
          <w:tcPr>
            <w:tcW w:w="557" w:type="dxa"/>
            <w:tcBorders>
              <w:top w:val="nil"/>
              <w:left w:val="nil"/>
              <w:bottom w:val="single" w:sz="8" w:space="0" w:color="DCDDDE"/>
              <w:right w:val="nil"/>
            </w:tcBorders>
            <w:shd w:val="clear" w:color="000000" w:fill="FFFFFF"/>
            <w:noWrap/>
            <w:vAlign w:val="center"/>
            <w:hideMark/>
          </w:tcPr>
          <w:p w14:paraId="021013B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47</w:t>
            </w:r>
          </w:p>
        </w:tc>
        <w:tc>
          <w:tcPr>
            <w:tcW w:w="557" w:type="dxa"/>
            <w:tcBorders>
              <w:top w:val="nil"/>
              <w:left w:val="nil"/>
              <w:bottom w:val="single" w:sz="8" w:space="0" w:color="DCDDDE"/>
              <w:right w:val="nil"/>
            </w:tcBorders>
            <w:shd w:val="clear" w:color="000000" w:fill="FFFFFF"/>
            <w:noWrap/>
            <w:vAlign w:val="center"/>
            <w:hideMark/>
          </w:tcPr>
          <w:p w14:paraId="3DD06F3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0047DC9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57</w:t>
            </w:r>
          </w:p>
        </w:tc>
        <w:tc>
          <w:tcPr>
            <w:tcW w:w="557" w:type="dxa"/>
            <w:tcBorders>
              <w:top w:val="nil"/>
              <w:left w:val="nil"/>
              <w:bottom w:val="single" w:sz="8" w:space="0" w:color="DCDDDE"/>
              <w:right w:val="nil"/>
            </w:tcBorders>
            <w:shd w:val="clear" w:color="000000" w:fill="FFFFFF"/>
            <w:noWrap/>
            <w:vAlign w:val="center"/>
            <w:hideMark/>
          </w:tcPr>
          <w:p w14:paraId="5FE55EA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60</w:t>
            </w:r>
          </w:p>
        </w:tc>
        <w:tc>
          <w:tcPr>
            <w:tcW w:w="557" w:type="dxa"/>
            <w:tcBorders>
              <w:top w:val="nil"/>
              <w:left w:val="nil"/>
              <w:bottom w:val="single" w:sz="8" w:space="0" w:color="DCDDDE"/>
              <w:right w:val="nil"/>
            </w:tcBorders>
            <w:shd w:val="clear" w:color="000000" w:fill="FFFFFF"/>
            <w:noWrap/>
            <w:vAlign w:val="center"/>
            <w:hideMark/>
          </w:tcPr>
          <w:p w14:paraId="7D6CD41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61</w:t>
            </w:r>
          </w:p>
        </w:tc>
        <w:tc>
          <w:tcPr>
            <w:tcW w:w="557" w:type="dxa"/>
            <w:tcBorders>
              <w:top w:val="nil"/>
              <w:left w:val="nil"/>
              <w:bottom w:val="single" w:sz="8" w:space="0" w:color="DCDDDE"/>
              <w:right w:val="nil"/>
            </w:tcBorders>
            <w:shd w:val="clear" w:color="000000" w:fill="FFFFFF"/>
            <w:noWrap/>
            <w:vAlign w:val="center"/>
            <w:hideMark/>
          </w:tcPr>
          <w:p w14:paraId="5311005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67</w:t>
            </w:r>
          </w:p>
        </w:tc>
        <w:tc>
          <w:tcPr>
            <w:tcW w:w="557" w:type="dxa"/>
            <w:tcBorders>
              <w:top w:val="nil"/>
              <w:left w:val="nil"/>
              <w:bottom w:val="single" w:sz="8" w:space="0" w:color="DCDDDE"/>
              <w:right w:val="nil"/>
            </w:tcBorders>
            <w:shd w:val="clear" w:color="000000" w:fill="FFFFFF"/>
            <w:noWrap/>
            <w:vAlign w:val="center"/>
            <w:hideMark/>
          </w:tcPr>
          <w:p w14:paraId="4E4629C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66</w:t>
            </w:r>
          </w:p>
        </w:tc>
        <w:tc>
          <w:tcPr>
            <w:tcW w:w="557" w:type="dxa"/>
            <w:tcBorders>
              <w:top w:val="nil"/>
              <w:left w:val="nil"/>
              <w:bottom w:val="single" w:sz="8" w:space="0" w:color="DCDDDE"/>
              <w:right w:val="nil"/>
            </w:tcBorders>
            <w:shd w:val="clear" w:color="000000" w:fill="FFFFFF"/>
            <w:noWrap/>
            <w:vAlign w:val="center"/>
            <w:hideMark/>
          </w:tcPr>
          <w:p w14:paraId="74BD5E8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66</w:t>
            </w:r>
          </w:p>
        </w:tc>
        <w:tc>
          <w:tcPr>
            <w:tcW w:w="557" w:type="dxa"/>
            <w:tcBorders>
              <w:top w:val="nil"/>
              <w:left w:val="nil"/>
              <w:bottom w:val="single" w:sz="8" w:space="0" w:color="DCDDDE"/>
              <w:right w:val="nil"/>
            </w:tcBorders>
            <w:shd w:val="clear" w:color="000000" w:fill="FFFFFF"/>
            <w:noWrap/>
            <w:vAlign w:val="center"/>
            <w:hideMark/>
          </w:tcPr>
          <w:p w14:paraId="1FE14E5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65</w:t>
            </w:r>
          </w:p>
        </w:tc>
        <w:tc>
          <w:tcPr>
            <w:tcW w:w="557" w:type="dxa"/>
            <w:tcBorders>
              <w:top w:val="nil"/>
              <w:left w:val="nil"/>
              <w:bottom w:val="single" w:sz="8" w:space="0" w:color="DCDDDE"/>
              <w:right w:val="nil"/>
            </w:tcBorders>
            <w:shd w:val="clear" w:color="000000" w:fill="FFFFFF"/>
            <w:noWrap/>
            <w:vAlign w:val="center"/>
            <w:hideMark/>
          </w:tcPr>
          <w:p w14:paraId="2186667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64</w:t>
            </w:r>
          </w:p>
        </w:tc>
        <w:tc>
          <w:tcPr>
            <w:tcW w:w="557" w:type="dxa"/>
            <w:tcBorders>
              <w:top w:val="nil"/>
              <w:left w:val="nil"/>
              <w:bottom w:val="single" w:sz="8" w:space="0" w:color="DCDDDE"/>
              <w:right w:val="nil"/>
            </w:tcBorders>
            <w:shd w:val="clear" w:color="000000" w:fill="FFFFFF"/>
            <w:noWrap/>
            <w:vAlign w:val="center"/>
            <w:hideMark/>
          </w:tcPr>
          <w:p w14:paraId="3C15084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64</w:t>
            </w:r>
          </w:p>
        </w:tc>
        <w:tc>
          <w:tcPr>
            <w:tcW w:w="557" w:type="dxa"/>
            <w:tcBorders>
              <w:top w:val="nil"/>
              <w:left w:val="nil"/>
              <w:bottom w:val="single" w:sz="8" w:space="0" w:color="DCDDDE"/>
              <w:right w:val="nil"/>
            </w:tcBorders>
            <w:shd w:val="clear" w:color="000000" w:fill="FFFFFF"/>
            <w:noWrap/>
            <w:vAlign w:val="center"/>
            <w:hideMark/>
          </w:tcPr>
          <w:p w14:paraId="0DEB054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64</w:t>
            </w:r>
          </w:p>
        </w:tc>
        <w:tc>
          <w:tcPr>
            <w:tcW w:w="557" w:type="dxa"/>
            <w:tcBorders>
              <w:top w:val="nil"/>
              <w:left w:val="nil"/>
              <w:bottom w:val="single" w:sz="8" w:space="0" w:color="DCDDDE"/>
              <w:right w:val="nil"/>
            </w:tcBorders>
            <w:shd w:val="clear" w:color="000000" w:fill="FFFFFF"/>
            <w:noWrap/>
            <w:vAlign w:val="center"/>
            <w:hideMark/>
          </w:tcPr>
          <w:p w14:paraId="0C362FD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64</w:t>
            </w:r>
          </w:p>
        </w:tc>
      </w:tr>
      <w:tr w:rsidR="009A6333" w:rsidRPr="009A6333" w14:paraId="1882B6CC" w14:textId="77777777" w:rsidTr="00D70E28">
        <w:trPr>
          <w:gridAfter w:val="1"/>
          <w:wAfter w:w="11" w:type="dxa"/>
          <w:trHeight w:val="218"/>
          <w:jc w:val="center"/>
        </w:trPr>
        <w:tc>
          <w:tcPr>
            <w:tcW w:w="1650" w:type="dxa"/>
            <w:tcBorders>
              <w:top w:val="nil"/>
              <w:left w:val="nil"/>
              <w:bottom w:val="single" w:sz="8" w:space="0" w:color="DCDDDE"/>
              <w:right w:val="nil"/>
            </w:tcBorders>
            <w:shd w:val="clear" w:color="000000" w:fill="FFFFFF"/>
            <w:vAlign w:val="center"/>
            <w:hideMark/>
          </w:tcPr>
          <w:p w14:paraId="4E57E302"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C&amp;S*</w:t>
            </w:r>
          </w:p>
        </w:tc>
        <w:tc>
          <w:tcPr>
            <w:tcW w:w="557" w:type="dxa"/>
            <w:tcBorders>
              <w:top w:val="nil"/>
              <w:left w:val="nil"/>
              <w:bottom w:val="single" w:sz="8" w:space="0" w:color="DCDDDE"/>
              <w:right w:val="nil"/>
            </w:tcBorders>
            <w:shd w:val="clear" w:color="000000" w:fill="FFFFFF"/>
            <w:noWrap/>
            <w:vAlign w:val="center"/>
            <w:hideMark/>
          </w:tcPr>
          <w:p w14:paraId="1CAC916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39</w:t>
            </w:r>
          </w:p>
        </w:tc>
        <w:tc>
          <w:tcPr>
            <w:tcW w:w="557" w:type="dxa"/>
            <w:tcBorders>
              <w:top w:val="nil"/>
              <w:left w:val="nil"/>
              <w:bottom w:val="single" w:sz="8" w:space="0" w:color="DCDDDE"/>
              <w:right w:val="nil"/>
            </w:tcBorders>
            <w:shd w:val="clear" w:color="000000" w:fill="FFFFFF"/>
            <w:noWrap/>
            <w:vAlign w:val="center"/>
            <w:hideMark/>
          </w:tcPr>
          <w:p w14:paraId="2353EA4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39</w:t>
            </w:r>
          </w:p>
        </w:tc>
        <w:tc>
          <w:tcPr>
            <w:tcW w:w="557" w:type="dxa"/>
            <w:tcBorders>
              <w:top w:val="nil"/>
              <w:left w:val="nil"/>
              <w:bottom w:val="single" w:sz="8" w:space="0" w:color="DCDDDE"/>
              <w:right w:val="nil"/>
            </w:tcBorders>
            <w:shd w:val="clear" w:color="000000" w:fill="FFFFFF"/>
            <w:noWrap/>
            <w:vAlign w:val="center"/>
            <w:hideMark/>
          </w:tcPr>
          <w:p w14:paraId="65504E6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47</w:t>
            </w:r>
          </w:p>
        </w:tc>
        <w:tc>
          <w:tcPr>
            <w:tcW w:w="557" w:type="dxa"/>
            <w:tcBorders>
              <w:top w:val="nil"/>
              <w:left w:val="nil"/>
              <w:bottom w:val="single" w:sz="8" w:space="0" w:color="DCDDDE"/>
              <w:right w:val="nil"/>
            </w:tcBorders>
            <w:shd w:val="clear" w:color="000000" w:fill="FFFFFF"/>
            <w:noWrap/>
            <w:vAlign w:val="center"/>
            <w:hideMark/>
          </w:tcPr>
          <w:p w14:paraId="54DDD69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5D7DFF4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45B7F96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3DE7A26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7A4D6BC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53</w:t>
            </w:r>
          </w:p>
        </w:tc>
        <w:tc>
          <w:tcPr>
            <w:tcW w:w="557" w:type="dxa"/>
            <w:tcBorders>
              <w:top w:val="nil"/>
              <w:left w:val="nil"/>
              <w:bottom w:val="single" w:sz="8" w:space="0" w:color="DCDDDE"/>
              <w:right w:val="nil"/>
            </w:tcBorders>
            <w:shd w:val="clear" w:color="000000" w:fill="FFFFFF"/>
            <w:noWrap/>
            <w:vAlign w:val="center"/>
            <w:hideMark/>
          </w:tcPr>
          <w:p w14:paraId="072BC95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40</w:t>
            </w:r>
          </w:p>
        </w:tc>
        <w:tc>
          <w:tcPr>
            <w:tcW w:w="557" w:type="dxa"/>
            <w:tcBorders>
              <w:top w:val="nil"/>
              <w:left w:val="nil"/>
              <w:bottom w:val="single" w:sz="8" w:space="0" w:color="DCDDDE"/>
              <w:right w:val="nil"/>
            </w:tcBorders>
            <w:shd w:val="clear" w:color="000000" w:fill="FFFFFF"/>
            <w:noWrap/>
            <w:vAlign w:val="center"/>
            <w:hideMark/>
          </w:tcPr>
          <w:p w14:paraId="35D8F78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36</w:t>
            </w:r>
          </w:p>
        </w:tc>
        <w:tc>
          <w:tcPr>
            <w:tcW w:w="557" w:type="dxa"/>
            <w:tcBorders>
              <w:top w:val="nil"/>
              <w:left w:val="nil"/>
              <w:bottom w:val="single" w:sz="8" w:space="0" w:color="DCDDDE"/>
              <w:right w:val="nil"/>
            </w:tcBorders>
            <w:shd w:val="clear" w:color="000000" w:fill="FFFFFF"/>
            <w:noWrap/>
            <w:vAlign w:val="center"/>
            <w:hideMark/>
          </w:tcPr>
          <w:p w14:paraId="5F9D1B2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35</w:t>
            </w:r>
          </w:p>
        </w:tc>
        <w:tc>
          <w:tcPr>
            <w:tcW w:w="557" w:type="dxa"/>
            <w:tcBorders>
              <w:top w:val="nil"/>
              <w:left w:val="nil"/>
              <w:bottom w:val="single" w:sz="8" w:space="0" w:color="DCDDDE"/>
              <w:right w:val="nil"/>
            </w:tcBorders>
            <w:shd w:val="clear" w:color="000000" w:fill="FFFFFF"/>
            <w:noWrap/>
            <w:vAlign w:val="center"/>
            <w:hideMark/>
          </w:tcPr>
          <w:p w14:paraId="2928C0C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34</w:t>
            </w:r>
          </w:p>
        </w:tc>
        <w:tc>
          <w:tcPr>
            <w:tcW w:w="557" w:type="dxa"/>
            <w:tcBorders>
              <w:top w:val="nil"/>
              <w:left w:val="nil"/>
              <w:bottom w:val="single" w:sz="8" w:space="0" w:color="DCDDDE"/>
              <w:right w:val="nil"/>
            </w:tcBorders>
            <w:shd w:val="clear" w:color="000000" w:fill="FFFFFF"/>
            <w:noWrap/>
            <w:vAlign w:val="center"/>
            <w:hideMark/>
          </w:tcPr>
          <w:p w14:paraId="1B79537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35</w:t>
            </w:r>
          </w:p>
        </w:tc>
      </w:tr>
      <w:tr w:rsidR="009A6333" w:rsidRPr="009A6333" w14:paraId="135A62C8" w14:textId="77777777" w:rsidTr="00D70E28">
        <w:trPr>
          <w:gridAfter w:val="1"/>
          <w:wAfter w:w="11" w:type="dxa"/>
          <w:trHeight w:val="218"/>
          <w:jc w:val="center"/>
        </w:trPr>
        <w:tc>
          <w:tcPr>
            <w:tcW w:w="1650" w:type="dxa"/>
            <w:tcBorders>
              <w:top w:val="nil"/>
              <w:left w:val="nil"/>
              <w:bottom w:val="single" w:sz="8" w:space="0" w:color="DCDDDE"/>
              <w:right w:val="nil"/>
            </w:tcBorders>
            <w:shd w:val="clear" w:color="000000" w:fill="FFFFFF"/>
            <w:vAlign w:val="center"/>
            <w:hideMark/>
          </w:tcPr>
          <w:p w14:paraId="69AB720B"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Total</w:t>
            </w:r>
          </w:p>
        </w:tc>
        <w:tc>
          <w:tcPr>
            <w:tcW w:w="557" w:type="dxa"/>
            <w:tcBorders>
              <w:top w:val="nil"/>
              <w:left w:val="nil"/>
              <w:bottom w:val="single" w:sz="8" w:space="0" w:color="DCDDDE"/>
              <w:right w:val="nil"/>
            </w:tcBorders>
            <w:shd w:val="clear" w:color="000000" w:fill="FFFFFF"/>
            <w:noWrap/>
            <w:vAlign w:val="center"/>
            <w:hideMark/>
          </w:tcPr>
          <w:p w14:paraId="71430A34"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86</w:t>
            </w:r>
          </w:p>
        </w:tc>
        <w:tc>
          <w:tcPr>
            <w:tcW w:w="557" w:type="dxa"/>
            <w:tcBorders>
              <w:top w:val="nil"/>
              <w:left w:val="nil"/>
              <w:bottom w:val="single" w:sz="8" w:space="0" w:color="DCDDDE"/>
              <w:right w:val="nil"/>
            </w:tcBorders>
            <w:shd w:val="clear" w:color="000000" w:fill="FFFFFF"/>
            <w:noWrap/>
            <w:vAlign w:val="center"/>
            <w:hideMark/>
          </w:tcPr>
          <w:p w14:paraId="33EB508C"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93</w:t>
            </w:r>
          </w:p>
        </w:tc>
        <w:tc>
          <w:tcPr>
            <w:tcW w:w="557" w:type="dxa"/>
            <w:tcBorders>
              <w:top w:val="nil"/>
              <w:left w:val="nil"/>
              <w:bottom w:val="single" w:sz="8" w:space="0" w:color="DCDDDE"/>
              <w:right w:val="nil"/>
            </w:tcBorders>
            <w:shd w:val="clear" w:color="000000" w:fill="FFFFFF"/>
            <w:noWrap/>
            <w:vAlign w:val="center"/>
            <w:hideMark/>
          </w:tcPr>
          <w:p w14:paraId="657DD4D0"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104</w:t>
            </w:r>
          </w:p>
        </w:tc>
        <w:tc>
          <w:tcPr>
            <w:tcW w:w="557" w:type="dxa"/>
            <w:tcBorders>
              <w:top w:val="nil"/>
              <w:left w:val="nil"/>
              <w:bottom w:val="single" w:sz="8" w:space="0" w:color="DCDDDE"/>
              <w:right w:val="nil"/>
            </w:tcBorders>
            <w:shd w:val="clear" w:color="000000" w:fill="FFFFFF"/>
            <w:noWrap/>
            <w:vAlign w:val="center"/>
            <w:hideMark/>
          </w:tcPr>
          <w:p w14:paraId="275A141E"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114</w:t>
            </w:r>
          </w:p>
        </w:tc>
        <w:tc>
          <w:tcPr>
            <w:tcW w:w="557" w:type="dxa"/>
            <w:tcBorders>
              <w:top w:val="nil"/>
              <w:left w:val="nil"/>
              <w:bottom w:val="single" w:sz="8" w:space="0" w:color="DCDDDE"/>
              <w:right w:val="nil"/>
            </w:tcBorders>
            <w:shd w:val="clear" w:color="000000" w:fill="FFFFFF"/>
            <w:noWrap/>
            <w:vAlign w:val="center"/>
            <w:hideMark/>
          </w:tcPr>
          <w:p w14:paraId="45C29399"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115</w:t>
            </w:r>
          </w:p>
        </w:tc>
        <w:tc>
          <w:tcPr>
            <w:tcW w:w="557" w:type="dxa"/>
            <w:tcBorders>
              <w:top w:val="nil"/>
              <w:left w:val="nil"/>
              <w:bottom w:val="single" w:sz="8" w:space="0" w:color="DCDDDE"/>
              <w:right w:val="nil"/>
            </w:tcBorders>
            <w:shd w:val="clear" w:color="000000" w:fill="FFFFFF"/>
            <w:noWrap/>
            <w:vAlign w:val="center"/>
            <w:hideMark/>
          </w:tcPr>
          <w:p w14:paraId="54A5201C"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121</w:t>
            </w:r>
          </w:p>
        </w:tc>
        <w:tc>
          <w:tcPr>
            <w:tcW w:w="557" w:type="dxa"/>
            <w:tcBorders>
              <w:top w:val="nil"/>
              <w:left w:val="nil"/>
              <w:bottom w:val="single" w:sz="8" w:space="0" w:color="DCDDDE"/>
              <w:right w:val="nil"/>
            </w:tcBorders>
            <w:shd w:val="clear" w:color="000000" w:fill="FFFFFF"/>
            <w:noWrap/>
            <w:vAlign w:val="center"/>
            <w:hideMark/>
          </w:tcPr>
          <w:p w14:paraId="5DCDAF9B"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120</w:t>
            </w:r>
          </w:p>
        </w:tc>
        <w:tc>
          <w:tcPr>
            <w:tcW w:w="557" w:type="dxa"/>
            <w:tcBorders>
              <w:top w:val="nil"/>
              <w:left w:val="nil"/>
              <w:bottom w:val="single" w:sz="8" w:space="0" w:color="DCDDDE"/>
              <w:right w:val="nil"/>
            </w:tcBorders>
            <w:shd w:val="clear" w:color="000000" w:fill="FFFFFF"/>
            <w:noWrap/>
            <w:vAlign w:val="center"/>
            <w:hideMark/>
          </w:tcPr>
          <w:p w14:paraId="36D6BA8E"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119</w:t>
            </w:r>
          </w:p>
        </w:tc>
        <w:tc>
          <w:tcPr>
            <w:tcW w:w="557" w:type="dxa"/>
            <w:tcBorders>
              <w:top w:val="nil"/>
              <w:left w:val="nil"/>
              <w:bottom w:val="single" w:sz="8" w:space="0" w:color="DCDDDE"/>
              <w:right w:val="nil"/>
            </w:tcBorders>
            <w:shd w:val="clear" w:color="000000" w:fill="FFFFFF"/>
            <w:noWrap/>
            <w:vAlign w:val="center"/>
            <w:hideMark/>
          </w:tcPr>
          <w:p w14:paraId="66BFACFB"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105</w:t>
            </w:r>
          </w:p>
        </w:tc>
        <w:tc>
          <w:tcPr>
            <w:tcW w:w="557" w:type="dxa"/>
            <w:tcBorders>
              <w:top w:val="nil"/>
              <w:left w:val="nil"/>
              <w:bottom w:val="single" w:sz="8" w:space="0" w:color="DCDDDE"/>
              <w:right w:val="nil"/>
            </w:tcBorders>
            <w:shd w:val="clear" w:color="000000" w:fill="FFFFFF"/>
            <w:noWrap/>
            <w:vAlign w:val="center"/>
            <w:hideMark/>
          </w:tcPr>
          <w:p w14:paraId="625BF964"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100</w:t>
            </w:r>
          </w:p>
        </w:tc>
        <w:tc>
          <w:tcPr>
            <w:tcW w:w="557" w:type="dxa"/>
            <w:tcBorders>
              <w:top w:val="nil"/>
              <w:left w:val="nil"/>
              <w:bottom w:val="single" w:sz="8" w:space="0" w:color="DCDDDE"/>
              <w:right w:val="nil"/>
            </w:tcBorders>
            <w:shd w:val="clear" w:color="000000" w:fill="FFFFFF"/>
            <w:noWrap/>
            <w:vAlign w:val="center"/>
            <w:hideMark/>
          </w:tcPr>
          <w:p w14:paraId="7D7B53DB"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99</w:t>
            </w:r>
          </w:p>
        </w:tc>
        <w:tc>
          <w:tcPr>
            <w:tcW w:w="557" w:type="dxa"/>
            <w:tcBorders>
              <w:top w:val="nil"/>
              <w:left w:val="nil"/>
              <w:bottom w:val="single" w:sz="8" w:space="0" w:color="DCDDDE"/>
              <w:right w:val="nil"/>
            </w:tcBorders>
            <w:shd w:val="clear" w:color="000000" w:fill="FFFFFF"/>
            <w:noWrap/>
            <w:vAlign w:val="center"/>
            <w:hideMark/>
          </w:tcPr>
          <w:p w14:paraId="7F4CF34A"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98</w:t>
            </w:r>
          </w:p>
        </w:tc>
        <w:tc>
          <w:tcPr>
            <w:tcW w:w="557" w:type="dxa"/>
            <w:tcBorders>
              <w:top w:val="nil"/>
              <w:left w:val="nil"/>
              <w:bottom w:val="single" w:sz="8" w:space="0" w:color="DCDDDE"/>
              <w:right w:val="nil"/>
            </w:tcBorders>
            <w:shd w:val="clear" w:color="000000" w:fill="FFFFFF"/>
            <w:noWrap/>
            <w:vAlign w:val="center"/>
            <w:hideMark/>
          </w:tcPr>
          <w:p w14:paraId="461E4C1A"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99</w:t>
            </w:r>
          </w:p>
        </w:tc>
      </w:tr>
      <w:tr w:rsidR="009A6333" w:rsidRPr="009A6333" w14:paraId="59237B41" w14:textId="77777777" w:rsidTr="00D70E28">
        <w:trPr>
          <w:trHeight w:val="218"/>
          <w:jc w:val="center"/>
        </w:trPr>
        <w:tc>
          <w:tcPr>
            <w:tcW w:w="8902" w:type="dxa"/>
            <w:gridSpan w:val="15"/>
            <w:tcBorders>
              <w:top w:val="single" w:sz="8" w:space="0" w:color="DCDDDE"/>
              <w:left w:val="nil"/>
              <w:bottom w:val="single" w:sz="8" w:space="0" w:color="DCDDDE"/>
              <w:right w:val="nil"/>
            </w:tcBorders>
            <w:shd w:val="clear" w:color="000000" w:fill="DADADA"/>
            <w:noWrap/>
            <w:vAlign w:val="center"/>
            <w:hideMark/>
          </w:tcPr>
          <w:p w14:paraId="0D8C4443"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PAC | Reference</w:t>
            </w:r>
          </w:p>
        </w:tc>
      </w:tr>
      <w:tr w:rsidR="009A6333" w:rsidRPr="009A6333" w14:paraId="732D6D2E" w14:textId="77777777" w:rsidTr="00D70E28">
        <w:trPr>
          <w:gridAfter w:val="1"/>
          <w:wAfter w:w="11" w:type="dxa"/>
          <w:trHeight w:val="386"/>
          <w:jc w:val="center"/>
        </w:trPr>
        <w:tc>
          <w:tcPr>
            <w:tcW w:w="1650" w:type="dxa"/>
            <w:tcBorders>
              <w:top w:val="nil"/>
              <w:left w:val="nil"/>
              <w:bottom w:val="single" w:sz="8" w:space="0" w:color="DCDDDE"/>
              <w:right w:val="nil"/>
            </w:tcBorders>
            <w:shd w:val="clear" w:color="000000" w:fill="FFFFFF"/>
            <w:vAlign w:val="center"/>
            <w:hideMark/>
          </w:tcPr>
          <w:p w14:paraId="413C604E"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Equipment Rebates</w:t>
            </w:r>
          </w:p>
        </w:tc>
        <w:tc>
          <w:tcPr>
            <w:tcW w:w="557" w:type="dxa"/>
            <w:tcBorders>
              <w:top w:val="nil"/>
              <w:left w:val="nil"/>
              <w:bottom w:val="single" w:sz="8" w:space="0" w:color="DCDDDE"/>
              <w:right w:val="nil"/>
            </w:tcBorders>
            <w:shd w:val="clear" w:color="000000" w:fill="FFFFFF"/>
            <w:noWrap/>
            <w:vAlign w:val="center"/>
            <w:hideMark/>
          </w:tcPr>
          <w:p w14:paraId="4447553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29</w:t>
            </w:r>
          </w:p>
        </w:tc>
        <w:tc>
          <w:tcPr>
            <w:tcW w:w="557" w:type="dxa"/>
            <w:tcBorders>
              <w:top w:val="nil"/>
              <w:left w:val="nil"/>
              <w:bottom w:val="single" w:sz="8" w:space="0" w:color="DCDDDE"/>
              <w:right w:val="nil"/>
            </w:tcBorders>
            <w:shd w:val="clear" w:color="000000" w:fill="FFFFFF"/>
            <w:noWrap/>
            <w:vAlign w:val="center"/>
            <w:hideMark/>
          </w:tcPr>
          <w:p w14:paraId="7F9C363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31</w:t>
            </w:r>
          </w:p>
        </w:tc>
        <w:tc>
          <w:tcPr>
            <w:tcW w:w="557" w:type="dxa"/>
            <w:tcBorders>
              <w:top w:val="nil"/>
              <w:left w:val="nil"/>
              <w:bottom w:val="single" w:sz="8" w:space="0" w:color="DCDDDE"/>
              <w:right w:val="nil"/>
            </w:tcBorders>
            <w:shd w:val="clear" w:color="000000" w:fill="FFFFFF"/>
            <w:noWrap/>
            <w:vAlign w:val="center"/>
            <w:hideMark/>
          </w:tcPr>
          <w:p w14:paraId="26D951D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30</w:t>
            </w:r>
          </w:p>
        </w:tc>
        <w:tc>
          <w:tcPr>
            <w:tcW w:w="557" w:type="dxa"/>
            <w:tcBorders>
              <w:top w:val="nil"/>
              <w:left w:val="nil"/>
              <w:bottom w:val="single" w:sz="8" w:space="0" w:color="DCDDDE"/>
              <w:right w:val="nil"/>
            </w:tcBorders>
            <w:shd w:val="clear" w:color="000000" w:fill="FFFFFF"/>
            <w:noWrap/>
            <w:vAlign w:val="center"/>
            <w:hideMark/>
          </w:tcPr>
          <w:p w14:paraId="7A24BDC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57" w:type="dxa"/>
            <w:tcBorders>
              <w:top w:val="nil"/>
              <w:left w:val="nil"/>
              <w:bottom w:val="single" w:sz="8" w:space="0" w:color="DCDDDE"/>
              <w:right w:val="nil"/>
            </w:tcBorders>
            <w:shd w:val="clear" w:color="000000" w:fill="FFFFFF"/>
            <w:noWrap/>
            <w:vAlign w:val="center"/>
            <w:hideMark/>
          </w:tcPr>
          <w:p w14:paraId="6E9168F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36</w:t>
            </w:r>
          </w:p>
        </w:tc>
        <w:tc>
          <w:tcPr>
            <w:tcW w:w="557" w:type="dxa"/>
            <w:tcBorders>
              <w:top w:val="nil"/>
              <w:left w:val="nil"/>
              <w:bottom w:val="single" w:sz="8" w:space="0" w:color="DCDDDE"/>
              <w:right w:val="nil"/>
            </w:tcBorders>
            <w:shd w:val="clear" w:color="000000" w:fill="FFFFFF"/>
            <w:noWrap/>
            <w:vAlign w:val="center"/>
            <w:hideMark/>
          </w:tcPr>
          <w:p w14:paraId="5B7588C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39</w:t>
            </w:r>
          </w:p>
        </w:tc>
        <w:tc>
          <w:tcPr>
            <w:tcW w:w="557" w:type="dxa"/>
            <w:tcBorders>
              <w:top w:val="nil"/>
              <w:left w:val="nil"/>
              <w:bottom w:val="single" w:sz="8" w:space="0" w:color="DCDDDE"/>
              <w:right w:val="nil"/>
            </w:tcBorders>
            <w:shd w:val="clear" w:color="000000" w:fill="FFFFFF"/>
            <w:noWrap/>
            <w:vAlign w:val="center"/>
            <w:hideMark/>
          </w:tcPr>
          <w:p w14:paraId="470C1BA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38</w:t>
            </w:r>
          </w:p>
        </w:tc>
        <w:tc>
          <w:tcPr>
            <w:tcW w:w="557" w:type="dxa"/>
            <w:tcBorders>
              <w:top w:val="nil"/>
              <w:left w:val="nil"/>
              <w:bottom w:val="single" w:sz="8" w:space="0" w:color="DCDDDE"/>
              <w:right w:val="nil"/>
            </w:tcBorders>
            <w:shd w:val="clear" w:color="000000" w:fill="FFFFFF"/>
            <w:noWrap/>
            <w:vAlign w:val="center"/>
            <w:hideMark/>
          </w:tcPr>
          <w:p w14:paraId="368E5AD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37</w:t>
            </w:r>
          </w:p>
        </w:tc>
        <w:tc>
          <w:tcPr>
            <w:tcW w:w="557" w:type="dxa"/>
            <w:tcBorders>
              <w:top w:val="nil"/>
              <w:left w:val="nil"/>
              <w:bottom w:val="single" w:sz="8" w:space="0" w:color="DCDDDE"/>
              <w:right w:val="nil"/>
            </w:tcBorders>
            <w:shd w:val="clear" w:color="000000" w:fill="FFFFFF"/>
            <w:noWrap/>
            <w:vAlign w:val="center"/>
            <w:hideMark/>
          </w:tcPr>
          <w:p w14:paraId="0E40D82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35</w:t>
            </w:r>
          </w:p>
        </w:tc>
        <w:tc>
          <w:tcPr>
            <w:tcW w:w="557" w:type="dxa"/>
            <w:tcBorders>
              <w:top w:val="nil"/>
              <w:left w:val="nil"/>
              <w:bottom w:val="single" w:sz="8" w:space="0" w:color="DCDDDE"/>
              <w:right w:val="nil"/>
            </w:tcBorders>
            <w:shd w:val="clear" w:color="000000" w:fill="FFFFFF"/>
            <w:noWrap/>
            <w:vAlign w:val="center"/>
            <w:hideMark/>
          </w:tcPr>
          <w:p w14:paraId="68B04FE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34</w:t>
            </w:r>
          </w:p>
        </w:tc>
        <w:tc>
          <w:tcPr>
            <w:tcW w:w="557" w:type="dxa"/>
            <w:tcBorders>
              <w:top w:val="nil"/>
              <w:left w:val="nil"/>
              <w:bottom w:val="single" w:sz="8" w:space="0" w:color="DCDDDE"/>
              <w:right w:val="nil"/>
            </w:tcBorders>
            <w:shd w:val="clear" w:color="000000" w:fill="FFFFFF"/>
            <w:noWrap/>
            <w:vAlign w:val="center"/>
            <w:hideMark/>
          </w:tcPr>
          <w:p w14:paraId="4EF5B8D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34</w:t>
            </w:r>
          </w:p>
        </w:tc>
        <w:tc>
          <w:tcPr>
            <w:tcW w:w="557" w:type="dxa"/>
            <w:tcBorders>
              <w:top w:val="nil"/>
              <w:left w:val="nil"/>
              <w:bottom w:val="single" w:sz="8" w:space="0" w:color="DCDDDE"/>
              <w:right w:val="nil"/>
            </w:tcBorders>
            <w:shd w:val="clear" w:color="000000" w:fill="FFFFFF"/>
            <w:noWrap/>
            <w:vAlign w:val="center"/>
            <w:hideMark/>
          </w:tcPr>
          <w:p w14:paraId="43C1EAB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57" w:type="dxa"/>
            <w:tcBorders>
              <w:top w:val="nil"/>
              <w:left w:val="nil"/>
              <w:bottom w:val="single" w:sz="8" w:space="0" w:color="DCDDDE"/>
              <w:right w:val="nil"/>
            </w:tcBorders>
            <w:shd w:val="clear" w:color="000000" w:fill="FFFFFF"/>
            <w:noWrap/>
            <w:vAlign w:val="center"/>
            <w:hideMark/>
          </w:tcPr>
          <w:p w14:paraId="01569F6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35</w:t>
            </w:r>
          </w:p>
        </w:tc>
      </w:tr>
      <w:tr w:rsidR="009A6333" w:rsidRPr="009A6333" w14:paraId="113A61E6" w14:textId="77777777" w:rsidTr="00D70E28">
        <w:trPr>
          <w:gridAfter w:val="1"/>
          <w:wAfter w:w="11" w:type="dxa"/>
          <w:trHeight w:val="218"/>
          <w:jc w:val="center"/>
        </w:trPr>
        <w:tc>
          <w:tcPr>
            <w:tcW w:w="1650" w:type="dxa"/>
            <w:tcBorders>
              <w:top w:val="nil"/>
              <w:left w:val="nil"/>
              <w:bottom w:val="single" w:sz="8" w:space="0" w:color="DCDDDE"/>
              <w:right w:val="nil"/>
            </w:tcBorders>
            <w:shd w:val="clear" w:color="000000" w:fill="FFFFFF"/>
            <w:vAlign w:val="center"/>
            <w:hideMark/>
          </w:tcPr>
          <w:p w14:paraId="30C28436"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BROs</w:t>
            </w:r>
          </w:p>
        </w:tc>
        <w:tc>
          <w:tcPr>
            <w:tcW w:w="557" w:type="dxa"/>
            <w:tcBorders>
              <w:top w:val="nil"/>
              <w:left w:val="nil"/>
              <w:bottom w:val="single" w:sz="8" w:space="0" w:color="DCDDDE"/>
              <w:right w:val="nil"/>
            </w:tcBorders>
            <w:shd w:val="clear" w:color="000000" w:fill="FFFFFF"/>
            <w:noWrap/>
            <w:vAlign w:val="center"/>
            <w:hideMark/>
          </w:tcPr>
          <w:p w14:paraId="3156CC6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12</w:t>
            </w:r>
          </w:p>
        </w:tc>
        <w:tc>
          <w:tcPr>
            <w:tcW w:w="557" w:type="dxa"/>
            <w:tcBorders>
              <w:top w:val="nil"/>
              <w:left w:val="nil"/>
              <w:bottom w:val="single" w:sz="8" w:space="0" w:color="DCDDDE"/>
              <w:right w:val="nil"/>
            </w:tcBorders>
            <w:shd w:val="clear" w:color="000000" w:fill="FFFFFF"/>
            <w:noWrap/>
            <w:vAlign w:val="center"/>
            <w:hideMark/>
          </w:tcPr>
          <w:p w14:paraId="69ED765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w:t>
            </w:r>
          </w:p>
        </w:tc>
        <w:tc>
          <w:tcPr>
            <w:tcW w:w="557" w:type="dxa"/>
            <w:tcBorders>
              <w:top w:val="nil"/>
              <w:left w:val="nil"/>
              <w:bottom w:val="single" w:sz="8" w:space="0" w:color="DCDDDE"/>
              <w:right w:val="nil"/>
            </w:tcBorders>
            <w:shd w:val="clear" w:color="000000" w:fill="FFFFFF"/>
            <w:noWrap/>
            <w:vAlign w:val="center"/>
            <w:hideMark/>
          </w:tcPr>
          <w:p w14:paraId="55E2EF4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14</w:t>
            </w:r>
          </w:p>
        </w:tc>
        <w:tc>
          <w:tcPr>
            <w:tcW w:w="557" w:type="dxa"/>
            <w:tcBorders>
              <w:top w:val="nil"/>
              <w:left w:val="nil"/>
              <w:bottom w:val="single" w:sz="8" w:space="0" w:color="DCDDDE"/>
              <w:right w:val="nil"/>
            </w:tcBorders>
            <w:shd w:val="clear" w:color="000000" w:fill="FFFFFF"/>
            <w:noWrap/>
            <w:vAlign w:val="center"/>
            <w:hideMark/>
          </w:tcPr>
          <w:p w14:paraId="7E017B2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15</w:t>
            </w:r>
          </w:p>
        </w:tc>
        <w:tc>
          <w:tcPr>
            <w:tcW w:w="557" w:type="dxa"/>
            <w:tcBorders>
              <w:top w:val="nil"/>
              <w:left w:val="nil"/>
              <w:bottom w:val="single" w:sz="8" w:space="0" w:color="DCDDDE"/>
              <w:right w:val="nil"/>
            </w:tcBorders>
            <w:shd w:val="clear" w:color="000000" w:fill="FFFFFF"/>
            <w:noWrap/>
            <w:vAlign w:val="center"/>
            <w:hideMark/>
          </w:tcPr>
          <w:p w14:paraId="19DEB8F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16</w:t>
            </w:r>
          </w:p>
        </w:tc>
        <w:tc>
          <w:tcPr>
            <w:tcW w:w="557" w:type="dxa"/>
            <w:tcBorders>
              <w:top w:val="nil"/>
              <w:left w:val="nil"/>
              <w:bottom w:val="single" w:sz="8" w:space="0" w:color="DCDDDE"/>
              <w:right w:val="nil"/>
            </w:tcBorders>
            <w:shd w:val="clear" w:color="000000" w:fill="FFFFFF"/>
            <w:noWrap/>
            <w:vAlign w:val="center"/>
            <w:hideMark/>
          </w:tcPr>
          <w:p w14:paraId="106B03A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17</w:t>
            </w:r>
          </w:p>
        </w:tc>
        <w:tc>
          <w:tcPr>
            <w:tcW w:w="557" w:type="dxa"/>
            <w:tcBorders>
              <w:top w:val="nil"/>
              <w:left w:val="nil"/>
              <w:bottom w:val="single" w:sz="8" w:space="0" w:color="DCDDDE"/>
              <w:right w:val="nil"/>
            </w:tcBorders>
            <w:shd w:val="clear" w:color="000000" w:fill="FFFFFF"/>
            <w:noWrap/>
            <w:vAlign w:val="center"/>
            <w:hideMark/>
          </w:tcPr>
          <w:p w14:paraId="7477ACF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18</w:t>
            </w:r>
          </w:p>
        </w:tc>
        <w:tc>
          <w:tcPr>
            <w:tcW w:w="557" w:type="dxa"/>
            <w:tcBorders>
              <w:top w:val="nil"/>
              <w:left w:val="nil"/>
              <w:bottom w:val="single" w:sz="8" w:space="0" w:color="DCDDDE"/>
              <w:right w:val="nil"/>
            </w:tcBorders>
            <w:shd w:val="clear" w:color="000000" w:fill="FFFFFF"/>
            <w:noWrap/>
            <w:vAlign w:val="center"/>
            <w:hideMark/>
          </w:tcPr>
          <w:p w14:paraId="2E32E89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19</w:t>
            </w:r>
          </w:p>
        </w:tc>
        <w:tc>
          <w:tcPr>
            <w:tcW w:w="557" w:type="dxa"/>
            <w:tcBorders>
              <w:top w:val="nil"/>
              <w:left w:val="nil"/>
              <w:bottom w:val="single" w:sz="8" w:space="0" w:color="DCDDDE"/>
              <w:right w:val="nil"/>
            </w:tcBorders>
            <w:shd w:val="clear" w:color="000000" w:fill="FFFFFF"/>
            <w:noWrap/>
            <w:vAlign w:val="center"/>
            <w:hideMark/>
          </w:tcPr>
          <w:p w14:paraId="72114AC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19</w:t>
            </w:r>
          </w:p>
        </w:tc>
        <w:tc>
          <w:tcPr>
            <w:tcW w:w="557" w:type="dxa"/>
            <w:tcBorders>
              <w:top w:val="nil"/>
              <w:left w:val="nil"/>
              <w:bottom w:val="single" w:sz="8" w:space="0" w:color="DCDDDE"/>
              <w:right w:val="nil"/>
            </w:tcBorders>
            <w:shd w:val="clear" w:color="000000" w:fill="FFFFFF"/>
            <w:noWrap/>
            <w:vAlign w:val="center"/>
            <w:hideMark/>
          </w:tcPr>
          <w:p w14:paraId="1C6FC74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20</w:t>
            </w:r>
          </w:p>
        </w:tc>
        <w:tc>
          <w:tcPr>
            <w:tcW w:w="557" w:type="dxa"/>
            <w:tcBorders>
              <w:top w:val="nil"/>
              <w:left w:val="nil"/>
              <w:bottom w:val="single" w:sz="8" w:space="0" w:color="DCDDDE"/>
              <w:right w:val="nil"/>
            </w:tcBorders>
            <w:shd w:val="clear" w:color="000000" w:fill="FFFFFF"/>
            <w:noWrap/>
            <w:vAlign w:val="center"/>
            <w:hideMark/>
          </w:tcPr>
          <w:p w14:paraId="073C03B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21</w:t>
            </w:r>
          </w:p>
        </w:tc>
        <w:tc>
          <w:tcPr>
            <w:tcW w:w="557" w:type="dxa"/>
            <w:tcBorders>
              <w:top w:val="nil"/>
              <w:left w:val="nil"/>
              <w:bottom w:val="single" w:sz="8" w:space="0" w:color="DCDDDE"/>
              <w:right w:val="nil"/>
            </w:tcBorders>
            <w:shd w:val="clear" w:color="000000" w:fill="FFFFFF"/>
            <w:noWrap/>
            <w:vAlign w:val="center"/>
            <w:hideMark/>
          </w:tcPr>
          <w:p w14:paraId="2467946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22</w:t>
            </w:r>
          </w:p>
        </w:tc>
        <w:tc>
          <w:tcPr>
            <w:tcW w:w="557" w:type="dxa"/>
            <w:tcBorders>
              <w:top w:val="nil"/>
              <w:left w:val="nil"/>
              <w:bottom w:val="single" w:sz="8" w:space="0" w:color="DCDDDE"/>
              <w:right w:val="nil"/>
            </w:tcBorders>
            <w:shd w:val="clear" w:color="000000" w:fill="FFFFFF"/>
            <w:noWrap/>
            <w:vAlign w:val="center"/>
            <w:hideMark/>
          </w:tcPr>
          <w:p w14:paraId="34B4A56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23</w:t>
            </w:r>
          </w:p>
        </w:tc>
      </w:tr>
      <w:tr w:rsidR="009A6333" w:rsidRPr="009A6333" w14:paraId="4554C62E" w14:textId="77777777" w:rsidTr="00D70E28">
        <w:trPr>
          <w:gridAfter w:val="1"/>
          <w:wAfter w:w="11" w:type="dxa"/>
          <w:trHeight w:val="218"/>
          <w:jc w:val="center"/>
        </w:trPr>
        <w:tc>
          <w:tcPr>
            <w:tcW w:w="1650" w:type="dxa"/>
            <w:tcBorders>
              <w:top w:val="nil"/>
              <w:left w:val="nil"/>
              <w:bottom w:val="single" w:sz="8" w:space="0" w:color="DCDDDE"/>
              <w:right w:val="nil"/>
            </w:tcBorders>
            <w:shd w:val="clear" w:color="000000" w:fill="FFFFFF"/>
            <w:vAlign w:val="center"/>
            <w:hideMark/>
          </w:tcPr>
          <w:p w14:paraId="07CA633D"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Low Income</w:t>
            </w:r>
          </w:p>
        </w:tc>
        <w:tc>
          <w:tcPr>
            <w:tcW w:w="557" w:type="dxa"/>
            <w:tcBorders>
              <w:top w:val="nil"/>
              <w:left w:val="nil"/>
              <w:bottom w:val="single" w:sz="8" w:space="0" w:color="DCDDDE"/>
              <w:right w:val="nil"/>
            </w:tcBorders>
            <w:shd w:val="clear" w:color="000000" w:fill="FFFFFF"/>
            <w:noWrap/>
            <w:vAlign w:val="center"/>
            <w:hideMark/>
          </w:tcPr>
          <w:p w14:paraId="7A4DD4D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w:t>
            </w:r>
          </w:p>
        </w:tc>
        <w:tc>
          <w:tcPr>
            <w:tcW w:w="557" w:type="dxa"/>
            <w:tcBorders>
              <w:top w:val="nil"/>
              <w:left w:val="nil"/>
              <w:bottom w:val="single" w:sz="8" w:space="0" w:color="DCDDDE"/>
              <w:right w:val="nil"/>
            </w:tcBorders>
            <w:shd w:val="clear" w:color="000000" w:fill="FFFFFF"/>
            <w:noWrap/>
            <w:vAlign w:val="center"/>
            <w:hideMark/>
          </w:tcPr>
          <w:p w14:paraId="16EBAA2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w:t>
            </w:r>
          </w:p>
        </w:tc>
        <w:tc>
          <w:tcPr>
            <w:tcW w:w="557" w:type="dxa"/>
            <w:tcBorders>
              <w:top w:val="nil"/>
              <w:left w:val="nil"/>
              <w:bottom w:val="single" w:sz="8" w:space="0" w:color="DCDDDE"/>
              <w:right w:val="nil"/>
            </w:tcBorders>
            <w:shd w:val="clear" w:color="000000" w:fill="FFFFFF"/>
            <w:noWrap/>
            <w:vAlign w:val="center"/>
            <w:hideMark/>
          </w:tcPr>
          <w:p w14:paraId="69EB76D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w:t>
            </w:r>
          </w:p>
        </w:tc>
        <w:tc>
          <w:tcPr>
            <w:tcW w:w="557" w:type="dxa"/>
            <w:tcBorders>
              <w:top w:val="nil"/>
              <w:left w:val="nil"/>
              <w:bottom w:val="single" w:sz="8" w:space="0" w:color="DCDDDE"/>
              <w:right w:val="nil"/>
            </w:tcBorders>
            <w:shd w:val="clear" w:color="000000" w:fill="FFFFFF"/>
            <w:noWrap/>
            <w:vAlign w:val="center"/>
            <w:hideMark/>
          </w:tcPr>
          <w:p w14:paraId="093B7D7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4A49D44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0D61F75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025ACA5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7011C14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7431824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2A6111A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68EEFE5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33A1600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50ED940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r>
      <w:tr w:rsidR="009A6333" w:rsidRPr="009A6333" w14:paraId="0E410774" w14:textId="77777777" w:rsidTr="00D70E28">
        <w:trPr>
          <w:gridAfter w:val="1"/>
          <w:wAfter w:w="11" w:type="dxa"/>
          <w:trHeight w:val="423"/>
          <w:jc w:val="center"/>
        </w:trPr>
        <w:tc>
          <w:tcPr>
            <w:tcW w:w="1650" w:type="dxa"/>
            <w:tcBorders>
              <w:top w:val="nil"/>
              <w:left w:val="nil"/>
              <w:bottom w:val="single" w:sz="8" w:space="0" w:color="DCDDDE"/>
              <w:right w:val="nil"/>
            </w:tcBorders>
            <w:shd w:val="clear" w:color="000000" w:fill="FFFFFF"/>
            <w:vAlign w:val="center"/>
            <w:hideMark/>
          </w:tcPr>
          <w:p w14:paraId="6043B34B"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Incentive Programs (Subtotal)</w:t>
            </w:r>
          </w:p>
        </w:tc>
        <w:tc>
          <w:tcPr>
            <w:tcW w:w="557" w:type="dxa"/>
            <w:tcBorders>
              <w:top w:val="nil"/>
              <w:left w:val="nil"/>
              <w:bottom w:val="single" w:sz="8" w:space="0" w:color="DCDDDE"/>
              <w:right w:val="nil"/>
            </w:tcBorders>
            <w:shd w:val="clear" w:color="000000" w:fill="FFFFFF"/>
            <w:noWrap/>
            <w:vAlign w:val="center"/>
            <w:hideMark/>
          </w:tcPr>
          <w:p w14:paraId="2042234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47</w:t>
            </w:r>
          </w:p>
        </w:tc>
        <w:tc>
          <w:tcPr>
            <w:tcW w:w="557" w:type="dxa"/>
            <w:tcBorders>
              <w:top w:val="nil"/>
              <w:left w:val="nil"/>
              <w:bottom w:val="single" w:sz="8" w:space="0" w:color="DCDDDE"/>
              <w:right w:val="nil"/>
            </w:tcBorders>
            <w:shd w:val="clear" w:color="000000" w:fill="FFFFFF"/>
            <w:noWrap/>
            <w:vAlign w:val="center"/>
            <w:hideMark/>
          </w:tcPr>
          <w:p w14:paraId="244F5AB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51</w:t>
            </w:r>
          </w:p>
        </w:tc>
        <w:tc>
          <w:tcPr>
            <w:tcW w:w="557" w:type="dxa"/>
            <w:tcBorders>
              <w:top w:val="nil"/>
              <w:left w:val="nil"/>
              <w:bottom w:val="single" w:sz="8" w:space="0" w:color="DCDDDE"/>
              <w:right w:val="nil"/>
            </w:tcBorders>
            <w:shd w:val="clear" w:color="000000" w:fill="FFFFFF"/>
            <w:noWrap/>
            <w:vAlign w:val="center"/>
            <w:hideMark/>
          </w:tcPr>
          <w:p w14:paraId="1358F49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51</w:t>
            </w:r>
          </w:p>
        </w:tc>
        <w:tc>
          <w:tcPr>
            <w:tcW w:w="557" w:type="dxa"/>
            <w:tcBorders>
              <w:top w:val="nil"/>
              <w:left w:val="nil"/>
              <w:bottom w:val="single" w:sz="8" w:space="0" w:color="DCDDDE"/>
              <w:right w:val="nil"/>
            </w:tcBorders>
            <w:shd w:val="clear" w:color="000000" w:fill="FFFFFF"/>
            <w:noWrap/>
            <w:vAlign w:val="center"/>
            <w:hideMark/>
          </w:tcPr>
          <w:p w14:paraId="56ACA00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53</w:t>
            </w:r>
          </w:p>
        </w:tc>
        <w:tc>
          <w:tcPr>
            <w:tcW w:w="557" w:type="dxa"/>
            <w:tcBorders>
              <w:top w:val="nil"/>
              <w:left w:val="nil"/>
              <w:bottom w:val="single" w:sz="8" w:space="0" w:color="DCDDDE"/>
              <w:right w:val="nil"/>
            </w:tcBorders>
            <w:shd w:val="clear" w:color="000000" w:fill="FFFFFF"/>
            <w:noWrap/>
            <w:vAlign w:val="center"/>
            <w:hideMark/>
          </w:tcPr>
          <w:p w14:paraId="3783C51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57</w:t>
            </w:r>
          </w:p>
        </w:tc>
        <w:tc>
          <w:tcPr>
            <w:tcW w:w="557" w:type="dxa"/>
            <w:tcBorders>
              <w:top w:val="nil"/>
              <w:left w:val="nil"/>
              <w:bottom w:val="single" w:sz="8" w:space="0" w:color="DCDDDE"/>
              <w:right w:val="nil"/>
            </w:tcBorders>
            <w:shd w:val="clear" w:color="000000" w:fill="FFFFFF"/>
            <w:noWrap/>
            <w:vAlign w:val="center"/>
            <w:hideMark/>
          </w:tcPr>
          <w:p w14:paraId="552DFFE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61</w:t>
            </w:r>
          </w:p>
        </w:tc>
        <w:tc>
          <w:tcPr>
            <w:tcW w:w="557" w:type="dxa"/>
            <w:tcBorders>
              <w:top w:val="nil"/>
              <w:left w:val="nil"/>
              <w:bottom w:val="single" w:sz="8" w:space="0" w:color="DCDDDE"/>
              <w:right w:val="nil"/>
            </w:tcBorders>
            <w:shd w:val="clear" w:color="000000" w:fill="FFFFFF"/>
            <w:noWrap/>
            <w:vAlign w:val="center"/>
            <w:hideMark/>
          </w:tcPr>
          <w:p w14:paraId="60BFA30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60</w:t>
            </w:r>
          </w:p>
        </w:tc>
        <w:tc>
          <w:tcPr>
            <w:tcW w:w="557" w:type="dxa"/>
            <w:tcBorders>
              <w:top w:val="nil"/>
              <w:left w:val="nil"/>
              <w:bottom w:val="single" w:sz="8" w:space="0" w:color="DCDDDE"/>
              <w:right w:val="nil"/>
            </w:tcBorders>
            <w:shd w:val="clear" w:color="000000" w:fill="FFFFFF"/>
            <w:noWrap/>
            <w:vAlign w:val="center"/>
            <w:hideMark/>
          </w:tcPr>
          <w:p w14:paraId="32DF0AE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61</w:t>
            </w:r>
          </w:p>
        </w:tc>
        <w:tc>
          <w:tcPr>
            <w:tcW w:w="557" w:type="dxa"/>
            <w:tcBorders>
              <w:top w:val="nil"/>
              <w:left w:val="nil"/>
              <w:bottom w:val="single" w:sz="8" w:space="0" w:color="DCDDDE"/>
              <w:right w:val="nil"/>
            </w:tcBorders>
            <w:shd w:val="clear" w:color="000000" w:fill="FFFFFF"/>
            <w:noWrap/>
            <w:vAlign w:val="center"/>
            <w:hideMark/>
          </w:tcPr>
          <w:p w14:paraId="31B2305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60</w:t>
            </w:r>
          </w:p>
        </w:tc>
        <w:tc>
          <w:tcPr>
            <w:tcW w:w="557" w:type="dxa"/>
            <w:tcBorders>
              <w:top w:val="nil"/>
              <w:left w:val="nil"/>
              <w:bottom w:val="single" w:sz="8" w:space="0" w:color="DCDDDE"/>
              <w:right w:val="nil"/>
            </w:tcBorders>
            <w:shd w:val="clear" w:color="000000" w:fill="FFFFFF"/>
            <w:noWrap/>
            <w:vAlign w:val="center"/>
            <w:hideMark/>
          </w:tcPr>
          <w:p w14:paraId="1BF4323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60</w:t>
            </w:r>
          </w:p>
        </w:tc>
        <w:tc>
          <w:tcPr>
            <w:tcW w:w="557" w:type="dxa"/>
            <w:tcBorders>
              <w:top w:val="nil"/>
              <w:left w:val="nil"/>
              <w:bottom w:val="single" w:sz="8" w:space="0" w:color="DCDDDE"/>
              <w:right w:val="nil"/>
            </w:tcBorders>
            <w:shd w:val="clear" w:color="000000" w:fill="FFFFFF"/>
            <w:noWrap/>
            <w:vAlign w:val="center"/>
            <w:hideMark/>
          </w:tcPr>
          <w:p w14:paraId="0237814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60</w:t>
            </w:r>
          </w:p>
        </w:tc>
        <w:tc>
          <w:tcPr>
            <w:tcW w:w="557" w:type="dxa"/>
            <w:tcBorders>
              <w:top w:val="nil"/>
              <w:left w:val="nil"/>
              <w:bottom w:val="single" w:sz="8" w:space="0" w:color="DCDDDE"/>
              <w:right w:val="nil"/>
            </w:tcBorders>
            <w:shd w:val="clear" w:color="000000" w:fill="FFFFFF"/>
            <w:noWrap/>
            <w:vAlign w:val="center"/>
            <w:hideMark/>
          </w:tcPr>
          <w:p w14:paraId="2667996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61</w:t>
            </w:r>
          </w:p>
        </w:tc>
        <w:tc>
          <w:tcPr>
            <w:tcW w:w="557" w:type="dxa"/>
            <w:tcBorders>
              <w:top w:val="nil"/>
              <w:left w:val="nil"/>
              <w:bottom w:val="single" w:sz="8" w:space="0" w:color="DCDDDE"/>
              <w:right w:val="nil"/>
            </w:tcBorders>
            <w:shd w:val="clear" w:color="000000" w:fill="FFFFFF"/>
            <w:noWrap/>
            <w:vAlign w:val="center"/>
            <w:hideMark/>
          </w:tcPr>
          <w:p w14:paraId="6F759E2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63</w:t>
            </w:r>
          </w:p>
        </w:tc>
      </w:tr>
      <w:tr w:rsidR="009A6333" w:rsidRPr="009A6333" w14:paraId="42AA018B" w14:textId="77777777" w:rsidTr="00D70E28">
        <w:trPr>
          <w:gridAfter w:val="1"/>
          <w:wAfter w:w="11" w:type="dxa"/>
          <w:trHeight w:val="218"/>
          <w:jc w:val="center"/>
        </w:trPr>
        <w:tc>
          <w:tcPr>
            <w:tcW w:w="1650" w:type="dxa"/>
            <w:tcBorders>
              <w:top w:val="nil"/>
              <w:left w:val="nil"/>
              <w:bottom w:val="single" w:sz="8" w:space="0" w:color="DCDDDE"/>
              <w:right w:val="nil"/>
            </w:tcBorders>
            <w:shd w:val="clear" w:color="000000" w:fill="FFFFFF"/>
            <w:vAlign w:val="center"/>
            <w:hideMark/>
          </w:tcPr>
          <w:p w14:paraId="6FC79320"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C&amp;S*</w:t>
            </w:r>
          </w:p>
        </w:tc>
        <w:tc>
          <w:tcPr>
            <w:tcW w:w="557" w:type="dxa"/>
            <w:tcBorders>
              <w:top w:val="nil"/>
              <w:left w:val="nil"/>
              <w:bottom w:val="single" w:sz="8" w:space="0" w:color="DCDDDE"/>
              <w:right w:val="nil"/>
            </w:tcBorders>
            <w:shd w:val="clear" w:color="000000" w:fill="FFFFFF"/>
            <w:noWrap/>
            <w:vAlign w:val="center"/>
            <w:hideMark/>
          </w:tcPr>
          <w:p w14:paraId="5664365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39</w:t>
            </w:r>
          </w:p>
        </w:tc>
        <w:tc>
          <w:tcPr>
            <w:tcW w:w="557" w:type="dxa"/>
            <w:tcBorders>
              <w:top w:val="nil"/>
              <w:left w:val="nil"/>
              <w:bottom w:val="single" w:sz="8" w:space="0" w:color="DCDDDE"/>
              <w:right w:val="nil"/>
            </w:tcBorders>
            <w:shd w:val="clear" w:color="000000" w:fill="FFFFFF"/>
            <w:noWrap/>
            <w:vAlign w:val="center"/>
            <w:hideMark/>
          </w:tcPr>
          <w:p w14:paraId="5D85DAC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39</w:t>
            </w:r>
          </w:p>
        </w:tc>
        <w:tc>
          <w:tcPr>
            <w:tcW w:w="557" w:type="dxa"/>
            <w:tcBorders>
              <w:top w:val="nil"/>
              <w:left w:val="nil"/>
              <w:bottom w:val="single" w:sz="8" w:space="0" w:color="DCDDDE"/>
              <w:right w:val="nil"/>
            </w:tcBorders>
            <w:shd w:val="clear" w:color="000000" w:fill="FFFFFF"/>
            <w:noWrap/>
            <w:vAlign w:val="center"/>
            <w:hideMark/>
          </w:tcPr>
          <w:p w14:paraId="732629E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47</w:t>
            </w:r>
          </w:p>
        </w:tc>
        <w:tc>
          <w:tcPr>
            <w:tcW w:w="557" w:type="dxa"/>
            <w:tcBorders>
              <w:top w:val="nil"/>
              <w:left w:val="nil"/>
              <w:bottom w:val="single" w:sz="8" w:space="0" w:color="DCDDDE"/>
              <w:right w:val="nil"/>
            </w:tcBorders>
            <w:shd w:val="clear" w:color="000000" w:fill="FFFFFF"/>
            <w:noWrap/>
            <w:vAlign w:val="center"/>
            <w:hideMark/>
          </w:tcPr>
          <w:p w14:paraId="1A23670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5B35449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25958A7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74EE75E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7B2E54B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53</w:t>
            </w:r>
          </w:p>
        </w:tc>
        <w:tc>
          <w:tcPr>
            <w:tcW w:w="557" w:type="dxa"/>
            <w:tcBorders>
              <w:top w:val="nil"/>
              <w:left w:val="nil"/>
              <w:bottom w:val="single" w:sz="8" w:space="0" w:color="DCDDDE"/>
              <w:right w:val="nil"/>
            </w:tcBorders>
            <w:shd w:val="clear" w:color="000000" w:fill="FFFFFF"/>
            <w:noWrap/>
            <w:vAlign w:val="center"/>
            <w:hideMark/>
          </w:tcPr>
          <w:p w14:paraId="3B73FD9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40</w:t>
            </w:r>
          </w:p>
        </w:tc>
        <w:tc>
          <w:tcPr>
            <w:tcW w:w="557" w:type="dxa"/>
            <w:tcBorders>
              <w:top w:val="nil"/>
              <w:left w:val="nil"/>
              <w:bottom w:val="single" w:sz="8" w:space="0" w:color="DCDDDE"/>
              <w:right w:val="nil"/>
            </w:tcBorders>
            <w:shd w:val="clear" w:color="000000" w:fill="FFFFFF"/>
            <w:noWrap/>
            <w:vAlign w:val="center"/>
            <w:hideMark/>
          </w:tcPr>
          <w:p w14:paraId="6BD55ED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36</w:t>
            </w:r>
          </w:p>
        </w:tc>
        <w:tc>
          <w:tcPr>
            <w:tcW w:w="557" w:type="dxa"/>
            <w:tcBorders>
              <w:top w:val="nil"/>
              <w:left w:val="nil"/>
              <w:bottom w:val="single" w:sz="8" w:space="0" w:color="DCDDDE"/>
              <w:right w:val="nil"/>
            </w:tcBorders>
            <w:shd w:val="clear" w:color="000000" w:fill="FFFFFF"/>
            <w:noWrap/>
            <w:vAlign w:val="center"/>
            <w:hideMark/>
          </w:tcPr>
          <w:p w14:paraId="73A4C3D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35</w:t>
            </w:r>
          </w:p>
        </w:tc>
        <w:tc>
          <w:tcPr>
            <w:tcW w:w="557" w:type="dxa"/>
            <w:tcBorders>
              <w:top w:val="nil"/>
              <w:left w:val="nil"/>
              <w:bottom w:val="single" w:sz="8" w:space="0" w:color="DCDDDE"/>
              <w:right w:val="nil"/>
            </w:tcBorders>
            <w:shd w:val="clear" w:color="000000" w:fill="FFFFFF"/>
            <w:noWrap/>
            <w:vAlign w:val="center"/>
            <w:hideMark/>
          </w:tcPr>
          <w:p w14:paraId="12F9BF4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34</w:t>
            </w:r>
          </w:p>
        </w:tc>
        <w:tc>
          <w:tcPr>
            <w:tcW w:w="557" w:type="dxa"/>
            <w:tcBorders>
              <w:top w:val="nil"/>
              <w:left w:val="nil"/>
              <w:bottom w:val="single" w:sz="8" w:space="0" w:color="DCDDDE"/>
              <w:right w:val="nil"/>
            </w:tcBorders>
            <w:shd w:val="clear" w:color="000000" w:fill="FFFFFF"/>
            <w:noWrap/>
            <w:vAlign w:val="center"/>
            <w:hideMark/>
          </w:tcPr>
          <w:p w14:paraId="122C259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35</w:t>
            </w:r>
          </w:p>
        </w:tc>
      </w:tr>
      <w:tr w:rsidR="009A6333" w:rsidRPr="009A6333" w14:paraId="360D7CE2" w14:textId="77777777" w:rsidTr="00D70E28">
        <w:trPr>
          <w:gridAfter w:val="1"/>
          <w:wAfter w:w="11" w:type="dxa"/>
          <w:trHeight w:val="218"/>
          <w:jc w:val="center"/>
        </w:trPr>
        <w:tc>
          <w:tcPr>
            <w:tcW w:w="1650" w:type="dxa"/>
            <w:tcBorders>
              <w:top w:val="nil"/>
              <w:left w:val="nil"/>
              <w:bottom w:val="single" w:sz="8" w:space="0" w:color="DCDDDE"/>
              <w:right w:val="nil"/>
            </w:tcBorders>
            <w:shd w:val="clear" w:color="000000" w:fill="FFFFFF"/>
            <w:vAlign w:val="center"/>
            <w:hideMark/>
          </w:tcPr>
          <w:p w14:paraId="0F0A117C"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Total</w:t>
            </w:r>
          </w:p>
        </w:tc>
        <w:tc>
          <w:tcPr>
            <w:tcW w:w="557" w:type="dxa"/>
            <w:tcBorders>
              <w:top w:val="nil"/>
              <w:left w:val="nil"/>
              <w:bottom w:val="single" w:sz="8" w:space="0" w:color="DCDDDE"/>
              <w:right w:val="nil"/>
            </w:tcBorders>
            <w:shd w:val="clear" w:color="000000" w:fill="FFFFFF"/>
            <w:noWrap/>
            <w:vAlign w:val="center"/>
            <w:hideMark/>
          </w:tcPr>
          <w:p w14:paraId="104D6950"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86</w:t>
            </w:r>
          </w:p>
        </w:tc>
        <w:tc>
          <w:tcPr>
            <w:tcW w:w="557" w:type="dxa"/>
            <w:tcBorders>
              <w:top w:val="nil"/>
              <w:left w:val="nil"/>
              <w:bottom w:val="single" w:sz="8" w:space="0" w:color="DCDDDE"/>
              <w:right w:val="nil"/>
            </w:tcBorders>
            <w:shd w:val="clear" w:color="000000" w:fill="FFFFFF"/>
            <w:noWrap/>
            <w:vAlign w:val="center"/>
            <w:hideMark/>
          </w:tcPr>
          <w:p w14:paraId="04CDDC70"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90</w:t>
            </w:r>
          </w:p>
        </w:tc>
        <w:tc>
          <w:tcPr>
            <w:tcW w:w="557" w:type="dxa"/>
            <w:tcBorders>
              <w:top w:val="nil"/>
              <w:left w:val="nil"/>
              <w:bottom w:val="single" w:sz="8" w:space="0" w:color="DCDDDE"/>
              <w:right w:val="nil"/>
            </w:tcBorders>
            <w:shd w:val="clear" w:color="000000" w:fill="FFFFFF"/>
            <w:noWrap/>
            <w:vAlign w:val="center"/>
            <w:hideMark/>
          </w:tcPr>
          <w:p w14:paraId="688E54E8"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98</w:t>
            </w:r>
          </w:p>
        </w:tc>
        <w:tc>
          <w:tcPr>
            <w:tcW w:w="557" w:type="dxa"/>
            <w:tcBorders>
              <w:top w:val="nil"/>
              <w:left w:val="nil"/>
              <w:bottom w:val="single" w:sz="8" w:space="0" w:color="DCDDDE"/>
              <w:right w:val="nil"/>
            </w:tcBorders>
            <w:shd w:val="clear" w:color="000000" w:fill="FFFFFF"/>
            <w:noWrap/>
            <w:vAlign w:val="center"/>
            <w:hideMark/>
          </w:tcPr>
          <w:p w14:paraId="375C262B"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107</w:t>
            </w:r>
          </w:p>
        </w:tc>
        <w:tc>
          <w:tcPr>
            <w:tcW w:w="557" w:type="dxa"/>
            <w:tcBorders>
              <w:top w:val="nil"/>
              <w:left w:val="nil"/>
              <w:bottom w:val="single" w:sz="8" w:space="0" w:color="DCDDDE"/>
              <w:right w:val="nil"/>
            </w:tcBorders>
            <w:shd w:val="clear" w:color="000000" w:fill="FFFFFF"/>
            <w:noWrap/>
            <w:vAlign w:val="center"/>
            <w:hideMark/>
          </w:tcPr>
          <w:p w14:paraId="653109F3"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111</w:t>
            </w:r>
          </w:p>
        </w:tc>
        <w:tc>
          <w:tcPr>
            <w:tcW w:w="557" w:type="dxa"/>
            <w:tcBorders>
              <w:top w:val="nil"/>
              <w:left w:val="nil"/>
              <w:bottom w:val="single" w:sz="8" w:space="0" w:color="DCDDDE"/>
              <w:right w:val="nil"/>
            </w:tcBorders>
            <w:shd w:val="clear" w:color="000000" w:fill="FFFFFF"/>
            <w:noWrap/>
            <w:vAlign w:val="center"/>
            <w:hideMark/>
          </w:tcPr>
          <w:p w14:paraId="25579050"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115</w:t>
            </w:r>
          </w:p>
        </w:tc>
        <w:tc>
          <w:tcPr>
            <w:tcW w:w="557" w:type="dxa"/>
            <w:tcBorders>
              <w:top w:val="nil"/>
              <w:left w:val="nil"/>
              <w:bottom w:val="single" w:sz="8" w:space="0" w:color="DCDDDE"/>
              <w:right w:val="nil"/>
            </w:tcBorders>
            <w:shd w:val="clear" w:color="000000" w:fill="FFFFFF"/>
            <w:noWrap/>
            <w:vAlign w:val="center"/>
            <w:hideMark/>
          </w:tcPr>
          <w:p w14:paraId="2B480928"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114</w:t>
            </w:r>
          </w:p>
        </w:tc>
        <w:tc>
          <w:tcPr>
            <w:tcW w:w="557" w:type="dxa"/>
            <w:tcBorders>
              <w:top w:val="nil"/>
              <w:left w:val="nil"/>
              <w:bottom w:val="single" w:sz="8" w:space="0" w:color="DCDDDE"/>
              <w:right w:val="nil"/>
            </w:tcBorders>
            <w:shd w:val="clear" w:color="000000" w:fill="FFFFFF"/>
            <w:noWrap/>
            <w:vAlign w:val="center"/>
            <w:hideMark/>
          </w:tcPr>
          <w:p w14:paraId="059410F0"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114</w:t>
            </w:r>
          </w:p>
        </w:tc>
        <w:tc>
          <w:tcPr>
            <w:tcW w:w="557" w:type="dxa"/>
            <w:tcBorders>
              <w:top w:val="nil"/>
              <w:left w:val="nil"/>
              <w:bottom w:val="single" w:sz="8" w:space="0" w:color="DCDDDE"/>
              <w:right w:val="nil"/>
            </w:tcBorders>
            <w:shd w:val="clear" w:color="000000" w:fill="FFFFFF"/>
            <w:noWrap/>
            <w:vAlign w:val="center"/>
            <w:hideMark/>
          </w:tcPr>
          <w:p w14:paraId="1C5A6CA7"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100</w:t>
            </w:r>
          </w:p>
        </w:tc>
        <w:tc>
          <w:tcPr>
            <w:tcW w:w="557" w:type="dxa"/>
            <w:tcBorders>
              <w:top w:val="nil"/>
              <w:left w:val="nil"/>
              <w:bottom w:val="single" w:sz="8" w:space="0" w:color="DCDDDE"/>
              <w:right w:val="nil"/>
            </w:tcBorders>
            <w:shd w:val="clear" w:color="000000" w:fill="FFFFFF"/>
            <w:noWrap/>
            <w:vAlign w:val="center"/>
            <w:hideMark/>
          </w:tcPr>
          <w:p w14:paraId="5407159D"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96</w:t>
            </w:r>
          </w:p>
        </w:tc>
        <w:tc>
          <w:tcPr>
            <w:tcW w:w="557" w:type="dxa"/>
            <w:tcBorders>
              <w:top w:val="nil"/>
              <w:left w:val="nil"/>
              <w:bottom w:val="single" w:sz="8" w:space="0" w:color="DCDDDE"/>
              <w:right w:val="nil"/>
            </w:tcBorders>
            <w:shd w:val="clear" w:color="000000" w:fill="FFFFFF"/>
            <w:noWrap/>
            <w:vAlign w:val="center"/>
            <w:hideMark/>
          </w:tcPr>
          <w:p w14:paraId="2ED504CC"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95</w:t>
            </w:r>
          </w:p>
        </w:tc>
        <w:tc>
          <w:tcPr>
            <w:tcW w:w="557" w:type="dxa"/>
            <w:tcBorders>
              <w:top w:val="nil"/>
              <w:left w:val="nil"/>
              <w:bottom w:val="single" w:sz="8" w:space="0" w:color="DCDDDE"/>
              <w:right w:val="nil"/>
            </w:tcBorders>
            <w:shd w:val="clear" w:color="000000" w:fill="FFFFFF"/>
            <w:noWrap/>
            <w:vAlign w:val="center"/>
            <w:hideMark/>
          </w:tcPr>
          <w:p w14:paraId="3D25DB01"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95</w:t>
            </w:r>
          </w:p>
        </w:tc>
        <w:tc>
          <w:tcPr>
            <w:tcW w:w="557" w:type="dxa"/>
            <w:tcBorders>
              <w:top w:val="nil"/>
              <w:left w:val="nil"/>
              <w:bottom w:val="single" w:sz="8" w:space="0" w:color="DCDDDE"/>
              <w:right w:val="nil"/>
            </w:tcBorders>
            <w:shd w:val="clear" w:color="000000" w:fill="FFFFFF"/>
            <w:noWrap/>
            <w:vAlign w:val="center"/>
            <w:hideMark/>
          </w:tcPr>
          <w:p w14:paraId="704F877B"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98</w:t>
            </w:r>
          </w:p>
        </w:tc>
      </w:tr>
      <w:tr w:rsidR="009A6333" w:rsidRPr="009A6333" w14:paraId="53C6429A" w14:textId="77777777" w:rsidTr="00D70E28">
        <w:trPr>
          <w:trHeight w:val="218"/>
          <w:jc w:val="center"/>
        </w:trPr>
        <w:tc>
          <w:tcPr>
            <w:tcW w:w="8902" w:type="dxa"/>
            <w:gridSpan w:val="15"/>
            <w:tcBorders>
              <w:top w:val="single" w:sz="8" w:space="0" w:color="DCDDDE"/>
              <w:left w:val="nil"/>
              <w:bottom w:val="single" w:sz="8" w:space="0" w:color="DCDDDE"/>
              <w:right w:val="nil"/>
            </w:tcBorders>
            <w:shd w:val="clear" w:color="000000" w:fill="DADADA"/>
            <w:noWrap/>
            <w:vAlign w:val="center"/>
            <w:hideMark/>
          </w:tcPr>
          <w:p w14:paraId="3E7CC60A" w14:textId="77777777" w:rsidR="009A6333" w:rsidRPr="009A6333" w:rsidRDefault="009A6333" w:rsidP="009A6333">
            <w:pPr>
              <w:spacing w:line="240" w:lineRule="auto"/>
              <w:jc w:val="center"/>
              <w:rPr>
                <w:rFonts w:ascii="Arial Narrow" w:hAnsi="Arial Narrow"/>
                <w:b/>
                <w:bCs/>
                <w:sz w:val="18"/>
                <w:szCs w:val="18"/>
              </w:rPr>
            </w:pPr>
            <w:r w:rsidRPr="009A6333">
              <w:rPr>
                <w:rFonts w:ascii="Arial Narrow" w:hAnsi="Arial Narrow"/>
                <w:b/>
                <w:bCs/>
                <w:sz w:val="18"/>
                <w:szCs w:val="18"/>
              </w:rPr>
              <w:t>PAC | Aggressive</w:t>
            </w:r>
          </w:p>
        </w:tc>
      </w:tr>
      <w:tr w:rsidR="009A6333" w:rsidRPr="009A6333" w14:paraId="120C1C6B" w14:textId="77777777" w:rsidTr="00D70E28">
        <w:trPr>
          <w:gridAfter w:val="1"/>
          <w:wAfter w:w="11" w:type="dxa"/>
          <w:trHeight w:val="386"/>
          <w:jc w:val="center"/>
        </w:trPr>
        <w:tc>
          <w:tcPr>
            <w:tcW w:w="1650" w:type="dxa"/>
            <w:tcBorders>
              <w:top w:val="nil"/>
              <w:left w:val="nil"/>
              <w:bottom w:val="single" w:sz="8" w:space="0" w:color="DCDDDE"/>
              <w:right w:val="nil"/>
            </w:tcBorders>
            <w:shd w:val="clear" w:color="000000" w:fill="FFFFFF"/>
            <w:vAlign w:val="center"/>
            <w:hideMark/>
          </w:tcPr>
          <w:p w14:paraId="77F5E708"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Equipment Rebates</w:t>
            </w:r>
          </w:p>
        </w:tc>
        <w:tc>
          <w:tcPr>
            <w:tcW w:w="557" w:type="dxa"/>
            <w:tcBorders>
              <w:top w:val="nil"/>
              <w:left w:val="nil"/>
              <w:bottom w:val="single" w:sz="8" w:space="0" w:color="DCDDDE"/>
              <w:right w:val="nil"/>
            </w:tcBorders>
            <w:shd w:val="clear" w:color="000000" w:fill="FFFFFF"/>
            <w:noWrap/>
            <w:vAlign w:val="center"/>
            <w:hideMark/>
          </w:tcPr>
          <w:p w14:paraId="2FAD1CF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30</w:t>
            </w:r>
          </w:p>
        </w:tc>
        <w:tc>
          <w:tcPr>
            <w:tcW w:w="557" w:type="dxa"/>
            <w:tcBorders>
              <w:top w:val="nil"/>
              <w:left w:val="nil"/>
              <w:bottom w:val="single" w:sz="8" w:space="0" w:color="DCDDDE"/>
              <w:right w:val="nil"/>
            </w:tcBorders>
            <w:shd w:val="clear" w:color="000000" w:fill="FFFFFF"/>
            <w:noWrap/>
            <w:vAlign w:val="center"/>
            <w:hideMark/>
          </w:tcPr>
          <w:p w14:paraId="1F3DCBC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33</w:t>
            </w:r>
          </w:p>
        </w:tc>
        <w:tc>
          <w:tcPr>
            <w:tcW w:w="557" w:type="dxa"/>
            <w:tcBorders>
              <w:top w:val="nil"/>
              <w:left w:val="nil"/>
              <w:bottom w:val="single" w:sz="8" w:space="0" w:color="DCDDDE"/>
              <w:right w:val="nil"/>
            </w:tcBorders>
            <w:shd w:val="clear" w:color="000000" w:fill="FFFFFF"/>
            <w:noWrap/>
            <w:vAlign w:val="center"/>
            <w:hideMark/>
          </w:tcPr>
          <w:p w14:paraId="20BFA88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32</w:t>
            </w:r>
          </w:p>
        </w:tc>
        <w:tc>
          <w:tcPr>
            <w:tcW w:w="557" w:type="dxa"/>
            <w:tcBorders>
              <w:top w:val="nil"/>
              <w:left w:val="nil"/>
              <w:bottom w:val="single" w:sz="8" w:space="0" w:color="DCDDDE"/>
              <w:right w:val="nil"/>
            </w:tcBorders>
            <w:shd w:val="clear" w:color="000000" w:fill="FFFFFF"/>
            <w:noWrap/>
            <w:vAlign w:val="center"/>
            <w:hideMark/>
          </w:tcPr>
          <w:p w14:paraId="73AFFF1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35</w:t>
            </w:r>
          </w:p>
        </w:tc>
        <w:tc>
          <w:tcPr>
            <w:tcW w:w="557" w:type="dxa"/>
            <w:tcBorders>
              <w:top w:val="nil"/>
              <w:left w:val="nil"/>
              <w:bottom w:val="single" w:sz="8" w:space="0" w:color="DCDDDE"/>
              <w:right w:val="nil"/>
            </w:tcBorders>
            <w:shd w:val="clear" w:color="000000" w:fill="FFFFFF"/>
            <w:noWrap/>
            <w:vAlign w:val="center"/>
            <w:hideMark/>
          </w:tcPr>
          <w:p w14:paraId="41DA890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38</w:t>
            </w:r>
          </w:p>
        </w:tc>
        <w:tc>
          <w:tcPr>
            <w:tcW w:w="557" w:type="dxa"/>
            <w:tcBorders>
              <w:top w:val="nil"/>
              <w:left w:val="nil"/>
              <w:bottom w:val="single" w:sz="8" w:space="0" w:color="DCDDDE"/>
              <w:right w:val="nil"/>
            </w:tcBorders>
            <w:shd w:val="clear" w:color="000000" w:fill="FFFFFF"/>
            <w:noWrap/>
            <w:vAlign w:val="center"/>
            <w:hideMark/>
          </w:tcPr>
          <w:p w14:paraId="77C7795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41</w:t>
            </w:r>
          </w:p>
        </w:tc>
        <w:tc>
          <w:tcPr>
            <w:tcW w:w="557" w:type="dxa"/>
            <w:tcBorders>
              <w:top w:val="nil"/>
              <w:left w:val="nil"/>
              <w:bottom w:val="single" w:sz="8" w:space="0" w:color="DCDDDE"/>
              <w:right w:val="nil"/>
            </w:tcBorders>
            <w:shd w:val="clear" w:color="000000" w:fill="FFFFFF"/>
            <w:noWrap/>
            <w:vAlign w:val="center"/>
            <w:hideMark/>
          </w:tcPr>
          <w:p w14:paraId="3A8676A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40</w:t>
            </w:r>
          </w:p>
        </w:tc>
        <w:tc>
          <w:tcPr>
            <w:tcW w:w="557" w:type="dxa"/>
            <w:tcBorders>
              <w:top w:val="nil"/>
              <w:left w:val="nil"/>
              <w:bottom w:val="single" w:sz="8" w:space="0" w:color="DCDDDE"/>
              <w:right w:val="nil"/>
            </w:tcBorders>
            <w:shd w:val="clear" w:color="000000" w:fill="FFFFFF"/>
            <w:noWrap/>
            <w:vAlign w:val="center"/>
            <w:hideMark/>
          </w:tcPr>
          <w:p w14:paraId="5383280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39</w:t>
            </w:r>
          </w:p>
        </w:tc>
        <w:tc>
          <w:tcPr>
            <w:tcW w:w="557" w:type="dxa"/>
            <w:tcBorders>
              <w:top w:val="nil"/>
              <w:left w:val="nil"/>
              <w:bottom w:val="single" w:sz="8" w:space="0" w:color="DCDDDE"/>
              <w:right w:val="nil"/>
            </w:tcBorders>
            <w:shd w:val="clear" w:color="000000" w:fill="FFFFFF"/>
            <w:noWrap/>
            <w:vAlign w:val="center"/>
            <w:hideMark/>
          </w:tcPr>
          <w:p w14:paraId="69A29CC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38</w:t>
            </w:r>
          </w:p>
        </w:tc>
        <w:tc>
          <w:tcPr>
            <w:tcW w:w="557" w:type="dxa"/>
            <w:tcBorders>
              <w:top w:val="nil"/>
              <w:left w:val="nil"/>
              <w:bottom w:val="single" w:sz="8" w:space="0" w:color="DCDDDE"/>
              <w:right w:val="nil"/>
            </w:tcBorders>
            <w:shd w:val="clear" w:color="000000" w:fill="FFFFFF"/>
            <w:noWrap/>
            <w:vAlign w:val="center"/>
            <w:hideMark/>
          </w:tcPr>
          <w:p w14:paraId="1E66810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37</w:t>
            </w:r>
          </w:p>
        </w:tc>
        <w:tc>
          <w:tcPr>
            <w:tcW w:w="557" w:type="dxa"/>
            <w:tcBorders>
              <w:top w:val="nil"/>
              <w:left w:val="nil"/>
              <w:bottom w:val="single" w:sz="8" w:space="0" w:color="DCDDDE"/>
              <w:right w:val="nil"/>
            </w:tcBorders>
            <w:shd w:val="clear" w:color="000000" w:fill="FFFFFF"/>
            <w:noWrap/>
            <w:vAlign w:val="center"/>
            <w:hideMark/>
          </w:tcPr>
          <w:p w14:paraId="5D6FA1A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37</w:t>
            </w:r>
          </w:p>
        </w:tc>
        <w:tc>
          <w:tcPr>
            <w:tcW w:w="557" w:type="dxa"/>
            <w:tcBorders>
              <w:top w:val="nil"/>
              <w:left w:val="nil"/>
              <w:bottom w:val="single" w:sz="8" w:space="0" w:color="DCDDDE"/>
              <w:right w:val="nil"/>
            </w:tcBorders>
            <w:shd w:val="clear" w:color="000000" w:fill="FFFFFF"/>
            <w:noWrap/>
            <w:vAlign w:val="center"/>
            <w:hideMark/>
          </w:tcPr>
          <w:p w14:paraId="1E98AC6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38</w:t>
            </w:r>
          </w:p>
        </w:tc>
        <w:tc>
          <w:tcPr>
            <w:tcW w:w="557" w:type="dxa"/>
            <w:tcBorders>
              <w:top w:val="nil"/>
              <w:left w:val="nil"/>
              <w:bottom w:val="single" w:sz="8" w:space="0" w:color="DCDDDE"/>
              <w:right w:val="nil"/>
            </w:tcBorders>
            <w:shd w:val="clear" w:color="000000" w:fill="FFFFFF"/>
            <w:noWrap/>
            <w:vAlign w:val="center"/>
            <w:hideMark/>
          </w:tcPr>
          <w:p w14:paraId="6219C79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42</w:t>
            </w:r>
          </w:p>
        </w:tc>
      </w:tr>
      <w:tr w:rsidR="009A6333" w:rsidRPr="009A6333" w14:paraId="1AD37E4F" w14:textId="77777777" w:rsidTr="00D70E28">
        <w:trPr>
          <w:gridAfter w:val="1"/>
          <w:wAfter w:w="11" w:type="dxa"/>
          <w:trHeight w:val="218"/>
          <w:jc w:val="center"/>
        </w:trPr>
        <w:tc>
          <w:tcPr>
            <w:tcW w:w="1650" w:type="dxa"/>
            <w:tcBorders>
              <w:top w:val="nil"/>
              <w:left w:val="nil"/>
              <w:bottom w:val="single" w:sz="8" w:space="0" w:color="DCDDDE"/>
              <w:right w:val="nil"/>
            </w:tcBorders>
            <w:shd w:val="clear" w:color="000000" w:fill="FFFFFF"/>
            <w:vAlign w:val="center"/>
            <w:hideMark/>
          </w:tcPr>
          <w:p w14:paraId="75AAFFCC"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BROs</w:t>
            </w:r>
          </w:p>
        </w:tc>
        <w:tc>
          <w:tcPr>
            <w:tcW w:w="557" w:type="dxa"/>
            <w:tcBorders>
              <w:top w:val="nil"/>
              <w:left w:val="nil"/>
              <w:bottom w:val="single" w:sz="8" w:space="0" w:color="DCDDDE"/>
              <w:right w:val="nil"/>
            </w:tcBorders>
            <w:shd w:val="clear" w:color="000000" w:fill="FFFFFF"/>
            <w:noWrap/>
            <w:vAlign w:val="center"/>
            <w:hideMark/>
          </w:tcPr>
          <w:p w14:paraId="3C24278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13</w:t>
            </w:r>
          </w:p>
        </w:tc>
        <w:tc>
          <w:tcPr>
            <w:tcW w:w="557" w:type="dxa"/>
            <w:tcBorders>
              <w:top w:val="nil"/>
              <w:left w:val="nil"/>
              <w:bottom w:val="single" w:sz="8" w:space="0" w:color="DCDDDE"/>
              <w:right w:val="nil"/>
            </w:tcBorders>
            <w:shd w:val="clear" w:color="000000" w:fill="FFFFFF"/>
            <w:noWrap/>
            <w:vAlign w:val="center"/>
            <w:hideMark/>
          </w:tcPr>
          <w:p w14:paraId="520D279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15</w:t>
            </w:r>
          </w:p>
        </w:tc>
        <w:tc>
          <w:tcPr>
            <w:tcW w:w="557" w:type="dxa"/>
            <w:tcBorders>
              <w:top w:val="nil"/>
              <w:left w:val="nil"/>
              <w:bottom w:val="single" w:sz="8" w:space="0" w:color="DCDDDE"/>
              <w:right w:val="nil"/>
            </w:tcBorders>
            <w:shd w:val="clear" w:color="000000" w:fill="FFFFFF"/>
            <w:noWrap/>
            <w:vAlign w:val="center"/>
            <w:hideMark/>
          </w:tcPr>
          <w:p w14:paraId="5DB53CA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17</w:t>
            </w:r>
          </w:p>
        </w:tc>
        <w:tc>
          <w:tcPr>
            <w:tcW w:w="557" w:type="dxa"/>
            <w:tcBorders>
              <w:top w:val="nil"/>
              <w:left w:val="nil"/>
              <w:bottom w:val="single" w:sz="8" w:space="0" w:color="DCDDDE"/>
              <w:right w:val="nil"/>
            </w:tcBorders>
            <w:shd w:val="clear" w:color="000000" w:fill="FFFFFF"/>
            <w:noWrap/>
            <w:vAlign w:val="center"/>
            <w:hideMark/>
          </w:tcPr>
          <w:p w14:paraId="0CE58AB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19</w:t>
            </w:r>
          </w:p>
        </w:tc>
        <w:tc>
          <w:tcPr>
            <w:tcW w:w="557" w:type="dxa"/>
            <w:tcBorders>
              <w:top w:val="nil"/>
              <w:left w:val="nil"/>
              <w:bottom w:val="single" w:sz="8" w:space="0" w:color="DCDDDE"/>
              <w:right w:val="nil"/>
            </w:tcBorders>
            <w:shd w:val="clear" w:color="000000" w:fill="FFFFFF"/>
            <w:noWrap/>
            <w:vAlign w:val="center"/>
            <w:hideMark/>
          </w:tcPr>
          <w:p w14:paraId="5D08895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20</w:t>
            </w:r>
          </w:p>
        </w:tc>
        <w:tc>
          <w:tcPr>
            <w:tcW w:w="557" w:type="dxa"/>
            <w:tcBorders>
              <w:top w:val="nil"/>
              <w:left w:val="nil"/>
              <w:bottom w:val="single" w:sz="8" w:space="0" w:color="DCDDDE"/>
              <w:right w:val="nil"/>
            </w:tcBorders>
            <w:shd w:val="clear" w:color="000000" w:fill="FFFFFF"/>
            <w:noWrap/>
            <w:vAlign w:val="center"/>
            <w:hideMark/>
          </w:tcPr>
          <w:p w14:paraId="2B88D0A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22</w:t>
            </w:r>
          </w:p>
        </w:tc>
        <w:tc>
          <w:tcPr>
            <w:tcW w:w="557" w:type="dxa"/>
            <w:tcBorders>
              <w:top w:val="nil"/>
              <w:left w:val="nil"/>
              <w:bottom w:val="single" w:sz="8" w:space="0" w:color="DCDDDE"/>
              <w:right w:val="nil"/>
            </w:tcBorders>
            <w:shd w:val="clear" w:color="000000" w:fill="FFFFFF"/>
            <w:noWrap/>
            <w:vAlign w:val="center"/>
            <w:hideMark/>
          </w:tcPr>
          <w:p w14:paraId="3AB9638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24</w:t>
            </w:r>
          </w:p>
        </w:tc>
        <w:tc>
          <w:tcPr>
            <w:tcW w:w="557" w:type="dxa"/>
            <w:tcBorders>
              <w:top w:val="nil"/>
              <w:left w:val="nil"/>
              <w:bottom w:val="single" w:sz="8" w:space="0" w:color="DCDDDE"/>
              <w:right w:val="nil"/>
            </w:tcBorders>
            <w:shd w:val="clear" w:color="000000" w:fill="FFFFFF"/>
            <w:noWrap/>
            <w:vAlign w:val="center"/>
            <w:hideMark/>
          </w:tcPr>
          <w:p w14:paraId="752CB34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27</w:t>
            </w:r>
          </w:p>
        </w:tc>
        <w:tc>
          <w:tcPr>
            <w:tcW w:w="557" w:type="dxa"/>
            <w:tcBorders>
              <w:top w:val="nil"/>
              <w:left w:val="nil"/>
              <w:bottom w:val="single" w:sz="8" w:space="0" w:color="DCDDDE"/>
              <w:right w:val="nil"/>
            </w:tcBorders>
            <w:shd w:val="clear" w:color="000000" w:fill="FFFFFF"/>
            <w:noWrap/>
            <w:vAlign w:val="center"/>
            <w:hideMark/>
          </w:tcPr>
          <w:p w14:paraId="4EE64DD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29</w:t>
            </w:r>
          </w:p>
        </w:tc>
        <w:tc>
          <w:tcPr>
            <w:tcW w:w="557" w:type="dxa"/>
            <w:tcBorders>
              <w:top w:val="nil"/>
              <w:left w:val="nil"/>
              <w:bottom w:val="single" w:sz="8" w:space="0" w:color="DCDDDE"/>
              <w:right w:val="nil"/>
            </w:tcBorders>
            <w:shd w:val="clear" w:color="000000" w:fill="FFFFFF"/>
            <w:noWrap/>
            <w:vAlign w:val="center"/>
            <w:hideMark/>
          </w:tcPr>
          <w:p w14:paraId="7445CB0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31</w:t>
            </w:r>
          </w:p>
        </w:tc>
        <w:tc>
          <w:tcPr>
            <w:tcW w:w="557" w:type="dxa"/>
            <w:tcBorders>
              <w:top w:val="nil"/>
              <w:left w:val="nil"/>
              <w:bottom w:val="single" w:sz="8" w:space="0" w:color="DCDDDE"/>
              <w:right w:val="nil"/>
            </w:tcBorders>
            <w:shd w:val="clear" w:color="000000" w:fill="FFFFFF"/>
            <w:noWrap/>
            <w:vAlign w:val="center"/>
            <w:hideMark/>
          </w:tcPr>
          <w:p w14:paraId="348BEBF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34</w:t>
            </w:r>
          </w:p>
        </w:tc>
        <w:tc>
          <w:tcPr>
            <w:tcW w:w="557" w:type="dxa"/>
            <w:tcBorders>
              <w:top w:val="nil"/>
              <w:left w:val="nil"/>
              <w:bottom w:val="single" w:sz="8" w:space="0" w:color="DCDDDE"/>
              <w:right w:val="nil"/>
            </w:tcBorders>
            <w:shd w:val="clear" w:color="000000" w:fill="FFFFFF"/>
            <w:noWrap/>
            <w:vAlign w:val="center"/>
            <w:hideMark/>
          </w:tcPr>
          <w:p w14:paraId="76E95EB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37</w:t>
            </w:r>
          </w:p>
        </w:tc>
        <w:tc>
          <w:tcPr>
            <w:tcW w:w="557" w:type="dxa"/>
            <w:tcBorders>
              <w:top w:val="nil"/>
              <w:left w:val="nil"/>
              <w:bottom w:val="single" w:sz="8" w:space="0" w:color="DCDDDE"/>
              <w:right w:val="nil"/>
            </w:tcBorders>
            <w:shd w:val="clear" w:color="000000" w:fill="FFFFFF"/>
            <w:noWrap/>
            <w:vAlign w:val="center"/>
            <w:hideMark/>
          </w:tcPr>
          <w:p w14:paraId="71E289F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40</w:t>
            </w:r>
          </w:p>
        </w:tc>
      </w:tr>
      <w:tr w:rsidR="009A6333" w:rsidRPr="009A6333" w14:paraId="3A754A7C" w14:textId="77777777" w:rsidTr="00D70E28">
        <w:trPr>
          <w:gridAfter w:val="1"/>
          <w:wAfter w:w="11" w:type="dxa"/>
          <w:trHeight w:val="218"/>
          <w:jc w:val="center"/>
        </w:trPr>
        <w:tc>
          <w:tcPr>
            <w:tcW w:w="1650" w:type="dxa"/>
            <w:tcBorders>
              <w:top w:val="nil"/>
              <w:left w:val="nil"/>
              <w:bottom w:val="single" w:sz="8" w:space="0" w:color="DCDDDE"/>
              <w:right w:val="nil"/>
            </w:tcBorders>
            <w:shd w:val="clear" w:color="000000" w:fill="FFFFFF"/>
            <w:vAlign w:val="center"/>
            <w:hideMark/>
          </w:tcPr>
          <w:p w14:paraId="3EA14B61"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Low Income</w:t>
            </w:r>
          </w:p>
        </w:tc>
        <w:tc>
          <w:tcPr>
            <w:tcW w:w="557" w:type="dxa"/>
            <w:tcBorders>
              <w:top w:val="nil"/>
              <w:left w:val="nil"/>
              <w:bottom w:val="single" w:sz="8" w:space="0" w:color="DCDDDE"/>
              <w:right w:val="nil"/>
            </w:tcBorders>
            <w:shd w:val="clear" w:color="000000" w:fill="FFFFFF"/>
            <w:noWrap/>
            <w:vAlign w:val="center"/>
            <w:hideMark/>
          </w:tcPr>
          <w:p w14:paraId="4CD5A84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w:t>
            </w:r>
          </w:p>
        </w:tc>
        <w:tc>
          <w:tcPr>
            <w:tcW w:w="557" w:type="dxa"/>
            <w:tcBorders>
              <w:top w:val="nil"/>
              <w:left w:val="nil"/>
              <w:bottom w:val="single" w:sz="8" w:space="0" w:color="DCDDDE"/>
              <w:right w:val="nil"/>
            </w:tcBorders>
            <w:shd w:val="clear" w:color="000000" w:fill="FFFFFF"/>
            <w:noWrap/>
            <w:vAlign w:val="center"/>
            <w:hideMark/>
          </w:tcPr>
          <w:p w14:paraId="3BA6403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w:t>
            </w:r>
          </w:p>
        </w:tc>
        <w:tc>
          <w:tcPr>
            <w:tcW w:w="557" w:type="dxa"/>
            <w:tcBorders>
              <w:top w:val="nil"/>
              <w:left w:val="nil"/>
              <w:bottom w:val="single" w:sz="8" w:space="0" w:color="DCDDDE"/>
              <w:right w:val="nil"/>
            </w:tcBorders>
            <w:shd w:val="clear" w:color="000000" w:fill="FFFFFF"/>
            <w:noWrap/>
            <w:vAlign w:val="center"/>
            <w:hideMark/>
          </w:tcPr>
          <w:p w14:paraId="73F9E78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w:t>
            </w:r>
          </w:p>
        </w:tc>
        <w:tc>
          <w:tcPr>
            <w:tcW w:w="557" w:type="dxa"/>
            <w:tcBorders>
              <w:top w:val="nil"/>
              <w:left w:val="nil"/>
              <w:bottom w:val="single" w:sz="8" w:space="0" w:color="DCDDDE"/>
              <w:right w:val="nil"/>
            </w:tcBorders>
            <w:shd w:val="clear" w:color="000000" w:fill="FFFFFF"/>
            <w:noWrap/>
            <w:vAlign w:val="center"/>
            <w:hideMark/>
          </w:tcPr>
          <w:p w14:paraId="553306D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219980B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18EC42A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3AC4D2E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2BDC05D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32D9EB98"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6D2FE6C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61B65CB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2C0F469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c>
          <w:tcPr>
            <w:tcW w:w="557" w:type="dxa"/>
            <w:tcBorders>
              <w:top w:val="nil"/>
              <w:left w:val="nil"/>
              <w:bottom w:val="single" w:sz="8" w:space="0" w:color="DCDDDE"/>
              <w:right w:val="nil"/>
            </w:tcBorders>
            <w:shd w:val="clear" w:color="000000" w:fill="FFFFFF"/>
            <w:noWrap/>
            <w:vAlign w:val="center"/>
            <w:hideMark/>
          </w:tcPr>
          <w:p w14:paraId="61133F6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w:t>
            </w:r>
          </w:p>
        </w:tc>
      </w:tr>
      <w:tr w:rsidR="009A6333" w:rsidRPr="009A6333" w14:paraId="62CDB649" w14:textId="77777777" w:rsidTr="00D70E28">
        <w:trPr>
          <w:gridAfter w:val="1"/>
          <w:wAfter w:w="11" w:type="dxa"/>
          <w:trHeight w:val="497"/>
          <w:jc w:val="center"/>
        </w:trPr>
        <w:tc>
          <w:tcPr>
            <w:tcW w:w="1650" w:type="dxa"/>
            <w:tcBorders>
              <w:top w:val="nil"/>
              <w:left w:val="nil"/>
              <w:bottom w:val="single" w:sz="8" w:space="0" w:color="DCDDDE"/>
              <w:right w:val="nil"/>
            </w:tcBorders>
            <w:shd w:val="clear" w:color="000000" w:fill="FFFFFF"/>
            <w:vAlign w:val="center"/>
            <w:hideMark/>
          </w:tcPr>
          <w:p w14:paraId="40B743A0"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Incentive Programs (Subtotal)</w:t>
            </w:r>
          </w:p>
        </w:tc>
        <w:tc>
          <w:tcPr>
            <w:tcW w:w="557" w:type="dxa"/>
            <w:tcBorders>
              <w:top w:val="nil"/>
              <w:left w:val="nil"/>
              <w:bottom w:val="single" w:sz="8" w:space="0" w:color="DCDDDE"/>
              <w:right w:val="nil"/>
            </w:tcBorders>
            <w:shd w:val="clear" w:color="000000" w:fill="FFFFFF"/>
            <w:noWrap/>
            <w:vAlign w:val="center"/>
            <w:hideMark/>
          </w:tcPr>
          <w:p w14:paraId="51AA1D0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49</w:t>
            </w:r>
          </w:p>
        </w:tc>
        <w:tc>
          <w:tcPr>
            <w:tcW w:w="557" w:type="dxa"/>
            <w:tcBorders>
              <w:top w:val="nil"/>
              <w:left w:val="nil"/>
              <w:bottom w:val="single" w:sz="8" w:space="0" w:color="DCDDDE"/>
              <w:right w:val="nil"/>
            </w:tcBorders>
            <w:shd w:val="clear" w:color="000000" w:fill="FFFFFF"/>
            <w:noWrap/>
            <w:vAlign w:val="center"/>
            <w:hideMark/>
          </w:tcPr>
          <w:p w14:paraId="06286F7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5848B42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56</w:t>
            </w:r>
          </w:p>
        </w:tc>
        <w:tc>
          <w:tcPr>
            <w:tcW w:w="557" w:type="dxa"/>
            <w:tcBorders>
              <w:top w:val="nil"/>
              <w:left w:val="nil"/>
              <w:bottom w:val="single" w:sz="8" w:space="0" w:color="DCDDDE"/>
              <w:right w:val="nil"/>
            </w:tcBorders>
            <w:shd w:val="clear" w:color="000000" w:fill="FFFFFF"/>
            <w:noWrap/>
            <w:vAlign w:val="center"/>
            <w:hideMark/>
          </w:tcPr>
          <w:p w14:paraId="7833C4B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58</w:t>
            </w:r>
          </w:p>
        </w:tc>
        <w:tc>
          <w:tcPr>
            <w:tcW w:w="557" w:type="dxa"/>
            <w:tcBorders>
              <w:top w:val="nil"/>
              <w:left w:val="nil"/>
              <w:bottom w:val="single" w:sz="8" w:space="0" w:color="DCDDDE"/>
              <w:right w:val="nil"/>
            </w:tcBorders>
            <w:shd w:val="clear" w:color="000000" w:fill="FFFFFF"/>
            <w:noWrap/>
            <w:vAlign w:val="center"/>
            <w:hideMark/>
          </w:tcPr>
          <w:p w14:paraId="750E48B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64</w:t>
            </w:r>
          </w:p>
        </w:tc>
        <w:tc>
          <w:tcPr>
            <w:tcW w:w="557" w:type="dxa"/>
            <w:tcBorders>
              <w:top w:val="nil"/>
              <w:left w:val="nil"/>
              <w:bottom w:val="single" w:sz="8" w:space="0" w:color="DCDDDE"/>
              <w:right w:val="nil"/>
            </w:tcBorders>
            <w:shd w:val="clear" w:color="000000" w:fill="FFFFFF"/>
            <w:noWrap/>
            <w:vAlign w:val="center"/>
            <w:hideMark/>
          </w:tcPr>
          <w:p w14:paraId="4008832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68</w:t>
            </w:r>
          </w:p>
        </w:tc>
        <w:tc>
          <w:tcPr>
            <w:tcW w:w="557" w:type="dxa"/>
            <w:tcBorders>
              <w:top w:val="nil"/>
              <w:left w:val="nil"/>
              <w:bottom w:val="single" w:sz="8" w:space="0" w:color="DCDDDE"/>
              <w:right w:val="nil"/>
            </w:tcBorders>
            <w:shd w:val="clear" w:color="000000" w:fill="FFFFFF"/>
            <w:noWrap/>
            <w:vAlign w:val="center"/>
            <w:hideMark/>
          </w:tcPr>
          <w:p w14:paraId="219C2D9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69</w:t>
            </w:r>
          </w:p>
        </w:tc>
        <w:tc>
          <w:tcPr>
            <w:tcW w:w="557" w:type="dxa"/>
            <w:tcBorders>
              <w:top w:val="nil"/>
              <w:left w:val="nil"/>
              <w:bottom w:val="single" w:sz="8" w:space="0" w:color="DCDDDE"/>
              <w:right w:val="nil"/>
            </w:tcBorders>
            <w:shd w:val="clear" w:color="000000" w:fill="FFFFFF"/>
            <w:noWrap/>
            <w:vAlign w:val="center"/>
            <w:hideMark/>
          </w:tcPr>
          <w:p w14:paraId="7F8D92BA"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71</w:t>
            </w:r>
          </w:p>
        </w:tc>
        <w:tc>
          <w:tcPr>
            <w:tcW w:w="557" w:type="dxa"/>
            <w:tcBorders>
              <w:top w:val="nil"/>
              <w:left w:val="nil"/>
              <w:bottom w:val="single" w:sz="8" w:space="0" w:color="DCDDDE"/>
              <w:right w:val="nil"/>
            </w:tcBorders>
            <w:shd w:val="clear" w:color="000000" w:fill="FFFFFF"/>
            <w:noWrap/>
            <w:vAlign w:val="center"/>
            <w:hideMark/>
          </w:tcPr>
          <w:p w14:paraId="7542F57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71</w:t>
            </w:r>
          </w:p>
        </w:tc>
        <w:tc>
          <w:tcPr>
            <w:tcW w:w="557" w:type="dxa"/>
            <w:tcBorders>
              <w:top w:val="nil"/>
              <w:left w:val="nil"/>
              <w:bottom w:val="single" w:sz="8" w:space="0" w:color="DCDDDE"/>
              <w:right w:val="nil"/>
            </w:tcBorders>
            <w:shd w:val="clear" w:color="000000" w:fill="FFFFFF"/>
            <w:noWrap/>
            <w:vAlign w:val="center"/>
            <w:hideMark/>
          </w:tcPr>
          <w:p w14:paraId="24CF8E81"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73</w:t>
            </w:r>
          </w:p>
        </w:tc>
        <w:tc>
          <w:tcPr>
            <w:tcW w:w="557" w:type="dxa"/>
            <w:tcBorders>
              <w:top w:val="nil"/>
              <w:left w:val="nil"/>
              <w:bottom w:val="single" w:sz="8" w:space="0" w:color="DCDDDE"/>
              <w:right w:val="nil"/>
            </w:tcBorders>
            <w:shd w:val="clear" w:color="000000" w:fill="FFFFFF"/>
            <w:noWrap/>
            <w:vAlign w:val="center"/>
            <w:hideMark/>
          </w:tcPr>
          <w:p w14:paraId="499AAE3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76</w:t>
            </w:r>
          </w:p>
        </w:tc>
        <w:tc>
          <w:tcPr>
            <w:tcW w:w="557" w:type="dxa"/>
            <w:tcBorders>
              <w:top w:val="nil"/>
              <w:left w:val="nil"/>
              <w:bottom w:val="single" w:sz="8" w:space="0" w:color="DCDDDE"/>
              <w:right w:val="nil"/>
            </w:tcBorders>
            <w:shd w:val="clear" w:color="000000" w:fill="FFFFFF"/>
            <w:noWrap/>
            <w:vAlign w:val="center"/>
            <w:hideMark/>
          </w:tcPr>
          <w:p w14:paraId="4E1AA5DC"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80</w:t>
            </w:r>
          </w:p>
        </w:tc>
        <w:tc>
          <w:tcPr>
            <w:tcW w:w="557" w:type="dxa"/>
            <w:tcBorders>
              <w:top w:val="nil"/>
              <w:left w:val="nil"/>
              <w:bottom w:val="single" w:sz="8" w:space="0" w:color="DCDDDE"/>
              <w:right w:val="nil"/>
            </w:tcBorders>
            <w:shd w:val="clear" w:color="000000" w:fill="FFFFFF"/>
            <w:noWrap/>
            <w:vAlign w:val="center"/>
            <w:hideMark/>
          </w:tcPr>
          <w:p w14:paraId="6F59CB00"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87</w:t>
            </w:r>
          </w:p>
        </w:tc>
      </w:tr>
      <w:tr w:rsidR="009A6333" w:rsidRPr="009A6333" w14:paraId="5AFCC46D" w14:textId="77777777" w:rsidTr="00D70E28">
        <w:trPr>
          <w:gridAfter w:val="1"/>
          <w:wAfter w:w="11" w:type="dxa"/>
          <w:trHeight w:val="218"/>
          <w:jc w:val="center"/>
        </w:trPr>
        <w:tc>
          <w:tcPr>
            <w:tcW w:w="1650" w:type="dxa"/>
            <w:tcBorders>
              <w:top w:val="nil"/>
              <w:left w:val="nil"/>
              <w:bottom w:val="single" w:sz="8" w:space="0" w:color="DCDDDE"/>
              <w:right w:val="nil"/>
            </w:tcBorders>
            <w:shd w:val="clear" w:color="000000" w:fill="FFFFFF"/>
            <w:vAlign w:val="center"/>
            <w:hideMark/>
          </w:tcPr>
          <w:p w14:paraId="08D6EEF5"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C&amp;S*</w:t>
            </w:r>
          </w:p>
        </w:tc>
        <w:tc>
          <w:tcPr>
            <w:tcW w:w="557" w:type="dxa"/>
            <w:tcBorders>
              <w:top w:val="nil"/>
              <w:left w:val="nil"/>
              <w:bottom w:val="single" w:sz="8" w:space="0" w:color="DCDDDE"/>
              <w:right w:val="nil"/>
            </w:tcBorders>
            <w:shd w:val="clear" w:color="000000" w:fill="FFFFFF"/>
            <w:noWrap/>
            <w:vAlign w:val="center"/>
            <w:hideMark/>
          </w:tcPr>
          <w:p w14:paraId="3899D7B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39</w:t>
            </w:r>
          </w:p>
        </w:tc>
        <w:tc>
          <w:tcPr>
            <w:tcW w:w="557" w:type="dxa"/>
            <w:tcBorders>
              <w:top w:val="nil"/>
              <w:left w:val="nil"/>
              <w:bottom w:val="single" w:sz="8" w:space="0" w:color="DCDDDE"/>
              <w:right w:val="nil"/>
            </w:tcBorders>
            <w:shd w:val="clear" w:color="000000" w:fill="FFFFFF"/>
            <w:noWrap/>
            <w:vAlign w:val="center"/>
            <w:hideMark/>
          </w:tcPr>
          <w:p w14:paraId="00F54F7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39</w:t>
            </w:r>
          </w:p>
        </w:tc>
        <w:tc>
          <w:tcPr>
            <w:tcW w:w="557" w:type="dxa"/>
            <w:tcBorders>
              <w:top w:val="nil"/>
              <w:left w:val="nil"/>
              <w:bottom w:val="single" w:sz="8" w:space="0" w:color="DCDDDE"/>
              <w:right w:val="nil"/>
            </w:tcBorders>
            <w:shd w:val="clear" w:color="000000" w:fill="FFFFFF"/>
            <w:noWrap/>
            <w:vAlign w:val="center"/>
            <w:hideMark/>
          </w:tcPr>
          <w:p w14:paraId="5DF7373D"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47</w:t>
            </w:r>
          </w:p>
        </w:tc>
        <w:tc>
          <w:tcPr>
            <w:tcW w:w="557" w:type="dxa"/>
            <w:tcBorders>
              <w:top w:val="nil"/>
              <w:left w:val="nil"/>
              <w:bottom w:val="single" w:sz="8" w:space="0" w:color="DCDDDE"/>
              <w:right w:val="nil"/>
            </w:tcBorders>
            <w:shd w:val="clear" w:color="000000" w:fill="FFFFFF"/>
            <w:noWrap/>
            <w:vAlign w:val="center"/>
            <w:hideMark/>
          </w:tcPr>
          <w:p w14:paraId="700F0E47"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0CA3AD69"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7E40531B"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04C13B55"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54</w:t>
            </w:r>
          </w:p>
        </w:tc>
        <w:tc>
          <w:tcPr>
            <w:tcW w:w="557" w:type="dxa"/>
            <w:tcBorders>
              <w:top w:val="nil"/>
              <w:left w:val="nil"/>
              <w:bottom w:val="single" w:sz="8" w:space="0" w:color="DCDDDE"/>
              <w:right w:val="nil"/>
            </w:tcBorders>
            <w:shd w:val="clear" w:color="000000" w:fill="FFFFFF"/>
            <w:noWrap/>
            <w:vAlign w:val="center"/>
            <w:hideMark/>
          </w:tcPr>
          <w:p w14:paraId="040DDD8F"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53</w:t>
            </w:r>
          </w:p>
        </w:tc>
        <w:tc>
          <w:tcPr>
            <w:tcW w:w="557" w:type="dxa"/>
            <w:tcBorders>
              <w:top w:val="nil"/>
              <w:left w:val="nil"/>
              <w:bottom w:val="single" w:sz="8" w:space="0" w:color="DCDDDE"/>
              <w:right w:val="nil"/>
            </w:tcBorders>
            <w:shd w:val="clear" w:color="000000" w:fill="FFFFFF"/>
            <w:noWrap/>
            <w:vAlign w:val="center"/>
            <w:hideMark/>
          </w:tcPr>
          <w:p w14:paraId="22F97AD6"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40</w:t>
            </w:r>
          </w:p>
        </w:tc>
        <w:tc>
          <w:tcPr>
            <w:tcW w:w="557" w:type="dxa"/>
            <w:tcBorders>
              <w:top w:val="nil"/>
              <w:left w:val="nil"/>
              <w:bottom w:val="single" w:sz="8" w:space="0" w:color="DCDDDE"/>
              <w:right w:val="nil"/>
            </w:tcBorders>
            <w:shd w:val="clear" w:color="000000" w:fill="FFFFFF"/>
            <w:noWrap/>
            <w:vAlign w:val="center"/>
            <w:hideMark/>
          </w:tcPr>
          <w:p w14:paraId="57EA2CF2"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36</w:t>
            </w:r>
          </w:p>
        </w:tc>
        <w:tc>
          <w:tcPr>
            <w:tcW w:w="557" w:type="dxa"/>
            <w:tcBorders>
              <w:top w:val="nil"/>
              <w:left w:val="nil"/>
              <w:bottom w:val="single" w:sz="8" w:space="0" w:color="DCDDDE"/>
              <w:right w:val="nil"/>
            </w:tcBorders>
            <w:shd w:val="clear" w:color="000000" w:fill="FFFFFF"/>
            <w:noWrap/>
            <w:vAlign w:val="center"/>
            <w:hideMark/>
          </w:tcPr>
          <w:p w14:paraId="4DCB2B83"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35</w:t>
            </w:r>
          </w:p>
        </w:tc>
        <w:tc>
          <w:tcPr>
            <w:tcW w:w="557" w:type="dxa"/>
            <w:tcBorders>
              <w:top w:val="nil"/>
              <w:left w:val="nil"/>
              <w:bottom w:val="single" w:sz="8" w:space="0" w:color="DCDDDE"/>
              <w:right w:val="nil"/>
            </w:tcBorders>
            <w:shd w:val="clear" w:color="000000" w:fill="FFFFFF"/>
            <w:noWrap/>
            <w:vAlign w:val="center"/>
            <w:hideMark/>
          </w:tcPr>
          <w:p w14:paraId="06511424"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34</w:t>
            </w:r>
          </w:p>
        </w:tc>
        <w:tc>
          <w:tcPr>
            <w:tcW w:w="557" w:type="dxa"/>
            <w:tcBorders>
              <w:top w:val="nil"/>
              <w:left w:val="nil"/>
              <w:bottom w:val="single" w:sz="8" w:space="0" w:color="DCDDDE"/>
              <w:right w:val="nil"/>
            </w:tcBorders>
            <w:shd w:val="clear" w:color="000000" w:fill="FFFFFF"/>
            <w:noWrap/>
            <w:vAlign w:val="center"/>
            <w:hideMark/>
          </w:tcPr>
          <w:p w14:paraId="6F7E4A7E" w14:textId="77777777" w:rsidR="009A6333" w:rsidRPr="009A6333" w:rsidRDefault="009A6333" w:rsidP="009A6333">
            <w:pPr>
              <w:spacing w:line="240" w:lineRule="auto"/>
              <w:jc w:val="right"/>
              <w:rPr>
                <w:rFonts w:ascii="Arial Narrow" w:hAnsi="Arial Narrow"/>
                <w:sz w:val="18"/>
                <w:szCs w:val="18"/>
              </w:rPr>
            </w:pPr>
            <w:r w:rsidRPr="009A6333">
              <w:rPr>
                <w:rFonts w:ascii="Arial Narrow" w:hAnsi="Arial Narrow"/>
                <w:sz w:val="18"/>
                <w:szCs w:val="18"/>
              </w:rPr>
              <w:t>35</w:t>
            </w:r>
          </w:p>
        </w:tc>
      </w:tr>
      <w:tr w:rsidR="009A6333" w:rsidRPr="009A6333" w14:paraId="17525CFE" w14:textId="77777777" w:rsidTr="00D70E28">
        <w:trPr>
          <w:gridAfter w:val="1"/>
          <w:wAfter w:w="11" w:type="dxa"/>
          <w:trHeight w:val="218"/>
          <w:jc w:val="center"/>
        </w:trPr>
        <w:tc>
          <w:tcPr>
            <w:tcW w:w="1650" w:type="dxa"/>
            <w:tcBorders>
              <w:top w:val="nil"/>
              <w:left w:val="nil"/>
              <w:bottom w:val="single" w:sz="8" w:space="0" w:color="DCDDDE"/>
              <w:right w:val="nil"/>
            </w:tcBorders>
            <w:shd w:val="clear" w:color="000000" w:fill="FFFFFF"/>
            <w:vAlign w:val="center"/>
            <w:hideMark/>
          </w:tcPr>
          <w:p w14:paraId="2E085ECB" w14:textId="77777777" w:rsidR="009A6333" w:rsidRPr="009A6333" w:rsidRDefault="009A6333" w:rsidP="007E3550">
            <w:pPr>
              <w:spacing w:line="240" w:lineRule="auto"/>
              <w:rPr>
                <w:rFonts w:ascii="Arial Narrow" w:hAnsi="Arial Narrow"/>
                <w:b/>
                <w:bCs/>
                <w:sz w:val="18"/>
                <w:szCs w:val="18"/>
              </w:rPr>
            </w:pPr>
            <w:r w:rsidRPr="009A6333">
              <w:rPr>
                <w:rFonts w:ascii="Arial Narrow" w:hAnsi="Arial Narrow"/>
                <w:b/>
                <w:bCs/>
                <w:sz w:val="18"/>
                <w:szCs w:val="18"/>
              </w:rPr>
              <w:t>Total</w:t>
            </w:r>
          </w:p>
        </w:tc>
        <w:tc>
          <w:tcPr>
            <w:tcW w:w="557" w:type="dxa"/>
            <w:tcBorders>
              <w:top w:val="nil"/>
              <w:left w:val="nil"/>
              <w:bottom w:val="single" w:sz="8" w:space="0" w:color="DCDDDE"/>
              <w:right w:val="nil"/>
            </w:tcBorders>
            <w:shd w:val="clear" w:color="000000" w:fill="FFFFFF"/>
            <w:noWrap/>
            <w:vAlign w:val="center"/>
            <w:hideMark/>
          </w:tcPr>
          <w:p w14:paraId="12295961"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88</w:t>
            </w:r>
          </w:p>
        </w:tc>
        <w:tc>
          <w:tcPr>
            <w:tcW w:w="557" w:type="dxa"/>
            <w:tcBorders>
              <w:top w:val="nil"/>
              <w:left w:val="nil"/>
              <w:bottom w:val="single" w:sz="8" w:space="0" w:color="DCDDDE"/>
              <w:right w:val="nil"/>
            </w:tcBorders>
            <w:shd w:val="clear" w:color="000000" w:fill="FFFFFF"/>
            <w:noWrap/>
            <w:vAlign w:val="center"/>
            <w:hideMark/>
          </w:tcPr>
          <w:p w14:paraId="5756AA97"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93</w:t>
            </w:r>
          </w:p>
        </w:tc>
        <w:tc>
          <w:tcPr>
            <w:tcW w:w="557" w:type="dxa"/>
            <w:tcBorders>
              <w:top w:val="nil"/>
              <w:left w:val="nil"/>
              <w:bottom w:val="single" w:sz="8" w:space="0" w:color="DCDDDE"/>
              <w:right w:val="nil"/>
            </w:tcBorders>
            <w:shd w:val="clear" w:color="000000" w:fill="FFFFFF"/>
            <w:noWrap/>
            <w:vAlign w:val="center"/>
            <w:hideMark/>
          </w:tcPr>
          <w:p w14:paraId="32DB4038"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103</w:t>
            </w:r>
          </w:p>
        </w:tc>
        <w:tc>
          <w:tcPr>
            <w:tcW w:w="557" w:type="dxa"/>
            <w:tcBorders>
              <w:top w:val="nil"/>
              <w:left w:val="nil"/>
              <w:bottom w:val="single" w:sz="8" w:space="0" w:color="DCDDDE"/>
              <w:right w:val="nil"/>
            </w:tcBorders>
            <w:shd w:val="clear" w:color="000000" w:fill="FFFFFF"/>
            <w:noWrap/>
            <w:vAlign w:val="center"/>
            <w:hideMark/>
          </w:tcPr>
          <w:p w14:paraId="203B6443"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112</w:t>
            </w:r>
          </w:p>
        </w:tc>
        <w:tc>
          <w:tcPr>
            <w:tcW w:w="557" w:type="dxa"/>
            <w:tcBorders>
              <w:top w:val="nil"/>
              <w:left w:val="nil"/>
              <w:bottom w:val="single" w:sz="8" w:space="0" w:color="DCDDDE"/>
              <w:right w:val="nil"/>
            </w:tcBorders>
            <w:shd w:val="clear" w:color="000000" w:fill="FFFFFF"/>
            <w:noWrap/>
            <w:vAlign w:val="center"/>
            <w:hideMark/>
          </w:tcPr>
          <w:p w14:paraId="21820F7F"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117</w:t>
            </w:r>
          </w:p>
        </w:tc>
        <w:tc>
          <w:tcPr>
            <w:tcW w:w="557" w:type="dxa"/>
            <w:tcBorders>
              <w:top w:val="nil"/>
              <w:left w:val="nil"/>
              <w:bottom w:val="single" w:sz="8" w:space="0" w:color="DCDDDE"/>
              <w:right w:val="nil"/>
            </w:tcBorders>
            <w:shd w:val="clear" w:color="000000" w:fill="FFFFFF"/>
            <w:noWrap/>
            <w:vAlign w:val="center"/>
            <w:hideMark/>
          </w:tcPr>
          <w:p w14:paraId="1599349C"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122</w:t>
            </w:r>
          </w:p>
        </w:tc>
        <w:tc>
          <w:tcPr>
            <w:tcW w:w="557" w:type="dxa"/>
            <w:tcBorders>
              <w:top w:val="nil"/>
              <w:left w:val="nil"/>
              <w:bottom w:val="single" w:sz="8" w:space="0" w:color="DCDDDE"/>
              <w:right w:val="nil"/>
            </w:tcBorders>
            <w:shd w:val="clear" w:color="000000" w:fill="FFFFFF"/>
            <w:noWrap/>
            <w:vAlign w:val="center"/>
            <w:hideMark/>
          </w:tcPr>
          <w:p w14:paraId="3184045D"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122</w:t>
            </w:r>
          </w:p>
        </w:tc>
        <w:tc>
          <w:tcPr>
            <w:tcW w:w="557" w:type="dxa"/>
            <w:tcBorders>
              <w:top w:val="nil"/>
              <w:left w:val="nil"/>
              <w:bottom w:val="single" w:sz="8" w:space="0" w:color="DCDDDE"/>
              <w:right w:val="nil"/>
            </w:tcBorders>
            <w:shd w:val="clear" w:color="000000" w:fill="FFFFFF"/>
            <w:noWrap/>
            <w:vAlign w:val="center"/>
            <w:hideMark/>
          </w:tcPr>
          <w:p w14:paraId="30A82666"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124</w:t>
            </w:r>
          </w:p>
        </w:tc>
        <w:tc>
          <w:tcPr>
            <w:tcW w:w="557" w:type="dxa"/>
            <w:tcBorders>
              <w:top w:val="nil"/>
              <w:left w:val="nil"/>
              <w:bottom w:val="single" w:sz="8" w:space="0" w:color="DCDDDE"/>
              <w:right w:val="nil"/>
            </w:tcBorders>
            <w:shd w:val="clear" w:color="000000" w:fill="FFFFFF"/>
            <w:noWrap/>
            <w:vAlign w:val="center"/>
            <w:hideMark/>
          </w:tcPr>
          <w:p w14:paraId="3DD5DCE3"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111</w:t>
            </w:r>
          </w:p>
        </w:tc>
        <w:tc>
          <w:tcPr>
            <w:tcW w:w="557" w:type="dxa"/>
            <w:tcBorders>
              <w:top w:val="nil"/>
              <w:left w:val="nil"/>
              <w:bottom w:val="single" w:sz="8" w:space="0" w:color="DCDDDE"/>
              <w:right w:val="nil"/>
            </w:tcBorders>
            <w:shd w:val="clear" w:color="000000" w:fill="FFFFFF"/>
            <w:noWrap/>
            <w:vAlign w:val="center"/>
            <w:hideMark/>
          </w:tcPr>
          <w:p w14:paraId="5087D564"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110</w:t>
            </w:r>
          </w:p>
        </w:tc>
        <w:tc>
          <w:tcPr>
            <w:tcW w:w="557" w:type="dxa"/>
            <w:tcBorders>
              <w:top w:val="nil"/>
              <w:left w:val="nil"/>
              <w:bottom w:val="single" w:sz="8" w:space="0" w:color="DCDDDE"/>
              <w:right w:val="nil"/>
            </w:tcBorders>
            <w:shd w:val="clear" w:color="000000" w:fill="FFFFFF"/>
            <w:noWrap/>
            <w:vAlign w:val="center"/>
            <w:hideMark/>
          </w:tcPr>
          <w:p w14:paraId="061250DF"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111</w:t>
            </w:r>
          </w:p>
        </w:tc>
        <w:tc>
          <w:tcPr>
            <w:tcW w:w="557" w:type="dxa"/>
            <w:tcBorders>
              <w:top w:val="nil"/>
              <w:left w:val="nil"/>
              <w:bottom w:val="single" w:sz="8" w:space="0" w:color="DCDDDE"/>
              <w:right w:val="nil"/>
            </w:tcBorders>
            <w:shd w:val="clear" w:color="000000" w:fill="FFFFFF"/>
            <w:noWrap/>
            <w:vAlign w:val="center"/>
            <w:hideMark/>
          </w:tcPr>
          <w:p w14:paraId="07B531F0"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114</w:t>
            </w:r>
          </w:p>
        </w:tc>
        <w:tc>
          <w:tcPr>
            <w:tcW w:w="557" w:type="dxa"/>
            <w:tcBorders>
              <w:top w:val="nil"/>
              <w:left w:val="nil"/>
              <w:bottom w:val="single" w:sz="8" w:space="0" w:color="DCDDDE"/>
              <w:right w:val="nil"/>
            </w:tcBorders>
            <w:shd w:val="clear" w:color="000000" w:fill="FFFFFF"/>
            <w:noWrap/>
            <w:vAlign w:val="center"/>
            <w:hideMark/>
          </w:tcPr>
          <w:p w14:paraId="4D497D22" w14:textId="77777777" w:rsidR="009A6333" w:rsidRPr="009A6333" w:rsidRDefault="009A6333" w:rsidP="009A6333">
            <w:pPr>
              <w:spacing w:line="240" w:lineRule="auto"/>
              <w:jc w:val="right"/>
              <w:rPr>
                <w:rFonts w:ascii="Arial Narrow" w:hAnsi="Arial Narrow"/>
                <w:b/>
                <w:bCs/>
                <w:sz w:val="18"/>
                <w:szCs w:val="18"/>
              </w:rPr>
            </w:pPr>
            <w:r w:rsidRPr="009A6333">
              <w:rPr>
                <w:rFonts w:ascii="Arial Narrow" w:hAnsi="Arial Narrow"/>
                <w:b/>
                <w:bCs/>
                <w:sz w:val="18"/>
                <w:szCs w:val="18"/>
              </w:rPr>
              <w:t>121</w:t>
            </w:r>
          </w:p>
        </w:tc>
      </w:tr>
    </w:tbl>
    <w:p w14:paraId="4DC6355E" w14:textId="77777777" w:rsidR="00C25BCB" w:rsidRDefault="00A25F1A" w:rsidP="00A25F1A">
      <w:pPr>
        <w:spacing w:line="240" w:lineRule="auto"/>
        <w:jc w:val="center"/>
      </w:pPr>
      <w:r w:rsidRPr="00252D53">
        <w:t>*includes interactive effects</w:t>
      </w:r>
    </w:p>
    <w:p w14:paraId="47FA40B9" w14:textId="6695E598" w:rsidR="00C25BCB" w:rsidRDefault="00C25BCB" w:rsidP="00C25BCB"/>
    <w:p w14:paraId="1F95F07B" w14:textId="4A0EBC19" w:rsidR="00D70E28" w:rsidRDefault="00D70E28" w:rsidP="00C25BCB"/>
    <w:p w14:paraId="3252DA6F" w14:textId="16061F8C" w:rsidR="00D70E28" w:rsidRDefault="00D70E28" w:rsidP="00C25BCB"/>
    <w:p w14:paraId="03F50B57" w14:textId="77777777" w:rsidR="00D70E28" w:rsidRDefault="00D70E28" w:rsidP="00C25BCB"/>
    <w:p w14:paraId="6691D06C" w14:textId="77777777" w:rsidR="0029282B" w:rsidRDefault="00A47C15" w:rsidP="00AF21BE">
      <w:r>
        <w:lastRenderedPageBreak/>
        <w:fldChar w:fldCharType="begin"/>
      </w:r>
      <w:r>
        <w:instrText xml:space="preserve"> REF _Ref484779750 \h </w:instrText>
      </w:r>
      <w:r>
        <w:fldChar w:fldCharType="separate"/>
      </w:r>
      <w:r w:rsidR="007566B9" w:rsidRPr="00F123A3">
        <w:t xml:space="preserve">Figure </w:t>
      </w:r>
      <w:r w:rsidR="007566B9">
        <w:rPr>
          <w:noProof/>
        </w:rPr>
        <w:t>4</w:t>
      </w:r>
      <w:r w:rsidR="007566B9">
        <w:noBreakHyphen/>
      </w:r>
      <w:r w:rsidR="007566B9">
        <w:rPr>
          <w:noProof/>
        </w:rPr>
        <w:t>1</w:t>
      </w:r>
      <w:r>
        <w:fldChar w:fldCharType="end"/>
      </w:r>
      <w:r>
        <w:t xml:space="preserve"> and </w:t>
      </w:r>
      <w:r>
        <w:fldChar w:fldCharType="begin"/>
      </w:r>
      <w:r>
        <w:instrText xml:space="preserve"> REF _Ref484779752 \h </w:instrText>
      </w:r>
      <w:r>
        <w:fldChar w:fldCharType="separate"/>
      </w:r>
      <w:r w:rsidR="007566B9" w:rsidRPr="00F123A3">
        <w:t xml:space="preserve">Figure </w:t>
      </w:r>
      <w:r w:rsidR="007566B9">
        <w:rPr>
          <w:noProof/>
        </w:rPr>
        <w:t>4</w:t>
      </w:r>
      <w:r w:rsidR="007566B9">
        <w:noBreakHyphen/>
      </w:r>
      <w:r w:rsidR="007566B9">
        <w:rPr>
          <w:noProof/>
        </w:rPr>
        <w:t>2</w:t>
      </w:r>
      <w:r>
        <w:fldChar w:fldCharType="end"/>
      </w:r>
      <w:r>
        <w:t xml:space="preserve"> </w:t>
      </w:r>
      <w:r w:rsidR="00502AC0">
        <w:t xml:space="preserve">compares the savings from </w:t>
      </w:r>
      <w:r w:rsidR="00B55BA7">
        <w:t xml:space="preserve">all incentives programs, which include savings from </w:t>
      </w:r>
      <w:r w:rsidR="00E92225">
        <w:t>E</w:t>
      </w:r>
      <w:r w:rsidR="00B55BA7">
        <w:t xml:space="preserve">quipment </w:t>
      </w:r>
      <w:r w:rsidR="00E92225">
        <w:t>R</w:t>
      </w:r>
      <w:r w:rsidR="00B55BA7">
        <w:t>ebate programs,</w:t>
      </w:r>
      <w:r w:rsidR="00502AC0">
        <w:t xml:space="preserve"> BROs interventions</w:t>
      </w:r>
      <w:r w:rsidR="00B55BA7">
        <w:t xml:space="preserve"> and </w:t>
      </w:r>
      <w:r w:rsidR="00E92225">
        <w:t>L</w:t>
      </w:r>
      <w:r w:rsidR="00B55BA7">
        <w:t xml:space="preserve">ow </w:t>
      </w:r>
      <w:r w:rsidR="00E92225">
        <w:t>I</w:t>
      </w:r>
      <w:r w:rsidR="00B55BA7">
        <w:t>ncome programs,</w:t>
      </w:r>
      <w:r w:rsidR="00502AC0">
        <w:t xml:space="preserve"> as a percent of IOU sales. Savings as a percent of sales is a common metric provided in other potentials studies and industry standard practice is to exclude savings from C&amp;S from such calculations.</w:t>
      </w:r>
      <w:r w:rsidR="006B0582">
        <w:t xml:space="preserve">  Energy sales are sourced</w:t>
      </w:r>
      <w:r>
        <w:t xml:space="preserve"> from the CEC’s IEPR Mid-Case.</w:t>
      </w:r>
      <w:r w:rsidR="0029282B">
        <w:t xml:space="preserve"> </w:t>
      </w:r>
    </w:p>
    <w:p w14:paraId="02F5A990" w14:textId="77777777" w:rsidR="0029282B" w:rsidRDefault="0029282B" w:rsidP="00AF21BE"/>
    <w:p w14:paraId="2576A320" w14:textId="77777777" w:rsidR="0029282B" w:rsidRDefault="0029282B" w:rsidP="00AF21BE">
      <w:r>
        <w:t>For electric, m</w:t>
      </w:r>
      <w:r w:rsidRPr="00D806B2">
        <w:t xml:space="preserve">arket potential savings as a percentage of forecasted electric energy usage </w:t>
      </w:r>
      <w:r w:rsidRPr="00031C0C">
        <w:t xml:space="preserve">grows </w:t>
      </w:r>
      <w:r w:rsidRPr="00D806B2">
        <w:t>from 0.</w:t>
      </w:r>
      <w:r>
        <w:t>48</w:t>
      </w:r>
      <w:r w:rsidRPr="00D806B2">
        <w:t>% to</w:t>
      </w:r>
      <w:r w:rsidRPr="00031C0C">
        <w:t xml:space="preserve"> 0.</w:t>
      </w:r>
      <w:r>
        <w:t>75</w:t>
      </w:r>
      <w:r w:rsidRPr="00031C0C">
        <w:t xml:space="preserve">% between 2018 and 2030 under Scenario 1 (TRC Reference).  Under the most optimistic case, market potential grows from </w:t>
      </w:r>
      <w:r w:rsidRPr="00D806B2">
        <w:t>0.6</w:t>
      </w:r>
      <w:r>
        <w:t>6</w:t>
      </w:r>
      <w:r w:rsidRPr="00D806B2">
        <w:t xml:space="preserve">% in </w:t>
      </w:r>
      <w:r w:rsidRPr="00031C0C">
        <w:t>2018 to 1.</w:t>
      </w:r>
      <w:r>
        <w:t>13</w:t>
      </w:r>
      <w:r w:rsidRPr="00031C0C">
        <w:t>% by 2030 under Scenario 5 (PAC Aggressive).</w:t>
      </w:r>
    </w:p>
    <w:p w14:paraId="535CC3BD" w14:textId="77777777" w:rsidR="0029282B" w:rsidRDefault="0029282B" w:rsidP="00AF21BE">
      <w:r w:rsidRPr="00031C0C">
        <w:t xml:space="preserve">  </w:t>
      </w:r>
    </w:p>
    <w:p w14:paraId="77F3EFDA" w14:textId="77777777" w:rsidR="00BE543D" w:rsidRDefault="0029282B" w:rsidP="00502AC0">
      <w:r>
        <w:t>For gas incentive program savings, Scenario 5 (PAC Aggressive) and Scenario 3 (mTRC w/ GHG adder 2) are roughly on par until 2023. This is because the GHG adder, which is high in Scenario 3, is applied uniformly to all gas measures. On the other hand, the impact of the adder on electric measures is loadshape-dependent, which means the benefits of the GHG adder vary by time of day and season. Beyond 2023, Scenario 5 starts to yield the highest gas potential as BROs participation starts to ramp up in the Aggressive scenario.</w:t>
      </w:r>
    </w:p>
    <w:p w14:paraId="04F879B1" w14:textId="4A67A6A0" w:rsidR="00502AC0" w:rsidRDefault="00502AC0" w:rsidP="00502AC0"/>
    <w:p w14:paraId="4B611B72" w14:textId="24A12285" w:rsidR="00CA2460" w:rsidRPr="007F4CCF" w:rsidRDefault="00A47C15" w:rsidP="007F4CCF">
      <w:pPr>
        <w:pStyle w:val="Caption"/>
        <w:rPr>
          <w:noProof/>
        </w:rPr>
      </w:pPr>
      <w:bookmarkStart w:id="773" w:name="_Ref484779750"/>
      <w:bookmarkStart w:id="774" w:name="_Toc490491734"/>
      <w:r w:rsidRPr="007F4CCF">
        <w:rPr>
          <w:rStyle w:val="CaptionChar"/>
          <w:b/>
        </w:rPr>
        <w:t xml:space="preserve">Figure </w:t>
      </w:r>
      <w:r w:rsidR="000409BD" w:rsidRPr="007F4CCF">
        <w:rPr>
          <w:rStyle w:val="CaptionChar"/>
          <w:b/>
        </w:rPr>
        <w:fldChar w:fldCharType="begin"/>
      </w:r>
      <w:r w:rsidR="000409BD" w:rsidRPr="007F4CCF">
        <w:rPr>
          <w:rStyle w:val="CaptionChar"/>
          <w:b/>
        </w:rPr>
        <w:instrText xml:space="preserve"> STYLEREF 1 \s </w:instrText>
      </w:r>
      <w:r w:rsidR="000409BD" w:rsidRPr="007F4CCF">
        <w:rPr>
          <w:rStyle w:val="CaptionChar"/>
          <w:b/>
        </w:rPr>
        <w:fldChar w:fldCharType="separate"/>
      </w:r>
      <w:r w:rsidR="007566B9" w:rsidRPr="007F4CCF">
        <w:rPr>
          <w:rStyle w:val="CaptionChar"/>
          <w:b/>
        </w:rPr>
        <w:t>4</w:t>
      </w:r>
      <w:r w:rsidR="000409BD" w:rsidRPr="007F4CCF">
        <w:rPr>
          <w:rStyle w:val="CaptionChar"/>
          <w:b/>
        </w:rPr>
        <w:fldChar w:fldCharType="end"/>
      </w:r>
      <w:r w:rsidR="00CE124F" w:rsidRPr="007F4CCF">
        <w:rPr>
          <w:rStyle w:val="CaptionChar"/>
          <w:b/>
        </w:rPr>
        <w:noBreakHyphen/>
      </w:r>
      <w:r w:rsidR="000409BD" w:rsidRPr="007F4CCF">
        <w:rPr>
          <w:rStyle w:val="CaptionChar"/>
          <w:b/>
        </w:rPr>
        <w:fldChar w:fldCharType="begin"/>
      </w:r>
      <w:r w:rsidR="000409BD" w:rsidRPr="007F4CCF">
        <w:rPr>
          <w:rStyle w:val="CaptionChar"/>
          <w:b/>
        </w:rPr>
        <w:instrText xml:space="preserve"> SEQ Figure \* ARABIC \s 1 </w:instrText>
      </w:r>
      <w:r w:rsidR="000409BD" w:rsidRPr="007F4CCF">
        <w:rPr>
          <w:rStyle w:val="CaptionChar"/>
          <w:b/>
        </w:rPr>
        <w:fldChar w:fldCharType="separate"/>
      </w:r>
      <w:r w:rsidR="007566B9" w:rsidRPr="007F4CCF">
        <w:rPr>
          <w:rStyle w:val="CaptionChar"/>
          <w:b/>
        </w:rPr>
        <w:t>1</w:t>
      </w:r>
      <w:r w:rsidR="000409BD" w:rsidRPr="007F4CCF">
        <w:rPr>
          <w:rStyle w:val="CaptionChar"/>
          <w:b/>
        </w:rPr>
        <w:fldChar w:fldCharType="end"/>
      </w:r>
      <w:bookmarkEnd w:id="773"/>
      <w:r w:rsidRPr="007F4CCF">
        <w:rPr>
          <w:rStyle w:val="CaptionChar"/>
          <w:b/>
        </w:rPr>
        <w:t xml:space="preserve">. </w:t>
      </w:r>
      <w:r w:rsidR="009E47A3" w:rsidRPr="007F4CCF">
        <w:rPr>
          <w:rStyle w:val="CaptionChar"/>
          <w:b/>
        </w:rPr>
        <w:t>Incremental Electric Market Potential as a Percent of Sales</w:t>
      </w:r>
      <w:bookmarkEnd w:id="774"/>
      <w:r w:rsidR="009E47A3" w:rsidRPr="007F4CCF" w:rsidDel="009E47A3">
        <w:rPr>
          <w:rStyle w:val="CaptionChar"/>
          <w:b/>
        </w:rPr>
        <w:t xml:space="preserve"> </w:t>
      </w:r>
    </w:p>
    <w:p w14:paraId="54B618DD" w14:textId="593F8018" w:rsidR="00BE543D" w:rsidRDefault="00BE543D" w:rsidP="00BE543D">
      <w:r>
        <w:rPr>
          <w:noProof/>
        </w:rPr>
        <w:drawing>
          <wp:inline distT="0" distB="0" distL="0" distR="0" wp14:anchorId="74220B6E" wp14:editId="591D7EAF">
            <wp:extent cx="5885638" cy="2715768"/>
            <wp:effectExtent l="0" t="0" r="127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85638" cy="2715768"/>
                    </a:xfrm>
                    <a:prstGeom prst="rect">
                      <a:avLst/>
                    </a:prstGeom>
                    <a:noFill/>
                  </pic:spPr>
                </pic:pic>
              </a:graphicData>
            </a:graphic>
          </wp:inline>
        </w:drawing>
      </w:r>
    </w:p>
    <w:p w14:paraId="6766BB54" w14:textId="77777777" w:rsidR="00A47C15" w:rsidRDefault="00A47C15" w:rsidP="00502AC0">
      <w:pPr>
        <w:jc w:val="center"/>
        <w:rPr>
          <w:sz w:val="16"/>
        </w:rPr>
      </w:pPr>
      <w:r w:rsidRPr="00A47C15">
        <w:rPr>
          <w:sz w:val="16"/>
        </w:rPr>
        <w:t xml:space="preserve">Note: Excludes C&amp;S </w:t>
      </w:r>
    </w:p>
    <w:p w14:paraId="6B2D7A54" w14:textId="77777777" w:rsidR="00B55BA7" w:rsidRDefault="00B55BA7" w:rsidP="00502AC0">
      <w:pPr>
        <w:jc w:val="center"/>
        <w:rPr>
          <w:sz w:val="16"/>
        </w:rPr>
      </w:pPr>
    </w:p>
    <w:p w14:paraId="4ABAC92C" w14:textId="77777777" w:rsidR="00A47C15" w:rsidRDefault="00A47C15" w:rsidP="00502AC0">
      <w:pPr>
        <w:jc w:val="center"/>
        <w:rPr>
          <w:sz w:val="16"/>
        </w:rPr>
      </w:pPr>
    </w:p>
    <w:p w14:paraId="7AC4831C" w14:textId="77777777" w:rsidR="00A47C15" w:rsidRPr="00F123A3" w:rsidRDefault="00A47C15" w:rsidP="00A47C15">
      <w:pPr>
        <w:pStyle w:val="Caption"/>
      </w:pPr>
      <w:bookmarkStart w:id="775" w:name="_Ref484779752"/>
      <w:bookmarkStart w:id="776" w:name="_Toc490491735"/>
      <w:r w:rsidRPr="00F123A3">
        <w:lastRenderedPageBreak/>
        <w:t xml:space="preserve">Figure </w:t>
      </w:r>
      <w:fldSimple w:instr=" STYLEREF 1 \s ">
        <w:r w:rsidR="007566B9">
          <w:rPr>
            <w:noProof/>
          </w:rPr>
          <w:t>4</w:t>
        </w:r>
      </w:fldSimple>
      <w:r w:rsidR="00CE124F">
        <w:noBreakHyphen/>
      </w:r>
      <w:fldSimple w:instr=" SEQ Figure \* ARABIC \s 1 ">
        <w:r w:rsidR="007566B9">
          <w:rPr>
            <w:noProof/>
          </w:rPr>
          <w:t>2</w:t>
        </w:r>
      </w:fldSimple>
      <w:bookmarkEnd w:id="775"/>
      <w:r w:rsidRPr="00F123A3">
        <w:t>.</w:t>
      </w:r>
      <w:r>
        <w:t xml:space="preserve"> </w:t>
      </w:r>
      <w:r w:rsidR="009E47A3">
        <w:t xml:space="preserve">Incremental Gas Market </w:t>
      </w:r>
      <w:r w:rsidR="009E47A3" w:rsidRPr="00F123A3">
        <w:t xml:space="preserve">Potential </w:t>
      </w:r>
      <w:r w:rsidR="009E47A3">
        <w:t>as a Percent of Sales</w:t>
      </w:r>
      <w:bookmarkEnd w:id="776"/>
    </w:p>
    <w:p w14:paraId="5FE6B91D" w14:textId="77777777" w:rsidR="00A47C15" w:rsidRDefault="00B55BA7" w:rsidP="00502AC0">
      <w:pPr>
        <w:jc w:val="center"/>
      </w:pPr>
      <w:r>
        <w:rPr>
          <w:noProof/>
        </w:rPr>
        <w:drawing>
          <wp:inline distT="0" distB="0" distL="0" distR="0" wp14:anchorId="24292980" wp14:editId="5A29E1A7">
            <wp:extent cx="5885639" cy="2715768"/>
            <wp:effectExtent l="0" t="0" r="127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85639" cy="2715768"/>
                    </a:xfrm>
                    <a:prstGeom prst="rect">
                      <a:avLst/>
                    </a:prstGeom>
                    <a:noFill/>
                  </pic:spPr>
                </pic:pic>
              </a:graphicData>
            </a:graphic>
          </wp:inline>
        </w:drawing>
      </w:r>
    </w:p>
    <w:p w14:paraId="315875C3" w14:textId="77777777" w:rsidR="00A47C15" w:rsidRDefault="00A47C15" w:rsidP="00A47C15">
      <w:pPr>
        <w:jc w:val="center"/>
        <w:rPr>
          <w:sz w:val="16"/>
        </w:rPr>
      </w:pPr>
      <w:r w:rsidRPr="00A47C15">
        <w:rPr>
          <w:sz w:val="16"/>
        </w:rPr>
        <w:t xml:space="preserve">Note: Excludes C&amp;S </w:t>
      </w:r>
    </w:p>
    <w:p w14:paraId="29AA86B8" w14:textId="77777777" w:rsidR="002422FF" w:rsidRDefault="002422FF" w:rsidP="00A47C15">
      <w:pPr>
        <w:jc w:val="center"/>
        <w:rPr>
          <w:sz w:val="16"/>
        </w:rPr>
      </w:pPr>
    </w:p>
    <w:p w14:paraId="0DFF0242" w14:textId="0EF7E3DC" w:rsidR="002422FF" w:rsidRPr="008D3F73" w:rsidRDefault="00FA33C3" w:rsidP="002422FF">
      <w:pPr>
        <w:jc w:val="both"/>
      </w:pPr>
      <w:r>
        <w:fldChar w:fldCharType="begin"/>
      </w:r>
      <w:r>
        <w:instrText xml:space="preserve"> REF _Ref490228981 \h </w:instrText>
      </w:r>
      <w:r>
        <w:fldChar w:fldCharType="separate"/>
      </w:r>
      <w:r w:rsidRPr="00AF21BE">
        <w:t xml:space="preserve">Figure </w:t>
      </w:r>
      <w:r>
        <w:rPr>
          <w:noProof/>
        </w:rPr>
        <w:t>4</w:t>
      </w:r>
      <w:r>
        <w:noBreakHyphen/>
      </w:r>
      <w:r>
        <w:rPr>
          <w:noProof/>
        </w:rPr>
        <w:t>3</w:t>
      </w:r>
      <w:r>
        <w:fldChar w:fldCharType="end"/>
      </w:r>
      <w:r>
        <w:t xml:space="preserve"> </w:t>
      </w:r>
      <w:r w:rsidR="002422FF" w:rsidRPr="00AF21BE">
        <w:t xml:space="preserve">shows projected statewide spending </w:t>
      </w:r>
      <w:r w:rsidR="00E50701">
        <w:t xml:space="preserve">for rebate programs and BROs </w:t>
      </w:r>
      <w:r w:rsidR="002422FF" w:rsidRPr="00AF21BE">
        <w:t xml:space="preserve">by scenario. Spending includes both incentive and non-incentive program costs, which were approximated from historic program activity spending data from the IOUs. Since overall potential is driven by electric savings, the trend generally follows that of electric potential whereby </w:t>
      </w:r>
      <w:r w:rsidR="005F7B35">
        <w:t>Scenario 5 (PAC Aggressive)</w:t>
      </w:r>
      <w:r w:rsidR="002422FF" w:rsidRPr="00AF21BE">
        <w:t xml:space="preserve"> produces the most expensive portfolio for equipment savings, and </w:t>
      </w:r>
      <w:r w:rsidR="005F7B35">
        <w:t>Scenario 1 (TRC Reference)</w:t>
      </w:r>
      <w:r w:rsidR="002422FF" w:rsidRPr="00AF21BE">
        <w:t xml:space="preserve">, the least. By 2030, </w:t>
      </w:r>
      <w:r w:rsidR="005F7B35">
        <w:t>Scenario 4 (PAC Reference)</w:t>
      </w:r>
      <w:r w:rsidR="002422FF" w:rsidRPr="00AF21BE">
        <w:t xml:space="preserve"> is expected to cost about </w:t>
      </w:r>
      <w:r w:rsidR="00423551">
        <w:t>36%</w:t>
      </w:r>
      <w:r w:rsidR="002422FF" w:rsidRPr="00AF21BE">
        <w:t xml:space="preserve"> more than </w:t>
      </w:r>
      <w:r w:rsidR="005F7B35">
        <w:t>Scenario 1 (TRC Reference)</w:t>
      </w:r>
      <w:r w:rsidR="002422FF" w:rsidRPr="00AF21BE">
        <w:t xml:space="preserve">. Aggressive program engagement further increases spending as illustrated by </w:t>
      </w:r>
      <w:r w:rsidR="005F7B35">
        <w:t>S</w:t>
      </w:r>
      <w:r w:rsidR="002422FF" w:rsidRPr="00AF21BE">
        <w:t>cenario</w:t>
      </w:r>
      <w:r w:rsidR="00423551">
        <w:t xml:space="preserve"> 5 (</w:t>
      </w:r>
      <w:r w:rsidR="005F7B35">
        <w:t>PAC Aggressive)</w:t>
      </w:r>
      <w:r w:rsidR="002422FF" w:rsidRPr="00AF21BE">
        <w:t>, which costs about 3</w:t>
      </w:r>
      <w:r w:rsidR="00423551">
        <w:t>8</w:t>
      </w:r>
      <w:r w:rsidR="002422FF" w:rsidRPr="00AF21BE">
        <w:t xml:space="preserve">% more than </w:t>
      </w:r>
      <w:r w:rsidR="00423551">
        <w:t xml:space="preserve">Scenario </w:t>
      </w:r>
      <w:r w:rsidR="005F7B35">
        <w:t>4</w:t>
      </w:r>
      <w:r w:rsidR="00423551">
        <w:t xml:space="preserve"> </w:t>
      </w:r>
      <w:r w:rsidR="005F7B35">
        <w:t>(PAC Reference)</w:t>
      </w:r>
      <w:r w:rsidR="002422FF" w:rsidRPr="00AF21BE">
        <w:t xml:space="preserve">. </w:t>
      </w:r>
      <w:r w:rsidR="00E50701">
        <w:t xml:space="preserve">Low income program costs were not estimated by this study. </w:t>
      </w:r>
    </w:p>
    <w:p w14:paraId="0B066769" w14:textId="77777777" w:rsidR="002422FF" w:rsidRPr="008D3F73" w:rsidRDefault="002422FF" w:rsidP="002422FF"/>
    <w:p w14:paraId="0FB9DAEC" w14:textId="7180EF23" w:rsidR="002422FF" w:rsidRDefault="002422FF" w:rsidP="002422FF">
      <w:pPr>
        <w:pStyle w:val="Caption"/>
      </w:pPr>
      <w:bookmarkStart w:id="777" w:name="_Ref490228981"/>
      <w:bookmarkStart w:id="778" w:name="_Toc490491736"/>
      <w:r w:rsidRPr="00AF21BE">
        <w:t xml:space="preserve">Figure </w:t>
      </w:r>
      <w:fldSimple w:instr=" STYLEREF 1 \s ">
        <w:r w:rsidR="007566B9">
          <w:rPr>
            <w:noProof/>
          </w:rPr>
          <w:t>4</w:t>
        </w:r>
      </w:fldSimple>
      <w:r w:rsidR="00CE124F">
        <w:noBreakHyphen/>
      </w:r>
      <w:fldSimple w:instr=" SEQ Figure \* ARABIC \s 1 ">
        <w:r w:rsidR="007566B9">
          <w:rPr>
            <w:noProof/>
          </w:rPr>
          <w:t>3</w:t>
        </w:r>
      </w:fldSimple>
      <w:bookmarkEnd w:id="777"/>
      <w:r w:rsidRPr="00AF21BE">
        <w:t xml:space="preserve">. Statewide Spending by Scenario for IOU </w:t>
      </w:r>
      <w:r w:rsidR="003A0910">
        <w:t>Incentive</w:t>
      </w:r>
      <w:r w:rsidR="003A0910" w:rsidRPr="00AF21BE">
        <w:t xml:space="preserve"> </w:t>
      </w:r>
      <w:r w:rsidRPr="00AF21BE">
        <w:t>Programs</w:t>
      </w:r>
      <w:bookmarkEnd w:id="778"/>
    </w:p>
    <w:p w14:paraId="3D1C8312" w14:textId="3E5F2737" w:rsidR="00E50701" w:rsidRPr="00E50701" w:rsidRDefault="00E50701" w:rsidP="007E10DC">
      <w:pPr>
        <w:jc w:val="center"/>
      </w:pPr>
      <w:r>
        <w:rPr>
          <w:noProof/>
        </w:rPr>
        <w:drawing>
          <wp:inline distT="0" distB="0" distL="0" distR="0" wp14:anchorId="1D0E7AC2" wp14:editId="41E6542F">
            <wp:extent cx="5869072" cy="26142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1907" cy="2619936"/>
                    </a:xfrm>
                    <a:prstGeom prst="rect">
                      <a:avLst/>
                    </a:prstGeom>
                    <a:noFill/>
                  </pic:spPr>
                </pic:pic>
              </a:graphicData>
            </a:graphic>
          </wp:inline>
        </w:drawing>
      </w:r>
    </w:p>
    <w:p w14:paraId="3A6EE463" w14:textId="4991D088" w:rsidR="003A0910" w:rsidRDefault="003A0910" w:rsidP="007E10DC">
      <w:pPr>
        <w:jc w:val="center"/>
      </w:pPr>
      <w:r>
        <w:t>Note: Excludes Low Income</w:t>
      </w:r>
    </w:p>
    <w:p w14:paraId="55E33E46" w14:textId="77777777" w:rsidR="002422FF" w:rsidRDefault="002422FF" w:rsidP="00AF21BE">
      <w:pPr>
        <w:pStyle w:val="Heading3"/>
      </w:pPr>
      <w:bookmarkStart w:id="779" w:name="_Toc490225816"/>
      <w:r>
        <w:lastRenderedPageBreak/>
        <w:t xml:space="preserve">Total Savings </w:t>
      </w:r>
      <w:r w:rsidR="008D3F73">
        <w:t xml:space="preserve">and </w:t>
      </w:r>
      <w:r>
        <w:t>Spending by Sector</w:t>
      </w:r>
      <w:bookmarkEnd w:id="779"/>
    </w:p>
    <w:p w14:paraId="09D8F985" w14:textId="77777777" w:rsidR="00E92225" w:rsidRDefault="00F714D3" w:rsidP="00073992">
      <w:pPr>
        <w:jc w:val="both"/>
      </w:pPr>
      <w:r>
        <w:fldChar w:fldCharType="begin"/>
      </w:r>
      <w:r>
        <w:instrText xml:space="preserve"> REF _Ref490226220 \h </w:instrText>
      </w:r>
      <w:r>
        <w:fldChar w:fldCharType="separate"/>
      </w:r>
      <w:r w:rsidRPr="00F123A3">
        <w:t xml:space="preserve">Figure </w:t>
      </w:r>
      <w:r>
        <w:rPr>
          <w:noProof/>
        </w:rPr>
        <w:t>4</w:t>
      </w:r>
      <w:r>
        <w:noBreakHyphen/>
      </w:r>
      <w:r>
        <w:rPr>
          <w:noProof/>
        </w:rPr>
        <w:t>4</w:t>
      </w:r>
      <w:r>
        <w:fldChar w:fldCharType="end"/>
      </w:r>
      <w:r>
        <w:t xml:space="preserve"> </w:t>
      </w:r>
      <w:r w:rsidR="00073992">
        <w:t>through</w:t>
      </w:r>
      <w:r>
        <w:t xml:space="preserve"> </w:t>
      </w:r>
      <w:r>
        <w:fldChar w:fldCharType="begin"/>
      </w:r>
      <w:r>
        <w:instrText xml:space="preserve"> REF _Ref490226244 \h </w:instrText>
      </w:r>
      <w:r>
        <w:fldChar w:fldCharType="separate"/>
      </w:r>
      <w:r>
        <w:t xml:space="preserve">Figure </w:t>
      </w:r>
      <w:r>
        <w:rPr>
          <w:noProof/>
        </w:rPr>
        <w:t>4</w:t>
      </w:r>
      <w:r>
        <w:noBreakHyphen/>
      </w:r>
      <w:r>
        <w:rPr>
          <w:noProof/>
        </w:rPr>
        <w:t>12</w:t>
      </w:r>
      <w:r>
        <w:fldChar w:fldCharType="end"/>
      </w:r>
      <w:r w:rsidR="00073992">
        <w:t xml:space="preserve"> show the breakdown of </w:t>
      </w:r>
      <w:r w:rsidR="00073992" w:rsidRPr="00156E54">
        <w:t xml:space="preserve">electric (GWh) and gas (MMTherms) </w:t>
      </w:r>
      <w:r w:rsidR="00073992">
        <w:t xml:space="preserve">savings </w:t>
      </w:r>
      <w:r w:rsidR="00073992" w:rsidRPr="00156E54">
        <w:t>respectively</w:t>
      </w:r>
      <w:r w:rsidR="00073992" w:rsidDel="00EC649B">
        <w:t xml:space="preserve"> </w:t>
      </w:r>
      <w:r w:rsidR="00073992">
        <w:t xml:space="preserve">by sector for incentive programs, which include savings from </w:t>
      </w:r>
      <w:r w:rsidR="00E92225">
        <w:t>E</w:t>
      </w:r>
      <w:r w:rsidR="00073992">
        <w:t xml:space="preserve">quipment </w:t>
      </w:r>
      <w:r w:rsidR="00E92225">
        <w:t>R</w:t>
      </w:r>
      <w:r w:rsidR="00073992">
        <w:t xml:space="preserve">ebate programs, BROs interventions and </w:t>
      </w:r>
      <w:r w:rsidR="00E92225">
        <w:t>L</w:t>
      </w:r>
      <w:r w:rsidR="00073992">
        <w:t xml:space="preserve">ow </w:t>
      </w:r>
      <w:r w:rsidR="00E92225">
        <w:t>I</w:t>
      </w:r>
      <w:r w:rsidR="00073992">
        <w:t>ncome programs</w:t>
      </w:r>
      <w:r w:rsidR="00E92225">
        <w:t>.</w:t>
      </w:r>
      <w:r w:rsidR="00073992">
        <w:t xml:space="preserve"> </w:t>
      </w:r>
      <w:r w:rsidR="00073992" w:rsidRPr="00156E54">
        <w:t>All graphs exclude savings from re-participants</w:t>
      </w:r>
      <w:r w:rsidR="00E92225">
        <w:t xml:space="preserve"> and only Scenario 5 (PAC Aggressive) includes the effects of </w:t>
      </w:r>
      <w:r w:rsidR="00E6213E">
        <w:t>aggressive program engagement</w:t>
      </w:r>
      <w:r w:rsidR="00073992" w:rsidRPr="00156E54">
        <w:t>.</w:t>
      </w:r>
    </w:p>
    <w:p w14:paraId="63E920FB" w14:textId="77777777" w:rsidR="00E92225" w:rsidRDefault="00E92225" w:rsidP="00073992">
      <w:pPr>
        <w:jc w:val="both"/>
      </w:pPr>
    </w:p>
    <w:p w14:paraId="01A329D5" w14:textId="77777777" w:rsidR="00DA34F5" w:rsidRDefault="00E92225" w:rsidP="00AF21BE">
      <w:r>
        <w:t xml:space="preserve">For electric savings, </w:t>
      </w:r>
      <w:r w:rsidR="00DA34F5">
        <w:t>the commercial and residential sector dominate the savings across all scenarios, with the commercial sector showing slightly higher potential over the study horizon. The incremental savings potential grows over time for the residential, commercial and agricultural sectors. This growth is largely attributable to sectoral growth but also reflects greater levels of market uptake for BROs in the later years.  Conversely, the incremental savings potential declines for the industrial, mining and streetlighting sectors.  For industrial and mining, this savings decline is highly correlated with flat or negative customer growth rates during the time horizon.  For streetlighting, the market potential for high efficiency measures becomes more saturated over time.</w:t>
      </w:r>
    </w:p>
    <w:p w14:paraId="6B889263" w14:textId="77777777" w:rsidR="00DA34F5" w:rsidRDefault="00DA34F5" w:rsidP="00AF21BE"/>
    <w:p w14:paraId="7164E124" w14:textId="77777777" w:rsidR="00073992" w:rsidRDefault="00695B0D" w:rsidP="00073992">
      <w:pPr>
        <w:jc w:val="both"/>
      </w:pPr>
      <w:r>
        <w:t>For gas savings, the largest savings potential comes from the residential sector, with smaller savings for industrial and commercial, and minimal savings for the agricultural and mining sectors.</w:t>
      </w:r>
    </w:p>
    <w:p w14:paraId="461E0D27" w14:textId="77777777" w:rsidR="00073992" w:rsidRDefault="008D3F73" w:rsidP="00AF21BE">
      <w:pPr>
        <w:pStyle w:val="ListParagraph"/>
        <w:jc w:val="both"/>
        <w:rPr>
          <w:b/>
          <w:bCs/>
          <w:color w:val="3F4042"/>
          <w:szCs w:val="20"/>
        </w:rPr>
      </w:pPr>
      <w:r>
        <w:rPr>
          <w:b/>
          <w:bCs/>
          <w:color w:val="3F4042"/>
          <w:szCs w:val="20"/>
        </w:rPr>
        <w:t xml:space="preserve"> </w:t>
      </w:r>
    </w:p>
    <w:p w14:paraId="09EB5A60" w14:textId="77777777" w:rsidR="00073992" w:rsidRPr="00F123A3" w:rsidRDefault="00073992" w:rsidP="00073992">
      <w:pPr>
        <w:pStyle w:val="Caption"/>
      </w:pPr>
      <w:bookmarkStart w:id="780" w:name="_Ref490226220"/>
      <w:bookmarkStart w:id="781" w:name="_Toc490491737"/>
      <w:r w:rsidRPr="00F123A3">
        <w:t xml:space="preserve">Figure </w:t>
      </w:r>
      <w:fldSimple w:instr=" STYLEREF 1 \s ">
        <w:r w:rsidR="007566B9">
          <w:rPr>
            <w:noProof/>
          </w:rPr>
          <w:t>4</w:t>
        </w:r>
      </w:fldSimple>
      <w:r w:rsidR="00CE124F">
        <w:noBreakHyphen/>
      </w:r>
      <w:fldSimple w:instr=" SEQ Figure \* ARABIC \s 1 ">
        <w:r w:rsidR="007566B9">
          <w:rPr>
            <w:noProof/>
          </w:rPr>
          <w:t>4</w:t>
        </w:r>
      </w:fldSimple>
      <w:bookmarkEnd w:id="780"/>
      <w:r w:rsidRPr="00F123A3">
        <w:t xml:space="preserve">. Statewide Incremental </w:t>
      </w:r>
      <w:r w:rsidR="006E7E90">
        <w:t xml:space="preserve">Net </w:t>
      </w:r>
      <w:r w:rsidRPr="00F123A3">
        <w:t>Electric Market Potential by Sector</w:t>
      </w:r>
      <w:r>
        <w:t xml:space="preserve"> for Incentive Programs in Scenario 1 (TRC Reference)</w:t>
      </w:r>
      <w:bookmarkEnd w:id="781"/>
      <w:r>
        <w:t xml:space="preserve"> </w:t>
      </w:r>
    </w:p>
    <w:p w14:paraId="24F6DA1C" w14:textId="77777777" w:rsidR="00073992" w:rsidRDefault="00073992" w:rsidP="00073992">
      <w:pPr>
        <w:jc w:val="center"/>
      </w:pPr>
      <w:r>
        <w:rPr>
          <w:noProof/>
        </w:rPr>
        <w:drawing>
          <wp:inline distT="0" distB="0" distL="0" distR="0" wp14:anchorId="490FF31A" wp14:editId="03EE046A">
            <wp:extent cx="5788152" cy="2820328"/>
            <wp:effectExtent l="0" t="0" r="317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88152" cy="2820328"/>
                    </a:xfrm>
                    <a:prstGeom prst="rect">
                      <a:avLst/>
                    </a:prstGeom>
                    <a:noFill/>
                  </pic:spPr>
                </pic:pic>
              </a:graphicData>
            </a:graphic>
          </wp:inline>
        </w:drawing>
      </w:r>
    </w:p>
    <w:p w14:paraId="2D1A37B8" w14:textId="77777777" w:rsidR="00073992" w:rsidRDefault="00073992" w:rsidP="00073992">
      <w:pPr>
        <w:jc w:val="center"/>
      </w:pPr>
    </w:p>
    <w:p w14:paraId="61D855A0" w14:textId="77777777" w:rsidR="00073992" w:rsidRDefault="00073992" w:rsidP="00073992">
      <w:pPr>
        <w:pStyle w:val="Caption"/>
      </w:pPr>
      <w:bookmarkStart w:id="782" w:name="_Toc490491738"/>
      <w:r>
        <w:lastRenderedPageBreak/>
        <w:t xml:space="preserve">Figure </w:t>
      </w:r>
      <w:fldSimple w:instr=" STYLEREF 1 \s ">
        <w:r w:rsidR="007566B9">
          <w:rPr>
            <w:noProof/>
          </w:rPr>
          <w:t>4</w:t>
        </w:r>
      </w:fldSimple>
      <w:r w:rsidR="00CE124F">
        <w:noBreakHyphen/>
      </w:r>
      <w:fldSimple w:instr=" SEQ Figure \* ARABIC \s 1 ">
        <w:r w:rsidR="007566B9">
          <w:rPr>
            <w:noProof/>
          </w:rPr>
          <w:t>5</w:t>
        </w:r>
      </w:fldSimple>
      <w:r>
        <w:t>.</w:t>
      </w:r>
      <w:r w:rsidRPr="00CC0048">
        <w:t xml:space="preserve"> </w:t>
      </w:r>
      <w:r w:rsidRPr="00F123A3">
        <w:t xml:space="preserve">Statewide Incremental </w:t>
      </w:r>
      <w:r w:rsidR="006E7E90">
        <w:t xml:space="preserve">Net </w:t>
      </w:r>
      <w:r w:rsidRPr="00F123A3">
        <w:t>Electric Market Potential by Sector</w:t>
      </w:r>
      <w:r>
        <w:t xml:space="preserve"> for Incentive Programs in Scenario 2 (</w:t>
      </w:r>
      <w:r w:rsidRPr="00076AB4">
        <w:t>mTRC w/ GHG adder 1</w:t>
      </w:r>
      <w:r>
        <w:t>)</w:t>
      </w:r>
      <w:bookmarkEnd w:id="782"/>
    </w:p>
    <w:p w14:paraId="4359B56A" w14:textId="77777777" w:rsidR="00073992" w:rsidRDefault="00073992" w:rsidP="00073992">
      <w:pPr>
        <w:jc w:val="center"/>
      </w:pPr>
      <w:r>
        <w:rPr>
          <w:noProof/>
        </w:rPr>
        <w:drawing>
          <wp:inline distT="0" distB="0" distL="0" distR="0" wp14:anchorId="5D2C136C" wp14:editId="7EF209EC">
            <wp:extent cx="5788152" cy="2820329"/>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88152" cy="2820329"/>
                    </a:xfrm>
                    <a:prstGeom prst="rect">
                      <a:avLst/>
                    </a:prstGeom>
                    <a:noFill/>
                  </pic:spPr>
                </pic:pic>
              </a:graphicData>
            </a:graphic>
          </wp:inline>
        </w:drawing>
      </w:r>
    </w:p>
    <w:p w14:paraId="639178A0" w14:textId="77777777" w:rsidR="00073992" w:rsidRDefault="00073992" w:rsidP="00073992">
      <w:pPr>
        <w:jc w:val="center"/>
      </w:pPr>
    </w:p>
    <w:p w14:paraId="5ECD7926" w14:textId="77777777" w:rsidR="00073992" w:rsidRDefault="00073992" w:rsidP="00073992">
      <w:pPr>
        <w:pStyle w:val="Caption"/>
      </w:pPr>
      <w:bookmarkStart w:id="783" w:name="_Ref490216650"/>
      <w:bookmarkStart w:id="784" w:name="_Toc490491739"/>
      <w:r>
        <w:t xml:space="preserve">Figure </w:t>
      </w:r>
      <w:fldSimple w:instr=" STYLEREF 1 \s ">
        <w:r w:rsidR="007566B9">
          <w:rPr>
            <w:noProof/>
          </w:rPr>
          <w:t>4</w:t>
        </w:r>
      </w:fldSimple>
      <w:r w:rsidR="00CE124F">
        <w:noBreakHyphen/>
      </w:r>
      <w:fldSimple w:instr=" SEQ Figure \* ARABIC \s 1 ">
        <w:r w:rsidR="007566B9">
          <w:rPr>
            <w:noProof/>
          </w:rPr>
          <w:t>6</w:t>
        </w:r>
      </w:fldSimple>
      <w:bookmarkEnd w:id="783"/>
      <w:r>
        <w:t>.</w:t>
      </w:r>
      <w:r w:rsidRPr="00076AB4">
        <w:t xml:space="preserve"> </w:t>
      </w:r>
      <w:r w:rsidRPr="00F123A3">
        <w:t>Statewide Incremental Electric Market Potential by Sector</w:t>
      </w:r>
      <w:r>
        <w:t xml:space="preserve"> for Incentive Programs in Scenario 3 (</w:t>
      </w:r>
      <w:r w:rsidRPr="00076AB4">
        <w:t xml:space="preserve">mTRC w/ GHG adder </w:t>
      </w:r>
      <w:r>
        <w:t>2)</w:t>
      </w:r>
      <w:bookmarkEnd w:id="784"/>
    </w:p>
    <w:p w14:paraId="0BAD9DA5" w14:textId="77777777" w:rsidR="00073992" w:rsidRDefault="00073992" w:rsidP="00073992">
      <w:pPr>
        <w:jc w:val="center"/>
      </w:pPr>
      <w:r>
        <w:rPr>
          <w:noProof/>
        </w:rPr>
        <w:drawing>
          <wp:inline distT="0" distB="0" distL="0" distR="0" wp14:anchorId="26738DF5" wp14:editId="3A19C725">
            <wp:extent cx="5788152" cy="2820329"/>
            <wp:effectExtent l="0" t="0" r="317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88152" cy="2820329"/>
                    </a:xfrm>
                    <a:prstGeom prst="rect">
                      <a:avLst/>
                    </a:prstGeom>
                    <a:noFill/>
                  </pic:spPr>
                </pic:pic>
              </a:graphicData>
            </a:graphic>
          </wp:inline>
        </w:drawing>
      </w:r>
    </w:p>
    <w:p w14:paraId="1E857991" w14:textId="77777777" w:rsidR="00073992" w:rsidRDefault="00073992" w:rsidP="00073992">
      <w:pPr>
        <w:jc w:val="center"/>
      </w:pPr>
    </w:p>
    <w:p w14:paraId="0195731E" w14:textId="77777777" w:rsidR="00073992" w:rsidRDefault="00073992" w:rsidP="00073992">
      <w:pPr>
        <w:pStyle w:val="Caption"/>
      </w:pPr>
      <w:bookmarkStart w:id="785" w:name="_Toc490491740"/>
      <w:r>
        <w:lastRenderedPageBreak/>
        <w:t xml:space="preserve">Figure </w:t>
      </w:r>
      <w:fldSimple w:instr=" STYLEREF 1 \s ">
        <w:r w:rsidR="007566B9">
          <w:rPr>
            <w:noProof/>
          </w:rPr>
          <w:t>4</w:t>
        </w:r>
      </w:fldSimple>
      <w:r w:rsidR="00CE124F">
        <w:noBreakHyphen/>
      </w:r>
      <w:fldSimple w:instr=" SEQ Figure \* ARABIC \s 1 ">
        <w:r w:rsidR="007566B9">
          <w:rPr>
            <w:noProof/>
          </w:rPr>
          <w:t>7</w:t>
        </w:r>
      </w:fldSimple>
      <w:r>
        <w:t>.</w:t>
      </w:r>
      <w:r w:rsidRPr="00076AB4">
        <w:t xml:space="preserve"> </w:t>
      </w:r>
      <w:r w:rsidRPr="00F123A3">
        <w:t>Statewide Incremental Electric Market Potential by Sector</w:t>
      </w:r>
      <w:r>
        <w:t xml:space="preserve"> for Incentive Programs in Scenario 4 (PAC Reference)</w:t>
      </w:r>
      <w:bookmarkEnd w:id="785"/>
    </w:p>
    <w:p w14:paraId="5D6DE54B" w14:textId="77777777" w:rsidR="00073992" w:rsidRDefault="00073992" w:rsidP="00073992">
      <w:pPr>
        <w:jc w:val="center"/>
      </w:pPr>
      <w:r>
        <w:rPr>
          <w:noProof/>
        </w:rPr>
        <w:drawing>
          <wp:inline distT="0" distB="0" distL="0" distR="0" wp14:anchorId="09F9B9CD" wp14:editId="4C599B67">
            <wp:extent cx="5788152" cy="2820329"/>
            <wp:effectExtent l="0" t="0" r="317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88152" cy="2820329"/>
                    </a:xfrm>
                    <a:prstGeom prst="rect">
                      <a:avLst/>
                    </a:prstGeom>
                    <a:noFill/>
                  </pic:spPr>
                </pic:pic>
              </a:graphicData>
            </a:graphic>
          </wp:inline>
        </w:drawing>
      </w:r>
    </w:p>
    <w:p w14:paraId="5C024C35" w14:textId="77777777" w:rsidR="00073992" w:rsidRDefault="00073992" w:rsidP="00073992">
      <w:pPr>
        <w:jc w:val="center"/>
      </w:pPr>
    </w:p>
    <w:p w14:paraId="5F326A03" w14:textId="77777777" w:rsidR="00073992" w:rsidRDefault="00073992" w:rsidP="00073992">
      <w:pPr>
        <w:jc w:val="center"/>
      </w:pPr>
    </w:p>
    <w:p w14:paraId="2C19F059" w14:textId="77777777" w:rsidR="00073992" w:rsidRDefault="00073992" w:rsidP="00073992">
      <w:pPr>
        <w:pStyle w:val="Caption"/>
      </w:pPr>
      <w:bookmarkStart w:id="786" w:name="_Toc490491741"/>
      <w:r>
        <w:t xml:space="preserve">Figure </w:t>
      </w:r>
      <w:fldSimple w:instr=" STYLEREF 1 \s ">
        <w:r w:rsidR="007566B9">
          <w:rPr>
            <w:noProof/>
          </w:rPr>
          <w:t>4</w:t>
        </w:r>
      </w:fldSimple>
      <w:r w:rsidR="00CE124F">
        <w:noBreakHyphen/>
      </w:r>
      <w:fldSimple w:instr=" SEQ Figure \* ARABIC \s 1 ">
        <w:r w:rsidR="007566B9">
          <w:rPr>
            <w:noProof/>
          </w:rPr>
          <w:t>8</w:t>
        </w:r>
      </w:fldSimple>
      <w:r>
        <w:t>.</w:t>
      </w:r>
      <w:r w:rsidRPr="00076AB4">
        <w:t xml:space="preserve"> </w:t>
      </w:r>
      <w:r w:rsidRPr="00F123A3">
        <w:t>Statewide Incremental Electric Market Potential by Sector</w:t>
      </w:r>
      <w:r>
        <w:t xml:space="preserve"> for Incentive Programs in Scenario 5 (PAC Aggressive)</w:t>
      </w:r>
      <w:bookmarkEnd w:id="786"/>
    </w:p>
    <w:p w14:paraId="7A265873" w14:textId="77777777" w:rsidR="00073992" w:rsidRDefault="00073992" w:rsidP="00073992">
      <w:pPr>
        <w:jc w:val="center"/>
      </w:pPr>
      <w:r>
        <w:rPr>
          <w:noProof/>
        </w:rPr>
        <w:drawing>
          <wp:inline distT="0" distB="0" distL="0" distR="0" wp14:anchorId="24ABA585" wp14:editId="67F9B6C1">
            <wp:extent cx="5788152" cy="2820329"/>
            <wp:effectExtent l="0" t="0" r="317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88152" cy="2820329"/>
                    </a:xfrm>
                    <a:prstGeom prst="rect">
                      <a:avLst/>
                    </a:prstGeom>
                    <a:noFill/>
                  </pic:spPr>
                </pic:pic>
              </a:graphicData>
            </a:graphic>
          </wp:inline>
        </w:drawing>
      </w:r>
    </w:p>
    <w:p w14:paraId="2C1C36FA" w14:textId="77777777" w:rsidR="00073992" w:rsidRDefault="00073992" w:rsidP="00073992"/>
    <w:p w14:paraId="5175F0C2" w14:textId="77777777" w:rsidR="00073992" w:rsidRDefault="00073992" w:rsidP="00073992">
      <w:pPr>
        <w:pStyle w:val="Caption"/>
      </w:pPr>
      <w:bookmarkStart w:id="787" w:name="_Toc490491742"/>
      <w:r w:rsidRPr="00F123A3">
        <w:lastRenderedPageBreak/>
        <w:t xml:space="preserve">Figure </w:t>
      </w:r>
      <w:fldSimple w:instr=" STYLEREF 1 \s ">
        <w:r w:rsidR="007566B9">
          <w:rPr>
            <w:noProof/>
          </w:rPr>
          <w:t>4</w:t>
        </w:r>
      </w:fldSimple>
      <w:r w:rsidR="00CE124F">
        <w:noBreakHyphen/>
      </w:r>
      <w:fldSimple w:instr=" SEQ Figure \* ARABIC \s 1 ">
        <w:r w:rsidR="007566B9">
          <w:rPr>
            <w:noProof/>
          </w:rPr>
          <w:t>9</w:t>
        </w:r>
      </w:fldSimple>
      <w:r w:rsidRPr="00F123A3">
        <w:t xml:space="preserve">. Statewide Incremental </w:t>
      </w:r>
      <w:r>
        <w:t>Gas</w:t>
      </w:r>
      <w:r w:rsidRPr="00F123A3">
        <w:t xml:space="preserve"> Market Potential by Sector</w:t>
      </w:r>
      <w:r>
        <w:t xml:space="preserve"> for Incentive Programs in Scenario 1 (TRC Reference)</w:t>
      </w:r>
      <w:bookmarkEnd w:id="787"/>
    </w:p>
    <w:p w14:paraId="34A21772" w14:textId="77777777" w:rsidR="00073992" w:rsidRDefault="00073992" w:rsidP="00073992">
      <w:pPr>
        <w:jc w:val="center"/>
      </w:pPr>
      <w:r>
        <w:rPr>
          <w:noProof/>
        </w:rPr>
        <w:drawing>
          <wp:inline distT="0" distB="0" distL="0" distR="0" wp14:anchorId="71E50957" wp14:editId="7AA438C7">
            <wp:extent cx="5788152" cy="2820329"/>
            <wp:effectExtent l="0" t="0" r="317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8152" cy="2820329"/>
                    </a:xfrm>
                    <a:prstGeom prst="rect">
                      <a:avLst/>
                    </a:prstGeom>
                    <a:noFill/>
                  </pic:spPr>
                </pic:pic>
              </a:graphicData>
            </a:graphic>
          </wp:inline>
        </w:drawing>
      </w:r>
    </w:p>
    <w:p w14:paraId="496A4981" w14:textId="77777777" w:rsidR="00073992" w:rsidRDefault="00073992" w:rsidP="00073992">
      <w:pPr>
        <w:jc w:val="center"/>
      </w:pPr>
    </w:p>
    <w:p w14:paraId="0D92B295" w14:textId="77777777" w:rsidR="00073992" w:rsidRDefault="00073992" w:rsidP="00073992">
      <w:pPr>
        <w:pStyle w:val="Caption"/>
      </w:pPr>
      <w:bookmarkStart w:id="788" w:name="_Toc490491743"/>
      <w:r>
        <w:t xml:space="preserve">Figure </w:t>
      </w:r>
      <w:fldSimple w:instr=" STYLEREF 1 \s ">
        <w:r w:rsidR="007566B9">
          <w:rPr>
            <w:noProof/>
          </w:rPr>
          <w:t>4</w:t>
        </w:r>
      </w:fldSimple>
      <w:r w:rsidR="00CE124F">
        <w:noBreakHyphen/>
      </w:r>
      <w:fldSimple w:instr=" SEQ Figure \* ARABIC \s 1 ">
        <w:r w:rsidR="007566B9">
          <w:rPr>
            <w:noProof/>
          </w:rPr>
          <w:t>10</w:t>
        </w:r>
      </w:fldSimple>
      <w:r w:rsidRPr="00F123A3">
        <w:t xml:space="preserve">. Statewide Incremental </w:t>
      </w:r>
      <w:r>
        <w:t>Gas</w:t>
      </w:r>
      <w:r w:rsidRPr="00F123A3">
        <w:t xml:space="preserve"> Market Potential by Sector</w:t>
      </w:r>
      <w:r>
        <w:t xml:space="preserve"> for Incentive Programs in Scenario 2 (</w:t>
      </w:r>
      <w:r w:rsidRPr="00076AB4">
        <w:t xml:space="preserve">mTRC w/ GHG adder </w:t>
      </w:r>
      <w:r>
        <w:t>1)</w:t>
      </w:r>
      <w:bookmarkEnd w:id="788"/>
    </w:p>
    <w:p w14:paraId="4FD9B400" w14:textId="77777777" w:rsidR="00073992" w:rsidRDefault="00073992" w:rsidP="00073992">
      <w:pPr>
        <w:jc w:val="center"/>
      </w:pPr>
      <w:r>
        <w:rPr>
          <w:noProof/>
        </w:rPr>
        <w:drawing>
          <wp:inline distT="0" distB="0" distL="0" distR="0" wp14:anchorId="092312F9" wp14:editId="219B847E">
            <wp:extent cx="5788152" cy="2820329"/>
            <wp:effectExtent l="0" t="0" r="317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88152" cy="2820329"/>
                    </a:xfrm>
                    <a:prstGeom prst="rect">
                      <a:avLst/>
                    </a:prstGeom>
                    <a:noFill/>
                  </pic:spPr>
                </pic:pic>
              </a:graphicData>
            </a:graphic>
          </wp:inline>
        </w:drawing>
      </w:r>
    </w:p>
    <w:p w14:paraId="6DDB54D7" w14:textId="77777777" w:rsidR="00073992" w:rsidRDefault="00073992" w:rsidP="00073992">
      <w:pPr>
        <w:jc w:val="center"/>
      </w:pPr>
    </w:p>
    <w:p w14:paraId="1252AB14" w14:textId="77777777" w:rsidR="00073992" w:rsidRDefault="00073992" w:rsidP="00073992">
      <w:pPr>
        <w:jc w:val="center"/>
      </w:pPr>
    </w:p>
    <w:p w14:paraId="0879D232" w14:textId="77777777" w:rsidR="00073992" w:rsidRDefault="00073992" w:rsidP="00073992">
      <w:pPr>
        <w:pStyle w:val="Caption"/>
      </w:pPr>
      <w:bookmarkStart w:id="789" w:name="_Toc490491744"/>
      <w:r>
        <w:lastRenderedPageBreak/>
        <w:t xml:space="preserve">Figure </w:t>
      </w:r>
      <w:fldSimple w:instr=" STYLEREF 1 \s ">
        <w:r w:rsidR="007566B9">
          <w:rPr>
            <w:noProof/>
          </w:rPr>
          <w:t>4</w:t>
        </w:r>
      </w:fldSimple>
      <w:r w:rsidR="00CE124F">
        <w:noBreakHyphen/>
      </w:r>
      <w:fldSimple w:instr=" SEQ Figure \* ARABIC \s 1 ">
        <w:r w:rsidR="007566B9">
          <w:rPr>
            <w:noProof/>
          </w:rPr>
          <w:t>11</w:t>
        </w:r>
      </w:fldSimple>
      <w:r w:rsidRPr="00F123A3">
        <w:t xml:space="preserve">. Statewide Incremental </w:t>
      </w:r>
      <w:r>
        <w:t>Gas</w:t>
      </w:r>
      <w:r w:rsidRPr="00F123A3">
        <w:t xml:space="preserve"> Market Potential by Sector</w:t>
      </w:r>
      <w:r>
        <w:t xml:space="preserve"> for Incentive Programs in Scenario 3 (</w:t>
      </w:r>
      <w:r w:rsidRPr="00076AB4">
        <w:t xml:space="preserve">mTRC w/ GHG adder </w:t>
      </w:r>
      <w:r>
        <w:t>2)</w:t>
      </w:r>
      <w:bookmarkEnd w:id="789"/>
    </w:p>
    <w:p w14:paraId="448176EB" w14:textId="77777777" w:rsidR="00073992" w:rsidRDefault="00073992" w:rsidP="00073992">
      <w:pPr>
        <w:jc w:val="center"/>
      </w:pPr>
      <w:r>
        <w:rPr>
          <w:noProof/>
        </w:rPr>
        <w:drawing>
          <wp:inline distT="0" distB="0" distL="0" distR="0" wp14:anchorId="6636ABCA" wp14:editId="5A69524D">
            <wp:extent cx="5788152" cy="2820329"/>
            <wp:effectExtent l="0" t="0" r="317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88152" cy="2820329"/>
                    </a:xfrm>
                    <a:prstGeom prst="rect">
                      <a:avLst/>
                    </a:prstGeom>
                    <a:noFill/>
                  </pic:spPr>
                </pic:pic>
              </a:graphicData>
            </a:graphic>
          </wp:inline>
        </w:drawing>
      </w:r>
    </w:p>
    <w:p w14:paraId="35BBFC66" w14:textId="77777777" w:rsidR="00073992" w:rsidRDefault="00073992" w:rsidP="00073992">
      <w:pPr>
        <w:jc w:val="center"/>
      </w:pPr>
    </w:p>
    <w:p w14:paraId="07CEA588" w14:textId="77777777" w:rsidR="00073992" w:rsidRDefault="00073992" w:rsidP="00073992">
      <w:pPr>
        <w:pStyle w:val="Caption"/>
      </w:pPr>
      <w:bookmarkStart w:id="790" w:name="_Ref490226244"/>
      <w:bookmarkStart w:id="791" w:name="_Toc490491745"/>
      <w:r>
        <w:t xml:space="preserve">Figure </w:t>
      </w:r>
      <w:fldSimple w:instr=" STYLEREF 1 \s ">
        <w:r w:rsidR="007566B9">
          <w:rPr>
            <w:noProof/>
          </w:rPr>
          <w:t>4</w:t>
        </w:r>
      </w:fldSimple>
      <w:r w:rsidR="00CE124F">
        <w:noBreakHyphen/>
      </w:r>
      <w:fldSimple w:instr=" SEQ Figure \* ARABIC \s 1 ">
        <w:r w:rsidR="007566B9">
          <w:rPr>
            <w:noProof/>
          </w:rPr>
          <w:t>12</w:t>
        </w:r>
      </w:fldSimple>
      <w:bookmarkEnd w:id="790"/>
      <w:r w:rsidRPr="00F123A3">
        <w:t xml:space="preserve">. Statewide Incremental </w:t>
      </w:r>
      <w:r>
        <w:t>Gas</w:t>
      </w:r>
      <w:r w:rsidRPr="00F123A3">
        <w:t xml:space="preserve"> Market Potential by Sector</w:t>
      </w:r>
      <w:r>
        <w:t xml:space="preserve"> for Incentive Programs in Scenario 4 (PAC Reference)</w:t>
      </w:r>
      <w:bookmarkEnd w:id="791"/>
    </w:p>
    <w:p w14:paraId="1DB10908" w14:textId="77777777" w:rsidR="00073992" w:rsidRDefault="00073992" w:rsidP="00073992">
      <w:pPr>
        <w:jc w:val="center"/>
      </w:pPr>
      <w:r>
        <w:rPr>
          <w:noProof/>
        </w:rPr>
        <w:drawing>
          <wp:inline distT="0" distB="0" distL="0" distR="0" wp14:anchorId="15873FB9" wp14:editId="00A45754">
            <wp:extent cx="5788152" cy="2820329"/>
            <wp:effectExtent l="0" t="0" r="317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88152" cy="2820329"/>
                    </a:xfrm>
                    <a:prstGeom prst="rect">
                      <a:avLst/>
                    </a:prstGeom>
                    <a:noFill/>
                  </pic:spPr>
                </pic:pic>
              </a:graphicData>
            </a:graphic>
          </wp:inline>
        </w:drawing>
      </w:r>
    </w:p>
    <w:p w14:paraId="2BB43B58" w14:textId="77777777" w:rsidR="00073992" w:rsidRDefault="00073992" w:rsidP="00073992">
      <w:pPr>
        <w:jc w:val="center"/>
      </w:pPr>
    </w:p>
    <w:p w14:paraId="3C5564BA" w14:textId="77777777" w:rsidR="00073992" w:rsidRDefault="00073992" w:rsidP="00073992">
      <w:pPr>
        <w:pStyle w:val="Caption"/>
      </w:pPr>
      <w:bookmarkStart w:id="792" w:name="_Toc490491746"/>
      <w:r>
        <w:lastRenderedPageBreak/>
        <w:t xml:space="preserve">Figure </w:t>
      </w:r>
      <w:fldSimple w:instr=" STYLEREF 1 \s ">
        <w:r w:rsidR="007566B9">
          <w:rPr>
            <w:noProof/>
          </w:rPr>
          <w:t>4</w:t>
        </w:r>
      </w:fldSimple>
      <w:r w:rsidR="00CE124F">
        <w:noBreakHyphen/>
      </w:r>
      <w:fldSimple w:instr=" SEQ Figure \* ARABIC \s 1 ">
        <w:r w:rsidR="007566B9">
          <w:rPr>
            <w:noProof/>
          </w:rPr>
          <w:t>13</w:t>
        </w:r>
      </w:fldSimple>
      <w:r w:rsidRPr="00F123A3">
        <w:t xml:space="preserve">. Statewide Incremental </w:t>
      </w:r>
      <w:r>
        <w:t>Gas</w:t>
      </w:r>
      <w:r w:rsidRPr="00F123A3">
        <w:t xml:space="preserve"> Market Potential by Sector</w:t>
      </w:r>
      <w:r>
        <w:t xml:space="preserve"> for Incentive Programs in Scenario 5 (PAC Aggressive)</w:t>
      </w:r>
      <w:bookmarkEnd w:id="792"/>
    </w:p>
    <w:p w14:paraId="33061188" w14:textId="77777777" w:rsidR="00073992" w:rsidRDefault="00073992" w:rsidP="00073992">
      <w:pPr>
        <w:jc w:val="center"/>
      </w:pPr>
      <w:r>
        <w:rPr>
          <w:noProof/>
        </w:rPr>
        <w:drawing>
          <wp:inline distT="0" distB="0" distL="0" distR="0" wp14:anchorId="3BB6F10E" wp14:editId="744A811F">
            <wp:extent cx="5788152" cy="2820329"/>
            <wp:effectExtent l="0" t="0" r="317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88152" cy="2820329"/>
                    </a:xfrm>
                    <a:prstGeom prst="rect">
                      <a:avLst/>
                    </a:prstGeom>
                    <a:noFill/>
                  </pic:spPr>
                </pic:pic>
              </a:graphicData>
            </a:graphic>
          </wp:inline>
        </w:drawing>
      </w:r>
    </w:p>
    <w:p w14:paraId="0ADB5FB5" w14:textId="77777777" w:rsidR="00073992" w:rsidRDefault="00073992" w:rsidP="00AF21BE"/>
    <w:p w14:paraId="1CF3594E" w14:textId="77777777" w:rsidR="00073992" w:rsidRDefault="00073992" w:rsidP="00073992">
      <w:r>
        <w:t>A peak demand savings version of the above figures can be found in the results viewer under the “</w:t>
      </w:r>
      <w:r w:rsidRPr="007D477B">
        <w:t>Total Incr Potential by Sector</w:t>
      </w:r>
      <w:r>
        <w:t xml:space="preserve">” tab. </w:t>
      </w:r>
    </w:p>
    <w:p w14:paraId="3EB5C1CE" w14:textId="77777777" w:rsidR="00073992" w:rsidRDefault="00073992" w:rsidP="00073992">
      <w:pPr>
        <w:jc w:val="both"/>
      </w:pPr>
    </w:p>
    <w:p w14:paraId="5DD8C5B7" w14:textId="77777777" w:rsidR="00073992" w:rsidRDefault="00F714D3" w:rsidP="00073992">
      <w:pPr>
        <w:jc w:val="both"/>
      </w:pPr>
      <w:r>
        <w:fldChar w:fldCharType="begin"/>
      </w:r>
      <w:r>
        <w:instrText xml:space="preserve"> REF _Ref490226373 \h </w:instrText>
      </w:r>
      <w:r>
        <w:fldChar w:fldCharType="separate"/>
      </w:r>
      <w:r w:rsidRPr="008173A0">
        <w:t xml:space="preserve">Figure </w:t>
      </w:r>
      <w:r>
        <w:rPr>
          <w:noProof/>
        </w:rPr>
        <w:t>4</w:t>
      </w:r>
      <w:r>
        <w:noBreakHyphen/>
      </w:r>
      <w:r>
        <w:rPr>
          <w:noProof/>
        </w:rPr>
        <w:t>14</w:t>
      </w:r>
      <w:r>
        <w:fldChar w:fldCharType="end"/>
      </w:r>
      <w:r>
        <w:t xml:space="preserve"> through </w:t>
      </w:r>
      <w:r>
        <w:fldChar w:fldCharType="begin"/>
      </w:r>
      <w:r>
        <w:instrText xml:space="preserve"> REF _Ref490226385 \h </w:instrText>
      </w:r>
      <w:r>
        <w:fldChar w:fldCharType="separate"/>
      </w:r>
      <w:r>
        <w:t xml:space="preserve">Figure </w:t>
      </w:r>
      <w:r>
        <w:rPr>
          <w:noProof/>
        </w:rPr>
        <w:t>4</w:t>
      </w:r>
      <w:r>
        <w:noBreakHyphen/>
      </w:r>
      <w:r>
        <w:rPr>
          <w:noProof/>
        </w:rPr>
        <w:t>18</w:t>
      </w:r>
      <w:r>
        <w:fldChar w:fldCharType="end"/>
      </w:r>
      <w:r>
        <w:t xml:space="preserve"> </w:t>
      </w:r>
      <w:r w:rsidR="00073992" w:rsidRPr="008173A0">
        <w:t>show the brea</w:t>
      </w:r>
      <w:r w:rsidR="00073992">
        <w:t>kdown of statewide spending</w:t>
      </w:r>
      <w:r w:rsidR="00073992" w:rsidDel="00EC649B">
        <w:t xml:space="preserve"> </w:t>
      </w:r>
      <w:r w:rsidR="00073992">
        <w:t xml:space="preserve">by sector for incentive programs, which include savings from </w:t>
      </w:r>
      <w:r w:rsidR="0029282B">
        <w:t>E</w:t>
      </w:r>
      <w:r w:rsidR="00073992">
        <w:t xml:space="preserve">quipment </w:t>
      </w:r>
      <w:r w:rsidR="0029282B">
        <w:t>R</w:t>
      </w:r>
      <w:r w:rsidR="00073992">
        <w:t xml:space="preserve">ebate programs and BROs interventions. We do not report spending for low income programs. One again, a key takeaway from these graphs is that the share of each sector’s savings generally remains the same across scenarios, with the residential and commercial sectors generally dominating spending. </w:t>
      </w:r>
    </w:p>
    <w:p w14:paraId="6025DB10" w14:textId="77777777" w:rsidR="00974DCF" w:rsidRDefault="00974DCF" w:rsidP="00073992">
      <w:pPr>
        <w:jc w:val="both"/>
      </w:pPr>
    </w:p>
    <w:p w14:paraId="2751EFFF" w14:textId="77777777" w:rsidR="00073992" w:rsidRPr="00F123A3" w:rsidRDefault="00073992" w:rsidP="00073992">
      <w:pPr>
        <w:pStyle w:val="Caption"/>
      </w:pPr>
      <w:bookmarkStart w:id="793" w:name="_Ref490226373"/>
      <w:bookmarkStart w:id="794" w:name="_Toc490491747"/>
      <w:r w:rsidRPr="008173A0">
        <w:lastRenderedPageBreak/>
        <w:t xml:space="preserve">Figure </w:t>
      </w:r>
      <w:fldSimple w:instr=" STYLEREF 1 \s ">
        <w:r w:rsidR="007566B9">
          <w:rPr>
            <w:noProof/>
          </w:rPr>
          <w:t>4</w:t>
        </w:r>
      </w:fldSimple>
      <w:r w:rsidR="00CE124F">
        <w:noBreakHyphen/>
      </w:r>
      <w:fldSimple w:instr=" SEQ Figure \* ARABIC \s 1 ">
        <w:r w:rsidR="007566B9">
          <w:rPr>
            <w:noProof/>
          </w:rPr>
          <w:t>14</w:t>
        </w:r>
      </w:fldSimple>
      <w:bookmarkEnd w:id="793"/>
      <w:r w:rsidRPr="008173A0">
        <w:t>. Statewide Spending by Sector for Incentive Programs in Scenario 1 (TRC Reference)</w:t>
      </w:r>
      <w:bookmarkEnd w:id="794"/>
    </w:p>
    <w:p w14:paraId="0D70D4CB" w14:textId="19A6BA32" w:rsidR="00073992" w:rsidRDefault="00073992" w:rsidP="00073992">
      <w:pPr>
        <w:jc w:val="center"/>
      </w:pPr>
      <w:r>
        <w:rPr>
          <w:noProof/>
        </w:rPr>
        <w:drawing>
          <wp:inline distT="0" distB="0" distL="0" distR="0" wp14:anchorId="6948822A" wp14:editId="1DB6617F">
            <wp:extent cx="5788152" cy="3096374"/>
            <wp:effectExtent l="0" t="0" r="3175" b="889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88152" cy="3096374"/>
                    </a:xfrm>
                    <a:prstGeom prst="rect">
                      <a:avLst/>
                    </a:prstGeom>
                    <a:noFill/>
                  </pic:spPr>
                </pic:pic>
              </a:graphicData>
            </a:graphic>
          </wp:inline>
        </w:drawing>
      </w:r>
    </w:p>
    <w:p w14:paraId="2C41C7FD" w14:textId="43C62E7A" w:rsidR="003A0910" w:rsidRDefault="003A0910" w:rsidP="00073992">
      <w:pPr>
        <w:jc w:val="center"/>
      </w:pPr>
      <w:r>
        <w:t>Note: Excludes Low Income</w:t>
      </w:r>
    </w:p>
    <w:p w14:paraId="3CA02A57" w14:textId="77777777" w:rsidR="00073992" w:rsidRDefault="00073992" w:rsidP="00073992">
      <w:pPr>
        <w:jc w:val="center"/>
      </w:pPr>
    </w:p>
    <w:p w14:paraId="67852717" w14:textId="77777777" w:rsidR="00073992" w:rsidRDefault="00073992" w:rsidP="00073992">
      <w:pPr>
        <w:pStyle w:val="Caption"/>
      </w:pPr>
      <w:bookmarkStart w:id="795" w:name="_Toc490491748"/>
      <w:r>
        <w:t xml:space="preserve">Figure </w:t>
      </w:r>
      <w:fldSimple w:instr=" STYLEREF 1 \s ">
        <w:r w:rsidR="007566B9">
          <w:rPr>
            <w:noProof/>
          </w:rPr>
          <w:t>4</w:t>
        </w:r>
      </w:fldSimple>
      <w:r w:rsidR="00CE124F">
        <w:noBreakHyphen/>
      </w:r>
      <w:fldSimple w:instr=" SEQ Figure \* ARABIC \s 1 ">
        <w:r w:rsidR="007566B9">
          <w:rPr>
            <w:noProof/>
          </w:rPr>
          <w:t>15</w:t>
        </w:r>
      </w:fldSimple>
      <w:r w:rsidRPr="008173A0">
        <w:t xml:space="preserve">. Statewide Spending by Sector </w:t>
      </w:r>
      <w:r w:rsidRPr="000735F6">
        <w:t xml:space="preserve">for Incentive Programs in Scenario </w:t>
      </w:r>
      <w:r>
        <w:t xml:space="preserve">2 </w:t>
      </w:r>
      <w:r w:rsidRPr="000735F6">
        <w:t>(</w:t>
      </w:r>
      <w:r>
        <w:t>mTRC w/ GHG Adder 1</w:t>
      </w:r>
      <w:r w:rsidRPr="000735F6">
        <w:t>)</w:t>
      </w:r>
      <w:bookmarkEnd w:id="795"/>
    </w:p>
    <w:p w14:paraId="7A39953D" w14:textId="0D5AE581" w:rsidR="00073992" w:rsidRDefault="00073992" w:rsidP="00073992">
      <w:pPr>
        <w:jc w:val="center"/>
      </w:pPr>
      <w:r>
        <w:rPr>
          <w:noProof/>
        </w:rPr>
        <w:drawing>
          <wp:inline distT="0" distB="0" distL="0" distR="0" wp14:anchorId="78C70F9D" wp14:editId="07AEE902">
            <wp:extent cx="5788152" cy="3096374"/>
            <wp:effectExtent l="0" t="0" r="3175"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88152" cy="3096374"/>
                    </a:xfrm>
                    <a:prstGeom prst="rect">
                      <a:avLst/>
                    </a:prstGeom>
                    <a:noFill/>
                  </pic:spPr>
                </pic:pic>
              </a:graphicData>
            </a:graphic>
          </wp:inline>
        </w:drawing>
      </w:r>
    </w:p>
    <w:p w14:paraId="3821BEF8" w14:textId="77DA1401" w:rsidR="003A0910" w:rsidRDefault="003A0910" w:rsidP="003A0910">
      <w:pPr>
        <w:jc w:val="center"/>
      </w:pPr>
      <w:r>
        <w:t>Note: Excludes Low Income</w:t>
      </w:r>
    </w:p>
    <w:p w14:paraId="73233777" w14:textId="77777777" w:rsidR="003A0910" w:rsidRDefault="003A0910" w:rsidP="00073992">
      <w:pPr>
        <w:jc w:val="center"/>
      </w:pPr>
    </w:p>
    <w:p w14:paraId="0E1F36FB" w14:textId="77777777" w:rsidR="00073992" w:rsidRDefault="00073992" w:rsidP="00073992">
      <w:pPr>
        <w:jc w:val="center"/>
      </w:pPr>
    </w:p>
    <w:p w14:paraId="5E8CEB5C" w14:textId="77777777" w:rsidR="00073992" w:rsidRDefault="00073992" w:rsidP="00073992">
      <w:pPr>
        <w:pStyle w:val="Caption"/>
      </w:pPr>
      <w:bookmarkStart w:id="796" w:name="_Toc490491749"/>
      <w:r>
        <w:lastRenderedPageBreak/>
        <w:t xml:space="preserve">Figure </w:t>
      </w:r>
      <w:fldSimple w:instr=" STYLEREF 1 \s ">
        <w:r w:rsidR="007566B9">
          <w:rPr>
            <w:noProof/>
          </w:rPr>
          <w:t>4</w:t>
        </w:r>
      </w:fldSimple>
      <w:r w:rsidR="00CE124F">
        <w:noBreakHyphen/>
      </w:r>
      <w:fldSimple w:instr=" SEQ Figure \* ARABIC \s 1 ">
        <w:r w:rsidR="007566B9">
          <w:rPr>
            <w:noProof/>
          </w:rPr>
          <w:t>16</w:t>
        </w:r>
      </w:fldSimple>
      <w:r w:rsidRPr="008173A0">
        <w:t xml:space="preserve">. Statewide Spending by Sector </w:t>
      </w:r>
      <w:r w:rsidRPr="000735F6">
        <w:t xml:space="preserve">for Incentive Programs in Scenario </w:t>
      </w:r>
      <w:r>
        <w:t xml:space="preserve">3 </w:t>
      </w:r>
      <w:r w:rsidRPr="000735F6">
        <w:t>(</w:t>
      </w:r>
      <w:r>
        <w:t>mTRC w/ GHG Adder 2</w:t>
      </w:r>
      <w:r w:rsidRPr="000735F6">
        <w:t>)</w:t>
      </w:r>
      <w:bookmarkEnd w:id="796"/>
    </w:p>
    <w:p w14:paraId="5F2E20C1" w14:textId="33B009A4" w:rsidR="00073992" w:rsidRDefault="00073992" w:rsidP="00073992">
      <w:pPr>
        <w:jc w:val="center"/>
      </w:pPr>
      <w:r>
        <w:rPr>
          <w:noProof/>
        </w:rPr>
        <w:drawing>
          <wp:inline distT="0" distB="0" distL="0" distR="0" wp14:anchorId="5C2DA5A7" wp14:editId="5E38CCC9">
            <wp:extent cx="5788152" cy="3096374"/>
            <wp:effectExtent l="0" t="0" r="3175" b="889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88152" cy="3096374"/>
                    </a:xfrm>
                    <a:prstGeom prst="rect">
                      <a:avLst/>
                    </a:prstGeom>
                    <a:noFill/>
                  </pic:spPr>
                </pic:pic>
              </a:graphicData>
            </a:graphic>
          </wp:inline>
        </w:drawing>
      </w:r>
    </w:p>
    <w:p w14:paraId="598F23FA" w14:textId="2A5DEE41" w:rsidR="00073992" w:rsidRDefault="003A0910" w:rsidP="00907914">
      <w:pPr>
        <w:jc w:val="center"/>
      </w:pPr>
      <w:r>
        <w:t>Note: Excludes Low Income</w:t>
      </w:r>
    </w:p>
    <w:p w14:paraId="6364216F" w14:textId="77777777" w:rsidR="00073992" w:rsidRDefault="00073992" w:rsidP="00073992">
      <w:pPr>
        <w:jc w:val="center"/>
      </w:pPr>
    </w:p>
    <w:p w14:paraId="13638395" w14:textId="77777777" w:rsidR="00073992" w:rsidRDefault="00073992" w:rsidP="00073992">
      <w:pPr>
        <w:pStyle w:val="Caption"/>
      </w:pPr>
      <w:bookmarkStart w:id="797" w:name="_Toc490491750"/>
      <w:r>
        <w:t xml:space="preserve">Figure </w:t>
      </w:r>
      <w:fldSimple w:instr=" STYLEREF 1 \s ">
        <w:r w:rsidR="007566B9">
          <w:rPr>
            <w:noProof/>
          </w:rPr>
          <w:t>4</w:t>
        </w:r>
      </w:fldSimple>
      <w:r w:rsidR="00CE124F">
        <w:noBreakHyphen/>
      </w:r>
      <w:fldSimple w:instr=" SEQ Figure \* ARABIC \s 1 ">
        <w:r w:rsidR="007566B9">
          <w:rPr>
            <w:noProof/>
          </w:rPr>
          <w:t>17</w:t>
        </w:r>
      </w:fldSimple>
      <w:r w:rsidRPr="008173A0">
        <w:t xml:space="preserve">. Statewide Spending by Sector </w:t>
      </w:r>
      <w:r w:rsidRPr="000735F6">
        <w:t xml:space="preserve">for Incentive Programs in Scenario </w:t>
      </w:r>
      <w:r>
        <w:t xml:space="preserve">4 </w:t>
      </w:r>
      <w:r w:rsidRPr="000735F6">
        <w:t>(</w:t>
      </w:r>
      <w:r>
        <w:t>PAC Reference</w:t>
      </w:r>
      <w:r w:rsidRPr="000735F6">
        <w:t>)</w:t>
      </w:r>
      <w:bookmarkEnd w:id="797"/>
    </w:p>
    <w:p w14:paraId="6BBB9FF3" w14:textId="1FC27848" w:rsidR="00073992" w:rsidRDefault="00073992" w:rsidP="00073992">
      <w:pPr>
        <w:jc w:val="center"/>
      </w:pPr>
      <w:r>
        <w:rPr>
          <w:noProof/>
        </w:rPr>
        <w:drawing>
          <wp:inline distT="0" distB="0" distL="0" distR="0" wp14:anchorId="4415220C" wp14:editId="79C7F6D4">
            <wp:extent cx="5788152" cy="3096374"/>
            <wp:effectExtent l="0" t="0" r="3175" b="889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88152" cy="3096374"/>
                    </a:xfrm>
                    <a:prstGeom prst="rect">
                      <a:avLst/>
                    </a:prstGeom>
                    <a:noFill/>
                  </pic:spPr>
                </pic:pic>
              </a:graphicData>
            </a:graphic>
          </wp:inline>
        </w:drawing>
      </w:r>
    </w:p>
    <w:p w14:paraId="07078305" w14:textId="5F98FD0A" w:rsidR="003A0910" w:rsidRDefault="003A0910" w:rsidP="003A0910">
      <w:pPr>
        <w:jc w:val="center"/>
      </w:pPr>
      <w:r>
        <w:t>Note: Excludes Low Income</w:t>
      </w:r>
    </w:p>
    <w:p w14:paraId="028D243F" w14:textId="77777777" w:rsidR="003A0910" w:rsidRDefault="003A0910" w:rsidP="00073992">
      <w:pPr>
        <w:jc w:val="center"/>
      </w:pPr>
    </w:p>
    <w:p w14:paraId="17F42FA8" w14:textId="77777777" w:rsidR="00073992" w:rsidRDefault="00073992" w:rsidP="00073992">
      <w:pPr>
        <w:jc w:val="center"/>
      </w:pPr>
    </w:p>
    <w:p w14:paraId="0DD4F59C" w14:textId="77777777" w:rsidR="00073992" w:rsidRDefault="00073992" w:rsidP="00073992">
      <w:pPr>
        <w:pStyle w:val="Caption"/>
      </w:pPr>
      <w:bookmarkStart w:id="798" w:name="_Ref490226385"/>
      <w:bookmarkStart w:id="799" w:name="_Toc490491751"/>
      <w:r>
        <w:lastRenderedPageBreak/>
        <w:t xml:space="preserve">Figure </w:t>
      </w:r>
      <w:fldSimple w:instr=" STYLEREF 1 \s ">
        <w:r w:rsidR="007566B9">
          <w:rPr>
            <w:noProof/>
          </w:rPr>
          <w:t>4</w:t>
        </w:r>
      </w:fldSimple>
      <w:r w:rsidR="00CE124F">
        <w:noBreakHyphen/>
      </w:r>
      <w:fldSimple w:instr=" SEQ Figure \* ARABIC \s 1 ">
        <w:r w:rsidR="007566B9">
          <w:rPr>
            <w:noProof/>
          </w:rPr>
          <w:t>18</w:t>
        </w:r>
      </w:fldSimple>
      <w:bookmarkEnd w:id="798"/>
      <w:r w:rsidRPr="008173A0">
        <w:t xml:space="preserve">. Statewide Spending by Sector </w:t>
      </w:r>
      <w:r w:rsidRPr="000735F6">
        <w:t xml:space="preserve">for Incentive Programs in Scenario </w:t>
      </w:r>
      <w:r>
        <w:t xml:space="preserve">5 </w:t>
      </w:r>
      <w:r w:rsidRPr="000735F6">
        <w:t>(</w:t>
      </w:r>
      <w:r>
        <w:t>PAC Aggressive</w:t>
      </w:r>
      <w:r w:rsidRPr="000735F6">
        <w:t>)</w:t>
      </w:r>
      <w:bookmarkEnd w:id="799"/>
    </w:p>
    <w:p w14:paraId="3DDF1047" w14:textId="4B39BAA8" w:rsidR="00073992" w:rsidRDefault="00073992" w:rsidP="00073992">
      <w:pPr>
        <w:jc w:val="center"/>
      </w:pPr>
      <w:r>
        <w:rPr>
          <w:noProof/>
        </w:rPr>
        <w:drawing>
          <wp:inline distT="0" distB="0" distL="0" distR="0" wp14:anchorId="0755265E" wp14:editId="68ADA7A8">
            <wp:extent cx="5788152" cy="3096374"/>
            <wp:effectExtent l="0" t="0" r="3175" b="889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88152" cy="3096374"/>
                    </a:xfrm>
                    <a:prstGeom prst="rect">
                      <a:avLst/>
                    </a:prstGeom>
                    <a:noFill/>
                  </pic:spPr>
                </pic:pic>
              </a:graphicData>
            </a:graphic>
          </wp:inline>
        </w:drawing>
      </w:r>
    </w:p>
    <w:p w14:paraId="2ADB7623" w14:textId="77777777" w:rsidR="003A0910" w:rsidRDefault="003A0910" w:rsidP="003A0910">
      <w:pPr>
        <w:jc w:val="center"/>
      </w:pPr>
      <w:r>
        <w:t>Note: Excludes Low Income</w:t>
      </w:r>
    </w:p>
    <w:p w14:paraId="404FE612" w14:textId="77777777" w:rsidR="003A0910" w:rsidRDefault="003A0910" w:rsidP="003A0910">
      <w:pPr>
        <w:jc w:val="center"/>
      </w:pPr>
    </w:p>
    <w:p w14:paraId="00BAA8AF" w14:textId="77777777" w:rsidR="003A0910" w:rsidRDefault="003A0910" w:rsidP="00073992">
      <w:pPr>
        <w:jc w:val="center"/>
      </w:pPr>
    </w:p>
    <w:p w14:paraId="31804CE2" w14:textId="77777777" w:rsidR="002422FF" w:rsidRDefault="002422FF" w:rsidP="00AF21BE">
      <w:pPr>
        <w:rPr>
          <w:sz w:val="16"/>
        </w:rPr>
      </w:pPr>
    </w:p>
    <w:p w14:paraId="221252D2" w14:textId="77777777" w:rsidR="00C961E4" w:rsidRDefault="009E47A3" w:rsidP="00AF21BE">
      <w:pPr>
        <w:pStyle w:val="Heading3"/>
      </w:pPr>
      <w:bookmarkStart w:id="800" w:name="_Ref484595952"/>
      <w:bookmarkStart w:id="801" w:name="_Toc490225817"/>
      <w:r>
        <w:t xml:space="preserve">Equipment </w:t>
      </w:r>
      <w:r w:rsidR="00C961E4">
        <w:t>Rebate Program Results</w:t>
      </w:r>
      <w:bookmarkEnd w:id="800"/>
      <w:bookmarkEnd w:id="801"/>
    </w:p>
    <w:p w14:paraId="33FFF82A" w14:textId="77777777" w:rsidR="008453C4" w:rsidRDefault="00442652" w:rsidP="008453C4">
      <w:pPr>
        <w:jc w:val="both"/>
      </w:pPr>
      <w:r w:rsidRPr="00F123A3">
        <w:fldChar w:fldCharType="begin"/>
      </w:r>
      <w:r w:rsidRPr="00F123A3">
        <w:instrText xml:space="preserve"> REF _Ref484532541 \h </w:instrText>
      </w:r>
      <w:r w:rsidRPr="00F123A3">
        <w:fldChar w:fldCharType="separate"/>
      </w:r>
      <w:r w:rsidR="007566B9" w:rsidRPr="00F123A3">
        <w:t xml:space="preserve">Figure </w:t>
      </w:r>
      <w:r w:rsidR="007566B9">
        <w:rPr>
          <w:noProof/>
        </w:rPr>
        <w:t>4</w:t>
      </w:r>
      <w:r w:rsidR="007566B9">
        <w:noBreakHyphen/>
      </w:r>
      <w:r w:rsidR="007566B9">
        <w:rPr>
          <w:noProof/>
        </w:rPr>
        <w:t>19</w:t>
      </w:r>
      <w:r w:rsidRPr="00F123A3">
        <w:fldChar w:fldCharType="end"/>
      </w:r>
      <w:r w:rsidRPr="00F123A3">
        <w:t xml:space="preserve"> and </w:t>
      </w:r>
      <w:r w:rsidRPr="00F123A3">
        <w:fldChar w:fldCharType="begin"/>
      </w:r>
      <w:r w:rsidRPr="00F123A3">
        <w:instrText xml:space="preserve"> REF _Ref484532542 \h </w:instrText>
      </w:r>
      <w:r w:rsidRPr="00F123A3">
        <w:fldChar w:fldCharType="separate"/>
      </w:r>
      <w:r w:rsidR="007566B9" w:rsidRPr="00F123A3">
        <w:t xml:space="preserve">Figure </w:t>
      </w:r>
      <w:r w:rsidR="007566B9">
        <w:rPr>
          <w:noProof/>
        </w:rPr>
        <w:t>4</w:t>
      </w:r>
      <w:r w:rsidR="007566B9">
        <w:noBreakHyphen/>
      </w:r>
      <w:r w:rsidR="007566B9">
        <w:rPr>
          <w:noProof/>
        </w:rPr>
        <w:t>20</w:t>
      </w:r>
      <w:r w:rsidRPr="00F123A3">
        <w:fldChar w:fldCharType="end"/>
      </w:r>
      <w:r w:rsidR="008453C4">
        <w:t xml:space="preserve"> illustrate the statewide incremental market potential from </w:t>
      </w:r>
      <w:r w:rsidR="00E6213E">
        <w:t>E</w:t>
      </w:r>
      <w:r w:rsidR="008453C4">
        <w:t xml:space="preserve">quipment </w:t>
      </w:r>
      <w:r w:rsidR="00E6213E">
        <w:t>R</w:t>
      </w:r>
      <w:r w:rsidR="009E47A3">
        <w:t xml:space="preserve">ebate program savings, which include savings from discrete equipment, whole building and shell measures, </w:t>
      </w:r>
      <w:r w:rsidR="008453C4">
        <w:t>by scenario for electric (GWh) and gas (MMTherms) respectively. These graphs exclude IOU claimable sav</w:t>
      </w:r>
      <w:r w:rsidR="00595F4B">
        <w:t xml:space="preserve">ings from C&amp;S advocacy programs, </w:t>
      </w:r>
      <w:r w:rsidR="00E6213E">
        <w:t xml:space="preserve">BROs </w:t>
      </w:r>
      <w:r w:rsidR="009E47A3">
        <w:t xml:space="preserve">interventions </w:t>
      </w:r>
      <w:r w:rsidR="00595F4B">
        <w:t xml:space="preserve">and </w:t>
      </w:r>
      <w:r w:rsidR="00E6213E">
        <w:t>L</w:t>
      </w:r>
      <w:r w:rsidR="00595F4B">
        <w:t xml:space="preserve">ow </w:t>
      </w:r>
      <w:r w:rsidR="00E6213E">
        <w:t>I</w:t>
      </w:r>
      <w:r w:rsidR="00595F4B">
        <w:t>ncome programs</w:t>
      </w:r>
      <w:r w:rsidR="008453C4">
        <w:t>. They also exclude savings from re-participants, as we were tasked to assess</w:t>
      </w:r>
      <w:r w:rsidR="0073422A">
        <w:t xml:space="preserve"> incremental</w:t>
      </w:r>
      <w:r w:rsidR="008453C4">
        <w:t xml:space="preserve"> potential from first-time adopters in the market.  </w:t>
      </w:r>
      <w:r w:rsidR="004E04E7" w:rsidRPr="004E04E7">
        <w:t xml:space="preserve">Cumulative savings are discussed in </w:t>
      </w:r>
      <w:r w:rsidR="00F714D3">
        <w:fldChar w:fldCharType="begin"/>
      </w:r>
      <w:r w:rsidR="00F714D3">
        <w:instrText xml:space="preserve"> REF _Ref490217212 \n \h </w:instrText>
      </w:r>
      <w:r w:rsidR="00F714D3">
        <w:fldChar w:fldCharType="separate"/>
      </w:r>
      <w:r w:rsidR="00F714D3">
        <w:t>Appendix B</w:t>
      </w:r>
      <w:r w:rsidR="00F714D3">
        <w:fldChar w:fldCharType="end"/>
      </w:r>
      <w:r w:rsidR="004E04E7">
        <w:t xml:space="preserve">. </w:t>
      </w:r>
      <w:r w:rsidR="008453C4">
        <w:t>Per the scenarios framework</w:t>
      </w:r>
      <w:r w:rsidR="00595F4B">
        <w:t xml:space="preserve"> discussed earlier in section </w:t>
      </w:r>
      <w:r w:rsidR="00595F4B">
        <w:fldChar w:fldCharType="begin"/>
      </w:r>
      <w:r w:rsidR="00595F4B">
        <w:instrText xml:space="preserve"> REF _Ref484547475 \n \h </w:instrText>
      </w:r>
      <w:r w:rsidR="00595F4B">
        <w:fldChar w:fldCharType="separate"/>
      </w:r>
      <w:r w:rsidR="007566B9">
        <w:t>2.3</w:t>
      </w:r>
      <w:r w:rsidR="00595F4B">
        <w:fldChar w:fldCharType="end"/>
      </w:r>
      <w:r w:rsidR="008453C4">
        <w:t xml:space="preserve">, only </w:t>
      </w:r>
      <w:r w:rsidR="00E6213E">
        <w:t>Scenario 5 (PAC Aggressive)</w:t>
      </w:r>
      <w:r w:rsidR="008453C4">
        <w:t xml:space="preserve"> includes the effects of </w:t>
      </w:r>
      <w:r w:rsidR="00E6213E">
        <w:t>aggressive program engagement</w:t>
      </w:r>
      <w:r w:rsidR="008453C4">
        <w:t xml:space="preserve">.  </w:t>
      </w:r>
    </w:p>
    <w:p w14:paraId="7DE02DBC" w14:textId="77777777" w:rsidR="008453C4" w:rsidRDefault="008453C4" w:rsidP="008453C4">
      <w:pPr>
        <w:jc w:val="both"/>
      </w:pPr>
    </w:p>
    <w:p w14:paraId="1C477445" w14:textId="77777777" w:rsidR="008453C4" w:rsidRPr="000F51B9" w:rsidRDefault="00F123A3" w:rsidP="008453C4">
      <w:pPr>
        <w:jc w:val="both"/>
      </w:pPr>
      <w:r w:rsidRPr="00F123A3">
        <w:fldChar w:fldCharType="begin"/>
      </w:r>
      <w:r w:rsidRPr="00F123A3">
        <w:instrText xml:space="preserve"> REF _Ref484532541 \h </w:instrText>
      </w:r>
      <w:r w:rsidRPr="00F123A3">
        <w:fldChar w:fldCharType="separate"/>
      </w:r>
      <w:r w:rsidR="007566B9" w:rsidRPr="00F123A3">
        <w:t xml:space="preserve">Figure </w:t>
      </w:r>
      <w:r w:rsidR="007566B9">
        <w:rPr>
          <w:noProof/>
        </w:rPr>
        <w:t>4</w:t>
      </w:r>
      <w:r w:rsidR="007566B9">
        <w:noBreakHyphen/>
      </w:r>
      <w:r w:rsidR="007566B9">
        <w:rPr>
          <w:noProof/>
        </w:rPr>
        <w:t>19</w:t>
      </w:r>
      <w:r w:rsidRPr="00F123A3">
        <w:fldChar w:fldCharType="end"/>
      </w:r>
      <w:r w:rsidRPr="00F123A3">
        <w:t xml:space="preserve"> </w:t>
      </w:r>
      <w:r w:rsidR="008453C4">
        <w:t xml:space="preserve">shows that electric potential increases as the cost test used to screen measures becomes less stringent, with the TRC test yielding the least potential and the PAC test yielding the most potential. By 2030, </w:t>
      </w:r>
      <w:r w:rsidR="00A50BC6">
        <w:t>Scenario 4 (PAC Reference)</w:t>
      </w:r>
      <w:r w:rsidR="008453C4">
        <w:t xml:space="preserve"> produces </w:t>
      </w:r>
      <w:r w:rsidR="008453C4" w:rsidRPr="004B242C">
        <w:t>about 1</w:t>
      </w:r>
      <w:r w:rsidR="00B84B6E" w:rsidRPr="004B242C">
        <w:t>6</w:t>
      </w:r>
      <w:r w:rsidR="008453C4" w:rsidRPr="004B242C">
        <w:t xml:space="preserve">% more electric savings than </w:t>
      </w:r>
      <w:r w:rsidR="00A50BC6">
        <w:t>Scenario 1 (TRC Reference)</w:t>
      </w:r>
      <w:r w:rsidR="008453C4" w:rsidRPr="004B242C">
        <w:t xml:space="preserve">. The figure also shows that aggressive program engagement in the form of financing as well as increased marketing and incentives can yield additional savings beyond </w:t>
      </w:r>
      <w:r w:rsidR="008453C4" w:rsidRPr="00712624">
        <w:t>business-as-usual program engagement</w:t>
      </w:r>
      <w:r w:rsidR="008453C4" w:rsidRPr="004B242C">
        <w:t xml:space="preserve"> as illustrated by </w:t>
      </w:r>
      <w:r w:rsidR="00BF6621">
        <w:t>Scenario 5 (PAC Aggressive)</w:t>
      </w:r>
      <w:r w:rsidR="008453C4" w:rsidRPr="004B242C">
        <w:t xml:space="preserve">, which produces about 6% more electric savings than the </w:t>
      </w:r>
      <w:r w:rsidR="00BF6621">
        <w:t>Scenario 4 (PAC Reference)</w:t>
      </w:r>
      <w:r w:rsidR="008453C4" w:rsidRPr="004B242C">
        <w:t xml:space="preserve">. Overall, the </w:t>
      </w:r>
      <w:r w:rsidR="00BF6621">
        <w:t>Scenario 5 (PAC Aggressive)</w:t>
      </w:r>
      <w:r w:rsidR="00BF6621" w:rsidRPr="004B242C">
        <w:t xml:space="preserve"> </w:t>
      </w:r>
      <w:r w:rsidR="008453C4" w:rsidRPr="004B242C">
        <w:t xml:space="preserve">produces about </w:t>
      </w:r>
      <w:r w:rsidR="00BF5B29" w:rsidRPr="004B242C">
        <w:t>2</w:t>
      </w:r>
      <w:r w:rsidR="00BF5B29">
        <w:t>4</w:t>
      </w:r>
      <w:r w:rsidR="008453C4" w:rsidRPr="004B242C">
        <w:t>%</w:t>
      </w:r>
      <w:r w:rsidR="008453C4">
        <w:t xml:space="preserve"> more electric savings than the </w:t>
      </w:r>
      <w:r w:rsidR="00BF6621">
        <w:t>Scenario 1 (TRC Reference)</w:t>
      </w:r>
      <w:r w:rsidR="008453C4">
        <w:t xml:space="preserve">. </w:t>
      </w:r>
      <w:r w:rsidR="00595F4B">
        <w:t xml:space="preserve"> </w:t>
      </w:r>
    </w:p>
    <w:p w14:paraId="7C442EFD" w14:textId="77777777" w:rsidR="008453C4" w:rsidRDefault="008453C4" w:rsidP="008453C4"/>
    <w:p w14:paraId="5ECB9B64" w14:textId="77777777" w:rsidR="008453C4" w:rsidRPr="00F123A3" w:rsidRDefault="00642996" w:rsidP="00961C46">
      <w:pPr>
        <w:pStyle w:val="Caption"/>
      </w:pPr>
      <w:bookmarkStart w:id="802" w:name="_Ref484532541"/>
      <w:bookmarkStart w:id="803" w:name="_Toc490491752"/>
      <w:r w:rsidRPr="00F123A3">
        <w:lastRenderedPageBreak/>
        <w:t xml:space="preserve">Figure </w:t>
      </w:r>
      <w:fldSimple w:instr=" STYLEREF 1 \s ">
        <w:r w:rsidR="007566B9">
          <w:rPr>
            <w:noProof/>
          </w:rPr>
          <w:t>4</w:t>
        </w:r>
      </w:fldSimple>
      <w:r w:rsidR="00CE124F">
        <w:noBreakHyphen/>
      </w:r>
      <w:fldSimple w:instr=" SEQ Figure \* ARABIC \s 1 ">
        <w:r w:rsidR="007566B9">
          <w:rPr>
            <w:noProof/>
          </w:rPr>
          <w:t>19</w:t>
        </w:r>
      </w:fldSimple>
      <w:bookmarkEnd w:id="802"/>
      <w:r w:rsidRPr="00F123A3">
        <w:t>.</w:t>
      </w:r>
      <w:r w:rsidR="008453C4" w:rsidRPr="00F123A3">
        <w:t>Statewide Incremental Electric Market Potential by Scenario</w:t>
      </w:r>
      <w:bookmarkEnd w:id="803"/>
    </w:p>
    <w:p w14:paraId="4415325B" w14:textId="77777777" w:rsidR="008453C4" w:rsidRDefault="009E47A3" w:rsidP="00712624">
      <w:pPr>
        <w:jc w:val="center"/>
      </w:pPr>
      <w:r>
        <w:rPr>
          <w:noProof/>
        </w:rPr>
        <w:drawing>
          <wp:inline distT="0" distB="0" distL="0" distR="0" wp14:anchorId="6905CB1E" wp14:editId="1E4E3E1A">
            <wp:extent cx="6558468" cy="2816352"/>
            <wp:effectExtent l="0" t="0" r="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558468" cy="2816352"/>
                    </a:xfrm>
                    <a:prstGeom prst="rect">
                      <a:avLst/>
                    </a:prstGeom>
                    <a:noFill/>
                  </pic:spPr>
                </pic:pic>
              </a:graphicData>
            </a:graphic>
          </wp:inline>
        </w:drawing>
      </w:r>
    </w:p>
    <w:p w14:paraId="7C399D87" w14:textId="77777777" w:rsidR="00642996" w:rsidRDefault="00642996" w:rsidP="008453C4">
      <w:pPr>
        <w:jc w:val="both"/>
      </w:pPr>
    </w:p>
    <w:p w14:paraId="495D4764" w14:textId="705BCBBC" w:rsidR="00595F4B" w:rsidRDefault="008453C4" w:rsidP="008453C4">
      <w:pPr>
        <w:jc w:val="both"/>
      </w:pPr>
      <w:r>
        <w:t xml:space="preserve">Like </w:t>
      </w:r>
      <w:r w:rsidR="00F123A3" w:rsidRPr="00F123A3">
        <w:fldChar w:fldCharType="begin"/>
      </w:r>
      <w:r w:rsidR="00F123A3" w:rsidRPr="00F123A3">
        <w:instrText xml:space="preserve"> REF _Ref484532541 \h </w:instrText>
      </w:r>
      <w:r w:rsidR="00F123A3" w:rsidRPr="00F123A3">
        <w:fldChar w:fldCharType="separate"/>
      </w:r>
      <w:r w:rsidR="007566B9" w:rsidRPr="00F123A3">
        <w:t xml:space="preserve">Figure </w:t>
      </w:r>
      <w:r w:rsidR="007566B9">
        <w:rPr>
          <w:noProof/>
        </w:rPr>
        <w:t>4</w:t>
      </w:r>
      <w:r w:rsidR="007566B9">
        <w:noBreakHyphen/>
      </w:r>
      <w:r w:rsidR="007566B9">
        <w:rPr>
          <w:noProof/>
        </w:rPr>
        <w:t>19</w:t>
      </w:r>
      <w:r w:rsidR="00F123A3" w:rsidRPr="00F123A3">
        <w:fldChar w:fldCharType="end"/>
      </w:r>
      <w:r w:rsidR="00F123A3">
        <w:t xml:space="preserve">, </w:t>
      </w:r>
      <w:r w:rsidR="00F123A3" w:rsidRPr="00F123A3">
        <w:fldChar w:fldCharType="begin"/>
      </w:r>
      <w:r w:rsidR="00F123A3" w:rsidRPr="00F123A3">
        <w:instrText xml:space="preserve"> REF _Ref484532542 \h </w:instrText>
      </w:r>
      <w:r w:rsidR="00F123A3" w:rsidRPr="00F123A3">
        <w:fldChar w:fldCharType="separate"/>
      </w:r>
      <w:r w:rsidR="007566B9" w:rsidRPr="00F123A3">
        <w:t xml:space="preserve">Figure </w:t>
      </w:r>
      <w:r w:rsidR="007566B9">
        <w:rPr>
          <w:noProof/>
        </w:rPr>
        <w:t>4</w:t>
      </w:r>
      <w:r w:rsidR="007566B9">
        <w:noBreakHyphen/>
      </w:r>
      <w:r w:rsidR="007566B9">
        <w:rPr>
          <w:noProof/>
        </w:rPr>
        <w:t>20</w:t>
      </w:r>
      <w:r w:rsidR="00F123A3" w:rsidRPr="00F123A3">
        <w:fldChar w:fldCharType="end"/>
      </w:r>
      <w:r w:rsidR="00F123A3">
        <w:t xml:space="preserve"> </w:t>
      </w:r>
      <w:r>
        <w:t xml:space="preserve">shows that gas potential generally increases as the cost test used to screen measures becomes less stringent. The only exception to this trend is </w:t>
      </w:r>
      <w:r w:rsidR="00CB6AAC">
        <w:t>Scenario 3 (</w:t>
      </w:r>
      <w:r>
        <w:t xml:space="preserve">mTRC GHG adder 2). While </w:t>
      </w:r>
      <w:r w:rsidR="00595F4B">
        <w:t>one might</w:t>
      </w:r>
      <w:r>
        <w:t xml:space="preserve"> expect to see the PAC scenarios yield the highest potential, </w:t>
      </w:r>
      <w:r w:rsidR="00CB6AAC">
        <w:t xml:space="preserve">Scenario 3 (mTRC GHG adder 2) </w:t>
      </w:r>
      <w:r>
        <w:t>yields the most gas savings</w:t>
      </w:r>
      <w:r w:rsidR="00CB6AAC">
        <w:t xml:space="preserve"> for Equipment Rebate programs</w:t>
      </w:r>
      <w:r>
        <w:t xml:space="preserve"> during most of the forecast period. The reason for this is twofold. First, the GHG adder in the mTRC scenarios is applied differently to electric versus gas measures. The Cost-effectiveness Tool (CET), commissioned by the CPUC, produces avoided electric costs that vary by loadshape. The GHG adder is incremental to the base GHG cost that is already embedded in these avoided electric costs, resulting in modified avoided costs that also vary by loadshape. This means that the GHG adder yields more benefits for some electric measures versus others. On the other hand, the CET produces a single time-series of avoided costs that do not vary by loadshape for gas measures. This allows the GHG adder to yield the same benefits across the board for gas measures. </w:t>
      </w:r>
      <w:r w:rsidRPr="00BF37AB">
        <w:t xml:space="preserve">Second, the GHG adder in </w:t>
      </w:r>
      <w:r w:rsidR="00CB6AAC">
        <w:t xml:space="preserve">Scenario 3, </w:t>
      </w:r>
      <w:r w:rsidRPr="00BF37AB">
        <w:t xml:space="preserve">based on </w:t>
      </w:r>
      <w:r w:rsidR="000A3F3A" w:rsidRPr="00BF37AB">
        <w:t>Commission staff</w:t>
      </w:r>
      <w:r w:rsidRPr="00BF37AB">
        <w:t>’s proposal, ramps up to $250 by 2030.</w:t>
      </w:r>
      <w:r>
        <w:t xml:space="preserve"> Since the benefits from this high GHG adder is applied uniformly to gas measures, </w:t>
      </w:r>
      <w:r w:rsidR="00CB6AAC">
        <w:t>Scenario 3</w:t>
      </w:r>
      <w:r>
        <w:t xml:space="preserve"> produces the highest gas potenti</w:t>
      </w:r>
      <w:r w:rsidR="00CB6AAC">
        <w:t>al for Equipment Rebate program savings.</w:t>
      </w:r>
    </w:p>
    <w:p w14:paraId="1A88B134" w14:textId="77777777" w:rsidR="00595F4B" w:rsidRDefault="00595F4B" w:rsidP="008453C4">
      <w:pPr>
        <w:jc w:val="both"/>
      </w:pPr>
    </w:p>
    <w:p w14:paraId="0902E49F" w14:textId="77777777" w:rsidR="008453C4" w:rsidRDefault="008453C4" w:rsidP="008453C4">
      <w:pPr>
        <w:jc w:val="both"/>
      </w:pPr>
      <w:r>
        <w:t xml:space="preserve">Note that the gap between </w:t>
      </w:r>
      <w:r w:rsidR="00CB6AAC">
        <w:t xml:space="preserve">Scenario 2 (mTRC GHG adder 1) </w:t>
      </w:r>
      <w:r>
        <w:t xml:space="preserve">and </w:t>
      </w:r>
      <w:r w:rsidR="00CB6AAC">
        <w:t>Scenario 1 (TRC Reference)</w:t>
      </w:r>
      <w:r>
        <w:t xml:space="preserve"> for gas savings is larger than that for electric savings</w:t>
      </w:r>
      <w:r w:rsidR="00595F4B">
        <w:t xml:space="preserve">. This is </w:t>
      </w:r>
      <w:r>
        <w:t>due to the way the GHG adder is applied</w:t>
      </w:r>
      <w:r w:rsidR="00BF5B29">
        <w:t xml:space="preserve"> as explained above</w:t>
      </w:r>
      <w:r>
        <w:t xml:space="preserve">. </w:t>
      </w:r>
      <w:r w:rsidRPr="00BF37AB">
        <w:t xml:space="preserve">However, </w:t>
      </w:r>
      <w:r w:rsidR="00BE560E">
        <w:t xml:space="preserve">Scenario 2 (mTRC GHG adder 1) </w:t>
      </w:r>
      <w:r w:rsidRPr="00BF37AB">
        <w:t xml:space="preserve">produces less potential than the PAC scenarios as the adder, which is based on the </w:t>
      </w:r>
      <w:r w:rsidR="004C13B8" w:rsidRPr="00BF37AB">
        <w:t>draft ARB APCR</w:t>
      </w:r>
      <w:r w:rsidRPr="00BF37AB">
        <w:t>, only ramps up to $</w:t>
      </w:r>
      <w:r w:rsidR="00BF37AB">
        <w:t>63</w:t>
      </w:r>
      <w:r w:rsidRPr="00BF37AB">
        <w:t xml:space="preserve"> by 2030 (see section </w:t>
      </w:r>
      <w:r w:rsidR="00156E54" w:rsidRPr="00AF21BE">
        <w:fldChar w:fldCharType="begin"/>
      </w:r>
      <w:r w:rsidR="00156E54" w:rsidRPr="00BF37AB">
        <w:instrText xml:space="preserve"> REF _Ref484533065 \r \h </w:instrText>
      </w:r>
      <w:r w:rsidR="00BF5B29" w:rsidRPr="00BF37AB">
        <w:instrText xml:space="preserve"> \* MERGEFORMAT </w:instrText>
      </w:r>
      <w:r w:rsidR="00156E54" w:rsidRPr="00AF21BE">
        <w:fldChar w:fldCharType="separate"/>
      </w:r>
      <w:r w:rsidR="007566B9">
        <w:t>3.1.5</w:t>
      </w:r>
      <w:r w:rsidR="00156E54" w:rsidRPr="00AF21BE">
        <w:fldChar w:fldCharType="end"/>
      </w:r>
      <w:r w:rsidR="00156E54" w:rsidRPr="00BF37AB">
        <w:t xml:space="preserve"> </w:t>
      </w:r>
      <w:r w:rsidRPr="00BF37AB">
        <w:t xml:space="preserve">for more details). </w:t>
      </w:r>
    </w:p>
    <w:p w14:paraId="4F095B3D" w14:textId="77777777" w:rsidR="008453C4" w:rsidRDefault="008453C4" w:rsidP="008453C4">
      <w:pPr>
        <w:jc w:val="both"/>
      </w:pPr>
    </w:p>
    <w:p w14:paraId="34FE04D5" w14:textId="77777777" w:rsidR="008453C4" w:rsidRPr="000F51B9" w:rsidRDefault="008453C4" w:rsidP="008453C4">
      <w:pPr>
        <w:jc w:val="both"/>
      </w:pPr>
      <w:r w:rsidRPr="0040478E">
        <w:t xml:space="preserve">By 2030, </w:t>
      </w:r>
      <w:r w:rsidR="00BE560E">
        <w:t xml:space="preserve">Scenario 3 (mTRC GHG adder 2) </w:t>
      </w:r>
      <w:r w:rsidRPr="0040478E">
        <w:t xml:space="preserve">produces about </w:t>
      </w:r>
      <w:r w:rsidR="00BF5B29" w:rsidRPr="0040478E">
        <w:t>3</w:t>
      </w:r>
      <w:r w:rsidR="00BF5B29">
        <w:t>3</w:t>
      </w:r>
      <w:r w:rsidRPr="0040478E">
        <w:t xml:space="preserve">% more gas savings than </w:t>
      </w:r>
      <w:r w:rsidR="00BE560E">
        <w:t>Scenario 1 (TRC Reference)</w:t>
      </w:r>
      <w:r w:rsidRPr="0040478E">
        <w:t xml:space="preserve">. Another noteworthy trend is that </w:t>
      </w:r>
      <w:r w:rsidR="00BE560E">
        <w:t>Scenario 5 (PAC Aggressive)</w:t>
      </w:r>
      <w:r w:rsidRPr="0040478E">
        <w:t xml:space="preserve"> surpasses </w:t>
      </w:r>
      <w:r w:rsidR="00BE560E">
        <w:t>Scenario 5 (PAC Reference)</w:t>
      </w:r>
      <w:r w:rsidRPr="0040478E">
        <w:t xml:space="preserve"> by about 1</w:t>
      </w:r>
      <w:r w:rsidR="00BE560E">
        <w:t>9</w:t>
      </w:r>
      <w:r w:rsidRPr="0040478E">
        <w:t xml:space="preserve">% at the end of the forecast period. This is attributable to aggressive program engagement. Overall, </w:t>
      </w:r>
      <w:r w:rsidR="00BE560E">
        <w:t xml:space="preserve">Scenario 5 (PAC Aggressive) </w:t>
      </w:r>
      <w:r w:rsidRPr="0040478E">
        <w:t xml:space="preserve">produces about </w:t>
      </w:r>
      <w:r w:rsidR="00BF5B29" w:rsidRPr="0040478E">
        <w:t>5</w:t>
      </w:r>
      <w:r w:rsidR="00BF5B29">
        <w:t>5</w:t>
      </w:r>
      <w:r w:rsidRPr="0040478E">
        <w:t xml:space="preserve">% more </w:t>
      </w:r>
      <w:r w:rsidR="00595F4B" w:rsidRPr="0040478E">
        <w:t>gas</w:t>
      </w:r>
      <w:r w:rsidRPr="0040478E">
        <w:t xml:space="preserve"> savings than the </w:t>
      </w:r>
      <w:r w:rsidR="00BE560E">
        <w:t>Scenario 1 (TRC Reference)</w:t>
      </w:r>
      <w:r w:rsidRPr="0040478E">
        <w:t xml:space="preserve"> by 2030.</w:t>
      </w:r>
    </w:p>
    <w:p w14:paraId="100C38C6" w14:textId="77777777" w:rsidR="008453C4" w:rsidRDefault="008453C4" w:rsidP="008453C4"/>
    <w:p w14:paraId="3FEAABCB" w14:textId="77777777" w:rsidR="008453C4" w:rsidRDefault="008453C4" w:rsidP="00F123A3">
      <w:pPr>
        <w:pStyle w:val="Caption"/>
      </w:pPr>
      <w:bookmarkStart w:id="804" w:name="_Ref484532542"/>
      <w:bookmarkStart w:id="805" w:name="_Toc490491753"/>
      <w:r w:rsidRPr="00F123A3">
        <w:lastRenderedPageBreak/>
        <w:t xml:space="preserve">Figure </w:t>
      </w:r>
      <w:fldSimple w:instr=" STYLEREF 1 \s ">
        <w:r w:rsidR="007566B9">
          <w:rPr>
            <w:noProof/>
          </w:rPr>
          <w:t>4</w:t>
        </w:r>
      </w:fldSimple>
      <w:r w:rsidR="00CE124F">
        <w:noBreakHyphen/>
      </w:r>
      <w:fldSimple w:instr=" SEQ Figure \* ARABIC \s 1 ">
        <w:r w:rsidR="007566B9">
          <w:rPr>
            <w:noProof/>
          </w:rPr>
          <w:t>20</w:t>
        </w:r>
      </w:fldSimple>
      <w:bookmarkEnd w:id="804"/>
      <w:r w:rsidRPr="00F123A3">
        <w:t>. Statewide Incremental Gas Market Potential by Scenario</w:t>
      </w:r>
      <w:bookmarkEnd w:id="805"/>
    </w:p>
    <w:p w14:paraId="28CD5680" w14:textId="77777777" w:rsidR="008453C4" w:rsidDel="00DF465A" w:rsidRDefault="009E47A3">
      <w:pPr>
        <w:jc w:val="center"/>
      </w:pPr>
      <w:r>
        <w:rPr>
          <w:noProof/>
        </w:rPr>
        <w:drawing>
          <wp:inline distT="0" distB="0" distL="0" distR="0" wp14:anchorId="3AB13D1E" wp14:editId="3C82814A">
            <wp:extent cx="6558468" cy="2816352"/>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558468" cy="2816352"/>
                    </a:xfrm>
                    <a:prstGeom prst="rect">
                      <a:avLst/>
                    </a:prstGeom>
                    <a:noFill/>
                  </pic:spPr>
                </pic:pic>
              </a:graphicData>
            </a:graphic>
          </wp:inline>
        </w:drawing>
      </w:r>
    </w:p>
    <w:p w14:paraId="687C387A" w14:textId="77777777" w:rsidR="008453C4" w:rsidRDefault="008453C4" w:rsidP="00AF21BE">
      <w:pPr>
        <w:jc w:val="center"/>
      </w:pPr>
    </w:p>
    <w:p w14:paraId="008F8135" w14:textId="77777777" w:rsidR="0004676E" w:rsidRDefault="0004676E" w:rsidP="0004676E">
      <w:pPr>
        <w:jc w:val="both"/>
      </w:pPr>
    </w:p>
    <w:p w14:paraId="1C5C7C6A" w14:textId="77777777" w:rsidR="0004676E" w:rsidRPr="00A322A2" w:rsidRDefault="0004676E" w:rsidP="00AF21BE">
      <w:pPr>
        <w:jc w:val="both"/>
      </w:pPr>
      <w:r w:rsidRPr="00A322A2">
        <w:t xml:space="preserve">Note that we also produced cumulative market potential as part of the 2018 study for equipment rebate program measures, and compared it against technical and economic potential for all 5 scenarios. Details on these results can be found in </w:t>
      </w:r>
      <w:r w:rsidR="00BF37AB" w:rsidRPr="00A322A2">
        <w:fldChar w:fldCharType="begin"/>
      </w:r>
      <w:r w:rsidR="00BF37AB" w:rsidRPr="00A322A2">
        <w:instrText xml:space="preserve"> REF _Ref490217212 \n \h </w:instrText>
      </w:r>
      <w:r w:rsidR="00A322A2">
        <w:instrText xml:space="preserve"> \* MERGEFORMAT </w:instrText>
      </w:r>
      <w:r w:rsidR="00BF37AB" w:rsidRPr="00A322A2">
        <w:fldChar w:fldCharType="separate"/>
      </w:r>
      <w:r w:rsidR="007566B9">
        <w:t>Appendix B</w:t>
      </w:r>
      <w:r w:rsidR="00BF37AB" w:rsidRPr="00A322A2">
        <w:fldChar w:fldCharType="end"/>
      </w:r>
      <w:r w:rsidR="00BF37AB" w:rsidRPr="00A322A2">
        <w:t xml:space="preserve">. </w:t>
      </w:r>
    </w:p>
    <w:p w14:paraId="231D9DCA" w14:textId="77777777" w:rsidR="00534782" w:rsidRDefault="00534782" w:rsidP="00534782">
      <w:pPr>
        <w:jc w:val="both"/>
        <w:rPr>
          <w:highlight w:val="yellow"/>
        </w:rPr>
      </w:pPr>
    </w:p>
    <w:p w14:paraId="423B24F6" w14:textId="77777777" w:rsidR="002422FF" w:rsidRDefault="00534782" w:rsidP="00534782">
      <w:pPr>
        <w:jc w:val="both"/>
      </w:pPr>
      <w:r>
        <w:t>The following subsections discuss the statewide program and end use-level potential results for electric (GWh) and gas (MMTherms) savings for equipment rebate programs, BROs interventions and low income programs in different sectors. Additional versions of this graph for each IOU and for peak demand savings can be found in the results viewer under the “</w:t>
      </w:r>
      <w:r w:rsidRPr="00184B08">
        <w:t>Use Category - Inc Rebate Net</w:t>
      </w:r>
      <w:r>
        <w:t>” tab. Note that measure-level results are available in a database that accompanies this report.</w:t>
      </w:r>
    </w:p>
    <w:p w14:paraId="7205DA00" w14:textId="77777777" w:rsidR="00073992" w:rsidRDefault="00073992" w:rsidP="00073992">
      <w:pPr>
        <w:pStyle w:val="Heading4"/>
      </w:pPr>
      <w:r>
        <w:t>Residential Rebate Programs</w:t>
      </w:r>
    </w:p>
    <w:p w14:paraId="6589386B" w14:textId="77777777" w:rsidR="00073992" w:rsidRDefault="002A2185" w:rsidP="00073992">
      <w:pPr>
        <w:jc w:val="both"/>
      </w:pPr>
      <w:r>
        <w:fldChar w:fldCharType="begin"/>
      </w:r>
      <w:r>
        <w:instrText xml:space="preserve"> REF _Ref490171468 \h </w:instrText>
      </w:r>
      <w:r>
        <w:fldChar w:fldCharType="separate"/>
      </w:r>
      <w:r w:rsidR="007566B9" w:rsidRPr="00F123A3">
        <w:t xml:space="preserve">Figure </w:t>
      </w:r>
      <w:r w:rsidR="007566B9">
        <w:rPr>
          <w:noProof/>
        </w:rPr>
        <w:t>4</w:t>
      </w:r>
      <w:r w:rsidR="007566B9">
        <w:noBreakHyphen/>
      </w:r>
      <w:r w:rsidR="007566B9">
        <w:rPr>
          <w:noProof/>
        </w:rPr>
        <w:t>21</w:t>
      </w:r>
      <w:r>
        <w:fldChar w:fldCharType="end"/>
      </w:r>
      <w:r>
        <w:t xml:space="preserve"> through </w:t>
      </w:r>
      <w:r>
        <w:fldChar w:fldCharType="begin"/>
      </w:r>
      <w:r>
        <w:instrText xml:space="preserve"> REF _Ref490171470 \h </w:instrText>
      </w:r>
      <w:r>
        <w:fldChar w:fldCharType="separate"/>
      </w:r>
      <w:r w:rsidR="007566B9">
        <w:t xml:space="preserve">Figure </w:t>
      </w:r>
      <w:r w:rsidR="007566B9">
        <w:rPr>
          <w:noProof/>
        </w:rPr>
        <w:t>4</w:t>
      </w:r>
      <w:r w:rsidR="007566B9">
        <w:noBreakHyphen/>
      </w:r>
      <w:r w:rsidR="007566B9">
        <w:rPr>
          <w:noProof/>
        </w:rPr>
        <w:t>25</w:t>
      </w:r>
      <w:r>
        <w:fldChar w:fldCharType="end"/>
      </w:r>
      <w:r>
        <w:t xml:space="preserve"> shows</w:t>
      </w:r>
      <w:r w:rsidR="00073992">
        <w:t xml:space="preserve"> the breakdown of electric savings by end use in the residential sector</w:t>
      </w:r>
      <w:r>
        <w:t xml:space="preserve"> for each scenario</w:t>
      </w:r>
      <w:r w:rsidR="00073992">
        <w:t xml:space="preserve">. Key observations from </w:t>
      </w:r>
      <w:r>
        <w:t>these graphs</w:t>
      </w:r>
      <w:r w:rsidR="00073992">
        <w:t xml:space="preserve"> are: </w:t>
      </w:r>
    </w:p>
    <w:p w14:paraId="5C465BFA" w14:textId="77777777" w:rsidR="00073992" w:rsidRDefault="00073992" w:rsidP="00073992">
      <w:pPr>
        <w:pStyle w:val="ListParagraph"/>
        <w:numPr>
          <w:ilvl w:val="0"/>
          <w:numId w:val="71"/>
        </w:numPr>
        <w:jc w:val="both"/>
      </w:pPr>
      <w:r>
        <w:t>Amongst end use categories that capture potential from discrete measures, lighting dominates electric potential in the residential sector, followed by Appliance and HVAC measures</w:t>
      </w:r>
      <w:r w:rsidR="002A2185">
        <w:t xml:space="preserve"> across all scenarios</w:t>
      </w:r>
      <w:r>
        <w:t xml:space="preserve">. Lighting potential is driven by LEDs. EISA standards that are expected to take effect in 2018 remove savings from CFLs and drive programs and customers toward LEDs as high efficiency opportunities. </w:t>
      </w:r>
    </w:p>
    <w:p w14:paraId="1243705F" w14:textId="45026856" w:rsidR="002A2185" w:rsidRDefault="002A2185" w:rsidP="00073992">
      <w:pPr>
        <w:pStyle w:val="ListParagraph"/>
        <w:numPr>
          <w:ilvl w:val="0"/>
          <w:numId w:val="71"/>
        </w:numPr>
        <w:jc w:val="both"/>
      </w:pPr>
      <w:r>
        <w:t>There is a high degree of variation between scenarios for HVAC savings. As the cost</w:t>
      </w:r>
      <w:r w:rsidR="003C5270">
        <w:t xml:space="preserve"> effectiveness screening</w:t>
      </w:r>
      <w:r>
        <w:t xml:space="preserve"> test gets less stringent, more expensive HVAC measures are included in the potential. </w:t>
      </w:r>
    </w:p>
    <w:p w14:paraId="403AAB3A" w14:textId="77777777" w:rsidR="00073992" w:rsidRDefault="00073992" w:rsidP="00073992">
      <w:pPr>
        <w:pStyle w:val="ListParagraph"/>
        <w:numPr>
          <w:ilvl w:val="0"/>
          <w:numId w:val="71"/>
        </w:numPr>
        <w:jc w:val="both"/>
      </w:pPr>
      <w:r>
        <w:t>Residential whole building potential contributes somewhat significantly to potential in the first few years of the forecast</w:t>
      </w:r>
      <w:r w:rsidR="000A5B8D">
        <w:t xml:space="preserve"> across all scenarios</w:t>
      </w:r>
      <w:r>
        <w:t xml:space="preserve">. The drop in savings between 2019 and 2020 is due to a new Title 24 code that is expected to take effect starting in 2020. </w:t>
      </w:r>
    </w:p>
    <w:p w14:paraId="25C7AB2F" w14:textId="77777777" w:rsidR="00073992" w:rsidRDefault="00073992" w:rsidP="00073992">
      <w:pPr>
        <w:pStyle w:val="ListParagraph"/>
        <w:numPr>
          <w:ilvl w:val="0"/>
          <w:numId w:val="71"/>
        </w:numPr>
        <w:jc w:val="both"/>
      </w:pPr>
      <w:r>
        <w:lastRenderedPageBreak/>
        <w:t>Overall potential ramps up significantly towards 2024 and then gradually begins to taper off towards the end of the forecast period</w:t>
      </w:r>
      <w:r w:rsidR="002A2185">
        <w:t xml:space="preserve"> across all scenarios</w:t>
      </w:r>
      <w:r>
        <w:t xml:space="preserve">. This is due to the model simulating an increasingly saturated market over time as more customers begin adopting efficient equipment with limited remaining low efficiency equipment to convert. This behavior is primarily driven by lighting measures, which turn over at a fast rate than other equipment. </w:t>
      </w:r>
    </w:p>
    <w:p w14:paraId="4806D1EF" w14:textId="77777777" w:rsidR="00073992" w:rsidRDefault="00073992" w:rsidP="00073992">
      <w:pPr>
        <w:jc w:val="both"/>
      </w:pPr>
    </w:p>
    <w:p w14:paraId="48B0A2E7" w14:textId="77777777" w:rsidR="00073992" w:rsidRPr="00F123A3" w:rsidRDefault="00073992" w:rsidP="00073992">
      <w:pPr>
        <w:pStyle w:val="Caption"/>
      </w:pPr>
      <w:bookmarkStart w:id="806" w:name="_Ref490171468"/>
      <w:bookmarkStart w:id="807" w:name="_Ref490171457"/>
      <w:bookmarkStart w:id="808" w:name="_Toc490491754"/>
      <w:r w:rsidRPr="00F123A3">
        <w:t xml:space="preserve">Figure </w:t>
      </w:r>
      <w:fldSimple w:instr=" STYLEREF 1 \s ">
        <w:r w:rsidR="007566B9">
          <w:rPr>
            <w:noProof/>
          </w:rPr>
          <w:t>4</w:t>
        </w:r>
      </w:fldSimple>
      <w:r w:rsidR="00CE124F">
        <w:noBreakHyphen/>
      </w:r>
      <w:fldSimple w:instr=" SEQ Figure \* ARABIC \s 1 ">
        <w:r w:rsidR="007566B9">
          <w:rPr>
            <w:noProof/>
          </w:rPr>
          <w:t>21</w:t>
        </w:r>
      </w:fldSimple>
      <w:bookmarkEnd w:id="806"/>
      <w:r w:rsidRPr="00F123A3">
        <w:t xml:space="preserve">. Statewide </w:t>
      </w:r>
      <w:r w:rsidR="000E2945">
        <w:t xml:space="preserve">Residential </w:t>
      </w:r>
      <w:r w:rsidRPr="00F123A3">
        <w:t xml:space="preserve">Incremental Electric Market Potential by End Use </w:t>
      </w:r>
      <w:r w:rsidR="000E2945">
        <w:t>for Equipment Rebate Programs in Scenario 1 (TRC Reference)</w:t>
      </w:r>
      <w:bookmarkEnd w:id="807"/>
      <w:bookmarkEnd w:id="808"/>
    </w:p>
    <w:p w14:paraId="3B665308" w14:textId="77777777" w:rsidR="00073992" w:rsidRDefault="00073992" w:rsidP="00073992">
      <w:pPr>
        <w:jc w:val="center"/>
      </w:pPr>
    </w:p>
    <w:p w14:paraId="5F8C2EF3" w14:textId="77777777" w:rsidR="00073992" w:rsidRDefault="001D2183" w:rsidP="00073992">
      <w:r>
        <w:rPr>
          <w:noProof/>
        </w:rPr>
        <w:drawing>
          <wp:inline distT="0" distB="0" distL="0" distR="0" wp14:anchorId="75A6C21B" wp14:editId="197177ED">
            <wp:extent cx="6362443" cy="3099816"/>
            <wp:effectExtent l="0" t="0" r="635" b="571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1FF20056" w14:textId="77777777" w:rsidR="000E2945" w:rsidRDefault="000E2945" w:rsidP="00AF21BE">
      <w:pPr>
        <w:jc w:val="center"/>
      </w:pPr>
    </w:p>
    <w:p w14:paraId="2203B7D7" w14:textId="77777777" w:rsidR="000E2945" w:rsidRDefault="000E2945" w:rsidP="00AF21BE">
      <w:pPr>
        <w:pStyle w:val="Caption"/>
      </w:pPr>
      <w:bookmarkStart w:id="809" w:name="_Toc490491755"/>
      <w:r>
        <w:lastRenderedPageBreak/>
        <w:t xml:space="preserve">Figure </w:t>
      </w:r>
      <w:fldSimple w:instr=" STYLEREF 1 \s ">
        <w:r w:rsidR="007566B9">
          <w:rPr>
            <w:noProof/>
          </w:rPr>
          <w:t>4</w:t>
        </w:r>
      </w:fldSimple>
      <w:r w:rsidR="00CE124F">
        <w:noBreakHyphen/>
      </w:r>
      <w:fldSimple w:instr=" SEQ Figure \* ARABIC \s 1 ">
        <w:r w:rsidR="007566B9">
          <w:rPr>
            <w:noProof/>
          </w:rPr>
          <w:t>22</w:t>
        </w:r>
      </w:fldSimple>
      <w:r w:rsidRPr="00F123A3">
        <w:t xml:space="preserve">. Statewide </w:t>
      </w:r>
      <w:r>
        <w:t xml:space="preserve">Residential </w:t>
      </w:r>
      <w:r w:rsidRPr="00F123A3">
        <w:t xml:space="preserve">Incremental Electric Market Potential by End Use </w:t>
      </w:r>
      <w:r>
        <w:t>for Equipment Rebate Programs in Scenario 2 (mTRC w/ GHG Adder 1)</w:t>
      </w:r>
      <w:bookmarkEnd w:id="809"/>
    </w:p>
    <w:p w14:paraId="03B0695C" w14:textId="77777777" w:rsidR="000E2945" w:rsidRDefault="001D2183" w:rsidP="00073992">
      <w:r>
        <w:rPr>
          <w:noProof/>
        </w:rPr>
        <w:drawing>
          <wp:inline distT="0" distB="0" distL="0" distR="0" wp14:anchorId="31128B27" wp14:editId="2F7118A8">
            <wp:extent cx="6362443" cy="3099816"/>
            <wp:effectExtent l="0" t="0" r="635" b="571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21C68F05" w14:textId="77777777" w:rsidR="000E2945" w:rsidRDefault="000E2945" w:rsidP="00073992"/>
    <w:p w14:paraId="596966D1" w14:textId="77777777" w:rsidR="000E2945" w:rsidRDefault="000E2945" w:rsidP="000E2945">
      <w:pPr>
        <w:pStyle w:val="Caption"/>
      </w:pPr>
      <w:bookmarkStart w:id="810" w:name="_Toc490491756"/>
      <w:r>
        <w:t xml:space="preserve">Figure </w:t>
      </w:r>
      <w:fldSimple w:instr=" STYLEREF 1 \s ">
        <w:r w:rsidR="007566B9">
          <w:rPr>
            <w:noProof/>
          </w:rPr>
          <w:t>4</w:t>
        </w:r>
      </w:fldSimple>
      <w:r w:rsidR="00CE124F">
        <w:noBreakHyphen/>
      </w:r>
      <w:fldSimple w:instr=" SEQ Figure \* ARABIC \s 1 ">
        <w:r w:rsidR="007566B9">
          <w:rPr>
            <w:noProof/>
          </w:rPr>
          <w:t>23</w:t>
        </w:r>
      </w:fldSimple>
      <w:r w:rsidRPr="00F123A3">
        <w:t xml:space="preserve">. Statewide </w:t>
      </w:r>
      <w:r>
        <w:t xml:space="preserve">Residential </w:t>
      </w:r>
      <w:r w:rsidRPr="00F123A3">
        <w:t xml:space="preserve">Incremental Electric Market Potential by End Use </w:t>
      </w:r>
      <w:r>
        <w:t>for Equipment Rebate Programs in Scenario 3 (mTRC w/ GHG Adder 2)</w:t>
      </w:r>
      <w:bookmarkEnd w:id="810"/>
    </w:p>
    <w:p w14:paraId="3B9A3C03" w14:textId="77777777" w:rsidR="000E2945" w:rsidRDefault="001D2183" w:rsidP="00073992">
      <w:r>
        <w:rPr>
          <w:noProof/>
        </w:rPr>
        <w:drawing>
          <wp:inline distT="0" distB="0" distL="0" distR="0" wp14:anchorId="20CBB56E" wp14:editId="41FC12FB">
            <wp:extent cx="6362443" cy="3099816"/>
            <wp:effectExtent l="0" t="0" r="635"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26FD21FF" w14:textId="77777777" w:rsidR="000E2945" w:rsidRDefault="000E2945" w:rsidP="00AF21BE">
      <w:pPr>
        <w:jc w:val="center"/>
      </w:pPr>
    </w:p>
    <w:p w14:paraId="580E047C" w14:textId="77777777" w:rsidR="000E2945" w:rsidRDefault="000E2945" w:rsidP="000E2945">
      <w:pPr>
        <w:pStyle w:val="Caption"/>
      </w:pPr>
      <w:bookmarkStart w:id="811" w:name="_Toc490491757"/>
      <w:r>
        <w:lastRenderedPageBreak/>
        <w:t xml:space="preserve">Figure </w:t>
      </w:r>
      <w:fldSimple w:instr=" STYLEREF 1 \s ">
        <w:r w:rsidR="007566B9">
          <w:rPr>
            <w:noProof/>
          </w:rPr>
          <w:t>4</w:t>
        </w:r>
      </w:fldSimple>
      <w:r w:rsidR="00CE124F">
        <w:noBreakHyphen/>
      </w:r>
      <w:fldSimple w:instr=" SEQ Figure \* ARABIC \s 1 ">
        <w:r w:rsidR="007566B9">
          <w:rPr>
            <w:noProof/>
          </w:rPr>
          <w:t>24</w:t>
        </w:r>
      </w:fldSimple>
      <w:r w:rsidRPr="00F123A3">
        <w:t xml:space="preserve">. Statewide </w:t>
      </w:r>
      <w:r>
        <w:t xml:space="preserve">Residential </w:t>
      </w:r>
      <w:r w:rsidRPr="00F123A3">
        <w:t xml:space="preserve">Incremental Electric Market Potential by End Use </w:t>
      </w:r>
      <w:r>
        <w:t>for Equipment Rebate Programs in Scenario 4 (PAC Reference)</w:t>
      </w:r>
      <w:bookmarkEnd w:id="811"/>
    </w:p>
    <w:p w14:paraId="2CCEE283" w14:textId="77777777" w:rsidR="000E2945" w:rsidRDefault="001D2183" w:rsidP="00073992">
      <w:r>
        <w:rPr>
          <w:noProof/>
        </w:rPr>
        <w:drawing>
          <wp:inline distT="0" distB="0" distL="0" distR="0" wp14:anchorId="7E70EEBD" wp14:editId="4D83B468">
            <wp:extent cx="6362443" cy="3099816"/>
            <wp:effectExtent l="0" t="0" r="635" b="571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17D490C9" w14:textId="77777777" w:rsidR="000E2945" w:rsidRDefault="000E2945" w:rsidP="000E2945">
      <w:pPr>
        <w:pStyle w:val="Caption"/>
      </w:pPr>
      <w:bookmarkStart w:id="812" w:name="_Ref490171470"/>
      <w:bookmarkStart w:id="813" w:name="_Ref490171462"/>
      <w:bookmarkStart w:id="814" w:name="_Toc490491758"/>
      <w:r>
        <w:t xml:space="preserve">Figure </w:t>
      </w:r>
      <w:fldSimple w:instr=" STYLEREF 1 \s ">
        <w:r w:rsidR="007566B9">
          <w:rPr>
            <w:noProof/>
          </w:rPr>
          <w:t>4</w:t>
        </w:r>
      </w:fldSimple>
      <w:r w:rsidR="00CE124F">
        <w:noBreakHyphen/>
      </w:r>
      <w:fldSimple w:instr=" SEQ Figure \* ARABIC \s 1 ">
        <w:r w:rsidR="007566B9">
          <w:rPr>
            <w:noProof/>
          </w:rPr>
          <w:t>25</w:t>
        </w:r>
      </w:fldSimple>
      <w:bookmarkEnd w:id="812"/>
      <w:r w:rsidRPr="00F123A3">
        <w:t xml:space="preserve">. Statewide </w:t>
      </w:r>
      <w:r>
        <w:t xml:space="preserve">Residential </w:t>
      </w:r>
      <w:r w:rsidRPr="00F123A3">
        <w:t xml:space="preserve">Incremental Electric Market Potential by End Use </w:t>
      </w:r>
      <w:r>
        <w:t>for Equipment Rebate Programs in Scenario 5 (PAC Aggressive)</w:t>
      </w:r>
      <w:bookmarkEnd w:id="813"/>
      <w:bookmarkEnd w:id="814"/>
    </w:p>
    <w:p w14:paraId="50C336A6" w14:textId="77777777" w:rsidR="000E2945" w:rsidRDefault="001D2183" w:rsidP="00073992">
      <w:r>
        <w:rPr>
          <w:noProof/>
        </w:rPr>
        <w:drawing>
          <wp:inline distT="0" distB="0" distL="0" distR="0" wp14:anchorId="50ACDB6A" wp14:editId="126A3EFD">
            <wp:extent cx="6362443" cy="3099816"/>
            <wp:effectExtent l="0" t="0" r="635"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6C147104" w14:textId="77777777" w:rsidR="00073992" w:rsidRDefault="000A5B8D" w:rsidP="00073992">
      <w:pPr>
        <w:jc w:val="both"/>
      </w:pPr>
      <w:r w:rsidRPr="00AF21BE">
        <w:fldChar w:fldCharType="begin"/>
      </w:r>
      <w:r w:rsidRPr="00AF21BE">
        <w:instrText xml:space="preserve"> REF _Ref490172061 \h </w:instrText>
      </w:r>
      <w:r>
        <w:instrText xml:space="preserve"> \* MERGEFORMAT </w:instrText>
      </w:r>
      <w:r w:rsidRPr="00AF21BE">
        <w:fldChar w:fldCharType="separate"/>
      </w:r>
      <w:r w:rsidR="007566B9" w:rsidRPr="00F123A3">
        <w:t xml:space="preserve">Figure </w:t>
      </w:r>
      <w:r w:rsidR="007566B9">
        <w:rPr>
          <w:noProof/>
        </w:rPr>
        <w:t>4</w:t>
      </w:r>
      <w:r w:rsidR="007566B9">
        <w:rPr>
          <w:noProof/>
        </w:rPr>
        <w:noBreakHyphen/>
        <w:t>26</w:t>
      </w:r>
      <w:r w:rsidRPr="00AF21BE">
        <w:fldChar w:fldCharType="end"/>
      </w:r>
      <w:r>
        <w:t xml:space="preserve"> through </w:t>
      </w:r>
      <w:r w:rsidRPr="00AF21BE">
        <w:fldChar w:fldCharType="begin"/>
      </w:r>
      <w:r w:rsidRPr="00AF21BE">
        <w:instrText xml:space="preserve"> REF _Ref490172062 \h </w:instrText>
      </w:r>
      <w:r>
        <w:instrText xml:space="preserve"> \* MERGEFORMAT </w:instrText>
      </w:r>
      <w:r w:rsidRPr="00AF21BE">
        <w:fldChar w:fldCharType="separate"/>
      </w:r>
      <w:r w:rsidR="007566B9">
        <w:t xml:space="preserve">Figure </w:t>
      </w:r>
      <w:r w:rsidR="007566B9">
        <w:rPr>
          <w:noProof/>
        </w:rPr>
        <w:t>4</w:t>
      </w:r>
      <w:r w:rsidR="007566B9">
        <w:rPr>
          <w:noProof/>
        </w:rPr>
        <w:noBreakHyphen/>
        <w:t>30</w:t>
      </w:r>
      <w:r w:rsidRPr="00AF21BE">
        <w:fldChar w:fldCharType="end"/>
      </w:r>
      <w:r w:rsidR="00073992">
        <w:t xml:space="preserve"> show the breakdown of gas savings by end use in the residential sector. Key observations </w:t>
      </w:r>
      <w:r w:rsidR="00073992" w:rsidRPr="00961C46">
        <w:t>from</w:t>
      </w:r>
      <w:r w:rsidR="00073992">
        <w:t xml:space="preserve"> </w:t>
      </w:r>
      <w:r>
        <w:t>these graphs</w:t>
      </w:r>
      <w:r w:rsidR="00073992">
        <w:t xml:space="preserve"> are: </w:t>
      </w:r>
    </w:p>
    <w:p w14:paraId="6740AA2D" w14:textId="77777777" w:rsidR="00073992" w:rsidRDefault="00073992" w:rsidP="00073992">
      <w:pPr>
        <w:pStyle w:val="ListParagraph"/>
        <w:numPr>
          <w:ilvl w:val="0"/>
          <w:numId w:val="71"/>
        </w:numPr>
        <w:jc w:val="both"/>
      </w:pPr>
      <w:r>
        <w:t>Negative gas savings due to interactive effects from lighting measures reduces the overall net gas potential in the residential sector</w:t>
      </w:r>
      <w:r w:rsidR="000A5B8D">
        <w:t xml:space="preserve"> across all scenarios</w:t>
      </w:r>
      <w:r>
        <w:t xml:space="preserve">. </w:t>
      </w:r>
    </w:p>
    <w:p w14:paraId="36CD66C7" w14:textId="77777777" w:rsidR="000A5B8D" w:rsidRDefault="00073992" w:rsidP="00073992">
      <w:pPr>
        <w:pStyle w:val="ListParagraph"/>
        <w:numPr>
          <w:ilvl w:val="0"/>
          <w:numId w:val="71"/>
        </w:numPr>
        <w:jc w:val="both"/>
      </w:pPr>
      <w:r>
        <w:lastRenderedPageBreak/>
        <w:t>Amongst end use categories that capture potential from discrete measures, water heating dominates potential in the residential sector, followed by HVAC and Building Envelope measures</w:t>
      </w:r>
      <w:r w:rsidR="00E176E1">
        <w:t xml:space="preserve"> across all scenarios</w:t>
      </w:r>
      <w:r>
        <w:t xml:space="preserve">. </w:t>
      </w:r>
    </w:p>
    <w:p w14:paraId="00EC9F63" w14:textId="77777777" w:rsidR="00073992" w:rsidRDefault="00073992" w:rsidP="00073992">
      <w:pPr>
        <w:pStyle w:val="ListParagraph"/>
        <w:numPr>
          <w:ilvl w:val="0"/>
          <w:numId w:val="71"/>
        </w:numPr>
        <w:jc w:val="both"/>
      </w:pPr>
      <w:r>
        <w:t>HVAC potential does not show up until 2021</w:t>
      </w:r>
      <w:r w:rsidR="00E176E1">
        <w:t xml:space="preserve"> in Scenario 1 (TRC Reference)</w:t>
      </w:r>
      <w:r>
        <w:t xml:space="preserve"> as no measures screen the TRC test prior to that. </w:t>
      </w:r>
      <w:r w:rsidR="00E176E1">
        <w:t xml:space="preserve">It does however show up throughout the forecast period for all other scenarios that use a less stringent screening cost test. </w:t>
      </w:r>
    </w:p>
    <w:p w14:paraId="10AB4A32" w14:textId="77777777" w:rsidR="00073992" w:rsidRDefault="00073992" w:rsidP="00073992">
      <w:pPr>
        <w:pStyle w:val="ListParagraph"/>
        <w:numPr>
          <w:ilvl w:val="0"/>
          <w:numId w:val="71"/>
        </w:numPr>
        <w:jc w:val="both"/>
      </w:pPr>
      <w:r>
        <w:t xml:space="preserve">Residential whole building potential contributes significantly to overall potential. Again, the drop in savings between 2019 and 2020 is due to a new Title 24 code that is expected to take effect starting in 2020. </w:t>
      </w:r>
    </w:p>
    <w:p w14:paraId="164A209B" w14:textId="77777777" w:rsidR="00073992" w:rsidRDefault="00073992" w:rsidP="00073992">
      <w:pPr>
        <w:pStyle w:val="ListParagraph"/>
        <w:numPr>
          <w:ilvl w:val="0"/>
          <w:numId w:val="71"/>
        </w:numPr>
        <w:jc w:val="both"/>
      </w:pPr>
      <w:r>
        <w:t>Unlike electric potential, overall potential does not taper off towards the end of the forecast period</w:t>
      </w:r>
      <w:r w:rsidR="00E176E1">
        <w:t xml:space="preserve"> across all scenarios</w:t>
      </w:r>
      <w:r>
        <w:t xml:space="preserve"> as most gas measures have long lifetimes and do not turn over as fast.  As such, there continues to be opportunity for first-time adopters in the gas market, which does not saturate as fast.</w:t>
      </w:r>
    </w:p>
    <w:p w14:paraId="34D1A161" w14:textId="77777777" w:rsidR="00073992" w:rsidRDefault="00073992" w:rsidP="00073992"/>
    <w:p w14:paraId="6928D7DF" w14:textId="77777777" w:rsidR="00073992" w:rsidRPr="00F123A3" w:rsidRDefault="00073992" w:rsidP="00073992">
      <w:pPr>
        <w:pStyle w:val="Caption"/>
      </w:pPr>
      <w:bookmarkStart w:id="815" w:name="_Ref490172061"/>
      <w:bookmarkStart w:id="816" w:name="_Toc490491759"/>
      <w:r w:rsidRPr="00F123A3">
        <w:t xml:space="preserve">Figure </w:t>
      </w:r>
      <w:fldSimple w:instr=" STYLEREF 1 \s ">
        <w:r w:rsidR="007566B9">
          <w:rPr>
            <w:noProof/>
          </w:rPr>
          <w:t>4</w:t>
        </w:r>
      </w:fldSimple>
      <w:r w:rsidR="00CE124F">
        <w:noBreakHyphen/>
      </w:r>
      <w:fldSimple w:instr=" SEQ Figure \* ARABIC \s 1 ">
        <w:r w:rsidR="007566B9">
          <w:rPr>
            <w:noProof/>
          </w:rPr>
          <w:t>26</w:t>
        </w:r>
      </w:fldSimple>
      <w:bookmarkEnd w:id="815"/>
      <w:r w:rsidR="008C520D" w:rsidRPr="00F123A3">
        <w:t xml:space="preserve">. Statewide </w:t>
      </w:r>
      <w:r w:rsidR="008C520D">
        <w:t xml:space="preserve">Residential </w:t>
      </w:r>
      <w:r w:rsidR="008C520D" w:rsidRPr="00F123A3">
        <w:t xml:space="preserve">Incremental </w:t>
      </w:r>
      <w:r w:rsidR="008C520D">
        <w:t>Gas</w:t>
      </w:r>
      <w:r w:rsidR="008C520D" w:rsidRPr="00F123A3">
        <w:t xml:space="preserve"> Market Potential by End Use </w:t>
      </w:r>
      <w:r w:rsidR="008C520D">
        <w:t>for Equipment Rebate Programs in Scenario 1 (TRC Reference)</w:t>
      </w:r>
      <w:bookmarkEnd w:id="816"/>
    </w:p>
    <w:p w14:paraId="5EEE6F19" w14:textId="77777777" w:rsidR="00073992" w:rsidRDefault="001D2183" w:rsidP="00073992">
      <w:pPr>
        <w:jc w:val="center"/>
      </w:pPr>
      <w:r>
        <w:rPr>
          <w:noProof/>
        </w:rPr>
        <w:drawing>
          <wp:inline distT="0" distB="0" distL="0" distR="0" wp14:anchorId="10FF1C59" wp14:editId="25EF2ACC">
            <wp:extent cx="6362443" cy="3099816"/>
            <wp:effectExtent l="0" t="0" r="635" b="571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7C28F595" w14:textId="77777777" w:rsidR="00970D1A" w:rsidRDefault="00970D1A" w:rsidP="00073992">
      <w:pPr>
        <w:jc w:val="center"/>
      </w:pPr>
    </w:p>
    <w:p w14:paraId="4A625DB9" w14:textId="77777777" w:rsidR="00970D1A" w:rsidRDefault="00970D1A" w:rsidP="008C520D">
      <w:pPr>
        <w:pStyle w:val="Caption"/>
      </w:pPr>
      <w:bookmarkStart w:id="817" w:name="_Toc490491760"/>
      <w:r>
        <w:lastRenderedPageBreak/>
        <w:t xml:space="preserve">Figure </w:t>
      </w:r>
      <w:fldSimple w:instr=" STYLEREF 1 \s ">
        <w:r w:rsidR="007566B9">
          <w:rPr>
            <w:noProof/>
          </w:rPr>
          <w:t>4</w:t>
        </w:r>
      </w:fldSimple>
      <w:r w:rsidR="00CE124F">
        <w:noBreakHyphen/>
      </w:r>
      <w:fldSimple w:instr=" SEQ Figure \* ARABIC \s 1 ">
        <w:r w:rsidR="007566B9">
          <w:rPr>
            <w:noProof/>
          </w:rPr>
          <w:t>27</w:t>
        </w:r>
      </w:fldSimple>
      <w:r w:rsidR="008C520D" w:rsidRPr="00F123A3">
        <w:t xml:space="preserve">. Statewide </w:t>
      </w:r>
      <w:r w:rsidR="008C520D">
        <w:t xml:space="preserve">Residential </w:t>
      </w:r>
      <w:r w:rsidR="008C520D" w:rsidRPr="00F123A3">
        <w:t xml:space="preserve">Incremental </w:t>
      </w:r>
      <w:r w:rsidR="008C520D">
        <w:t>Gas</w:t>
      </w:r>
      <w:r w:rsidR="008C520D" w:rsidRPr="00F123A3">
        <w:t xml:space="preserve"> Market Potential by End Use </w:t>
      </w:r>
      <w:r w:rsidR="008C520D">
        <w:t>for Equipment Rebate Programs in Scenario 2 (mTRC w/ GHG Adder 1)</w:t>
      </w:r>
      <w:bookmarkEnd w:id="817"/>
    </w:p>
    <w:p w14:paraId="3AB26124" w14:textId="77777777" w:rsidR="00970D1A" w:rsidRDefault="001D2183" w:rsidP="00073992">
      <w:pPr>
        <w:jc w:val="center"/>
      </w:pPr>
      <w:r>
        <w:rPr>
          <w:noProof/>
        </w:rPr>
        <w:drawing>
          <wp:inline distT="0" distB="0" distL="0" distR="0" wp14:anchorId="63498AE1" wp14:editId="1761D17A">
            <wp:extent cx="6362443" cy="3099816"/>
            <wp:effectExtent l="0" t="0" r="635" b="571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6845813C" w14:textId="77777777" w:rsidR="00970D1A" w:rsidRDefault="00970D1A" w:rsidP="00073992">
      <w:pPr>
        <w:jc w:val="center"/>
      </w:pPr>
    </w:p>
    <w:p w14:paraId="4D7BCEDC" w14:textId="77777777" w:rsidR="00970D1A" w:rsidRDefault="00970D1A" w:rsidP="00970D1A">
      <w:pPr>
        <w:pStyle w:val="Caption"/>
      </w:pPr>
      <w:bookmarkStart w:id="818" w:name="_Toc490491761"/>
      <w:r>
        <w:t xml:space="preserve">Figure </w:t>
      </w:r>
      <w:fldSimple w:instr=" STYLEREF 1 \s ">
        <w:r w:rsidR="007566B9">
          <w:rPr>
            <w:noProof/>
          </w:rPr>
          <w:t>4</w:t>
        </w:r>
      </w:fldSimple>
      <w:r w:rsidR="00CE124F">
        <w:noBreakHyphen/>
      </w:r>
      <w:fldSimple w:instr=" SEQ Figure \* ARABIC \s 1 ">
        <w:r w:rsidR="007566B9">
          <w:rPr>
            <w:noProof/>
          </w:rPr>
          <w:t>28</w:t>
        </w:r>
      </w:fldSimple>
      <w:r w:rsidR="008C520D" w:rsidRPr="00F123A3">
        <w:t xml:space="preserve">. Statewide </w:t>
      </w:r>
      <w:r w:rsidR="008C520D">
        <w:t xml:space="preserve">Residential </w:t>
      </w:r>
      <w:r w:rsidR="008C520D" w:rsidRPr="00F123A3">
        <w:t xml:space="preserve">Incremental </w:t>
      </w:r>
      <w:r w:rsidR="008C520D">
        <w:t>Gas</w:t>
      </w:r>
      <w:r w:rsidR="008C520D" w:rsidRPr="00F123A3">
        <w:t xml:space="preserve"> Market Potential by End Use </w:t>
      </w:r>
      <w:r w:rsidR="008C520D">
        <w:t>for Equipment Rebate Programs in Scenario 3 (mTRC w/ GHG Adder 2)</w:t>
      </w:r>
      <w:bookmarkEnd w:id="818"/>
    </w:p>
    <w:p w14:paraId="21BBB5A0" w14:textId="77777777" w:rsidR="00970D1A" w:rsidRDefault="001D2183" w:rsidP="00073992">
      <w:pPr>
        <w:jc w:val="center"/>
      </w:pPr>
      <w:r>
        <w:rPr>
          <w:noProof/>
        </w:rPr>
        <w:drawing>
          <wp:inline distT="0" distB="0" distL="0" distR="0" wp14:anchorId="1EADF2D7" wp14:editId="1249DA74">
            <wp:extent cx="6362443" cy="3099816"/>
            <wp:effectExtent l="0" t="0" r="635" b="571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39337D96" w14:textId="77777777" w:rsidR="00970D1A" w:rsidRDefault="00970D1A" w:rsidP="00073992">
      <w:pPr>
        <w:jc w:val="center"/>
      </w:pPr>
    </w:p>
    <w:p w14:paraId="0765C1C1" w14:textId="77777777" w:rsidR="00970D1A" w:rsidRDefault="00970D1A" w:rsidP="00970D1A">
      <w:pPr>
        <w:pStyle w:val="Caption"/>
      </w:pPr>
      <w:bookmarkStart w:id="819" w:name="_Toc490491762"/>
      <w:r>
        <w:lastRenderedPageBreak/>
        <w:t xml:space="preserve">Figure </w:t>
      </w:r>
      <w:fldSimple w:instr=" STYLEREF 1 \s ">
        <w:r w:rsidR="007566B9">
          <w:rPr>
            <w:noProof/>
          </w:rPr>
          <w:t>4</w:t>
        </w:r>
      </w:fldSimple>
      <w:r w:rsidR="00CE124F">
        <w:noBreakHyphen/>
      </w:r>
      <w:fldSimple w:instr=" SEQ Figure \* ARABIC \s 1 ">
        <w:r w:rsidR="007566B9">
          <w:rPr>
            <w:noProof/>
          </w:rPr>
          <w:t>29</w:t>
        </w:r>
      </w:fldSimple>
      <w:r w:rsidR="008C520D" w:rsidRPr="00F123A3">
        <w:t xml:space="preserve">. Statewide </w:t>
      </w:r>
      <w:r w:rsidR="008C520D">
        <w:t xml:space="preserve">Residential </w:t>
      </w:r>
      <w:r w:rsidR="008C520D" w:rsidRPr="00F123A3">
        <w:t xml:space="preserve">Incremental </w:t>
      </w:r>
      <w:r w:rsidR="008C520D">
        <w:t>Gas</w:t>
      </w:r>
      <w:r w:rsidR="008C520D" w:rsidRPr="00F123A3">
        <w:t xml:space="preserve"> Market Potential by End Use </w:t>
      </w:r>
      <w:r w:rsidR="008C520D">
        <w:t>for Equipment Rebate Programs in Scenario 4 (PAC Reference)</w:t>
      </w:r>
      <w:bookmarkEnd w:id="819"/>
    </w:p>
    <w:p w14:paraId="65C6CFEB" w14:textId="77777777" w:rsidR="00970D1A" w:rsidRDefault="001D2183" w:rsidP="00073992">
      <w:pPr>
        <w:jc w:val="center"/>
      </w:pPr>
      <w:r>
        <w:rPr>
          <w:noProof/>
        </w:rPr>
        <w:drawing>
          <wp:inline distT="0" distB="0" distL="0" distR="0" wp14:anchorId="364E5E65" wp14:editId="778822C1">
            <wp:extent cx="6362443" cy="3099816"/>
            <wp:effectExtent l="0" t="0" r="635" b="571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17235D2A" w14:textId="77777777" w:rsidR="00970D1A" w:rsidRDefault="00970D1A" w:rsidP="00073992">
      <w:pPr>
        <w:jc w:val="center"/>
      </w:pPr>
    </w:p>
    <w:p w14:paraId="42B9D239" w14:textId="77777777" w:rsidR="00970D1A" w:rsidRDefault="00970D1A" w:rsidP="00970D1A">
      <w:pPr>
        <w:pStyle w:val="Caption"/>
      </w:pPr>
      <w:bookmarkStart w:id="820" w:name="_Ref490172062"/>
      <w:bookmarkStart w:id="821" w:name="_Toc490491763"/>
      <w:r>
        <w:t xml:space="preserve">Figure </w:t>
      </w:r>
      <w:fldSimple w:instr=" STYLEREF 1 \s ">
        <w:r w:rsidR="007566B9">
          <w:rPr>
            <w:noProof/>
          </w:rPr>
          <w:t>4</w:t>
        </w:r>
      </w:fldSimple>
      <w:r w:rsidR="00CE124F">
        <w:noBreakHyphen/>
      </w:r>
      <w:fldSimple w:instr=" SEQ Figure \* ARABIC \s 1 ">
        <w:r w:rsidR="007566B9">
          <w:rPr>
            <w:noProof/>
          </w:rPr>
          <w:t>30</w:t>
        </w:r>
      </w:fldSimple>
      <w:bookmarkEnd w:id="820"/>
      <w:r w:rsidR="008C520D" w:rsidRPr="00F123A3">
        <w:t xml:space="preserve">. Statewide </w:t>
      </w:r>
      <w:r w:rsidR="008C520D">
        <w:t xml:space="preserve">Residential </w:t>
      </w:r>
      <w:r w:rsidR="008C520D" w:rsidRPr="00F123A3">
        <w:t xml:space="preserve">Incremental </w:t>
      </w:r>
      <w:r w:rsidR="008C520D">
        <w:t>Gas</w:t>
      </w:r>
      <w:r w:rsidR="008C520D" w:rsidRPr="00F123A3">
        <w:t xml:space="preserve"> Market Potential by End Use </w:t>
      </w:r>
      <w:r w:rsidR="008C520D">
        <w:t>for Equipment Rebate Programs in Scenario 5 (PAC Aggressive)</w:t>
      </w:r>
      <w:bookmarkEnd w:id="821"/>
    </w:p>
    <w:p w14:paraId="6DC2B6DC" w14:textId="77777777" w:rsidR="00970D1A" w:rsidRDefault="001D2183" w:rsidP="00073992">
      <w:pPr>
        <w:jc w:val="center"/>
      </w:pPr>
      <w:r>
        <w:rPr>
          <w:noProof/>
        </w:rPr>
        <w:drawing>
          <wp:inline distT="0" distB="0" distL="0" distR="0" wp14:anchorId="3CAA2CB1" wp14:editId="67814F66">
            <wp:extent cx="6362443" cy="3099816"/>
            <wp:effectExtent l="0" t="0" r="635"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61EE142D" w14:textId="77777777" w:rsidR="00073992" w:rsidRDefault="00073992" w:rsidP="00073992">
      <w:pPr>
        <w:pStyle w:val="Heading4"/>
      </w:pPr>
      <w:r>
        <w:lastRenderedPageBreak/>
        <w:t>Commercial Rebate Programs</w:t>
      </w:r>
    </w:p>
    <w:p w14:paraId="0588DEBD" w14:textId="77777777" w:rsidR="00073992" w:rsidRDefault="00C855E7" w:rsidP="00073992">
      <w:pPr>
        <w:jc w:val="both"/>
      </w:pPr>
      <w:r w:rsidRPr="00AF21BE">
        <w:fldChar w:fldCharType="begin"/>
      </w:r>
      <w:r w:rsidRPr="00AF21BE">
        <w:instrText xml:space="preserve"> REF _Ref490172439 \h </w:instrText>
      </w:r>
      <w:r>
        <w:instrText xml:space="preserve"> \* MERGEFORMAT </w:instrText>
      </w:r>
      <w:r w:rsidRPr="00AF21BE">
        <w:fldChar w:fldCharType="separate"/>
      </w:r>
      <w:r w:rsidR="007566B9" w:rsidRPr="00F123A3">
        <w:t xml:space="preserve">Figure </w:t>
      </w:r>
      <w:r w:rsidR="007566B9">
        <w:rPr>
          <w:noProof/>
        </w:rPr>
        <w:t>4</w:t>
      </w:r>
      <w:r w:rsidR="007566B9">
        <w:rPr>
          <w:noProof/>
        </w:rPr>
        <w:noBreakHyphen/>
        <w:t>31</w:t>
      </w:r>
      <w:r w:rsidRPr="00AF21BE">
        <w:fldChar w:fldCharType="end"/>
      </w:r>
      <w:r w:rsidRPr="00AF21BE">
        <w:t xml:space="preserve"> through </w:t>
      </w:r>
      <w:r w:rsidRPr="00AF21BE">
        <w:fldChar w:fldCharType="begin"/>
      </w:r>
      <w:r w:rsidRPr="00AF21BE">
        <w:instrText xml:space="preserve"> REF _Ref490172441 \h </w:instrText>
      </w:r>
      <w:r>
        <w:instrText xml:space="preserve"> \* MERGEFORMAT </w:instrText>
      </w:r>
      <w:r w:rsidRPr="00AF21BE">
        <w:fldChar w:fldCharType="separate"/>
      </w:r>
      <w:r w:rsidR="007566B9">
        <w:t xml:space="preserve">Figure </w:t>
      </w:r>
      <w:r w:rsidR="007566B9">
        <w:rPr>
          <w:noProof/>
        </w:rPr>
        <w:t>4</w:t>
      </w:r>
      <w:r w:rsidR="007566B9">
        <w:rPr>
          <w:noProof/>
        </w:rPr>
        <w:noBreakHyphen/>
        <w:t>35</w:t>
      </w:r>
      <w:r w:rsidRPr="00AF21BE">
        <w:fldChar w:fldCharType="end"/>
      </w:r>
      <w:r w:rsidRPr="00961C46">
        <w:t xml:space="preserve"> show</w:t>
      </w:r>
      <w:r w:rsidR="00073992">
        <w:t xml:space="preserve"> the breakdown of electric savings by end use in the commercial sector</w:t>
      </w:r>
      <w:r>
        <w:t xml:space="preserve"> for each scenario</w:t>
      </w:r>
      <w:r w:rsidR="00073992">
        <w:t xml:space="preserve">. Key observations from </w:t>
      </w:r>
      <w:r>
        <w:t>these graphs</w:t>
      </w:r>
      <w:r w:rsidR="00073992">
        <w:t xml:space="preserve"> are: </w:t>
      </w:r>
    </w:p>
    <w:p w14:paraId="6ED5AAB6" w14:textId="77777777" w:rsidR="00073992" w:rsidRDefault="00073992" w:rsidP="00073992">
      <w:pPr>
        <w:pStyle w:val="ListParagraph"/>
        <w:numPr>
          <w:ilvl w:val="0"/>
          <w:numId w:val="71"/>
        </w:numPr>
        <w:jc w:val="both"/>
      </w:pPr>
      <w:r w:rsidRPr="00184B08">
        <w:t>Amongst end use categories that capture potential from discrete measures, lighting dominates electric potential in the commercial sector, followed by HVAC and commercial refrigeration measures</w:t>
      </w:r>
      <w:r w:rsidR="00DF465A">
        <w:t xml:space="preserve"> across all scenarios</w:t>
      </w:r>
      <w:r w:rsidRPr="00184B08">
        <w:t>. Like the residential sector, lighting potential is driven by LEDs.</w:t>
      </w:r>
    </w:p>
    <w:p w14:paraId="1602EED9" w14:textId="7DFE8CFA" w:rsidR="00C855E7" w:rsidRPr="00184B08" w:rsidRDefault="00DF465A" w:rsidP="00961C46">
      <w:pPr>
        <w:pStyle w:val="ListParagraph"/>
        <w:numPr>
          <w:ilvl w:val="0"/>
          <w:numId w:val="71"/>
        </w:numPr>
        <w:jc w:val="both"/>
      </w:pPr>
      <w:r>
        <w:t xml:space="preserve">Like the residential sector, there is a high degree of variation between scenarios for HVAC savings. As the cost </w:t>
      </w:r>
      <w:r w:rsidR="003C5270">
        <w:t xml:space="preserve">effectiveness screening </w:t>
      </w:r>
      <w:r>
        <w:t xml:space="preserve">test gets less stringent, more expensive HVAC measures are included in the potential. </w:t>
      </w:r>
    </w:p>
    <w:p w14:paraId="0991AF83" w14:textId="77777777" w:rsidR="00073992" w:rsidRDefault="00073992" w:rsidP="00073992">
      <w:pPr>
        <w:pStyle w:val="ListParagraph"/>
        <w:numPr>
          <w:ilvl w:val="0"/>
          <w:numId w:val="71"/>
        </w:numPr>
        <w:jc w:val="both"/>
      </w:pPr>
      <w:r>
        <w:t>Commercial whole building potential contributes significantly to overall potential</w:t>
      </w:r>
      <w:r w:rsidR="00DF465A">
        <w:t xml:space="preserve"> across all scenarios</w:t>
      </w:r>
      <w:r>
        <w:t xml:space="preserve">. The drop-in savings between 2019 and 2020 is due to a new Title 24 code. Whole building shows a larger potential in the future as commercial retrofit whole building programs are expected to capture savings. </w:t>
      </w:r>
    </w:p>
    <w:p w14:paraId="3506DC4E" w14:textId="77777777" w:rsidR="00073992" w:rsidRDefault="00073992" w:rsidP="00073992">
      <w:pPr>
        <w:pStyle w:val="ListParagraph"/>
        <w:numPr>
          <w:ilvl w:val="0"/>
          <w:numId w:val="71"/>
        </w:numPr>
        <w:jc w:val="both"/>
      </w:pPr>
      <w:r>
        <w:t>Overall potential increases over the forecast period with a ramp rate that decreases over time</w:t>
      </w:r>
      <w:r w:rsidR="00DF465A">
        <w:t xml:space="preserve"> across all scenarios</w:t>
      </w:r>
      <w:r>
        <w:t xml:space="preserve">. This is due to the model simulating an increasingly saturated market over time as more customers begin adopting efficient equipment for the first time. This behavior is less pronounced in the commercial sector versus the residential sector as lighting measures, which dominate potential, have longer lifetimes in commercial buildings. </w:t>
      </w:r>
    </w:p>
    <w:p w14:paraId="633E5A26" w14:textId="77777777" w:rsidR="00073992" w:rsidRDefault="00073992" w:rsidP="00073992">
      <w:pPr>
        <w:pStyle w:val="ListParagraph"/>
        <w:jc w:val="both"/>
      </w:pPr>
    </w:p>
    <w:p w14:paraId="6A155E63" w14:textId="77777777" w:rsidR="00073992" w:rsidRPr="00F123A3" w:rsidRDefault="00073992" w:rsidP="002A2185">
      <w:pPr>
        <w:pStyle w:val="Caption"/>
      </w:pPr>
      <w:bookmarkStart w:id="822" w:name="_Ref490172439"/>
      <w:bookmarkStart w:id="823" w:name="_Toc490491764"/>
      <w:r w:rsidRPr="00F123A3">
        <w:t xml:space="preserve">Figure </w:t>
      </w:r>
      <w:fldSimple w:instr=" STYLEREF 1 \s ">
        <w:r w:rsidR="007566B9">
          <w:rPr>
            <w:noProof/>
          </w:rPr>
          <w:t>4</w:t>
        </w:r>
      </w:fldSimple>
      <w:r w:rsidR="00CE124F">
        <w:noBreakHyphen/>
      </w:r>
      <w:fldSimple w:instr=" SEQ Figure \* ARABIC \s 1 ">
        <w:r w:rsidR="007566B9">
          <w:rPr>
            <w:noProof/>
          </w:rPr>
          <w:t>31</w:t>
        </w:r>
      </w:fldSimple>
      <w:bookmarkEnd w:id="822"/>
      <w:r w:rsidR="001D2183">
        <w:t>.</w:t>
      </w:r>
      <w:r w:rsidR="00684243">
        <w:t xml:space="preserve"> </w:t>
      </w:r>
      <w:r w:rsidR="00684243" w:rsidRPr="00F123A3">
        <w:t xml:space="preserve">Statewide </w:t>
      </w:r>
      <w:r w:rsidR="00684243">
        <w:t xml:space="preserve">Commercial </w:t>
      </w:r>
      <w:r w:rsidR="00684243" w:rsidRPr="00F123A3">
        <w:t xml:space="preserve">Incremental Electric Market Potential by End Use </w:t>
      </w:r>
      <w:r w:rsidR="00684243">
        <w:t>for Equipment Rebate Programs in Scenario 1 (TRC Reference)</w:t>
      </w:r>
      <w:bookmarkEnd w:id="823"/>
    </w:p>
    <w:p w14:paraId="50D2DC19" w14:textId="77777777" w:rsidR="00073992" w:rsidRDefault="001D2183" w:rsidP="00073992">
      <w:pPr>
        <w:jc w:val="center"/>
      </w:pPr>
      <w:r>
        <w:rPr>
          <w:noProof/>
        </w:rPr>
        <w:drawing>
          <wp:inline distT="0" distB="0" distL="0" distR="0" wp14:anchorId="66CFF8BC" wp14:editId="538627BA">
            <wp:extent cx="6362443" cy="3099816"/>
            <wp:effectExtent l="0" t="0" r="635" b="571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445286A5" w14:textId="77777777" w:rsidR="001D2183" w:rsidRDefault="001D2183" w:rsidP="00073992">
      <w:pPr>
        <w:jc w:val="center"/>
      </w:pPr>
    </w:p>
    <w:p w14:paraId="2D04406F" w14:textId="77777777" w:rsidR="001D2183" w:rsidRDefault="001D2183" w:rsidP="00073992">
      <w:pPr>
        <w:jc w:val="center"/>
      </w:pPr>
    </w:p>
    <w:p w14:paraId="1728A9A9" w14:textId="77777777" w:rsidR="000561FE" w:rsidRDefault="000561FE" w:rsidP="002A2185">
      <w:pPr>
        <w:pStyle w:val="Caption"/>
      </w:pPr>
      <w:bookmarkStart w:id="824" w:name="_Toc490491765"/>
      <w:r>
        <w:lastRenderedPageBreak/>
        <w:t xml:space="preserve">Figure </w:t>
      </w:r>
      <w:fldSimple w:instr=" STYLEREF 1 \s ">
        <w:r w:rsidR="007566B9">
          <w:rPr>
            <w:noProof/>
          </w:rPr>
          <w:t>4</w:t>
        </w:r>
      </w:fldSimple>
      <w:r w:rsidR="00CE124F">
        <w:noBreakHyphen/>
      </w:r>
      <w:fldSimple w:instr=" SEQ Figure \* ARABIC \s 1 ">
        <w:r w:rsidR="007566B9">
          <w:rPr>
            <w:noProof/>
          </w:rPr>
          <w:t>32</w:t>
        </w:r>
      </w:fldSimple>
      <w:r w:rsidR="00684243">
        <w:t xml:space="preserve">. </w:t>
      </w:r>
      <w:r w:rsidR="00684243" w:rsidRPr="00F123A3">
        <w:t xml:space="preserve">Statewide </w:t>
      </w:r>
      <w:r w:rsidR="00684243">
        <w:t xml:space="preserve">Commercial </w:t>
      </w:r>
      <w:r w:rsidR="00684243" w:rsidRPr="00F123A3">
        <w:t xml:space="preserve">Incremental Electric Market Potential by End Use </w:t>
      </w:r>
      <w:r w:rsidR="00684243">
        <w:t xml:space="preserve">for Equipment Rebate Programs in </w:t>
      </w:r>
      <w:r w:rsidR="00492A22">
        <w:t>Scenario 2 (mTRC w/ GHG Adder 1)</w:t>
      </w:r>
      <w:bookmarkEnd w:id="824"/>
    </w:p>
    <w:p w14:paraId="0E0168E0" w14:textId="77777777" w:rsidR="001D2183" w:rsidRDefault="001D2183" w:rsidP="00073992">
      <w:pPr>
        <w:jc w:val="center"/>
      </w:pPr>
      <w:r>
        <w:rPr>
          <w:noProof/>
        </w:rPr>
        <w:drawing>
          <wp:inline distT="0" distB="0" distL="0" distR="0" wp14:anchorId="5CAEE5D5" wp14:editId="3CB3FF5C">
            <wp:extent cx="6362443" cy="3099816"/>
            <wp:effectExtent l="0" t="0" r="635" b="571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672120DB" w14:textId="77777777" w:rsidR="001D2183" w:rsidRDefault="001D2183" w:rsidP="00073992">
      <w:pPr>
        <w:jc w:val="center"/>
      </w:pPr>
    </w:p>
    <w:p w14:paraId="7CF65655" w14:textId="77777777" w:rsidR="000561FE" w:rsidRDefault="000561FE" w:rsidP="002A2185">
      <w:pPr>
        <w:pStyle w:val="Caption"/>
      </w:pPr>
      <w:bookmarkStart w:id="825" w:name="_Toc490491766"/>
      <w:r>
        <w:t xml:space="preserve">Figure </w:t>
      </w:r>
      <w:fldSimple w:instr=" STYLEREF 1 \s ">
        <w:r w:rsidR="007566B9">
          <w:rPr>
            <w:noProof/>
          </w:rPr>
          <w:t>4</w:t>
        </w:r>
      </w:fldSimple>
      <w:r w:rsidR="00CE124F">
        <w:noBreakHyphen/>
      </w:r>
      <w:fldSimple w:instr=" SEQ Figure \* ARABIC \s 1 ">
        <w:r w:rsidR="007566B9">
          <w:rPr>
            <w:noProof/>
          </w:rPr>
          <w:t>33</w:t>
        </w:r>
      </w:fldSimple>
      <w:r w:rsidR="00684243">
        <w:t xml:space="preserve">. </w:t>
      </w:r>
      <w:r w:rsidR="00684243" w:rsidRPr="00F123A3">
        <w:t xml:space="preserve">Statewide </w:t>
      </w:r>
      <w:r w:rsidR="00684243">
        <w:t xml:space="preserve">Commercial </w:t>
      </w:r>
      <w:r w:rsidR="00684243" w:rsidRPr="00F123A3">
        <w:t xml:space="preserve">Incremental Electric Market Potential by End Use </w:t>
      </w:r>
      <w:r w:rsidR="00684243">
        <w:t xml:space="preserve">for Equipment Rebate Programs in </w:t>
      </w:r>
      <w:r w:rsidR="00492A22">
        <w:t>Scenario 3 (mTRC w/ GHG Adder 2)</w:t>
      </w:r>
      <w:bookmarkEnd w:id="825"/>
    </w:p>
    <w:p w14:paraId="115B06D9" w14:textId="77777777" w:rsidR="001D2183" w:rsidRDefault="001D2183" w:rsidP="00073992">
      <w:pPr>
        <w:jc w:val="center"/>
      </w:pPr>
      <w:r>
        <w:rPr>
          <w:noProof/>
        </w:rPr>
        <w:drawing>
          <wp:inline distT="0" distB="0" distL="0" distR="0" wp14:anchorId="6058443C" wp14:editId="353EAD81">
            <wp:extent cx="6362443" cy="3099816"/>
            <wp:effectExtent l="0" t="0" r="635" b="571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6C2271FF" w14:textId="77777777" w:rsidR="000561FE" w:rsidRDefault="000561FE" w:rsidP="002A2185">
      <w:pPr>
        <w:pStyle w:val="Caption"/>
      </w:pPr>
      <w:bookmarkStart w:id="826" w:name="_Toc490491767"/>
      <w:r>
        <w:lastRenderedPageBreak/>
        <w:t xml:space="preserve">Figure </w:t>
      </w:r>
      <w:fldSimple w:instr=" STYLEREF 1 \s ">
        <w:r w:rsidR="007566B9">
          <w:rPr>
            <w:noProof/>
          </w:rPr>
          <w:t>4</w:t>
        </w:r>
      </w:fldSimple>
      <w:r w:rsidR="00CE124F">
        <w:noBreakHyphen/>
      </w:r>
      <w:fldSimple w:instr=" SEQ Figure \* ARABIC \s 1 ">
        <w:r w:rsidR="007566B9">
          <w:rPr>
            <w:noProof/>
          </w:rPr>
          <w:t>34</w:t>
        </w:r>
      </w:fldSimple>
      <w:r w:rsidR="00684243">
        <w:t xml:space="preserve">. </w:t>
      </w:r>
      <w:r w:rsidR="00684243" w:rsidRPr="00F123A3">
        <w:t xml:space="preserve">Statewide </w:t>
      </w:r>
      <w:r w:rsidR="00684243">
        <w:t xml:space="preserve">Commercial </w:t>
      </w:r>
      <w:r w:rsidR="00684243" w:rsidRPr="00F123A3">
        <w:t xml:space="preserve">Incremental Electric Market Potential by End Use </w:t>
      </w:r>
      <w:r w:rsidR="00684243">
        <w:t xml:space="preserve">for Equipment Rebate Programs in </w:t>
      </w:r>
      <w:r w:rsidR="00492A22">
        <w:t>Scenario 4 (PAC Reference)</w:t>
      </w:r>
      <w:bookmarkEnd w:id="826"/>
    </w:p>
    <w:p w14:paraId="007C2233" w14:textId="77777777" w:rsidR="001D2183" w:rsidRDefault="001D2183" w:rsidP="00073992">
      <w:pPr>
        <w:jc w:val="center"/>
      </w:pPr>
      <w:r>
        <w:rPr>
          <w:noProof/>
        </w:rPr>
        <w:drawing>
          <wp:inline distT="0" distB="0" distL="0" distR="0" wp14:anchorId="4093036F" wp14:editId="62F77D6F">
            <wp:extent cx="6362443" cy="3099816"/>
            <wp:effectExtent l="0" t="0" r="635" b="571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3538BAFF" w14:textId="77777777" w:rsidR="001D2183" w:rsidRDefault="001D2183" w:rsidP="00073992">
      <w:pPr>
        <w:jc w:val="center"/>
      </w:pPr>
    </w:p>
    <w:p w14:paraId="5C6A9284" w14:textId="77777777" w:rsidR="000561FE" w:rsidRDefault="000561FE" w:rsidP="002A2185">
      <w:pPr>
        <w:pStyle w:val="Caption"/>
      </w:pPr>
      <w:bookmarkStart w:id="827" w:name="_Ref490172441"/>
      <w:bookmarkStart w:id="828" w:name="_Toc490491768"/>
      <w:r>
        <w:t xml:space="preserve">Figure </w:t>
      </w:r>
      <w:fldSimple w:instr=" STYLEREF 1 \s ">
        <w:r w:rsidR="007566B9">
          <w:rPr>
            <w:noProof/>
          </w:rPr>
          <w:t>4</w:t>
        </w:r>
      </w:fldSimple>
      <w:r w:rsidR="00CE124F">
        <w:noBreakHyphen/>
      </w:r>
      <w:fldSimple w:instr=" SEQ Figure \* ARABIC \s 1 ">
        <w:r w:rsidR="007566B9">
          <w:rPr>
            <w:noProof/>
          </w:rPr>
          <w:t>35</w:t>
        </w:r>
      </w:fldSimple>
      <w:bookmarkEnd w:id="827"/>
      <w:r w:rsidR="00684243">
        <w:t xml:space="preserve">. </w:t>
      </w:r>
      <w:r w:rsidR="00684243" w:rsidRPr="00F123A3">
        <w:t xml:space="preserve">Statewide </w:t>
      </w:r>
      <w:r w:rsidR="00684243">
        <w:t xml:space="preserve">Commercial </w:t>
      </w:r>
      <w:r w:rsidR="00684243" w:rsidRPr="00F123A3">
        <w:t xml:space="preserve">Incremental Electric Market Potential by End Use </w:t>
      </w:r>
      <w:r w:rsidR="00684243">
        <w:t xml:space="preserve">for Equipment Rebate Programs in </w:t>
      </w:r>
      <w:r w:rsidR="00492A22">
        <w:t>Scenario 5 (PAC Aggressive)</w:t>
      </w:r>
      <w:bookmarkEnd w:id="828"/>
    </w:p>
    <w:p w14:paraId="7F83BB09" w14:textId="77777777" w:rsidR="001D2183" w:rsidRDefault="001D2183" w:rsidP="00073992">
      <w:pPr>
        <w:jc w:val="center"/>
      </w:pPr>
      <w:r>
        <w:rPr>
          <w:noProof/>
        </w:rPr>
        <w:drawing>
          <wp:inline distT="0" distB="0" distL="0" distR="0" wp14:anchorId="4B93E96F" wp14:editId="046F2690">
            <wp:extent cx="6362443" cy="3099816"/>
            <wp:effectExtent l="0" t="0" r="635" b="571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649424D9" w14:textId="77777777" w:rsidR="00073992" w:rsidRDefault="00DF465A" w:rsidP="00073992">
      <w:pPr>
        <w:jc w:val="both"/>
      </w:pPr>
      <w:r w:rsidRPr="00AF21BE">
        <w:fldChar w:fldCharType="begin"/>
      </w:r>
      <w:r w:rsidRPr="00AF21BE">
        <w:instrText xml:space="preserve"> REF _Ref490172799 \h </w:instrText>
      </w:r>
      <w:r>
        <w:instrText xml:space="preserve"> \* MERGEFORMAT </w:instrText>
      </w:r>
      <w:r w:rsidRPr="00AF21BE">
        <w:fldChar w:fldCharType="separate"/>
      </w:r>
      <w:r w:rsidR="007566B9" w:rsidRPr="00F123A3">
        <w:t xml:space="preserve">Figure </w:t>
      </w:r>
      <w:r w:rsidR="007566B9">
        <w:rPr>
          <w:noProof/>
        </w:rPr>
        <w:t>4</w:t>
      </w:r>
      <w:r w:rsidR="007566B9">
        <w:rPr>
          <w:noProof/>
        </w:rPr>
        <w:noBreakHyphen/>
        <w:t>36</w:t>
      </w:r>
      <w:r w:rsidRPr="00AF21BE">
        <w:fldChar w:fldCharType="end"/>
      </w:r>
      <w:r w:rsidRPr="00AF21BE">
        <w:t xml:space="preserve"> through </w:t>
      </w:r>
      <w:r w:rsidRPr="00AF21BE">
        <w:fldChar w:fldCharType="begin"/>
      </w:r>
      <w:r w:rsidRPr="00AF21BE">
        <w:instrText xml:space="preserve"> REF _Ref490172800 \h </w:instrText>
      </w:r>
      <w:r>
        <w:instrText xml:space="preserve"> \* MERGEFORMAT </w:instrText>
      </w:r>
      <w:r w:rsidRPr="00AF21BE">
        <w:fldChar w:fldCharType="separate"/>
      </w:r>
      <w:r w:rsidR="007566B9">
        <w:t xml:space="preserve">Figure </w:t>
      </w:r>
      <w:r w:rsidR="007566B9">
        <w:rPr>
          <w:noProof/>
        </w:rPr>
        <w:t>4</w:t>
      </w:r>
      <w:r w:rsidR="007566B9">
        <w:rPr>
          <w:noProof/>
        </w:rPr>
        <w:noBreakHyphen/>
        <w:t>40</w:t>
      </w:r>
      <w:r w:rsidRPr="00AF21BE">
        <w:fldChar w:fldCharType="end"/>
      </w:r>
      <w:r>
        <w:t xml:space="preserve"> show</w:t>
      </w:r>
      <w:r w:rsidR="00073992">
        <w:t xml:space="preserve"> the breakdown of gas savings by end use in the commercial sector</w:t>
      </w:r>
      <w:r w:rsidR="00C855E7">
        <w:t xml:space="preserve"> for each scenario</w:t>
      </w:r>
      <w:r w:rsidR="00073992">
        <w:t xml:space="preserve">. Key observations from </w:t>
      </w:r>
      <w:r>
        <w:t>these graphs</w:t>
      </w:r>
      <w:r w:rsidR="00073992">
        <w:t xml:space="preserve"> are: </w:t>
      </w:r>
    </w:p>
    <w:p w14:paraId="22567811" w14:textId="77777777" w:rsidR="00073992" w:rsidRDefault="00073992" w:rsidP="00073992">
      <w:pPr>
        <w:pStyle w:val="ListParagraph"/>
        <w:numPr>
          <w:ilvl w:val="0"/>
          <w:numId w:val="71"/>
        </w:numPr>
        <w:jc w:val="both"/>
      </w:pPr>
      <w:r>
        <w:lastRenderedPageBreak/>
        <w:t xml:space="preserve">Like the residential sector, negative gas savings due to interactive effects from lighting measures reduces the overall net gas potential in the </w:t>
      </w:r>
      <w:r w:rsidR="00DF465A">
        <w:t xml:space="preserve">commercial </w:t>
      </w:r>
      <w:r>
        <w:t>sector</w:t>
      </w:r>
      <w:r w:rsidR="00DF465A">
        <w:t xml:space="preserve"> across all scenarios</w:t>
      </w:r>
      <w:r>
        <w:t xml:space="preserve">. </w:t>
      </w:r>
    </w:p>
    <w:p w14:paraId="6A48F8D8" w14:textId="77777777" w:rsidR="00073992" w:rsidRDefault="00073992" w:rsidP="00073992">
      <w:pPr>
        <w:pStyle w:val="ListParagraph"/>
        <w:numPr>
          <w:ilvl w:val="0"/>
          <w:numId w:val="71"/>
        </w:numPr>
        <w:jc w:val="both"/>
      </w:pPr>
      <w:r>
        <w:t>Amongst end use categories that capture potential from discrete measures, HVAC dominates potential in the commercial sector, followed by food service and water heating measures</w:t>
      </w:r>
      <w:r w:rsidR="00DF465A">
        <w:t xml:space="preserve"> across all scenarios</w:t>
      </w:r>
      <w:r>
        <w:t xml:space="preserve">. Unlike the residential sector, one or more HVAC measures is cost-effective under </w:t>
      </w:r>
      <w:r w:rsidR="00DF465A">
        <w:t xml:space="preserve">Scenario 1 (TRC Reference) </w:t>
      </w:r>
      <w:r>
        <w:t>throughout the forecast period.</w:t>
      </w:r>
    </w:p>
    <w:p w14:paraId="0C7F5A0D" w14:textId="77777777" w:rsidR="00073992" w:rsidRDefault="00073992" w:rsidP="00073992">
      <w:pPr>
        <w:pStyle w:val="ListParagraph"/>
        <w:numPr>
          <w:ilvl w:val="0"/>
          <w:numId w:val="71"/>
        </w:numPr>
        <w:jc w:val="both"/>
      </w:pPr>
      <w:r>
        <w:t>Commercial whole building potential contributes significantly to overall potential</w:t>
      </w:r>
      <w:r w:rsidR="00DF465A">
        <w:t xml:space="preserve"> across all scenarios</w:t>
      </w:r>
      <w:r>
        <w:t>. Again, the drop in savings between 2019 and 2020 is due to a new Title 24 code.</w:t>
      </w:r>
    </w:p>
    <w:p w14:paraId="0CAE6790" w14:textId="77777777" w:rsidR="00073992" w:rsidRDefault="00073992" w:rsidP="00073992">
      <w:pPr>
        <w:pStyle w:val="ListParagraph"/>
        <w:numPr>
          <w:ilvl w:val="0"/>
          <w:numId w:val="71"/>
        </w:numPr>
        <w:jc w:val="both"/>
      </w:pPr>
      <w:r>
        <w:t xml:space="preserve">Unlike electric potential, overall potential increases over the forecast period at a relatively steady ramp rate </w:t>
      </w:r>
      <w:r w:rsidR="00DF465A">
        <w:t xml:space="preserve">across all scenarios </w:t>
      </w:r>
      <w:r>
        <w:t>as most gas measures have long lifetimes and do not turn over as fast.  As such, there continues to be opportunity for first-time adopters in the market, which does not saturate as fast.</w:t>
      </w:r>
    </w:p>
    <w:p w14:paraId="19C7B3B1" w14:textId="77777777" w:rsidR="00073992" w:rsidRDefault="00073992" w:rsidP="00073992"/>
    <w:p w14:paraId="1D453F81" w14:textId="77777777" w:rsidR="00073992" w:rsidRPr="00F123A3" w:rsidRDefault="00073992" w:rsidP="00073992">
      <w:pPr>
        <w:pStyle w:val="Caption"/>
      </w:pPr>
      <w:bookmarkStart w:id="829" w:name="_Ref490172799"/>
      <w:bookmarkStart w:id="830" w:name="_Toc490491769"/>
      <w:r w:rsidRPr="00F123A3">
        <w:t xml:space="preserve">Figure </w:t>
      </w:r>
      <w:fldSimple w:instr=" STYLEREF 1 \s ">
        <w:r w:rsidR="007566B9">
          <w:rPr>
            <w:noProof/>
          </w:rPr>
          <w:t>4</w:t>
        </w:r>
      </w:fldSimple>
      <w:r w:rsidR="00CE124F">
        <w:noBreakHyphen/>
      </w:r>
      <w:fldSimple w:instr=" SEQ Figure \* ARABIC \s 1 ">
        <w:r w:rsidR="007566B9">
          <w:rPr>
            <w:noProof/>
          </w:rPr>
          <w:t>36</w:t>
        </w:r>
      </w:fldSimple>
      <w:bookmarkEnd w:id="829"/>
      <w:r w:rsidR="00684243">
        <w:t xml:space="preserve">. </w:t>
      </w:r>
      <w:r w:rsidR="00684243" w:rsidRPr="00F123A3">
        <w:t xml:space="preserve">Statewide </w:t>
      </w:r>
      <w:r w:rsidR="00684243">
        <w:t xml:space="preserve">Commercial </w:t>
      </w:r>
      <w:r w:rsidR="00684243" w:rsidRPr="00F123A3">
        <w:t xml:space="preserve">Incremental </w:t>
      </w:r>
      <w:r w:rsidR="00684243">
        <w:t>Gas</w:t>
      </w:r>
      <w:r w:rsidR="00684243" w:rsidRPr="00F123A3">
        <w:t xml:space="preserve"> Market Potential by End Use </w:t>
      </w:r>
      <w:r w:rsidR="00684243">
        <w:t>for Equipment Rebate Programs in Scenario 1 (TRC Reference)</w:t>
      </w:r>
      <w:bookmarkEnd w:id="830"/>
    </w:p>
    <w:p w14:paraId="04A2062B" w14:textId="77777777" w:rsidR="00073992" w:rsidRDefault="001D2183" w:rsidP="00073992">
      <w:pPr>
        <w:jc w:val="center"/>
      </w:pPr>
      <w:r>
        <w:rPr>
          <w:noProof/>
        </w:rPr>
        <w:drawing>
          <wp:inline distT="0" distB="0" distL="0" distR="0" wp14:anchorId="3727109E" wp14:editId="70B560FA">
            <wp:extent cx="6362443" cy="3099816"/>
            <wp:effectExtent l="0" t="0" r="635" b="5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56D34BFA" w14:textId="77777777" w:rsidR="001D2183" w:rsidRDefault="001D2183" w:rsidP="00073992">
      <w:pPr>
        <w:jc w:val="center"/>
      </w:pPr>
    </w:p>
    <w:p w14:paraId="0316A40B" w14:textId="77777777" w:rsidR="000561FE" w:rsidRDefault="000561FE" w:rsidP="002A2185">
      <w:pPr>
        <w:pStyle w:val="Caption"/>
      </w:pPr>
      <w:bookmarkStart w:id="831" w:name="_Toc490491770"/>
      <w:r>
        <w:lastRenderedPageBreak/>
        <w:t xml:space="preserve">Figure </w:t>
      </w:r>
      <w:fldSimple w:instr=" STYLEREF 1 \s ">
        <w:r w:rsidR="007566B9">
          <w:rPr>
            <w:noProof/>
          </w:rPr>
          <w:t>4</w:t>
        </w:r>
      </w:fldSimple>
      <w:r w:rsidR="00CE124F">
        <w:noBreakHyphen/>
      </w:r>
      <w:fldSimple w:instr=" SEQ Figure \* ARABIC \s 1 ">
        <w:r w:rsidR="007566B9">
          <w:rPr>
            <w:noProof/>
          </w:rPr>
          <w:t>37</w:t>
        </w:r>
      </w:fldSimple>
      <w:r w:rsidR="00684243">
        <w:t xml:space="preserve">. </w:t>
      </w:r>
      <w:r w:rsidR="00684243" w:rsidRPr="00F123A3">
        <w:t xml:space="preserve">Statewide </w:t>
      </w:r>
      <w:r w:rsidR="00684243">
        <w:t xml:space="preserve">Commercial </w:t>
      </w:r>
      <w:r w:rsidR="00684243" w:rsidRPr="00F123A3">
        <w:t xml:space="preserve">Incremental </w:t>
      </w:r>
      <w:r w:rsidR="00684243">
        <w:t>Gas</w:t>
      </w:r>
      <w:r w:rsidR="00684243" w:rsidRPr="00F123A3">
        <w:t xml:space="preserve"> Market Potential by End Use </w:t>
      </w:r>
      <w:r w:rsidR="00684243">
        <w:t xml:space="preserve">for Equipment Rebate Programs in </w:t>
      </w:r>
      <w:r w:rsidR="00492A22">
        <w:t>Scenario 2 (mTRC w/ GHG Adder 1)</w:t>
      </w:r>
      <w:bookmarkEnd w:id="831"/>
    </w:p>
    <w:p w14:paraId="169FF4E5" w14:textId="77777777" w:rsidR="001D2183" w:rsidRDefault="001D2183" w:rsidP="00073992">
      <w:pPr>
        <w:jc w:val="center"/>
      </w:pPr>
      <w:r>
        <w:rPr>
          <w:noProof/>
        </w:rPr>
        <w:drawing>
          <wp:inline distT="0" distB="0" distL="0" distR="0" wp14:anchorId="79564004" wp14:editId="7CE2DA8D">
            <wp:extent cx="6362443" cy="3099816"/>
            <wp:effectExtent l="0" t="0" r="635" b="571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11829FD5" w14:textId="77777777" w:rsidR="001D2183" w:rsidRDefault="001D2183" w:rsidP="00073992">
      <w:pPr>
        <w:jc w:val="center"/>
      </w:pPr>
    </w:p>
    <w:p w14:paraId="5B3A600E" w14:textId="77777777" w:rsidR="001D2183" w:rsidRDefault="001D2183" w:rsidP="00073992">
      <w:pPr>
        <w:jc w:val="center"/>
      </w:pPr>
    </w:p>
    <w:p w14:paraId="6983E355" w14:textId="77777777" w:rsidR="000561FE" w:rsidRDefault="000561FE" w:rsidP="002A2185">
      <w:pPr>
        <w:pStyle w:val="Caption"/>
      </w:pPr>
      <w:bookmarkStart w:id="832" w:name="_Toc490491771"/>
      <w:r>
        <w:t xml:space="preserve">Figure </w:t>
      </w:r>
      <w:fldSimple w:instr=" STYLEREF 1 \s ">
        <w:r w:rsidR="007566B9">
          <w:rPr>
            <w:noProof/>
          </w:rPr>
          <w:t>4</w:t>
        </w:r>
      </w:fldSimple>
      <w:r w:rsidR="00CE124F">
        <w:noBreakHyphen/>
      </w:r>
      <w:fldSimple w:instr=" SEQ Figure \* ARABIC \s 1 ">
        <w:r w:rsidR="007566B9">
          <w:rPr>
            <w:noProof/>
          </w:rPr>
          <w:t>38</w:t>
        </w:r>
      </w:fldSimple>
      <w:r w:rsidR="00684243">
        <w:t xml:space="preserve">. </w:t>
      </w:r>
      <w:r w:rsidR="00684243" w:rsidRPr="00F123A3">
        <w:t xml:space="preserve">Statewide </w:t>
      </w:r>
      <w:r w:rsidR="00684243">
        <w:t xml:space="preserve">Commercial </w:t>
      </w:r>
      <w:r w:rsidR="00684243" w:rsidRPr="00F123A3">
        <w:t xml:space="preserve">Incremental </w:t>
      </w:r>
      <w:r w:rsidR="00684243">
        <w:t>Gas</w:t>
      </w:r>
      <w:r w:rsidR="00684243" w:rsidRPr="00F123A3">
        <w:t xml:space="preserve"> Market Potential by End Use </w:t>
      </w:r>
      <w:r w:rsidR="00684243">
        <w:t xml:space="preserve">for Equipment Rebate Programs in </w:t>
      </w:r>
      <w:r w:rsidR="00492A22">
        <w:t>Scenario 3 (mTRC w/ GHG Adder 2)</w:t>
      </w:r>
      <w:bookmarkEnd w:id="832"/>
    </w:p>
    <w:p w14:paraId="03B52373" w14:textId="77777777" w:rsidR="001D2183" w:rsidRDefault="001D2183" w:rsidP="00073992">
      <w:pPr>
        <w:jc w:val="center"/>
      </w:pPr>
      <w:r>
        <w:rPr>
          <w:noProof/>
        </w:rPr>
        <w:drawing>
          <wp:inline distT="0" distB="0" distL="0" distR="0" wp14:anchorId="25E7523A" wp14:editId="364A506A">
            <wp:extent cx="6362443" cy="3099816"/>
            <wp:effectExtent l="0" t="0" r="635" b="571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571DB803" w14:textId="77777777" w:rsidR="001D2183" w:rsidRDefault="001D2183" w:rsidP="00073992">
      <w:pPr>
        <w:jc w:val="center"/>
      </w:pPr>
    </w:p>
    <w:p w14:paraId="2A291EA3" w14:textId="77777777" w:rsidR="000561FE" w:rsidRDefault="000561FE" w:rsidP="002A2185">
      <w:pPr>
        <w:pStyle w:val="Caption"/>
      </w:pPr>
      <w:bookmarkStart w:id="833" w:name="_Toc490491772"/>
      <w:r>
        <w:lastRenderedPageBreak/>
        <w:t xml:space="preserve">Figure </w:t>
      </w:r>
      <w:fldSimple w:instr=" STYLEREF 1 \s ">
        <w:r w:rsidR="007566B9">
          <w:rPr>
            <w:noProof/>
          </w:rPr>
          <w:t>4</w:t>
        </w:r>
      </w:fldSimple>
      <w:r w:rsidR="00CE124F">
        <w:noBreakHyphen/>
      </w:r>
      <w:fldSimple w:instr=" SEQ Figure \* ARABIC \s 1 ">
        <w:r w:rsidR="007566B9">
          <w:rPr>
            <w:noProof/>
          </w:rPr>
          <w:t>39</w:t>
        </w:r>
      </w:fldSimple>
      <w:r w:rsidR="00684243">
        <w:t xml:space="preserve">. </w:t>
      </w:r>
      <w:r w:rsidR="00684243" w:rsidRPr="00F123A3">
        <w:t xml:space="preserve">Statewide </w:t>
      </w:r>
      <w:r w:rsidR="00684243">
        <w:t xml:space="preserve">Commercial </w:t>
      </w:r>
      <w:r w:rsidR="00684243" w:rsidRPr="00F123A3">
        <w:t xml:space="preserve">Incremental </w:t>
      </w:r>
      <w:r w:rsidR="00684243">
        <w:t>Gas</w:t>
      </w:r>
      <w:r w:rsidR="00684243" w:rsidRPr="00F123A3">
        <w:t xml:space="preserve"> Market Potential by End Use </w:t>
      </w:r>
      <w:r w:rsidR="00684243">
        <w:t xml:space="preserve">for Equipment Rebate Programs in </w:t>
      </w:r>
      <w:r w:rsidR="00492A22">
        <w:t>Scenario 4 (PAC Reference)</w:t>
      </w:r>
      <w:bookmarkEnd w:id="833"/>
    </w:p>
    <w:p w14:paraId="06891B00" w14:textId="77777777" w:rsidR="001D2183" w:rsidRDefault="001D2183" w:rsidP="00073992">
      <w:pPr>
        <w:jc w:val="center"/>
      </w:pPr>
      <w:r>
        <w:rPr>
          <w:noProof/>
        </w:rPr>
        <w:drawing>
          <wp:inline distT="0" distB="0" distL="0" distR="0" wp14:anchorId="5BFBC813" wp14:editId="65376B60">
            <wp:extent cx="6362443" cy="3099816"/>
            <wp:effectExtent l="0" t="0" r="635" b="571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54DD82ED" w14:textId="77777777" w:rsidR="000561FE" w:rsidRDefault="000561FE" w:rsidP="002A2185">
      <w:pPr>
        <w:pStyle w:val="Caption"/>
      </w:pPr>
      <w:bookmarkStart w:id="834" w:name="_Ref490172800"/>
      <w:bookmarkStart w:id="835" w:name="_Toc490491773"/>
      <w:r>
        <w:t xml:space="preserve">Figure </w:t>
      </w:r>
      <w:fldSimple w:instr=" STYLEREF 1 \s ">
        <w:r w:rsidR="007566B9">
          <w:rPr>
            <w:noProof/>
          </w:rPr>
          <w:t>4</w:t>
        </w:r>
      </w:fldSimple>
      <w:r w:rsidR="00CE124F">
        <w:noBreakHyphen/>
      </w:r>
      <w:fldSimple w:instr=" SEQ Figure \* ARABIC \s 1 ">
        <w:r w:rsidR="007566B9">
          <w:rPr>
            <w:noProof/>
          </w:rPr>
          <w:t>40</w:t>
        </w:r>
      </w:fldSimple>
      <w:bookmarkEnd w:id="834"/>
      <w:r w:rsidR="00684243">
        <w:t xml:space="preserve">. </w:t>
      </w:r>
      <w:r w:rsidR="00684243" w:rsidRPr="00F123A3">
        <w:t xml:space="preserve">Statewide </w:t>
      </w:r>
      <w:r w:rsidR="00684243">
        <w:t xml:space="preserve">Commercial </w:t>
      </w:r>
      <w:r w:rsidR="00684243" w:rsidRPr="00F123A3">
        <w:t xml:space="preserve">Incremental </w:t>
      </w:r>
      <w:r w:rsidR="00684243">
        <w:t>Gas</w:t>
      </w:r>
      <w:r w:rsidR="00684243" w:rsidRPr="00F123A3">
        <w:t xml:space="preserve"> Market Potential by End Use </w:t>
      </w:r>
      <w:r w:rsidR="00684243">
        <w:t xml:space="preserve">for Equipment Rebate Programs in </w:t>
      </w:r>
      <w:r w:rsidR="00492A22">
        <w:t>Scenario 5 (PAC Aggressive)</w:t>
      </w:r>
      <w:bookmarkEnd w:id="835"/>
    </w:p>
    <w:p w14:paraId="50F49337" w14:textId="77777777" w:rsidR="001D2183" w:rsidRPr="00A43793" w:rsidRDefault="001D2183" w:rsidP="00961C46">
      <w:pPr>
        <w:jc w:val="center"/>
      </w:pPr>
      <w:r>
        <w:rPr>
          <w:noProof/>
        </w:rPr>
        <w:drawing>
          <wp:inline distT="0" distB="0" distL="0" distR="0" wp14:anchorId="1A1F1FFD" wp14:editId="371AE5C8">
            <wp:extent cx="6362443" cy="3099816"/>
            <wp:effectExtent l="0" t="0" r="635" b="57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51C08C02" w14:textId="77777777" w:rsidR="00073992" w:rsidRDefault="00073992" w:rsidP="00073992">
      <w:pPr>
        <w:pStyle w:val="Heading4"/>
      </w:pPr>
      <w:r>
        <w:lastRenderedPageBreak/>
        <w:t>AIMS Rebate Programs</w:t>
      </w:r>
    </w:p>
    <w:p w14:paraId="62C7F933" w14:textId="77777777" w:rsidR="00073992" w:rsidRDefault="00736A91" w:rsidP="00073992">
      <w:pPr>
        <w:jc w:val="both"/>
      </w:pPr>
      <w:r w:rsidRPr="00AF21BE">
        <w:fldChar w:fldCharType="begin"/>
      </w:r>
      <w:r w:rsidRPr="00AF21BE">
        <w:instrText xml:space="preserve"> REF _Ref490173089 \h </w:instrText>
      </w:r>
      <w:r>
        <w:instrText xml:space="preserve"> \* MERGEFORMAT </w:instrText>
      </w:r>
      <w:r w:rsidRPr="00AF21BE">
        <w:fldChar w:fldCharType="separate"/>
      </w:r>
      <w:r w:rsidR="007566B9" w:rsidRPr="00F123A3">
        <w:t xml:space="preserve">Figure </w:t>
      </w:r>
      <w:r w:rsidR="007566B9">
        <w:rPr>
          <w:noProof/>
        </w:rPr>
        <w:t>4</w:t>
      </w:r>
      <w:r w:rsidR="007566B9">
        <w:rPr>
          <w:noProof/>
        </w:rPr>
        <w:noBreakHyphen/>
        <w:t>41</w:t>
      </w:r>
      <w:r w:rsidRPr="00AF21BE">
        <w:fldChar w:fldCharType="end"/>
      </w:r>
      <w:r w:rsidRPr="00AF21BE">
        <w:t xml:space="preserve"> through </w:t>
      </w:r>
      <w:r w:rsidRPr="00AF21BE">
        <w:fldChar w:fldCharType="begin"/>
      </w:r>
      <w:r w:rsidRPr="00AF21BE">
        <w:instrText xml:space="preserve"> REF _Ref490173091 \h </w:instrText>
      </w:r>
      <w:r>
        <w:instrText xml:space="preserve"> \* MERGEFORMAT </w:instrText>
      </w:r>
      <w:r w:rsidRPr="00AF21BE">
        <w:fldChar w:fldCharType="separate"/>
      </w:r>
      <w:r w:rsidR="007566B9">
        <w:t xml:space="preserve">Figure </w:t>
      </w:r>
      <w:r w:rsidR="007566B9">
        <w:rPr>
          <w:noProof/>
        </w:rPr>
        <w:t>4</w:t>
      </w:r>
      <w:r w:rsidR="007566B9">
        <w:rPr>
          <w:noProof/>
        </w:rPr>
        <w:noBreakHyphen/>
        <w:t>45</w:t>
      </w:r>
      <w:r w:rsidRPr="00AF21BE">
        <w:fldChar w:fldCharType="end"/>
      </w:r>
      <w:r w:rsidR="00073992">
        <w:t xml:space="preserve"> show the breakdown of electric savings by end use in the AIMS sectors</w:t>
      </w:r>
      <w:r w:rsidR="00C855E7">
        <w:t xml:space="preserve"> for each scenario</w:t>
      </w:r>
      <w:r w:rsidR="00073992">
        <w:t xml:space="preserve">. Key observations from </w:t>
      </w:r>
      <w:r>
        <w:t>these graphs</w:t>
      </w:r>
      <w:r w:rsidR="00073992">
        <w:t xml:space="preserve"> are: </w:t>
      </w:r>
    </w:p>
    <w:p w14:paraId="2CAFF684" w14:textId="77777777" w:rsidR="00073992" w:rsidRDefault="00073992" w:rsidP="00073992">
      <w:pPr>
        <w:pStyle w:val="ListParagraph"/>
        <w:numPr>
          <w:ilvl w:val="0"/>
          <w:numId w:val="71"/>
        </w:numPr>
        <w:jc w:val="both"/>
      </w:pPr>
      <w:r>
        <w:t>Amongst end use categories that capture potential from discrete measures that produce deemed savings, lighting dominates electric potential in the agriculture and industrial sectors, followed by machine drive and process refrigeration measures</w:t>
      </w:r>
      <w:r w:rsidR="00736A91">
        <w:t xml:space="preserve"> across all scenarios</w:t>
      </w:r>
      <w:r>
        <w:t xml:space="preserve">. </w:t>
      </w:r>
    </w:p>
    <w:p w14:paraId="7590E963" w14:textId="77777777" w:rsidR="00073992" w:rsidRDefault="00073992" w:rsidP="00073992">
      <w:pPr>
        <w:pStyle w:val="ListParagraph"/>
        <w:numPr>
          <w:ilvl w:val="0"/>
          <w:numId w:val="71"/>
        </w:numPr>
        <w:jc w:val="both"/>
      </w:pPr>
      <w:r>
        <w:t>The whole building end use category represents potential from generic custom measures and emerging technologies in the agriculture and industrial sectors. Potential from these measures contributes significantly to the agriculture and industrial sector</w:t>
      </w:r>
      <w:r w:rsidR="00736A91">
        <w:t>s across all scenarios</w:t>
      </w:r>
      <w:r>
        <w:t xml:space="preserve">, and is expected to increase over time. These measures are tagged into the “whole building” end use because it represents a broad array of opportunities across all end uses. </w:t>
      </w:r>
    </w:p>
    <w:p w14:paraId="53566716" w14:textId="77777777" w:rsidR="00073992" w:rsidRDefault="00073992" w:rsidP="00073992">
      <w:pPr>
        <w:pStyle w:val="ListParagraph"/>
        <w:numPr>
          <w:ilvl w:val="0"/>
          <w:numId w:val="71"/>
        </w:numPr>
        <w:jc w:val="both"/>
      </w:pPr>
      <w:r>
        <w:t>The mining sector, which is made up of oil and gas extraction equipment, contributes minimally to overall potential</w:t>
      </w:r>
      <w:r w:rsidR="00736A91">
        <w:t xml:space="preserve"> across all scenarios</w:t>
      </w:r>
      <w:r>
        <w:t xml:space="preserve">. </w:t>
      </w:r>
    </w:p>
    <w:p w14:paraId="34BD9507" w14:textId="77777777" w:rsidR="00073992" w:rsidRDefault="00073992" w:rsidP="00073992">
      <w:pPr>
        <w:pStyle w:val="ListParagraph"/>
        <w:numPr>
          <w:ilvl w:val="0"/>
          <w:numId w:val="71"/>
        </w:numPr>
        <w:jc w:val="both"/>
      </w:pPr>
      <w:r>
        <w:t>Streetlighting measures contribute a steady amount of potential across the forecast period</w:t>
      </w:r>
      <w:r w:rsidR="00736A91">
        <w:t xml:space="preserve"> across all scenarios</w:t>
      </w:r>
      <w:r>
        <w:t xml:space="preserve">. </w:t>
      </w:r>
    </w:p>
    <w:p w14:paraId="680B05CE" w14:textId="77777777" w:rsidR="00073992" w:rsidRDefault="00073992" w:rsidP="00073992">
      <w:pPr>
        <w:pStyle w:val="ListParagraph"/>
        <w:numPr>
          <w:ilvl w:val="0"/>
          <w:numId w:val="71"/>
        </w:numPr>
        <w:jc w:val="both"/>
      </w:pPr>
      <w:r>
        <w:t>Potential from individual technologies in the agriculture and industrial sectors ramps down over the forecast period</w:t>
      </w:r>
      <w:r w:rsidR="00736A91">
        <w:t xml:space="preserve"> across all scenarios</w:t>
      </w:r>
      <w:r>
        <w:t xml:space="preserve">. </w:t>
      </w:r>
      <w:r w:rsidRPr="00FA6EDD">
        <w:t xml:space="preserve">To align with the model with historic program activity and the characteristics of the market, we see a significant majority of the potential being realized between 2013 and 2016. Thus, the out years reflect less opportunity and an increasingly saturated market over time. This decrease in potential from deemed savings is somewhat made up for towards the end of the forecast period by increased potential from emerging technologies. </w:t>
      </w:r>
    </w:p>
    <w:p w14:paraId="09EAAEFE" w14:textId="77777777" w:rsidR="00073992" w:rsidRDefault="00073992" w:rsidP="00073992"/>
    <w:p w14:paraId="0B48031E" w14:textId="07347DB2" w:rsidR="00073992" w:rsidRDefault="00073992" w:rsidP="00BE543D">
      <w:pPr>
        <w:pStyle w:val="Caption"/>
      </w:pPr>
      <w:bookmarkStart w:id="836" w:name="_Ref490173089"/>
      <w:bookmarkStart w:id="837" w:name="_Toc490491774"/>
      <w:r w:rsidRPr="00F123A3">
        <w:t xml:space="preserve">Figure </w:t>
      </w:r>
      <w:fldSimple w:instr=" STYLEREF 1 \s ">
        <w:r w:rsidR="007566B9">
          <w:rPr>
            <w:noProof/>
          </w:rPr>
          <w:t>4</w:t>
        </w:r>
      </w:fldSimple>
      <w:r w:rsidR="00CE124F">
        <w:noBreakHyphen/>
      </w:r>
      <w:fldSimple w:instr=" SEQ Figure \* ARABIC \s 1 ">
        <w:r w:rsidR="007566B9">
          <w:rPr>
            <w:noProof/>
          </w:rPr>
          <w:t>41</w:t>
        </w:r>
      </w:fldSimple>
      <w:bookmarkEnd w:id="836"/>
      <w:r w:rsidR="00684243">
        <w:t xml:space="preserve">. </w:t>
      </w:r>
      <w:r w:rsidR="00684243" w:rsidRPr="00F123A3">
        <w:t xml:space="preserve">Statewide </w:t>
      </w:r>
      <w:r w:rsidR="00684243">
        <w:t xml:space="preserve">AIMS </w:t>
      </w:r>
      <w:r w:rsidR="00684243" w:rsidRPr="00F123A3">
        <w:t xml:space="preserve">Incremental </w:t>
      </w:r>
      <w:r w:rsidR="00684243">
        <w:t>Electric</w:t>
      </w:r>
      <w:r w:rsidR="00684243" w:rsidRPr="00F123A3">
        <w:t xml:space="preserve"> Market Potential by End Use </w:t>
      </w:r>
      <w:r w:rsidR="00684243">
        <w:t>for Equipment Rebate Programs in Scenario 1 (TRC Reference)</w:t>
      </w:r>
      <w:bookmarkEnd w:id="837"/>
    </w:p>
    <w:p w14:paraId="03C6D4C2" w14:textId="02B091A2" w:rsidR="00BE543D" w:rsidRPr="00BE543D" w:rsidRDefault="00BE543D" w:rsidP="00BE543D">
      <w:r>
        <w:rPr>
          <w:noProof/>
        </w:rPr>
        <w:drawing>
          <wp:inline distT="0" distB="0" distL="0" distR="0" wp14:anchorId="4ACF968B" wp14:editId="489D30FB">
            <wp:extent cx="5943600" cy="2895570"/>
            <wp:effectExtent l="0" t="0" r="0" b="63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2895570"/>
                    </a:xfrm>
                    <a:prstGeom prst="rect">
                      <a:avLst/>
                    </a:prstGeom>
                    <a:noFill/>
                  </pic:spPr>
                </pic:pic>
              </a:graphicData>
            </a:graphic>
          </wp:inline>
        </w:drawing>
      </w:r>
    </w:p>
    <w:p w14:paraId="64AC5C41" w14:textId="77777777" w:rsidR="00CC5F69" w:rsidRDefault="00CC5F69" w:rsidP="00073992">
      <w:pPr>
        <w:jc w:val="center"/>
      </w:pPr>
    </w:p>
    <w:p w14:paraId="435C18F5" w14:textId="77777777" w:rsidR="000561FE" w:rsidRDefault="000561FE" w:rsidP="002A2185">
      <w:pPr>
        <w:pStyle w:val="Caption"/>
      </w:pPr>
      <w:bookmarkStart w:id="838" w:name="_Toc490491775"/>
      <w:r>
        <w:lastRenderedPageBreak/>
        <w:t xml:space="preserve">Figure </w:t>
      </w:r>
      <w:fldSimple w:instr=" STYLEREF 1 \s ">
        <w:r w:rsidR="007566B9">
          <w:rPr>
            <w:noProof/>
          </w:rPr>
          <w:t>4</w:t>
        </w:r>
      </w:fldSimple>
      <w:r w:rsidR="00CE124F">
        <w:noBreakHyphen/>
      </w:r>
      <w:fldSimple w:instr=" SEQ Figure \* ARABIC \s 1 ">
        <w:r w:rsidR="007566B9">
          <w:rPr>
            <w:noProof/>
          </w:rPr>
          <w:t>42</w:t>
        </w:r>
      </w:fldSimple>
      <w:r w:rsidR="00684243">
        <w:t xml:space="preserve">. </w:t>
      </w:r>
      <w:r w:rsidR="00684243" w:rsidRPr="00F123A3">
        <w:t xml:space="preserve">Statewide </w:t>
      </w:r>
      <w:r w:rsidR="00684243">
        <w:t xml:space="preserve">AIMS </w:t>
      </w:r>
      <w:r w:rsidR="00684243" w:rsidRPr="00F123A3">
        <w:t xml:space="preserve">Incremental </w:t>
      </w:r>
      <w:r w:rsidR="00684243">
        <w:t>Electric</w:t>
      </w:r>
      <w:r w:rsidR="00684243" w:rsidRPr="00F123A3">
        <w:t xml:space="preserve"> Market Potential by End Use </w:t>
      </w:r>
      <w:r w:rsidR="00684243">
        <w:t xml:space="preserve">for Equipment Rebate Programs in </w:t>
      </w:r>
      <w:r w:rsidR="00492A22">
        <w:t>Scenario 2 (mTRC w/ GHG Adder 1)</w:t>
      </w:r>
      <w:bookmarkEnd w:id="838"/>
    </w:p>
    <w:p w14:paraId="3F3645B2" w14:textId="77777777" w:rsidR="00CC5F69" w:rsidRDefault="00CC5F69" w:rsidP="00073992">
      <w:pPr>
        <w:jc w:val="center"/>
      </w:pPr>
      <w:r>
        <w:rPr>
          <w:noProof/>
        </w:rPr>
        <w:drawing>
          <wp:inline distT="0" distB="0" distL="0" distR="0" wp14:anchorId="6C108421" wp14:editId="50A9E717">
            <wp:extent cx="6362443" cy="3099816"/>
            <wp:effectExtent l="0" t="0" r="635" b="571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201C9D93" w14:textId="77777777" w:rsidR="000561FE" w:rsidRDefault="000561FE" w:rsidP="00961C46">
      <w:pPr>
        <w:pStyle w:val="Caption"/>
      </w:pPr>
      <w:bookmarkStart w:id="839" w:name="_Toc490491776"/>
      <w:r>
        <w:t xml:space="preserve">Figure </w:t>
      </w:r>
      <w:fldSimple w:instr=" STYLEREF 1 \s ">
        <w:r w:rsidR="007566B9">
          <w:rPr>
            <w:noProof/>
          </w:rPr>
          <w:t>4</w:t>
        </w:r>
      </w:fldSimple>
      <w:r w:rsidR="00CE124F">
        <w:noBreakHyphen/>
      </w:r>
      <w:fldSimple w:instr=" SEQ Figure \* ARABIC \s 1 ">
        <w:r w:rsidR="007566B9">
          <w:rPr>
            <w:noProof/>
          </w:rPr>
          <w:t>43</w:t>
        </w:r>
      </w:fldSimple>
      <w:r w:rsidR="00684243">
        <w:t xml:space="preserve">. </w:t>
      </w:r>
      <w:r w:rsidR="00684243" w:rsidRPr="00F123A3">
        <w:t xml:space="preserve">Statewide </w:t>
      </w:r>
      <w:r w:rsidR="00684243">
        <w:t xml:space="preserve">AIMS </w:t>
      </w:r>
      <w:r w:rsidR="00684243" w:rsidRPr="00F123A3">
        <w:t xml:space="preserve">Incremental </w:t>
      </w:r>
      <w:r w:rsidR="00684243">
        <w:t>Electric</w:t>
      </w:r>
      <w:r w:rsidR="00684243" w:rsidRPr="00F123A3">
        <w:t xml:space="preserve"> Market Potential by End Use </w:t>
      </w:r>
      <w:r w:rsidR="00684243">
        <w:t xml:space="preserve">for Equipment Rebate Programs in </w:t>
      </w:r>
      <w:r w:rsidR="00492A22">
        <w:t>Scenario 3 (mTRC w/ GHG Adder 2)</w:t>
      </w:r>
      <w:bookmarkEnd w:id="839"/>
    </w:p>
    <w:p w14:paraId="04D5D710" w14:textId="77777777" w:rsidR="00CC5F69" w:rsidRDefault="00CC5F69" w:rsidP="00073992">
      <w:pPr>
        <w:jc w:val="center"/>
      </w:pPr>
      <w:r>
        <w:rPr>
          <w:noProof/>
        </w:rPr>
        <w:drawing>
          <wp:inline distT="0" distB="0" distL="0" distR="0" wp14:anchorId="211335FF" wp14:editId="790B4CE7">
            <wp:extent cx="6362443" cy="3099816"/>
            <wp:effectExtent l="0" t="0" r="635"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1AA83F4E" w14:textId="77777777" w:rsidR="000561FE" w:rsidRDefault="000561FE" w:rsidP="00961C46">
      <w:pPr>
        <w:pStyle w:val="Caption"/>
      </w:pPr>
      <w:bookmarkStart w:id="840" w:name="_Toc490491777"/>
      <w:r>
        <w:lastRenderedPageBreak/>
        <w:t xml:space="preserve">Figure </w:t>
      </w:r>
      <w:fldSimple w:instr=" STYLEREF 1 \s ">
        <w:r w:rsidR="007566B9">
          <w:rPr>
            <w:noProof/>
          </w:rPr>
          <w:t>4</w:t>
        </w:r>
      </w:fldSimple>
      <w:r w:rsidR="00CE124F">
        <w:noBreakHyphen/>
      </w:r>
      <w:fldSimple w:instr=" SEQ Figure \* ARABIC \s 1 ">
        <w:r w:rsidR="007566B9">
          <w:rPr>
            <w:noProof/>
          </w:rPr>
          <w:t>44</w:t>
        </w:r>
      </w:fldSimple>
      <w:r w:rsidR="00684243">
        <w:t xml:space="preserve">. </w:t>
      </w:r>
      <w:r w:rsidR="00684243" w:rsidRPr="00F123A3">
        <w:t xml:space="preserve">Statewide </w:t>
      </w:r>
      <w:r w:rsidR="00684243">
        <w:t xml:space="preserve">AIMS </w:t>
      </w:r>
      <w:r w:rsidR="00684243" w:rsidRPr="00F123A3">
        <w:t xml:space="preserve">Incremental </w:t>
      </w:r>
      <w:r w:rsidR="00684243">
        <w:t>Electric</w:t>
      </w:r>
      <w:r w:rsidR="00684243" w:rsidRPr="00F123A3">
        <w:t xml:space="preserve"> Market Potential by End Use </w:t>
      </w:r>
      <w:r w:rsidR="00684243">
        <w:t xml:space="preserve">for Equipment Rebate Programs in </w:t>
      </w:r>
      <w:r w:rsidR="00492A22">
        <w:t>Scenario 4 (PAC Reference)</w:t>
      </w:r>
      <w:bookmarkEnd w:id="840"/>
    </w:p>
    <w:p w14:paraId="4391598B" w14:textId="77777777" w:rsidR="00CC5F69" w:rsidRDefault="00CC5F69" w:rsidP="00073992">
      <w:pPr>
        <w:jc w:val="center"/>
      </w:pPr>
      <w:r>
        <w:rPr>
          <w:noProof/>
        </w:rPr>
        <w:drawing>
          <wp:inline distT="0" distB="0" distL="0" distR="0" wp14:anchorId="41922EE2" wp14:editId="201D5C69">
            <wp:extent cx="6362443" cy="3099816"/>
            <wp:effectExtent l="0" t="0" r="635"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2D4D5502" w14:textId="77777777" w:rsidR="000561FE" w:rsidRDefault="000561FE" w:rsidP="00073992">
      <w:pPr>
        <w:jc w:val="both"/>
      </w:pPr>
    </w:p>
    <w:p w14:paraId="0AC2F0CA" w14:textId="77777777" w:rsidR="000561FE" w:rsidRDefault="000561FE" w:rsidP="00961C46">
      <w:pPr>
        <w:pStyle w:val="Caption"/>
      </w:pPr>
      <w:bookmarkStart w:id="841" w:name="_Ref490173091"/>
      <w:bookmarkStart w:id="842" w:name="_Toc490491778"/>
      <w:r>
        <w:t xml:space="preserve">Figure </w:t>
      </w:r>
      <w:fldSimple w:instr=" STYLEREF 1 \s ">
        <w:r w:rsidR="007566B9">
          <w:rPr>
            <w:noProof/>
          </w:rPr>
          <w:t>4</w:t>
        </w:r>
      </w:fldSimple>
      <w:r w:rsidR="00CE124F">
        <w:noBreakHyphen/>
      </w:r>
      <w:fldSimple w:instr=" SEQ Figure \* ARABIC \s 1 ">
        <w:r w:rsidR="007566B9">
          <w:rPr>
            <w:noProof/>
          </w:rPr>
          <w:t>45</w:t>
        </w:r>
      </w:fldSimple>
      <w:bookmarkEnd w:id="841"/>
      <w:r w:rsidR="00684243">
        <w:t xml:space="preserve">. </w:t>
      </w:r>
      <w:r w:rsidR="00684243" w:rsidRPr="00F123A3">
        <w:t xml:space="preserve">Statewide </w:t>
      </w:r>
      <w:r w:rsidR="00684243">
        <w:t xml:space="preserve">AIMS </w:t>
      </w:r>
      <w:r w:rsidR="00684243" w:rsidRPr="00F123A3">
        <w:t xml:space="preserve">Incremental </w:t>
      </w:r>
      <w:r w:rsidR="00684243">
        <w:t>Electric</w:t>
      </w:r>
      <w:r w:rsidR="00684243" w:rsidRPr="00F123A3">
        <w:t xml:space="preserve"> Market Potential by End Use </w:t>
      </w:r>
      <w:r w:rsidR="00684243">
        <w:t xml:space="preserve">for Equipment Rebate Programs in </w:t>
      </w:r>
      <w:r w:rsidR="00492A22">
        <w:t>Scenario 5 (PAC Aggressive)</w:t>
      </w:r>
      <w:bookmarkEnd w:id="842"/>
    </w:p>
    <w:p w14:paraId="739C3EA9" w14:textId="77777777" w:rsidR="00073992" w:rsidRDefault="009A5CFF" w:rsidP="00073992">
      <w:pPr>
        <w:jc w:val="both"/>
      </w:pPr>
      <w:r>
        <w:rPr>
          <w:noProof/>
        </w:rPr>
        <w:drawing>
          <wp:inline distT="0" distB="0" distL="0" distR="0" wp14:anchorId="216EE67D" wp14:editId="368D01AF">
            <wp:extent cx="5943600" cy="2895570"/>
            <wp:effectExtent l="0" t="0" r="0" b="63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2895570"/>
                    </a:xfrm>
                    <a:prstGeom prst="rect">
                      <a:avLst/>
                    </a:prstGeom>
                    <a:noFill/>
                  </pic:spPr>
                </pic:pic>
              </a:graphicData>
            </a:graphic>
          </wp:inline>
        </w:drawing>
      </w:r>
      <w:r w:rsidR="00736A91" w:rsidRPr="00AF21BE">
        <w:fldChar w:fldCharType="begin"/>
      </w:r>
      <w:r w:rsidR="00736A91" w:rsidRPr="00736A91">
        <w:instrText xml:space="preserve"> REF _Ref490173223 \h </w:instrText>
      </w:r>
      <w:r w:rsidR="00736A91">
        <w:instrText xml:space="preserve"> \* MERGEFORMAT </w:instrText>
      </w:r>
      <w:r w:rsidR="00736A91" w:rsidRPr="00AF21BE">
        <w:fldChar w:fldCharType="separate"/>
      </w:r>
      <w:r w:rsidR="007566B9" w:rsidRPr="00F123A3">
        <w:t xml:space="preserve">Figure </w:t>
      </w:r>
      <w:r w:rsidR="007566B9">
        <w:rPr>
          <w:noProof/>
        </w:rPr>
        <w:t>4</w:t>
      </w:r>
      <w:r w:rsidR="007566B9">
        <w:rPr>
          <w:noProof/>
        </w:rPr>
        <w:noBreakHyphen/>
        <w:t>46</w:t>
      </w:r>
      <w:r w:rsidR="00736A91" w:rsidRPr="00AF21BE">
        <w:fldChar w:fldCharType="end"/>
      </w:r>
      <w:r w:rsidR="00736A91" w:rsidRPr="00AF21BE">
        <w:t xml:space="preserve"> through </w:t>
      </w:r>
      <w:r w:rsidR="00736A91" w:rsidRPr="00AF21BE">
        <w:fldChar w:fldCharType="begin"/>
      </w:r>
      <w:r w:rsidR="00736A91" w:rsidRPr="00AF21BE">
        <w:instrText xml:space="preserve"> REF _Ref490173224 \h </w:instrText>
      </w:r>
      <w:r w:rsidR="00736A91">
        <w:instrText xml:space="preserve"> \* MERGEFORMAT </w:instrText>
      </w:r>
      <w:r w:rsidR="00736A91" w:rsidRPr="00AF21BE">
        <w:fldChar w:fldCharType="separate"/>
      </w:r>
      <w:r w:rsidR="007566B9">
        <w:t xml:space="preserve">Figure </w:t>
      </w:r>
      <w:r w:rsidR="007566B9">
        <w:rPr>
          <w:noProof/>
        </w:rPr>
        <w:t>4</w:t>
      </w:r>
      <w:r w:rsidR="007566B9">
        <w:rPr>
          <w:noProof/>
        </w:rPr>
        <w:noBreakHyphen/>
        <w:t>50</w:t>
      </w:r>
      <w:r w:rsidR="00736A91" w:rsidRPr="00AF21BE">
        <w:fldChar w:fldCharType="end"/>
      </w:r>
      <w:r w:rsidR="00736A91" w:rsidRPr="00961C46">
        <w:t xml:space="preserve"> show</w:t>
      </w:r>
      <w:r w:rsidR="00684243" w:rsidRPr="00961C46">
        <w:t xml:space="preserve"> the</w:t>
      </w:r>
      <w:r w:rsidR="00684243">
        <w:t xml:space="preserve"> breakdown of gas savings by end use in the A</w:t>
      </w:r>
      <w:r w:rsidR="00073992">
        <w:t>IMS sectors</w:t>
      </w:r>
      <w:r w:rsidR="00C855E7">
        <w:t xml:space="preserve"> for each scenario</w:t>
      </w:r>
      <w:r w:rsidR="00073992">
        <w:t xml:space="preserve">. Key observations from </w:t>
      </w:r>
      <w:r w:rsidR="00736A91">
        <w:t>these graphs</w:t>
      </w:r>
      <w:r w:rsidR="00073992">
        <w:t xml:space="preserve"> are: </w:t>
      </w:r>
    </w:p>
    <w:p w14:paraId="4C1CCBF6" w14:textId="77777777" w:rsidR="00073992" w:rsidRDefault="00073992" w:rsidP="00073992">
      <w:pPr>
        <w:pStyle w:val="ListParagraph"/>
        <w:numPr>
          <w:ilvl w:val="0"/>
          <w:numId w:val="71"/>
        </w:numPr>
        <w:jc w:val="both"/>
      </w:pPr>
      <w:r>
        <w:t>Negative gas savings due to interactive effects from lighting measures slightly reduces the overall net gas potential in the agriculture and industrial sectors</w:t>
      </w:r>
      <w:r w:rsidR="00DD5B77">
        <w:t xml:space="preserve"> across all scenarios</w:t>
      </w:r>
      <w:r>
        <w:t xml:space="preserve">. </w:t>
      </w:r>
    </w:p>
    <w:p w14:paraId="07C96BDF" w14:textId="77777777" w:rsidR="00073992" w:rsidRDefault="00073992" w:rsidP="00073992">
      <w:pPr>
        <w:pStyle w:val="ListParagraph"/>
        <w:numPr>
          <w:ilvl w:val="0"/>
          <w:numId w:val="71"/>
        </w:numPr>
        <w:jc w:val="both"/>
      </w:pPr>
      <w:r>
        <w:lastRenderedPageBreak/>
        <w:t>Amongst end use categories that capture potential from discrete measures that produce deemed savings, process heat dominates gas potential in the agriculture and i</w:t>
      </w:r>
      <w:r w:rsidR="00DD5B77">
        <w:t>ndustrial sectors, followed by HVAC</w:t>
      </w:r>
      <w:r>
        <w:t xml:space="preserve"> and oil and gas extraction measures</w:t>
      </w:r>
      <w:r w:rsidR="00DD5B77">
        <w:t xml:space="preserve"> across all scenarios</w:t>
      </w:r>
      <w:r>
        <w:t xml:space="preserve">. </w:t>
      </w:r>
    </w:p>
    <w:p w14:paraId="553BF2C6" w14:textId="77777777" w:rsidR="00073992" w:rsidRDefault="00073992" w:rsidP="00073992">
      <w:pPr>
        <w:pStyle w:val="ListParagraph"/>
        <w:numPr>
          <w:ilvl w:val="0"/>
          <w:numId w:val="71"/>
        </w:numPr>
        <w:jc w:val="both"/>
      </w:pPr>
      <w:r>
        <w:t>Once again, the whole building end use category represents potential from generic custom measures and emerging technologies in the agriculture and industrial sectors. Potential from these measures contributes significantly to the agriculture and industrial sectors, and is expected to increase over time</w:t>
      </w:r>
      <w:r w:rsidR="00DD5B77">
        <w:t xml:space="preserve"> across all scenarios</w:t>
      </w:r>
      <w:r>
        <w:t>.</w:t>
      </w:r>
    </w:p>
    <w:p w14:paraId="77DD6893" w14:textId="77777777" w:rsidR="00073992" w:rsidRDefault="00073992" w:rsidP="00073992"/>
    <w:p w14:paraId="0401B6A8" w14:textId="77777777" w:rsidR="00073992" w:rsidRPr="00F123A3" w:rsidRDefault="00073992" w:rsidP="00073992">
      <w:pPr>
        <w:pStyle w:val="Caption"/>
      </w:pPr>
      <w:bookmarkStart w:id="843" w:name="_Ref490173223"/>
      <w:bookmarkStart w:id="844" w:name="_Toc490491779"/>
      <w:r w:rsidRPr="00F123A3">
        <w:t xml:space="preserve">Figure </w:t>
      </w:r>
      <w:fldSimple w:instr=" STYLEREF 1 \s ">
        <w:r w:rsidR="007566B9">
          <w:rPr>
            <w:noProof/>
          </w:rPr>
          <w:t>4</w:t>
        </w:r>
      </w:fldSimple>
      <w:r w:rsidR="00CE124F">
        <w:noBreakHyphen/>
      </w:r>
      <w:fldSimple w:instr=" SEQ Figure \* ARABIC \s 1 ">
        <w:r w:rsidR="007566B9">
          <w:rPr>
            <w:noProof/>
          </w:rPr>
          <w:t>46</w:t>
        </w:r>
      </w:fldSimple>
      <w:bookmarkEnd w:id="843"/>
      <w:r w:rsidR="00684243">
        <w:t xml:space="preserve">. </w:t>
      </w:r>
      <w:r w:rsidR="00684243" w:rsidRPr="00F123A3">
        <w:t xml:space="preserve">Statewide </w:t>
      </w:r>
      <w:r w:rsidR="00684243">
        <w:t xml:space="preserve">AIMS </w:t>
      </w:r>
      <w:r w:rsidR="00684243" w:rsidRPr="00F123A3">
        <w:t xml:space="preserve">Incremental </w:t>
      </w:r>
      <w:r w:rsidR="00684243">
        <w:t>Gas</w:t>
      </w:r>
      <w:r w:rsidR="00684243" w:rsidRPr="00F123A3">
        <w:t xml:space="preserve"> Market Potential by End Use </w:t>
      </w:r>
      <w:r w:rsidR="00684243">
        <w:t>for Equipment Rebate Programs in Scenario 1 (TRC Reference)</w:t>
      </w:r>
      <w:bookmarkEnd w:id="844"/>
    </w:p>
    <w:p w14:paraId="50C90A32" w14:textId="77777777" w:rsidR="00073992" w:rsidRDefault="00957D7F" w:rsidP="00073992">
      <w:pPr>
        <w:jc w:val="center"/>
      </w:pPr>
      <w:r>
        <w:rPr>
          <w:noProof/>
        </w:rPr>
        <w:drawing>
          <wp:inline distT="0" distB="0" distL="0" distR="0" wp14:anchorId="5A8659DC" wp14:editId="6F322B1B">
            <wp:extent cx="6362443" cy="3099816"/>
            <wp:effectExtent l="0" t="0" r="635" b="571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4B98FEB9" w14:textId="77777777" w:rsidR="00957D7F" w:rsidRDefault="00957D7F" w:rsidP="00073992">
      <w:pPr>
        <w:jc w:val="center"/>
      </w:pPr>
    </w:p>
    <w:p w14:paraId="4770E1E3" w14:textId="77777777" w:rsidR="000561FE" w:rsidRDefault="000561FE" w:rsidP="00961C46">
      <w:pPr>
        <w:pStyle w:val="Caption"/>
      </w:pPr>
      <w:bookmarkStart w:id="845" w:name="_Toc490491780"/>
      <w:r>
        <w:lastRenderedPageBreak/>
        <w:t xml:space="preserve">Figure </w:t>
      </w:r>
      <w:fldSimple w:instr=" STYLEREF 1 \s ">
        <w:r w:rsidR="007566B9">
          <w:rPr>
            <w:noProof/>
          </w:rPr>
          <w:t>4</w:t>
        </w:r>
      </w:fldSimple>
      <w:r w:rsidR="00CE124F">
        <w:noBreakHyphen/>
      </w:r>
      <w:fldSimple w:instr=" SEQ Figure \* ARABIC \s 1 ">
        <w:r w:rsidR="007566B9">
          <w:rPr>
            <w:noProof/>
          </w:rPr>
          <w:t>47</w:t>
        </w:r>
      </w:fldSimple>
      <w:r w:rsidR="00684243">
        <w:t xml:space="preserve">. </w:t>
      </w:r>
      <w:r w:rsidR="00684243" w:rsidRPr="00F123A3">
        <w:t xml:space="preserve">Statewide </w:t>
      </w:r>
      <w:r w:rsidR="00684243">
        <w:t xml:space="preserve">AIMS </w:t>
      </w:r>
      <w:r w:rsidR="00684243" w:rsidRPr="00F123A3">
        <w:t xml:space="preserve">Incremental </w:t>
      </w:r>
      <w:r w:rsidR="00684243">
        <w:t>Gas</w:t>
      </w:r>
      <w:r w:rsidR="00684243" w:rsidRPr="00F123A3">
        <w:t xml:space="preserve"> Market Potential by End Use </w:t>
      </w:r>
      <w:r w:rsidR="00684243">
        <w:t xml:space="preserve">for Equipment Rebate Programs in </w:t>
      </w:r>
      <w:r w:rsidR="00492A22">
        <w:t>Scenario 2 (mTRC w/ GHG Adder 1)</w:t>
      </w:r>
      <w:bookmarkEnd w:id="845"/>
    </w:p>
    <w:p w14:paraId="5096A3C5" w14:textId="77777777" w:rsidR="00957D7F" w:rsidRDefault="00957D7F" w:rsidP="00073992">
      <w:pPr>
        <w:jc w:val="center"/>
      </w:pPr>
      <w:r>
        <w:rPr>
          <w:noProof/>
        </w:rPr>
        <w:drawing>
          <wp:inline distT="0" distB="0" distL="0" distR="0" wp14:anchorId="72AC9102" wp14:editId="6143F0A3">
            <wp:extent cx="6362443" cy="3099816"/>
            <wp:effectExtent l="0" t="0" r="635" b="571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3E15A265" w14:textId="77777777" w:rsidR="00957D7F" w:rsidRDefault="00957D7F" w:rsidP="00073992">
      <w:pPr>
        <w:jc w:val="center"/>
      </w:pPr>
    </w:p>
    <w:p w14:paraId="5F03D0C2" w14:textId="77777777" w:rsidR="00957D7F" w:rsidRDefault="00957D7F" w:rsidP="00073992">
      <w:pPr>
        <w:jc w:val="center"/>
      </w:pPr>
    </w:p>
    <w:p w14:paraId="306C9B0A" w14:textId="77777777" w:rsidR="000561FE" w:rsidRDefault="000561FE" w:rsidP="00961C46">
      <w:pPr>
        <w:pStyle w:val="Caption"/>
      </w:pPr>
      <w:bookmarkStart w:id="846" w:name="_Toc490491781"/>
      <w:r>
        <w:t xml:space="preserve">Figure </w:t>
      </w:r>
      <w:fldSimple w:instr=" STYLEREF 1 \s ">
        <w:r w:rsidR="007566B9">
          <w:rPr>
            <w:noProof/>
          </w:rPr>
          <w:t>4</w:t>
        </w:r>
      </w:fldSimple>
      <w:r w:rsidR="00CE124F">
        <w:noBreakHyphen/>
      </w:r>
      <w:fldSimple w:instr=" SEQ Figure \* ARABIC \s 1 ">
        <w:r w:rsidR="007566B9">
          <w:rPr>
            <w:noProof/>
          </w:rPr>
          <w:t>48</w:t>
        </w:r>
      </w:fldSimple>
      <w:r w:rsidR="00684243">
        <w:t xml:space="preserve">. </w:t>
      </w:r>
      <w:r w:rsidR="00684243" w:rsidRPr="00F123A3">
        <w:t xml:space="preserve">Statewide </w:t>
      </w:r>
      <w:r w:rsidR="00684243">
        <w:t xml:space="preserve">AIMS </w:t>
      </w:r>
      <w:r w:rsidR="00684243" w:rsidRPr="00F123A3">
        <w:t xml:space="preserve">Incremental </w:t>
      </w:r>
      <w:r w:rsidR="00684243">
        <w:t>Gas</w:t>
      </w:r>
      <w:r w:rsidR="00684243" w:rsidRPr="00F123A3">
        <w:t xml:space="preserve"> Market Potential by End Use </w:t>
      </w:r>
      <w:r w:rsidR="00684243">
        <w:t xml:space="preserve">for Equipment Rebate Programs in </w:t>
      </w:r>
      <w:r w:rsidR="00492A22">
        <w:t>Scenario 3 (mTRC w/ GHG Adder 2)</w:t>
      </w:r>
      <w:bookmarkEnd w:id="846"/>
    </w:p>
    <w:p w14:paraId="51848C13" w14:textId="77777777" w:rsidR="00957D7F" w:rsidRDefault="00957D7F" w:rsidP="00073992">
      <w:pPr>
        <w:jc w:val="center"/>
      </w:pPr>
      <w:r>
        <w:rPr>
          <w:noProof/>
        </w:rPr>
        <w:drawing>
          <wp:inline distT="0" distB="0" distL="0" distR="0" wp14:anchorId="0673813F" wp14:editId="1832142C">
            <wp:extent cx="6362443" cy="3099816"/>
            <wp:effectExtent l="0" t="0" r="635" b="571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64FE8CA4" w14:textId="77777777" w:rsidR="00957D7F" w:rsidRDefault="00957D7F" w:rsidP="00073992">
      <w:pPr>
        <w:jc w:val="center"/>
      </w:pPr>
    </w:p>
    <w:p w14:paraId="14666452" w14:textId="77777777" w:rsidR="00957D7F" w:rsidRDefault="00957D7F" w:rsidP="00073992">
      <w:pPr>
        <w:jc w:val="center"/>
      </w:pPr>
    </w:p>
    <w:p w14:paraId="3723511E" w14:textId="77777777" w:rsidR="00957D7F" w:rsidRDefault="00957D7F" w:rsidP="00073992">
      <w:pPr>
        <w:jc w:val="center"/>
      </w:pPr>
    </w:p>
    <w:p w14:paraId="60EBAFA2" w14:textId="77777777" w:rsidR="000561FE" w:rsidRDefault="000561FE" w:rsidP="00961C46">
      <w:pPr>
        <w:pStyle w:val="Caption"/>
      </w:pPr>
      <w:bookmarkStart w:id="847" w:name="_Toc490491782"/>
      <w:r>
        <w:lastRenderedPageBreak/>
        <w:t xml:space="preserve">Figure </w:t>
      </w:r>
      <w:fldSimple w:instr=" STYLEREF 1 \s ">
        <w:r w:rsidR="007566B9">
          <w:rPr>
            <w:noProof/>
          </w:rPr>
          <w:t>4</w:t>
        </w:r>
      </w:fldSimple>
      <w:r w:rsidR="00CE124F">
        <w:noBreakHyphen/>
      </w:r>
      <w:fldSimple w:instr=" SEQ Figure \* ARABIC \s 1 ">
        <w:r w:rsidR="007566B9">
          <w:rPr>
            <w:noProof/>
          </w:rPr>
          <w:t>49</w:t>
        </w:r>
      </w:fldSimple>
      <w:r w:rsidR="00684243">
        <w:t xml:space="preserve">. </w:t>
      </w:r>
      <w:r w:rsidR="00684243" w:rsidRPr="00F123A3">
        <w:t xml:space="preserve">Statewide </w:t>
      </w:r>
      <w:r w:rsidR="00684243">
        <w:t xml:space="preserve">AIMS </w:t>
      </w:r>
      <w:r w:rsidR="00684243" w:rsidRPr="00F123A3">
        <w:t xml:space="preserve">Incremental </w:t>
      </w:r>
      <w:r w:rsidR="00684243">
        <w:t>Gas</w:t>
      </w:r>
      <w:r w:rsidR="00684243" w:rsidRPr="00F123A3">
        <w:t xml:space="preserve"> Market Potential by End Use </w:t>
      </w:r>
      <w:r w:rsidR="00684243">
        <w:t xml:space="preserve">for Equipment Rebate Programs in </w:t>
      </w:r>
      <w:r w:rsidR="00492A22">
        <w:t>Scenario 4 (PAC Reference)</w:t>
      </w:r>
      <w:bookmarkEnd w:id="847"/>
    </w:p>
    <w:p w14:paraId="4CBDBB7C" w14:textId="77777777" w:rsidR="00957D7F" w:rsidRDefault="00957D7F" w:rsidP="00073992">
      <w:pPr>
        <w:jc w:val="center"/>
      </w:pPr>
      <w:r>
        <w:rPr>
          <w:noProof/>
        </w:rPr>
        <w:drawing>
          <wp:inline distT="0" distB="0" distL="0" distR="0" wp14:anchorId="543C9DFF" wp14:editId="34861A73">
            <wp:extent cx="6362443" cy="3099816"/>
            <wp:effectExtent l="0" t="0" r="635" b="571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25CE5186" w14:textId="77777777" w:rsidR="00957D7F" w:rsidRDefault="00957D7F" w:rsidP="00073992">
      <w:pPr>
        <w:jc w:val="center"/>
      </w:pPr>
    </w:p>
    <w:p w14:paraId="771A5479" w14:textId="77777777" w:rsidR="00957D7F" w:rsidRDefault="00957D7F" w:rsidP="00073992">
      <w:pPr>
        <w:jc w:val="center"/>
      </w:pPr>
    </w:p>
    <w:p w14:paraId="48279B25" w14:textId="77777777" w:rsidR="000561FE" w:rsidRDefault="000561FE" w:rsidP="00961C46">
      <w:pPr>
        <w:pStyle w:val="Caption"/>
      </w:pPr>
      <w:bookmarkStart w:id="848" w:name="_Ref490173224"/>
      <w:bookmarkStart w:id="849" w:name="_Toc490491783"/>
      <w:r>
        <w:t xml:space="preserve">Figure </w:t>
      </w:r>
      <w:fldSimple w:instr=" STYLEREF 1 \s ">
        <w:r w:rsidR="007566B9">
          <w:rPr>
            <w:noProof/>
          </w:rPr>
          <w:t>4</w:t>
        </w:r>
      </w:fldSimple>
      <w:r w:rsidR="00CE124F">
        <w:noBreakHyphen/>
      </w:r>
      <w:fldSimple w:instr=" SEQ Figure \* ARABIC \s 1 ">
        <w:r w:rsidR="007566B9">
          <w:rPr>
            <w:noProof/>
          </w:rPr>
          <w:t>50</w:t>
        </w:r>
      </w:fldSimple>
      <w:bookmarkEnd w:id="848"/>
      <w:r w:rsidR="00684243">
        <w:t xml:space="preserve">. </w:t>
      </w:r>
      <w:r w:rsidR="00684243" w:rsidRPr="00F123A3">
        <w:t xml:space="preserve">Statewide </w:t>
      </w:r>
      <w:r w:rsidR="00684243">
        <w:t xml:space="preserve">AIMS </w:t>
      </w:r>
      <w:r w:rsidR="00684243" w:rsidRPr="00F123A3">
        <w:t xml:space="preserve">Incremental </w:t>
      </w:r>
      <w:r w:rsidR="00684243">
        <w:t>Gas</w:t>
      </w:r>
      <w:r w:rsidR="00684243" w:rsidRPr="00F123A3">
        <w:t xml:space="preserve"> Market Potential by End Use </w:t>
      </w:r>
      <w:r w:rsidR="00684243">
        <w:t xml:space="preserve">for Equipment Rebate Programs in </w:t>
      </w:r>
      <w:r w:rsidR="00492A22">
        <w:t>Scenario 5 (PAC Aggressive)</w:t>
      </w:r>
      <w:bookmarkEnd w:id="849"/>
    </w:p>
    <w:p w14:paraId="3277B794" w14:textId="77777777" w:rsidR="00957D7F" w:rsidRDefault="00957D7F" w:rsidP="00957D7F">
      <w:pPr>
        <w:jc w:val="center"/>
      </w:pPr>
      <w:r>
        <w:rPr>
          <w:noProof/>
        </w:rPr>
        <w:drawing>
          <wp:inline distT="0" distB="0" distL="0" distR="0" wp14:anchorId="17B18D50" wp14:editId="1187003F">
            <wp:extent cx="6362443" cy="3099816"/>
            <wp:effectExtent l="0" t="0" r="635" b="571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62443" cy="3099816"/>
                    </a:xfrm>
                    <a:prstGeom prst="rect">
                      <a:avLst/>
                    </a:prstGeom>
                    <a:noFill/>
                  </pic:spPr>
                </pic:pic>
              </a:graphicData>
            </a:graphic>
          </wp:inline>
        </w:drawing>
      </w:r>
    </w:p>
    <w:p w14:paraId="35CA7A24" w14:textId="77777777" w:rsidR="00073992" w:rsidRPr="00C11929" w:rsidRDefault="00073992" w:rsidP="00073992">
      <w:pPr>
        <w:pStyle w:val="Heading4"/>
      </w:pPr>
      <w:r w:rsidRPr="00C11929">
        <w:lastRenderedPageBreak/>
        <w:t>Stranded Potential</w:t>
      </w:r>
    </w:p>
    <w:p w14:paraId="33BC7498" w14:textId="77777777" w:rsidR="00073992" w:rsidRDefault="00DD5B77" w:rsidP="00073992">
      <w:pPr>
        <w:jc w:val="both"/>
      </w:pPr>
      <w:r>
        <w:fldChar w:fldCharType="begin"/>
      </w:r>
      <w:r>
        <w:instrText xml:space="preserve"> REF _Ref490173408 \h </w:instrText>
      </w:r>
      <w:r>
        <w:fldChar w:fldCharType="separate"/>
      </w:r>
      <w:r w:rsidR="007566B9" w:rsidRPr="00F123A3">
        <w:t xml:space="preserve">Figure </w:t>
      </w:r>
      <w:r w:rsidR="007566B9">
        <w:rPr>
          <w:noProof/>
        </w:rPr>
        <w:t>4</w:t>
      </w:r>
      <w:r w:rsidR="007566B9">
        <w:noBreakHyphen/>
      </w:r>
      <w:r w:rsidR="007566B9">
        <w:rPr>
          <w:noProof/>
        </w:rPr>
        <w:t>51</w:t>
      </w:r>
      <w:r>
        <w:fldChar w:fldCharType="end"/>
      </w:r>
      <w:r>
        <w:t xml:space="preserve"> through </w:t>
      </w:r>
      <w:r>
        <w:fldChar w:fldCharType="begin"/>
      </w:r>
      <w:r>
        <w:instrText xml:space="preserve"> REF _Ref490173410 \h </w:instrText>
      </w:r>
      <w:r>
        <w:fldChar w:fldCharType="separate"/>
      </w:r>
      <w:r w:rsidR="007566B9">
        <w:t xml:space="preserve">Figure </w:t>
      </w:r>
      <w:r w:rsidR="007566B9">
        <w:rPr>
          <w:noProof/>
        </w:rPr>
        <w:t>4</w:t>
      </w:r>
      <w:r w:rsidR="007566B9">
        <w:noBreakHyphen/>
      </w:r>
      <w:r w:rsidR="007566B9">
        <w:rPr>
          <w:noProof/>
        </w:rPr>
        <w:t>55</w:t>
      </w:r>
      <w:r>
        <w:fldChar w:fldCharType="end"/>
      </w:r>
      <w:r w:rsidR="00FA33C3">
        <w:t xml:space="preserve"> </w:t>
      </w:r>
      <w:r w:rsidR="00073992">
        <w:t>shows the breakdown of electric stranded potential by end use across all sectors</w:t>
      </w:r>
      <w:r>
        <w:t xml:space="preserve"> for each scenario</w:t>
      </w:r>
      <w:r w:rsidR="00073992">
        <w:t xml:space="preserve">. These savings are captured through accelerated replacement decisions in the model prompted by the availability of rebates for upgrading existing below code equipment. We assume that these rebates will be available starting in 2018 in the model. Key observations from </w:t>
      </w:r>
      <w:r>
        <w:t>these graphs a</w:t>
      </w:r>
      <w:r w:rsidR="00073992">
        <w:t xml:space="preserve">re: </w:t>
      </w:r>
    </w:p>
    <w:p w14:paraId="5FD1C9ED" w14:textId="77777777" w:rsidR="00073992" w:rsidRDefault="00073992" w:rsidP="00073992">
      <w:pPr>
        <w:pStyle w:val="ListParagraph"/>
        <w:numPr>
          <w:ilvl w:val="0"/>
          <w:numId w:val="71"/>
        </w:numPr>
        <w:jc w:val="both"/>
      </w:pPr>
      <w:r>
        <w:t>Lighting measures contribute significantly to stranded electric potential</w:t>
      </w:r>
      <w:r w:rsidR="00DD5B77">
        <w:t xml:space="preserve"> across all scenarios</w:t>
      </w:r>
      <w:r>
        <w:t xml:space="preserve">. Potential from lighting measures is captured through customer decisions to upgrade existing equipment (e.g. T12 linear fluorescent fixtures) to more efficient technologies (e.g. T8 or T5 linear fluorescent fixtures). The results reflect a portion of the market that start out in 2018 with inefficient, below-code measures which ramps down over time as customers upgrade their equipment thus shrinking the below-code population. </w:t>
      </w:r>
    </w:p>
    <w:p w14:paraId="0E3C79B8" w14:textId="53F886E7" w:rsidR="00073992" w:rsidRDefault="00073992" w:rsidP="00073992">
      <w:pPr>
        <w:pStyle w:val="ListParagraph"/>
        <w:numPr>
          <w:ilvl w:val="0"/>
          <w:numId w:val="71"/>
        </w:numPr>
        <w:jc w:val="both"/>
      </w:pPr>
      <w:r>
        <w:t xml:space="preserve">HVAC measures also contribute significantly to stranded electric </w:t>
      </w:r>
      <w:r w:rsidR="00DD5B77">
        <w:t>potential across all scenarios</w:t>
      </w:r>
      <w:r>
        <w:t xml:space="preserve">. Potential from HVAC measures is captured through customer decisions to upgrade existing equipment (e.g. SEER 10 air conditioners) to more efficient technologies (e.g. </w:t>
      </w:r>
      <w:r>
        <w:rPr>
          <w:rFonts w:cs="Arial"/>
        </w:rPr>
        <w:t>≥</w:t>
      </w:r>
      <w:r>
        <w:t xml:space="preserve"> SEER 14 air conditioners) instead of keeping their old equipment. </w:t>
      </w:r>
      <w:r w:rsidR="004A0FE3">
        <w:t xml:space="preserve"> As the cost effectiveness screening test gets less stringent, more expensive HVAC measures are included in the stranded potential thus increasing savings. </w:t>
      </w:r>
    </w:p>
    <w:p w14:paraId="41163B8B" w14:textId="77777777" w:rsidR="00073992" w:rsidRDefault="00073992" w:rsidP="00073992">
      <w:pPr>
        <w:pStyle w:val="ListParagraph"/>
        <w:numPr>
          <w:ilvl w:val="0"/>
          <w:numId w:val="71"/>
        </w:numPr>
        <w:jc w:val="both"/>
      </w:pPr>
      <w:r>
        <w:t xml:space="preserve">Water heating and data center measures contribute negligibly to stranded </w:t>
      </w:r>
      <w:r w:rsidR="00DD5B77">
        <w:t>potential across all scenarios</w:t>
      </w:r>
      <w:r>
        <w:t xml:space="preserve">. </w:t>
      </w:r>
    </w:p>
    <w:p w14:paraId="0CF72A14" w14:textId="77777777" w:rsidR="00073992" w:rsidRDefault="00073992" w:rsidP="00073992">
      <w:pPr>
        <w:pStyle w:val="ListParagraph"/>
        <w:numPr>
          <w:ilvl w:val="0"/>
          <w:numId w:val="71"/>
        </w:numPr>
        <w:jc w:val="both"/>
      </w:pPr>
      <w:r>
        <w:t>Stranded potential makes up approximately 7% of t</w:t>
      </w:r>
      <w:r w:rsidR="00DD5B77">
        <w:t xml:space="preserve">otal equipment savings in 2018 </w:t>
      </w:r>
      <w:r>
        <w:t>and 1% of total equipment savings in 2030</w:t>
      </w:r>
      <w:r w:rsidR="00DD5B77">
        <w:t xml:space="preserve"> in Scenario 1 (TRC Reference), and 12% of total equipment savings in 2018 and 3% of total equipment savings in Scenario 5 (PAC Aggressive). </w:t>
      </w:r>
    </w:p>
    <w:p w14:paraId="0115E7EF" w14:textId="77777777" w:rsidR="00073992" w:rsidRDefault="00073992" w:rsidP="00073992">
      <w:pPr>
        <w:jc w:val="both"/>
      </w:pPr>
    </w:p>
    <w:p w14:paraId="406F64CF" w14:textId="77777777" w:rsidR="00073992" w:rsidRDefault="00073992" w:rsidP="00073992">
      <w:pPr>
        <w:pStyle w:val="ListParagraph"/>
        <w:jc w:val="both"/>
      </w:pPr>
    </w:p>
    <w:p w14:paraId="0C7B40C1" w14:textId="77777777" w:rsidR="00073992" w:rsidRPr="00F123A3" w:rsidRDefault="00073992" w:rsidP="00073992">
      <w:pPr>
        <w:pStyle w:val="Caption"/>
      </w:pPr>
      <w:bookmarkStart w:id="850" w:name="_Ref490173408"/>
      <w:bookmarkStart w:id="851" w:name="_Toc490491784"/>
      <w:r w:rsidRPr="00F123A3">
        <w:t xml:space="preserve">Figure </w:t>
      </w:r>
      <w:fldSimple w:instr=" STYLEREF 1 \s ">
        <w:r w:rsidR="007566B9">
          <w:rPr>
            <w:noProof/>
          </w:rPr>
          <w:t>4</w:t>
        </w:r>
      </w:fldSimple>
      <w:r w:rsidR="00CE124F">
        <w:noBreakHyphen/>
      </w:r>
      <w:fldSimple w:instr=" SEQ Figure \* ARABIC \s 1 ">
        <w:r w:rsidR="007566B9">
          <w:rPr>
            <w:noProof/>
          </w:rPr>
          <w:t>51</w:t>
        </w:r>
      </w:fldSimple>
      <w:bookmarkEnd w:id="850"/>
      <w:r w:rsidRPr="00F123A3">
        <w:t xml:space="preserve">. Statewide </w:t>
      </w:r>
      <w:r>
        <w:t xml:space="preserve">Stranded Electric </w:t>
      </w:r>
      <w:r w:rsidRPr="00F123A3">
        <w:t xml:space="preserve">Potential by End Use </w:t>
      </w:r>
      <w:r w:rsidR="00684243">
        <w:t>for all s</w:t>
      </w:r>
      <w:r>
        <w:t>ectors</w:t>
      </w:r>
      <w:r w:rsidR="00684243">
        <w:t xml:space="preserve"> in Scenario 1 (TRC Reference)</w:t>
      </w:r>
      <w:bookmarkEnd w:id="851"/>
    </w:p>
    <w:p w14:paraId="6F6FEC19" w14:textId="77777777" w:rsidR="00073992" w:rsidRDefault="00957D7F" w:rsidP="00073992">
      <w:r>
        <w:rPr>
          <w:noProof/>
        </w:rPr>
        <w:drawing>
          <wp:inline distT="0" distB="0" distL="0" distR="0" wp14:anchorId="03211D9F" wp14:editId="287A2119">
            <wp:extent cx="6364224" cy="2815161"/>
            <wp:effectExtent l="0" t="0" r="0" b="444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364224" cy="2815161"/>
                    </a:xfrm>
                    <a:prstGeom prst="rect">
                      <a:avLst/>
                    </a:prstGeom>
                    <a:noFill/>
                  </pic:spPr>
                </pic:pic>
              </a:graphicData>
            </a:graphic>
          </wp:inline>
        </w:drawing>
      </w:r>
    </w:p>
    <w:p w14:paraId="33C17FEE" w14:textId="77777777" w:rsidR="000561FE" w:rsidRDefault="000561FE" w:rsidP="00961C46">
      <w:pPr>
        <w:pStyle w:val="Caption"/>
      </w:pPr>
      <w:bookmarkStart w:id="852" w:name="_Toc490491785"/>
      <w:r>
        <w:lastRenderedPageBreak/>
        <w:t xml:space="preserve">Figure </w:t>
      </w:r>
      <w:fldSimple w:instr=" STYLEREF 1 \s ">
        <w:r w:rsidR="007566B9">
          <w:rPr>
            <w:noProof/>
          </w:rPr>
          <w:t>4</w:t>
        </w:r>
      </w:fldSimple>
      <w:r w:rsidR="00CE124F">
        <w:noBreakHyphen/>
      </w:r>
      <w:fldSimple w:instr=" SEQ Figure \* ARABIC \s 1 ">
        <w:r w:rsidR="007566B9">
          <w:rPr>
            <w:noProof/>
          </w:rPr>
          <w:t>52</w:t>
        </w:r>
      </w:fldSimple>
      <w:r w:rsidR="00684243" w:rsidRPr="00F123A3">
        <w:t xml:space="preserve">. Statewide </w:t>
      </w:r>
      <w:r w:rsidR="00684243">
        <w:t xml:space="preserve">Stranded Electric </w:t>
      </w:r>
      <w:r w:rsidR="00684243" w:rsidRPr="00F123A3">
        <w:t xml:space="preserve">Potential by End Use </w:t>
      </w:r>
      <w:r w:rsidR="00684243">
        <w:t xml:space="preserve">for all sectors in </w:t>
      </w:r>
      <w:r w:rsidR="00492A22">
        <w:t>Scenario 2 (mTRC w/ GHG Adder 1)</w:t>
      </w:r>
      <w:bookmarkEnd w:id="852"/>
    </w:p>
    <w:p w14:paraId="2155A940" w14:textId="77777777" w:rsidR="00073992" w:rsidRDefault="00957D7F" w:rsidP="00073992">
      <w:r>
        <w:rPr>
          <w:noProof/>
        </w:rPr>
        <w:drawing>
          <wp:inline distT="0" distB="0" distL="0" distR="0" wp14:anchorId="705488BC" wp14:editId="760E7E2B">
            <wp:extent cx="6366917" cy="2816352"/>
            <wp:effectExtent l="0" t="0" r="0" b="317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366917" cy="2816352"/>
                    </a:xfrm>
                    <a:prstGeom prst="rect">
                      <a:avLst/>
                    </a:prstGeom>
                    <a:noFill/>
                  </pic:spPr>
                </pic:pic>
              </a:graphicData>
            </a:graphic>
          </wp:inline>
        </w:drawing>
      </w:r>
    </w:p>
    <w:p w14:paraId="6E4AC348" w14:textId="77777777" w:rsidR="000561FE" w:rsidRDefault="000561FE" w:rsidP="00961C46">
      <w:pPr>
        <w:pStyle w:val="Caption"/>
      </w:pPr>
      <w:bookmarkStart w:id="853" w:name="_Toc490491786"/>
      <w:r>
        <w:t xml:space="preserve">Figure </w:t>
      </w:r>
      <w:fldSimple w:instr=" STYLEREF 1 \s ">
        <w:r w:rsidR="007566B9">
          <w:rPr>
            <w:noProof/>
          </w:rPr>
          <w:t>4</w:t>
        </w:r>
      </w:fldSimple>
      <w:r w:rsidR="00CE124F">
        <w:noBreakHyphen/>
      </w:r>
      <w:fldSimple w:instr=" SEQ Figure \* ARABIC \s 1 ">
        <w:r w:rsidR="007566B9">
          <w:rPr>
            <w:noProof/>
          </w:rPr>
          <w:t>53</w:t>
        </w:r>
      </w:fldSimple>
      <w:r w:rsidR="00684243">
        <w:t xml:space="preserve">. </w:t>
      </w:r>
      <w:r w:rsidR="00684243" w:rsidRPr="00F123A3">
        <w:t xml:space="preserve">Statewide </w:t>
      </w:r>
      <w:r w:rsidR="00684243">
        <w:t xml:space="preserve">Stranded Electric </w:t>
      </w:r>
      <w:r w:rsidR="00684243" w:rsidRPr="00F123A3">
        <w:t xml:space="preserve">Potential by End Use </w:t>
      </w:r>
      <w:r w:rsidR="00684243">
        <w:t xml:space="preserve">for all sectors in </w:t>
      </w:r>
      <w:r w:rsidR="00492A22">
        <w:t>Scenario 3 (mTRC w/ GHG Adder 2)</w:t>
      </w:r>
      <w:bookmarkEnd w:id="853"/>
    </w:p>
    <w:p w14:paraId="4532827D" w14:textId="77777777" w:rsidR="00073992" w:rsidRDefault="00957D7F" w:rsidP="00073992">
      <w:pPr>
        <w:jc w:val="both"/>
      </w:pPr>
      <w:r>
        <w:rPr>
          <w:noProof/>
        </w:rPr>
        <w:drawing>
          <wp:inline distT="0" distB="0" distL="0" distR="0" wp14:anchorId="250B2ACA" wp14:editId="387541E7">
            <wp:extent cx="6366917" cy="2816352"/>
            <wp:effectExtent l="0" t="0" r="0" b="317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366917" cy="2816352"/>
                    </a:xfrm>
                    <a:prstGeom prst="rect">
                      <a:avLst/>
                    </a:prstGeom>
                    <a:noFill/>
                  </pic:spPr>
                </pic:pic>
              </a:graphicData>
            </a:graphic>
          </wp:inline>
        </w:drawing>
      </w:r>
    </w:p>
    <w:p w14:paraId="3DC4CD74" w14:textId="77777777" w:rsidR="00957D7F" w:rsidRDefault="00957D7F" w:rsidP="00073992">
      <w:pPr>
        <w:jc w:val="both"/>
      </w:pPr>
    </w:p>
    <w:p w14:paraId="420A9F07" w14:textId="77777777" w:rsidR="000561FE" w:rsidRDefault="000561FE" w:rsidP="00961C46">
      <w:pPr>
        <w:pStyle w:val="Caption"/>
      </w:pPr>
      <w:bookmarkStart w:id="854" w:name="_Toc490491787"/>
      <w:r>
        <w:lastRenderedPageBreak/>
        <w:t xml:space="preserve">Figure </w:t>
      </w:r>
      <w:fldSimple w:instr=" STYLEREF 1 \s ">
        <w:r w:rsidR="007566B9">
          <w:rPr>
            <w:noProof/>
          </w:rPr>
          <w:t>4</w:t>
        </w:r>
      </w:fldSimple>
      <w:r w:rsidR="00CE124F">
        <w:noBreakHyphen/>
      </w:r>
      <w:fldSimple w:instr=" SEQ Figure \* ARABIC \s 1 ">
        <w:r w:rsidR="007566B9">
          <w:rPr>
            <w:noProof/>
          </w:rPr>
          <w:t>54</w:t>
        </w:r>
      </w:fldSimple>
      <w:r w:rsidR="00684243" w:rsidRPr="00F123A3">
        <w:t xml:space="preserve">. Statewide </w:t>
      </w:r>
      <w:r w:rsidR="00684243">
        <w:t xml:space="preserve">Stranded Electric </w:t>
      </w:r>
      <w:r w:rsidR="00684243" w:rsidRPr="00F123A3">
        <w:t xml:space="preserve">Potential by End Use </w:t>
      </w:r>
      <w:r w:rsidR="00684243">
        <w:t xml:space="preserve">for all sectors in </w:t>
      </w:r>
      <w:r w:rsidR="00492A22">
        <w:t>Scenario 4 (PAC Reference)</w:t>
      </w:r>
      <w:bookmarkEnd w:id="854"/>
    </w:p>
    <w:p w14:paraId="2C8398C0" w14:textId="77777777" w:rsidR="00957D7F" w:rsidRDefault="00957D7F" w:rsidP="00073992">
      <w:pPr>
        <w:jc w:val="both"/>
      </w:pPr>
      <w:r>
        <w:rPr>
          <w:noProof/>
        </w:rPr>
        <w:drawing>
          <wp:inline distT="0" distB="0" distL="0" distR="0" wp14:anchorId="056E0F71" wp14:editId="6A531154">
            <wp:extent cx="6366917" cy="2816352"/>
            <wp:effectExtent l="0" t="0" r="0" b="317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366917" cy="2816352"/>
                    </a:xfrm>
                    <a:prstGeom prst="rect">
                      <a:avLst/>
                    </a:prstGeom>
                    <a:noFill/>
                  </pic:spPr>
                </pic:pic>
              </a:graphicData>
            </a:graphic>
          </wp:inline>
        </w:drawing>
      </w:r>
    </w:p>
    <w:p w14:paraId="4F87C2FC" w14:textId="77777777" w:rsidR="00957D7F" w:rsidRDefault="00957D7F" w:rsidP="00073992">
      <w:pPr>
        <w:jc w:val="both"/>
      </w:pPr>
    </w:p>
    <w:p w14:paraId="26501118" w14:textId="36E28A29" w:rsidR="00957D7F" w:rsidRDefault="000561FE" w:rsidP="00AF21BE">
      <w:pPr>
        <w:pStyle w:val="Caption"/>
        <w:rPr>
          <w:noProof/>
        </w:rPr>
      </w:pPr>
      <w:bookmarkStart w:id="855" w:name="_Ref490173410"/>
      <w:bookmarkStart w:id="856" w:name="_Toc490491788"/>
      <w:r>
        <w:t xml:space="preserve">Figure </w:t>
      </w:r>
      <w:fldSimple w:instr=" STYLEREF 1 \s ">
        <w:r w:rsidR="007566B9">
          <w:rPr>
            <w:noProof/>
          </w:rPr>
          <w:t>4</w:t>
        </w:r>
      </w:fldSimple>
      <w:r w:rsidR="00CE124F">
        <w:noBreakHyphen/>
      </w:r>
      <w:fldSimple w:instr=" SEQ Figure \* ARABIC \s 1 ">
        <w:r w:rsidR="007566B9">
          <w:rPr>
            <w:noProof/>
          </w:rPr>
          <w:t>55</w:t>
        </w:r>
      </w:fldSimple>
      <w:bookmarkEnd w:id="855"/>
      <w:r w:rsidR="00684243" w:rsidRPr="00F123A3">
        <w:t xml:space="preserve">. Statewide </w:t>
      </w:r>
      <w:r w:rsidR="00684243">
        <w:t xml:space="preserve">Stranded Electric </w:t>
      </w:r>
      <w:r w:rsidR="00684243" w:rsidRPr="00F123A3">
        <w:t xml:space="preserve">Potential by End Use </w:t>
      </w:r>
      <w:r w:rsidR="00684243">
        <w:t xml:space="preserve">for all sectors in </w:t>
      </w:r>
      <w:r w:rsidR="00492A22">
        <w:t>Scenario 5 (PAC Aggressive)</w:t>
      </w:r>
      <w:bookmarkEnd w:id="856"/>
    </w:p>
    <w:p w14:paraId="2BDB0875" w14:textId="2AAD0CB9" w:rsidR="00BE543D" w:rsidRPr="00BE543D" w:rsidRDefault="00BE543D" w:rsidP="00BE543D">
      <w:r>
        <w:rPr>
          <w:noProof/>
        </w:rPr>
        <w:drawing>
          <wp:inline distT="0" distB="0" distL="0" distR="0" wp14:anchorId="4BCDE1B5" wp14:editId="759C8DD7">
            <wp:extent cx="5943600" cy="2629151"/>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3600" cy="2629151"/>
                    </a:xfrm>
                    <a:prstGeom prst="rect">
                      <a:avLst/>
                    </a:prstGeom>
                    <a:noFill/>
                  </pic:spPr>
                </pic:pic>
              </a:graphicData>
            </a:graphic>
          </wp:inline>
        </w:drawing>
      </w:r>
    </w:p>
    <w:p w14:paraId="5A399086" w14:textId="77777777" w:rsidR="00073992" w:rsidRDefault="00961C46" w:rsidP="00073992">
      <w:pPr>
        <w:jc w:val="both"/>
      </w:pPr>
      <w:r>
        <w:fldChar w:fldCharType="begin"/>
      </w:r>
      <w:r>
        <w:instrText xml:space="preserve"> REF _Ref490173917 \h </w:instrText>
      </w:r>
      <w:r>
        <w:fldChar w:fldCharType="separate"/>
      </w:r>
      <w:r w:rsidR="007566B9" w:rsidRPr="00F123A3">
        <w:t xml:space="preserve">Figure </w:t>
      </w:r>
      <w:r w:rsidR="007566B9">
        <w:rPr>
          <w:noProof/>
        </w:rPr>
        <w:t>4</w:t>
      </w:r>
      <w:r w:rsidR="007566B9">
        <w:noBreakHyphen/>
      </w:r>
      <w:r w:rsidR="007566B9">
        <w:rPr>
          <w:noProof/>
        </w:rPr>
        <w:t>56</w:t>
      </w:r>
      <w:r>
        <w:fldChar w:fldCharType="end"/>
      </w:r>
      <w:r>
        <w:t xml:space="preserve"> and </w:t>
      </w:r>
      <w:r>
        <w:fldChar w:fldCharType="begin"/>
      </w:r>
      <w:r>
        <w:instrText xml:space="preserve"> REF _Ref490173919 \h </w:instrText>
      </w:r>
      <w:r>
        <w:fldChar w:fldCharType="separate"/>
      </w:r>
      <w:r w:rsidR="007566B9">
        <w:t xml:space="preserve">Figure </w:t>
      </w:r>
      <w:r w:rsidR="007566B9">
        <w:rPr>
          <w:noProof/>
        </w:rPr>
        <w:t>4</w:t>
      </w:r>
      <w:r w:rsidR="007566B9">
        <w:noBreakHyphen/>
      </w:r>
      <w:r w:rsidR="007566B9">
        <w:rPr>
          <w:noProof/>
        </w:rPr>
        <w:t>60</w:t>
      </w:r>
      <w:r>
        <w:fldChar w:fldCharType="end"/>
      </w:r>
      <w:r>
        <w:t xml:space="preserve"> show</w:t>
      </w:r>
      <w:r w:rsidR="00073992">
        <w:t xml:space="preserve"> the breakdown of gas stranded potential by end use across all sectors. Key observations from </w:t>
      </w:r>
      <w:r>
        <w:t>these graphs</w:t>
      </w:r>
      <w:r w:rsidR="00073992">
        <w:t xml:space="preserve"> are: </w:t>
      </w:r>
    </w:p>
    <w:p w14:paraId="6D6A5B97" w14:textId="77777777" w:rsidR="00073992" w:rsidRDefault="00073992" w:rsidP="00073992">
      <w:pPr>
        <w:pStyle w:val="ListParagraph"/>
        <w:numPr>
          <w:ilvl w:val="0"/>
          <w:numId w:val="71"/>
        </w:numPr>
        <w:jc w:val="both"/>
      </w:pPr>
      <w:r>
        <w:t>HVAC measures contribute significantly to stranded gas potential</w:t>
      </w:r>
      <w:r w:rsidR="00961C46">
        <w:t xml:space="preserve"> across all scenarios</w:t>
      </w:r>
      <w:r>
        <w:t xml:space="preserve">. Again, potential from HVAC measures is captured through customer decisions to upgrade existing equipment (eg. 77 AFUE furnaces) to more efficient technologies (eg. 80 AFUE or higher furnaces) instead of keeping their old equipment. </w:t>
      </w:r>
    </w:p>
    <w:p w14:paraId="244893D0" w14:textId="77777777" w:rsidR="00073992" w:rsidRDefault="00073992" w:rsidP="00073992">
      <w:pPr>
        <w:pStyle w:val="ListParagraph"/>
        <w:numPr>
          <w:ilvl w:val="0"/>
          <w:numId w:val="71"/>
        </w:numPr>
        <w:jc w:val="both"/>
      </w:pPr>
      <w:r>
        <w:lastRenderedPageBreak/>
        <w:t>Water heating measures also contribute significantly to stranded gas potential</w:t>
      </w:r>
      <w:r w:rsidR="00961C46">
        <w:t xml:space="preserve"> across all scenarios</w:t>
      </w:r>
      <w:r>
        <w:t>. The primary source of savings are gas storage water heaters.</w:t>
      </w:r>
    </w:p>
    <w:p w14:paraId="0F5B5208" w14:textId="77777777" w:rsidR="00073992" w:rsidRDefault="00073992" w:rsidP="00073992">
      <w:pPr>
        <w:pStyle w:val="ListParagraph"/>
        <w:numPr>
          <w:ilvl w:val="0"/>
          <w:numId w:val="71"/>
        </w:numPr>
        <w:jc w:val="both"/>
      </w:pPr>
      <w:r>
        <w:t xml:space="preserve">Lighting measures, which produce negative gas savings due to interactive effects, contribute negligibly to stranded potential but do appear in </w:t>
      </w:r>
      <w:r w:rsidR="00961C46">
        <w:t>the graphs for all scenarios</w:t>
      </w:r>
      <w:r>
        <w:t>.</w:t>
      </w:r>
    </w:p>
    <w:p w14:paraId="3D66AA9D" w14:textId="77777777" w:rsidR="00073992" w:rsidRDefault="00073992" w:rsidP="00073992">
      <w:pPr>
        <w:pStyle w:val="ListParagraph"/>
        <w:numPr>
          <w:ilvl w:val="0"/>
          <w:numId w:val="71"/>
        </w:numPr>
        <w:jc w:val="both"/>
      </w:pPr>
      <w:r>
        <w:t xml:space="preserve">Stranded potential makes up approximately 2% of total equipment savings </w:t>
      </w:r>
      <w:r w:rsidR="00961C46">
        <w:t>through 2030 in Scenario 1 (TRC Reference). It makes up 3% of total equipment savings in 2018 and slightly reduces to about 2% of total equipment savings by 2030 Scenario 5 (PAC Aggressive).</w:t>
      </w:r>
    </w:p>
    <w:p w14:paraId="26AC1B3C" w14:textId="77777777" w:rsidR="00073992" w:rsidRDefault="00073992" w:rsidP="00073992"/>
    <w:p w14:paraId="339D8A3D" w14:textId="77777777" w:rsidR="00073992" w:rsidRDefault="00073992" w:rsidP="00073992">
      <w:pPr>
        <w:pStyle w:val="Caption"/>
      </w:pPr>
      <w:bookmarkStart w:id="857" w:name="_Ref490173917"/>
      <w:bookmarkStart w:id="858" w:name="_Toc490491789"/>
      <w:r w:rsidRPr="00F123A3">
        <w:t xml:space="preserve">Figure </w:t>
      </w:r>
      <w:fldSimple w:instr=" STYLEREF 1 \s ">
        <w:r w:rsidR="007566B9">
          <w:rPr>
            <w:noProof/>
          </w:rPr>
          <w:t>4</w:t>
        </w:r>
      </w:fldSimple>
      <w:r w:rsidR="00CE124F">
        <w:noBreakHyphen/>
      </w:r>
      <w:fldSimple w:instr=" SEQ Figure \* ARABIC \s 1 ">
        <w:r w:rsidR="007566B9">
          <w:rPr>
            <w:noProof/>
          </w:rPr>
          <w:t>56</w:t>
        </w:r>
      </w:fldSimple>
      <w:bookmarkEnd w:id="857"/>
      <w:r w:rsidR="00684243" w:rsidRPr="00F123A3">
        <w:t xml:space="preserve">. Statewide </w:t>
      </w:r>
      <w:r w:rsidR="00684243">
        <w:t xml:space="preserve">Stranded Gas </w:t>
      </w:r>
      <w:r w:rsidR="00684243" w:rsidRPr="00F123A3">
        <w:t xml:space="preserve">Potential by End Use </w:t>
      </w:r>
      <w:r w:rsidR="00684243">
        <w:t>for all sectors in Scenario 1 (TRC Reference)</w:t>
      </w:r>
      <w:bookmarkEnd w:id="858"/>
    </w:p>
    <w:p w14:paraId="3DCD1DE7" w14:textId="77777777" w:rsidR="00073992" w:rsidRPr="004E4E36" w:rsidRDefault="00957D7F" w:rsidP="00073992">
      <w:r>
        <w:rPr>
          <w:noProof/>
        </w:rPr>
        <w:drawing>
          <wp:inline distT="0" distB="0" distL="0" distR="0" wp14:anchorId="2C3193E2" wp14:editId="05031641">
            <wp:extent cx="6366917" cy="2816352"/>
            <wp:effectExtent l="0" t="0" r="0" b="317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366917" cy="2816352"/>
                    </a:xfrm>
                    <a:prstGeom prst="rect">
                      <a:avLst/>
                    </a:prstGeom>
                    <a:noFill/>
                  </pic:spPr>
                </pic:pic>
              </a:graphicData>
            </a:graphic>
          </wp:inline>
        </w:drawing>
      </w:r>
    </w:p>
    <w:p w14:paraId="0100F54C" w14:textId="77777777" w:rsidR="00957D7F" w:rsidRDefault="00957D7F" w:rsidP="00073992"/>
    <w:p w14:paraId="4FD615EC" w14:textId="5D8B3E8D" w:rsidR="00957D7F" w:rsidRDefault="000561FE" w:rsidP="00907914">
      <w:pPr>
        <w:pStyle w:val="Caption"/>
        <w:rPr>
          <w:noProof/>
        </w:rPr>
      </w:pPr>
      <w:bookmarkStart w:id="859" w:name="_Toc490491790"/>
      <w:r>
        <w:lastRenderedPageBreak/>
        <w:t xml:space="preserve">Figure </w:t>
      </w:r>
      <w:fldSimple w:instr=" STYLEREF 1 \s ">
        <w:r w:rsidR="007566B9">
          <w:rPr>
            <w:noProof/>
          </w:rPr>
          <w:t>4</w:t>
        </w:r>
      </w:fldSimple>
      <w:r w:rsidR="00CE124F">
        <w:noBreakHyphen/>
      </w:r>
      <w:fldSimple w:instr=" SEQ Figure \* ARABIC \s 1 ">
        <w:r w:rsidR="007566B9">
          <w:rPr>
            <w:noProof/>
          </w:rPr>
          <w:t>57</w:t>
        </w:r>
      </w:fldSimple>
      <w:r w:rsidR="00684243" w:rsidRPr="00F123A3">
        <w:t xml:space="preserve">. Statewide </w:t>
      </w:r>
      <w:r w:rsidR="00684243">
        <w:t xml:space="preserve">Stranded Gas </w:t>
      </w:r>
      <w:r w:rsidR="00684243" w:rsidRPr="00F123A3">
        <w:t xml:space="preserve">Potential by End Use </w:t>
      </w:r>
      <w:r w:rsidR="00684243">
        <w:t xml:space="preserve">for all sectors in </w:t>
      </w:r>
      <w:r w:rsidR="00492A22">
        <w:t>Scenario 2 (mTRC w/ GHG Adder 1)</w:t>
      </w:r>
      <w:bookmarkEnd w:id="859"/>
    </w:p>
    <w:p w14:paraId="41EB7D64" w14:textId="1F1A3AEB" w:rsidR="00BE543D" w:rsidRPr="00BE543D" w:rsidRDefault="00BE543D" w:rsidP="00BE543D">
      <w:r>
        <w:rPr>
          <w:noProof/>
        </w:rPr>
        <w:drawing>
          <wp:inline distT="0" distB="0" distL="0" distR="0" wp14:anchorId="4C531606" wp14:editId="72953676">
            <wp:extent cx="5943600" cy="2629151"/>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3600" cy="2629151"/>
                    </a:xfrm>
                    <a:prstGeom prst="rect">
                      <a:avLst/>
                    </a:prstGeom>
                    <a:noFill/>
                  </pic:spPr>
                </pic:pic>
              </a:graphicData>
            </a:graphic>
          </wp:inline>
        </w:drawing>
      </w:r>
    </w:p>
    <w:p w14:paraId="3BA6EF86" w14:textId="77777777" w:rsidR="00907914" w:rsidRPr="00907914" w:rsidRDefault="00907914" w:rsidP="00907914"/>
    <w:p w14:paraId="6313EBDE" w14:textId="3A2CAAA7" w:rsidR="00957D7F" w:rsidRDefault="000561FE" w:rsidP="00492A22">
      <w:pPr>
        <w:pStyle w:val="Caption"/>
        <w:rPr>
          <w:noProof/>
        </w:rPr>
      </w:pPr>
      <w:bookmarkStart w:id="860" w:name="_Toc490491791"/>
      <w:r>
        <w:t xml:space="preserve">Figure </w:t>
      </w:r>
      <w:fldSimple w:instr=" STYLEREF 1 \s ">
        <w:r w:rsidR="007566B9">
          <w:rPr>
            <w:noProof/>
          </w:rPr>
          <w:t>4</w:t>
        </w:r>
      </w:fldSimple>
      <w:r w:rsidR="00CE124F">
        <w:noBreakHyphen/>
      </w:r>
      <w:fldSimple w:instr=" SEQ Figure \* ARABIC \s 1 ">
        <w:r w:rsidR="007566B9">
          <w:rPr>
            <w:noProof/>
          </w:rPr>
          <w:t>58</w:t>
        </w:r>
      </w:fldSimple>
      <w:r w:rsidR="00684243" w:rsidRPr="00F123A3">
        <w:t xml:space="preserve">. Statewide </w:t>
      </w:r>
      <w:r w:rsidR="00684243">
        <w:t xml:space="preserve">Stranded Gas </w:t>
      </w:r>
      <w:r w:rsidR="00684243" w:rsidRPr="00F123A3">
        <w:t xml:space="preserve">Potential by End Use </w:t>
      </w:r>
      <w:r w:rsidR="00684243">
        <w:t xml:space="preserve">for all sectors in </w:t>
      </w:r>
      <w:r w:rsidR="00492A22">
        <w:t>Scenario 3 (mTRC w/ GHG Adder 2)</w:t>
      </w:r>
      <w:bookmarkEnd w:id="860"/>
    </w:p>
    <w:p w14:paraId="5E9B95FE" w14:textId="073F30B2" w:rsidR="00BE543D" w:rsidRPr="00BE543D" w:rsidRDefault="00BE543D" w:rsidP="00BE543D">
      <w:r>
        <w:rPr>
          <w:noProof/>
        </w:rPr>
        <w:drawing>
          <wp:inline distT="0" distB="0" distL="0" distR="0" wp14:anchorId="1E3BE439" wp14:editId="1D628B27">
            <wp:extent cx="5943600" cy="2629151"/>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3600" cy="2629151"/>
                    </a:xfrm>
                    <a:prstGeom prst="rect">
                      <a:avLst/>
                    </a:prstGeom>
                    <a:noFill/>
                  </pic:spPr>
                </pic:pic>
              </a:graphicData>
            </a:graphic>
          </wp:inline>
        </w:drawing>
      </w:r>
    </w:p>
    <w:p w14:paraId="135B6CED" w14:textId="77777777" w:rsidR="00907914" w:rsidRPr="00907914" w:rsidRDefault="00907914" w:rsidP="00907914"/>
    <w:p w14:paraId="0E4C7FD0" w14:textId="35E0761F" w:rsidR="00957D7F" w:rsidRDefault="000561FE" w:rsidP="00492A22">
      <w:pPr>
        <w:pStyle w:val="Caption"/>
        <w:rPr>
          <w:noProof/>
        </w:rPr>
      </w:pPr>
      <w:bookmarkStart w:id="861" w:name="_Toc490491792"/>
      <w:r>
        <w:lastRenderedPageBreak/>
        <w:t xml:space="preserve">Figure </w:t>
      </w:r>
      <w:fldSimple w:instr=" STYLEREF 1 \s ">
        <w:r w:rsidR="007566B9">
          <w:rPr>
            <w:noProof/>
          </w:rPr>
          <w:t>4</w:t>
        </w:r>
      </w:fldSimple>
      <w:r w:rsidR="00CE124F">
        <w:noBreakHyphen/>
      </w:r>
      <w:fldSimple w:instr=" SEQ Figure \* ARABIC \s 1 ">
        <w:r w:rsidR="007566B9">
          <w:rPr>
            <w:noProof/>
          </w:rPr>
          <w:t>59</w:t>
        </w:r>
      </w:fldSimple>
      <w:r w:rsidR="00684243" w:rsidRPr="00F123A3">
        <w:t xml:space="preserve">. Statewide </w:t>
      </w:r>
      <w:r w:rsidR="00684243">
        <w:t xml:space="preserve">Stranded Gas </w:t>
      </w:r>
      <w:r w:rsidR="00684243" w:rsidRPr="00F123A3">
        <w:t xml:space="preserve">Potential by End Use </w:t>
      </w:r>
      <w:r w:rsidR="00684243">
        <w:t xml:space="preserve">for all sectors in </w:t>
      </w:r>
      <w:r w:rsidR="00492A22">
        <w:t>Scenario 4 (PAC Reference)</w:t>
      </w:r>
      <w:bookmarkEnd w:id="861"/>
    </w:p>
    <w:p w14:paraId="7F20500F" w14:textId="17534C77" w:rsidR="00BE543D" w:rsidRPr="00BE543D" w:rsidRDefault="00BE543D" w:rsidP="00BE543D">
      <w:r>
        <w:rPr>
          <w:noProof/>
        </w:rPr>
        <w:drawing>
          <wp:inline distT="0" distB="0" distL="0" distR="0" wp14:anchorId="71A9303E" wp14:editId="46E49476">
            <wp:extent cx="5943600" cy="2629151"/>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3600" cy="2629151"/>
                    </a:xfrm>
                    <a:prstGeom prst="rect">
                      <a:avLst/>
                    </a:prstGeom>
                    <a:noFill/>
                  </pic:spPr>
                </pic:pic>
              </a:graphicData>
            </a:graphic>
          </wp:inline>
        </w:drawing>
      </w:r>
    </w:p>
    <w:p w14:paraId="27D01213" w14:textId="77777777" w:rsidR="00957D7F" w:rsidRDefault="00957D7F" w:rsidP="00073992"/>
    <w:p w14:paraId="74522FA0" w14:textId="6F983E86" w:rsidR="00957D7F" w:rsidRDefault="000561FE" w:rsidP="00492A22">
      <w:pPr>
        <w:pStyle w:val="Caption"/>
        <w:rPr>
          <w:noProof/>
        </w:rPr>
      </w:pPr>
      <w:bookmarkStart w:id="862" w:name="_Ref490173919"/>
      <w:bookmarkStart w:id="863" w:name="_Toc490491793"/>
      <w:r>
        <w:t xml:space="preserve">Figure </w:t>
      </w:r>
      <w:fldSimple w:instr=" STYLEREF 1 \s ">
        <w:r w:rsidR="007566B9">
          <w:rPr>
            <w:noProof/>
          </w:rPr>
          <w:t>4</w:t>
        </w:r>
      </w:fldSimple>
      <w:r w:rsidR="00CE124F">
        <w:noBreakHyphen/>
      </w:r>
      <w:fldSimple w:instr=" SEQ Figure \* ARABIC \s 1 ">
        <w:r w:rsidR="007566B9">
          <w:rPr>
            <w:noProof/>
          </w:rPr>
          <w:t>60</w:t>
        </w:r>
      </w:fldSimple>
      <w:bookmarkEnd w:id="862"/>
      <w:r w:rsidR="00684243" w:rsidRPr="00F123A3">
        <w:t xml:space="preserve">. Statewide </w:t>
      </w:r>
      <w:r w:rsidR="00684243">
        <w:t xml:space="preserve">Stranded Gas </w:t>
      </w:r>
      <w:r w:rsidR="00684243" w:rsidRPr="00F123A3">
        <w:t xml:space="preserve">Potential by End Use </w:t>
      </w:r>
      <w:r w:rsidR="00684243">
        <w:t xml:space="preserve">for all sectors in </w:t>
      </w:r>
      <w:r w:rsidR="00492A22">
        <w:t>Scenario 5 (PAC Aggressive)</w:t>
      </w:r>
      <w:bookmarkEnd w:id="863"/>
    </w:p>
    <w:p w14:paraId="3EA38B4C" w14:textId="731A6607" w:rsidR="00BE543D" w:rsidRPr="00BE543D" w:rsidRDefault="00BE543D" w:rsidP="00BE543D">
      <w:r>
        <w:rPr>
          <w:noProof/>
        </w:rPr>
        <w:drawing>
          <wp:inline distT="0" distB="0" distL="0" distR="0" wp14:anchorId="56C90B75" wp14:editId="43B05637">
            <wp:extent cx="5943600" cy="2629151"/>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3600" cy="2629151"/>
                    </a:xfrm>
                    <a:prstGeom prst="rect">
                      <a:avLst/>
                    </a:prstGeom>
                    <a:noFill/>
                  </pic:spPr>
                </pic:pic>
              </a:graphicData>
            </a:graphic>
          </wp:inline>
        </w:drawing>
      </w:r>
    </w:p>
    <w:p w14:paraId="06DE2144" w14:textId="77777777" w:rsidR="00073992" w:rsidRDefault="00073992" w:rsidP="00073992">
      <w:pPr>
        <w:pStyle w:val="Heading4"/>
      </w:pPr>
      <w:r>
        <w:t>Portfolio Cost Effectiveness</w:t>
      </w:r>
    </w:p>
    <w:p w14:paraId="12AEE7B3" w14:textId="77777777" w:rsidR="00073992" w:rsidRDefault="00D24C10" w:rsidP="00073992">
      <w:pPr>
        <w:jc w:val="both"/>
      </w:pPr>
      <w:r>
        <w:t>Navigant</w:t>
      </w:r>
      <w:r w:rsidR="00961C46" w:rsidRPr="00AF21BE">
        <w:t xml:space="preserve"> calculated portfolio cost-effectiveness for measures under the equipment rebate programs for </w:t>
      </w:r>
      <w:r w:rsidR="00073992">
        <w:t>IOU and a few screening tests of interest to stakeholders</w:t>
      </w:r>
      <w:r w:rsidR="00961C46">
        <w:t xml:space="preserve"> under each scenario over time</w:t>
      </w:r>
      <w:r w:rsidR="00073992">
        <w:t xml:space="preserve">. </w:t>
      </w:r>
      <w:r w:rsidR="00961C46">
        <w:t xml:space="preserve">These results can be found in the “Cost-effectiveness” tab of the results viewer that accompanies this report. </w:t>
      </w:r>
    </w:p>
    <w:p w14:paraId="5AFB8821" w14:textId="77777777" w:rsidR="00073992" w:rsidRDefault="00073992" w:rsidP="00073992">
      <w:pPr>
        <w:jc w:val="both"/>
      </w:pPr>
    </w:p>
    <w:p w14:paraId="7EA24C7A" w14:textId="77777777" w:rsidR="00073992" w:rsidRDefault="00073992" w:rsidP="00073992">
      <w:pPr>
        <w:jc w:val="both"/>
      </w:pPr>
      <w:r>
        <w:t>Several caveats are noted on these results:</w:t>
      </w:r>
    </w:p>
    <w:p w14:paraId="335CD324" w14:textId="77777777" w:rsidR="00073992" w:rsidRDefault="00073992" w:rsidP="00073992">
      <w:pPr>
        <w:pStyle w:val="ListParagraph"/>
        <w:numPr>
          <w:ilvl w:val="0"/>
          <w:numId w:val="78"/>
        </w:numPr>
        <w:jc w:val="both"/>
      </w:pPr>
      <w:r>
        <w:lastRenderedPageBreak/>
        <w:t xml:space="preserve">These results account for benefits and costs from rebated measures that contribute to equipment savings but exclude Low Income, Codes and Standards Savings, and BROs. </w:t>
      </w:r>
    </w:p>
    <w:p w14:paraId="0B1CD86F" w14:textId="77777777" w:rsidR="00073992" w:rsidRDefault="00073992" w:rsidP="00073992">
      <w:pPr>
        <w:pStyle w:val="ListParagraph"/>
        <w:numPr>
          <w:ilvl w:val="0"/>
          <w:numId w:val="78"/>
        </w:numPr>
        <w:jc w:val="both"/>
      </w:pPr>
      <w:r>
        <w:t>Results exclude several cost categories that would typically be accounted for in a portfolio-level cost-effectiveness assessment (i.e. non-resource program costs)</w:t>
      </w:r>
    </w:p>
    <w:p w14:paraId="6CA7D152" w14:textId="77777777" w:rsidR="00073992" w:rsidRDefault="00073992" w:rsidP="00073992">
      <w:pPr>
        <w:pStyle w:val="ListParagraph"/>
        <w:numPr>
          <w:ilvl w:val="0"/>
          <w:numId w:val="78"/>
        </w:numPr>
        <w:jc w:val="both"/>
      </w:pPr>
      <w:r>
        <w:t xml:space="preserve">Program non-incentive costs are estimated based on past program years, these could vary in the future. </w:t>
      </w:r>
    </w:p>
    <w:p w14:paraId="7D161D10" w14:textId="77777777" w:rsidR="00073992" w:rsidRDefault="00073992" w:rsidP="00073992">
      <w:pPr>
        <w:jc w:val="both"/>
      </w:pPr>
    </w:p>
    <w:p w14:paraId="65390214" w14:textId="4F579F1C" w:rsidR="002422FF" w:rsidRDefault="00073992" w:rsidP="00AF21BE">
      <w:pPr>
        <w:jc w:val="both"/>
      </w:pPr>
      <w:r>
        <w:t xml:space="preserve">Based on these caveats, it is recommended that stakeholders pay attention to general trends rather than actual values in the results. </w:t>
      </w:r>
      <w:r w:rsidR="00D24C10">
        <w:t>As such, these costs are for reference purposes only and not to be used to determine budgets.</w:t>
      </w:r>
    </w:p>
    <w:p w14:paraId="5711A22A" w14:textId="77777777" w:rsidR="00C961E4" w:rsidRDefault="00C961E4" w:rsidP="00AF21BE">
      <w:pPr>
        <w:pStyle w:val="Heading3"/>
      </w:pPr>
      <w:bookmarkStart w:id="864" w:name="_Ref484595975"/>
      <w:bookmarkStart w:id="865" w:name="_Toc490225818"/>
      <w:r>
        <w:t>BROS Scenario Results</w:t>
      </w:r>
      <w:bookmarkEnd w:id="864"/>
      <w:bookmarkEnd w:id="865"/>
    </w:p>
    <w:p w14:paraId="5A870A7C" w14:textId="77777777" w:rsidR="00C961E4" w:rsidRDefault="00C961E4" w:rsidP="00C961E4">
      <w:r>
        <w:t>This section presents incremental savings and program spending on BROs interventions under the Reference and Aggressive scenarios. BROs savings do not vary by cost effectiveness screen in our model. Additional versions of graphs appearing in this section for each IOU and including peak demand savings can be found in the results viewer under the tabs “</w:t>
      </w:r>
      <w:r w:rsidRPr="00184B08">
        <w:t>Incremental Behavior</w:t>
      </w:r>
      <w:r>
        <w:t>” and “Behavior Spending”.</w:t>
      </w:r>
    </w:p>
    <w:p w14:paraId="09AA201A" w14:textId="77777777" w:rsidR="00C961E4" w:rsidRPr="000F51B9" w:rsidRDefault="00C961E4" w:rsidP="00C961E4"/>
    <w:p w14:paraId="5E9E2BE2" w14:textId="77777777" w:rsidR="00C961E4" w:rsidRDefault="00C961E4" w:rsidP="00C961E4">
      <w:r>
        <w:t xml:space="preserve">The </w:t>
      </w:r>
      <w:r w:rsidRPr="005260A8">
        <w:t xml:space="preserve">reference scenario is dominated by savings from residential home energy reports (HERs) as illustrated in </w:t>
      </w:r>
      <w:r w:rsidR="00DC41A2">
        <w:fldChar w:fldCharType="begin"/>
      </w:r>
      <w:r w:rsidR="00DC41A2">
        <w:instrText xml:space="preserve"> REF _Ref490216749 \h </w:instrText>
      </w:r>
      <w:r w:rsidR="00DC41A2">
        <w:fldChar w:fldCharType="separate"/>
      </w:r>
      <w:r w:rsidR="007566B9" w:rsidRPr="00A9675F">
        <w:t xml:space="preserve">Figure </w:t>
      </w:r>
      <w:r w:rsidR="007566B9">
        <w:rPr>
          <w:noProof/>
        </w:rPr>
        <w:t>4</w:t>
      </w:r>
      <w:r w:rsidR="007566B9">
        <w:noBreakHyphen/>
      </w:r>
      <w:r w:rsidR="007566B9">
        <w:rPr>
          <w:noProof/>
        </w:rPr>
        <w:t>61</w:t>
      </w:r>
      <w:r w:rsidR="00DC41A2">
        <w:fldChar w:fldCharType="end"/>
      </w:r>
      <w:r w:rsidR="00DC41A2">
        <w:t xml:space="preserve"> </w:t>
      </w:r>
      <w:r w:rsidRPr="005260A8">
        <w:t>and</w:t>
      </w:r>
      <w:r w:rsidR="00DC41A2">
        <w:t xml:space="preserve"> </w:t>
      </w:r>
      <w:r w:rsidR="00DC41A2">
        <w:fldChar w:fldCharType="begin"/>
      </w:r>
      <w:r w:rsidR="00DC41A2">
        <w:instrText xml:space="preserve"> REF _Ref490216766 \h </w:instrText>
      </w:r>
      <w:r w:rsidR="00DC41A2">
        <w:fldChar w:fldCharType="separate"/>
      </w:r>
      <w:r w:rsidR="007566B9">
        <w:t xml:space="preserve">Figure </w:t>
      </w:r>
      <w:r w:rsidR="007566B9">
        <w:rPr>
          <w:noProof/>
        </w:rPr>
        <w:t>4</w:t>
      </w:r>
      <w:r w:rsidR="007566B9">
        <w:noBreakHyphen/>
      </w:r>
      <w:r w:rsidR="007566B9">
        <w:rPr>
          <w:noProof/>
        </w:rPr>
        <w:t>62</w:t>
      </w:r>
      <w:r w:rsidR="00DC41A2">
        <w:fldChar w:fldCharType="end"/>
      </w:r>
      <w:r w:rsidRPr="005260A8">
        <w:t>. As such</w:t>
      </w:r>
      <w:r w:rsidR="00535FAC">
        <w:t>,</w:t>
      </w:r>
      <w:r w:rsidRPr="005260A8">
        <w:t xml:space="preserve"> program spending is also estimated to be dominated by HERs (</w:t>
      </w:r>
      <w:r w:rsidR="00DC41A2">
        <w:fldChar w:fldCharType="begin"/>
      </w:r>
      <w:r w:rsidR="00DC41A2">
        <w:instrText xml:space="preserve"> REF _Ref490216791 \h </w:instrText>
      </w:r>
      <w:r w:rsidR="00DC41A2">
        <w:fldChar w:fldCharType="separate"/>
      </w:r>
      <w:r w:rsidR="007566B9" w:rsidRPr="00A9675F">
        <w:t xml:space="preserve">Figure </w:t>
      </w:r>
      <w:r w:rsidR="007566B9">
        <w:rPr>
          <w:noProof/>
        </w:rPr>
        <w:t>4</w:t>
      </w:r>
      <w:r w:rsidR="007566B9">
        <w:noBreakHyphen/>
      </w:r>
      <w:r w:rsidR="007566B9">
        <w:rPr>
          <w:noProof/>
        </w:rPr>
        <w:t>63</w:t>
      </w:r>
      <w:r w:rsidR="00DC41A2">
        <w:fldChar w:fldCharType="end"/>
      </w:r>
      <w:r w:rsidRPr="005260A8">
        <w:t>). Additional high impact interventions after HERS include web-based real time feedback, strategic energy</w:t>
      </w:r>
      <w:r>
        <w:t xml:space="preserve"> management, retrocommissioning, and BEIMs. HERS dominates savings as it is one of the largest, </w:t>
      </w:r>
      <w:r w:rsidR="00C95B82">
        <w:t xml:space="preserve">and </w:t>
      </w:r>
      <w:r>
        <w:t>most well-studied</w:t>
      </w:r>
      <w:r w:rsidR="00C95B82">
        <w:t>,</w:t>
      </w:r>
      <w:r>
        <w:t xml:space="preserve"> existing interventions with reliable data upon which to base a forecast. Savings from all interventions increase over time as we expect enrollment to in programs to gradually increase. Additional details about penetration rates can be found in </w:t>
      </w:r>
      <w:r>
        <w:fldChar w:fldCharType="begin"/>
      </w:r>
      <w:r>
        <w:instrText xml:space="preserve"> REF _Ref484532064 \n \h  \* MERGEFORMAT </w:instrText>
      </w:r>
      <w:r>
        <w:fldChar w:fldCharType="separate"/>
      </w:r>
      <w:r w:rsidR="007566B9">
        <w:t>Appendix C</w:t>
      </w:r>
      <w:r>
        <w:fldChar w:fldCharType="end"/>
      </w:r>
      <w:r>
        <w:t>.</w:t>
      </w:r>
    </w:p>
    <w:p w14:paraId="75065DE8" w14:textId="77777777" w:rsidR="00C961E4" w:rsidRPr="00A9675F" w:rsidRDefault="00C961E4" w:rsidP="00C961E4"/>
    <w:p w14:paraId="104D8133" w14:textId="77777777" w:rsidR="00C961E4" w:rsidRPr="00A9675F" w:rsidRDefault="00C961E4" w:rsidP="00C961E4">
      <w:pPr>
        <w:pStyle w:val="Caption"/>
      </w:pPr>
      <w:bookmarkStart w:id="866" w:name="_Ref490216749"/>
      <w:bookmarkStart w:id="867" w:name="_Ref484531722"/>
      <w:bookmarkStart w:id="868" w:name="_Toc484437022"/>
      <w:bookmarkStart w:id="869" w:name="_Ref484531716"/>
      <w:bookmarkStart w:id="870" w:name="_Toc490491794"/>
      <w:r w:rsidRPr="00A9675F">
        <w:t xml:space="preserve">Figure </w:t>
      </w:r>
      <w:fldSimple w:instr=" STYLEREF 1 \s ">
        <w:r w:rsidR="007566B9">
          <w:rPr>
            <w:noProof/>
          </w:rPr>
          <w:t>4</w:t>
        </w:r>
      </w:fldSimple>
      <w:r w:rsidR="00CE124F">
        <w:noBreakHyphen/>
      </w:r>
      <w:fldSimple w:instr=" SEQ Figure \* ARABIC \s 1 ">
        <w:r w:rsidR="007566B9">
          <w:rPr>
            <w:noProof/>
          </w:rPr>
          <w:t>61</w:t>
        </w:r>
      </w:fldSimple>
      <w:bookmarkEnd w:id="866"/>
      <w:bookmarkEnd w:id="867"/>
      <w:r w:rsidRPr="00A9675F">
        <w:t>. BROs Electric Savings – Reference Scenario</w:t>
      </w:r>
      <w:bookmarkEnd w:id="868"/>
      <w:bookmarkEnd w:id="869"/>
      <w:bookmarkEnd w:id="870"/>
    </w:p>
    <w:p w14:paraId="08623502" w14:textId="77777777" w:rsidR="00C961E4" w:rsidRDefault="00CD22D4" w:rsidP="00AF21BE">
      <w:pPr>
        <w:jc w:val="center"/>
      </w:pPr>
      <w:r>
        <w:rPr>
          <w:noProof/>
        </w:rPr>
        <w:drawing>
          <wp:inline distT="0" distB="0" distL="0" distR="0" wp14:anchorId="6D85E134" wp14:editId="441D69F9">
            <wp:extent cx="5833213" cy="298418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35285" cy="2985249"/>
                    </a:xfrm>
                    <a:prstGeom prst="rect">
                      <a:avLst/>
                    </a:prstGeom>
                    <a:noFill/>
                  </pic:spPr>
                </pic:pic>
              </a:graphicData>
            </a:graphic>
          </wp:inline>
        </w:drawing>
      </w:r>
    </w:p>
    <w:p w14:paraId="3A983909" w14:textId="77777777" w:rsidR="00C961E4" w:rsidRDefault="00C961E4" w:rsidP="00C961E4"/>
    <w:p w14:paraId="7CD0E7A8" w14:textId="77777777" w:rsidR="00CE124F" w:rsidRDefault="00CE124F" w:rsidP="00C961E4">
      <w:pPr>
        <w:pStyle w:val="Caption"/>
      </w:pPr>
      <w:bookmarkStart w:id="871" w:name="_Ref484531723"/>
      <w:bookmarkStart w:id="872" w:name="_Toc484437023"/>
      <w:bookmarkStart w:id="873" w:name="_Ref484531719"/>
    </w:p>
    <w:p w14:paraId="75540C9E" w14:textId="77777777" w:rsidR="00CE124F" w:rsidRDefault="00CE124F">
      <w:pPr>
        <w:pStyle w:val="Caption"/>
      </w:pPr>
      <w:bookmarkStart w:id="874" w:name="_Ref490216766"/>
      <w:bookmarkStart w:id="875" w:name="_Toc490491795"/>
      <w:r>
        <w:t xml:space="preserve">Figure </w:t>
      </w:r>
      <w:fldSimple w:instr=" STYLEREF 1 \s ">
        <w:r w:rsidR="007566B9">
          <w:rPr>
            <w:noProof/>
          </w:rPr>
          <w:t>4</w:t>
        </w:r>
      </w:fldSimple>
      <w:r>
        <w:noBreakHyphen/>
      </w:r>
      <w:fldSimple w:instr=" SEQ Figure \* ARABIC \s 1 ">
        <w:r w:rsidR="007566B9">
          <w:rPr>
            <w:noProof/>
          </w:rPr>
          <w:t>62</w:t>
        </w:r>
      </w:fldSimple>
      <w:bookmarkEnd w:id="874"/>
      <w:r>
        <w:t xml:space="preserve">. </w:t>
      </w:r>
      <w:r w:rsidRPr="00A9675F">
        <w:t xml:space="preserve">BROs </w:t>
      </w:r>
      <w:r>
        <w:t>Gas</w:t>
      </w:r>
      <w:r w:rsidRPr="00A9675F">
        <w:t xml:space="preserve"> Savings – Reference Scenario</w:t>
      </w:r>
      <w:bookmarkEnd w:id="875"/>
    </w:p>
    <w:p w14:paraId="3474FB84" w14:textId="77777777" w:rsidR="00C961E4" w:rsidRDefault="00CD22D4" w:rsidP="00C961E4">
      <w:pPr>
        <w:pStyle w:val="Caption"/>
      </w:pPr>
      <w:r>
        <w:rPr>
          <w:noProof/>
        </w:rPr>
        <w:drawing>
          <wp:inline distT="0" distB="0" distL="0" distR="0" wp14:anchorId="37774675" wp14:editId="75D6B78A">
            <wp:extent cx="5814204" cy="29744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18516" cy="2976670"/>
                    </a:xfrm>
                    <a:prstGeom prst="rect">
                      <a:avLst/>
                    </a:prstGeom>
                    <a:noFill/>
                  </pic:spPr>
                </pic:pic>
              </a:graphicData>
            </a:graphic>
          </wp:inline>
        </w:drawing>
      </w:r>
    </w:p>
    <w:bookmarkEnd w:id="871"/>
    <w:bookmarkEnd w:id="872"/>
    <w:bookmarkEnd w:id="873"/>
    <w:p w14:paraId="06E1C302" w14:textId="77777777" w:rsidR="00C961E4" w:rsidRDefault="00C961E4" w:rsidP="00AF21BE">
      <w:pPr>
        <w:jc w:val="center"/>
      </w:pPr>
    </w:p>
    <w:p w14:paraId="1E02E537" w14:textId="77777777" w:rsidR="00C961E4" w:rsidRDefault="00C961E4" w:rsidP="00C961E4"/>
    <w:p w14:paraId="70203F60" w14:textId="77777777" w:rsidR="00C961E4" w:rsidRDefault="00C961E4" w:rsidP="00C961E4"/>
    <w:p w14:paraId="202C4242" w14:textId="77777777" w:rsidR="00C961E4" w:rsidRDefault="00C961E4" w:rsidP="00C961E4">
      <w:pPr>
        <w:pStyle w:val="Caption"/>
      </w:pPr>
      <w:bookmarkStart w:id="876" w:name="_Ref490216791"/>
      <w:bookmarkStart w:id="877" w:name="_Ref484531814"/>
      <w:bookmarkStart w:id="878" w:name="_Toc484437024"/>
      <w:bookmarkStart w:id="879" w:name="_Toc490491796"/>
      <w:r w:rsidRPr="00A9675F">
        <w:t xml:space="preserve">Figure </w:t>
      </w:r>
      <w:fldSimple w:instr=" STYLEREF 1 \s ">
        <w:r w:rsidR="007566B9">
          <w:rPr>
            <w:noProof/>
          </w:rPr>
          <w:t>4</w:t>
        </w:r>
      </w:fldSimple>
      <w:r w:rsidR="00CE124F">
        <w:noBreakHyphen/>
      </w:r>
      <w:fldSimple w:instr=" SEQ Figure \* ARABIC \s 1 ">
        <w:r w:rsidR="007566B9">
          <w:rPr>
            <w:noProof/>
          </w:rPr>
          <w:t>63</w:t>
        </w:r>
      </w:fldSimple>
      <w:bookmarkEnd w:id="876"/>
      <w:bookmarkEnd w:id="877"/>
      <w:r w:rsidRPr="00A9675F">
        <w:t>. BROs Program Spending – Reference Scenario</w:t>
      </w:r>
      <w:bookmarkEnd w:id="878"/>
      <w:bookmarkEnd w:id="879"/>
    </w:p>
    <w:p w14:paraId="5CF6A588" w14:textId="77777777" w:rsidR="00C961E4" w:rsidRDefault="0075014E" w:rsidP="00AF21BE">
      <w:pPr>
        <w:jc w:val="center"/>
      </w:pPr>
      <w:r>
        <w:rPr>
          <w:noProof/>
        </w:rPr>
        <w:drawing>
          <wp:inline distT="0" distB="0" distL="0" distR="0" wp14:anchorId="494C1C72" wp14:editId="07EC303D">
            <wp:extent cx="5920403" cy="2837540"/>
            <wp:effectExtent l="0" t="0" r="444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24155" cy="2839338"/>
                    </a:xfrm>
                    <a:prstGeom prst="rect">
                      <a:avLst/>
                    </a:prstGeom>
                    <a:noFill/>
                  </pic:spPr>
                </pic:pic>
              </a:graphicData>
            </a:graphic>
          </wp:inline>
        </w:drawing>
      </w:r>
    </w:p>
    <w:p w14:paraId="7D393E26" w14:textId="77777777" w:rsidR="00C961E4" w:rsidRDefault="00C961E4" w:rsidP="00C961E4"/>
    <w:p w14:paraId="18123FA7" w14:textId="77777777" w:rsidR="00C961E4" w:rsidRDefault="00C961E4" w:rsidP="00C961E4">
      <w:r>
        <w:t>The aggressive scenario still shows a large portion o</w:t>
      </w:r>
      <w:r w:rsidR="003A446E">
        <w:t>f</w:t>
      </w:r>
      <w:r>
        <w:t xml:space="preserve"> savings originating from HERs (</w:t>
      </w:r>
      <w:r w:rsidR="00DC41A2">
        <w:fldChar w:fldCharType="begin"/>
      </w:r>
      <w:r w:rsidR="00DC41A2">
        <w:instrText xml:space="preserve"> REF _Ref490216929 \h </w:instrText>
      </w:r>
      <w:r w:rsidR="00DC41A2">
        <w:fldChar w:fldCharType="separate"/>
      </w:r>
      <w:r w:rsidR="007566B9" w:rsidRPr="00442652">
        <w:t xml:space="preserve">Figure </w:t>
      </w:r>
      <w:r w:rsidR="007566B9">
        <w:rPr>
          <w:noProof/>
        </w:rPr>
        <w:t>4</w:t>
      </w:r>
      <w:r w:rsidR="007566B9">
        <w:noBreakHyphen/>
      </w:r>
      <w:r w:rsidR="007566B9">
        <w:rPr>
          <w:noProof/>
        </w:rPr>
        <w:t>64</w:t>
      </w:r>
      <w:r w:rsidR="00DC41A2">
        <w:fldChar w:fldCharType="end"/>
      </w:r>
      <w:r w:rsidR="00DC41A2">
        <w:t xml:space="preserve"> </w:t>
      </w:r>
      <w:r>
        <w:t>and</w:t>
      </w:r>
      <w:r w:rsidR="00DC41A2">
        <w:t xml:space="preserve"> </w:t>
      </w:r>
      <w:r w:rsidR="00DC41A2">
        <w:fldChar w:fldCharType="begin"/>
      </w:r>
      <w:r w:rsidR="00DC41A2">
        <w:instrText xml:space="preserve"> REF _Ref490216943 \h </w:instrText>
      </w:r>
      <w:r w:rsidR="00DC41A2">
        <w:fldChar w:fldCharType="separate"/>
      </w:r>
      <w:r w:rsidR="007566B9">
        <w:t xml:space="preserve">Figure </w:t>
      </w:r>
      <w:r w:rsidR="007566B9">
        <w:rPr>
          <w:noProof/>
        </w:rPr>
        <w:t>4</w:t>
      </w:r>
      <w:r w:rsidR="007566B9">
        <w:noBreakHyphen/>
      </w:r>
      <w:r w:rsidR="007566B9">
        <w:rPr>
          <w:noProof/>
        </w:rPr>
        <w:t>65</w:t>
      </w:r>
      <w:r w:rsidR="00DC41A2">
        <w:fldChar w:fldCharType="end"/>
      </w:r>
      <w:r w:rsidR="003A446E">
        <w:t>)</w:t>
      </w:r>
      <w:r>
        <w:t xml:space="preserve">. However, web-based real time feedback, strategic energy management, </w:t>
      </w:r>
      <w:r>
        <w:lastRenderedPageBreak/>
        <w:t xml:space="preserve">retrocommissioning, building benchmarking, and BEIMs combined offer more electric savings than HERs in this scenario.  The aggressive scenario </w:t>
      </w:r>
      <w:r w:rsidRPr="00442652">
        <w:t xml:space="preserve">contains savings from in home displays and building benchmarking while the Reference scenario left these out. </w:t>
      </w:r>
      <w:r w:rsidR="00F714D3">
        <w:t>Savings and spending (</w:t>
      </w:r>
      <w:r w:rsidR="00F714D3">
        <w:fldChar w:fldCharType="begin"/>
      </w:r>
      <w:r w:rsidR="00F714D3">
        <w:instrText xml:space="preserve"> REF _Ref490216968 \h </w:instrText>
      </w:r>
      <w:r w:rsidR="00F714D3">
        <w:fldChar w:fldCharType="separate"/>
      </w:r>
      <w:r w:rsidR="00F714D3" w:rsidRPr="00442652">
        <w:t xml:space="preserve">Figure </w:t>
      </w:r>
      <w:r w:rsidR="00F714D3">
        <w:rPr>
          <w:noProof/>
        </w:rPr>
        <w:t>4</w:t>
      </w:r>
      <w:r w:rsidR="00F714D3">
        <w:noBreakHyphen/>
      </w:r>
      <w:r w:rsidR="00F714D3">
        <w:rPr>
          <w:noProof/>
        </w:rPr>
        <w:t>66</w:t>
      </w:r>
      <w:r w:rsidR="00F714D3">
        <w:fldChar w:fldCharType="end"/>
      </w:r>
      <w:r w:rsidR="00F714D3">
        <w:t>)</w:t>
      </w:r>
      <w:r>
        <w:t xml:space="preserve"> in the aggressive scenario is just short of a doubling of the reference scenario. </w:t>
      </w:r>
    </w:p>
    <w:p w14:paraId="0F20A949" w14:textId="77777777" w:rsidR="00C961E4" w:rsidRPr="00442652" w:rsidRDefault="00C961E4" w:rsidP="00C961E4"/>
    <w:p w14:paraId="730B1129" w14:textId="77777777" w:rsidR="00C961E4" w:rsidRPr="00442652" w:rsidRDefault="00C961E4" w:rsidP="00C961E4">
      <w:pPr>
        <w:pStyle w:val="Caption"/>
      </w:pPr>
      <w:bookmarkStart w:id="880" w:name="_Ref490216929"/>
      <w:bookmarkStart w:id="881" w:name="_Ref484532356"/>
      <w:bookmarkStart w:id="882" w:name="_Toc484437025"/>
      <w:bookmarkStart w:id="883" w:name="_Toc490491797"/>
      <w:r w:rsidRPr="00442652">
        <w:t xml:space="preserve">Figure </w:t>
      </w:r>
      <w:fldSimple w:instr=" STYLEREF 1 \s ">
        <w:r w:rsidR="007566B9">
          <w:rPr>
            <w:noProof/>
          </w:rPr>
          <w:t>4</w:t>
        </w:r>
      </w:fldSimple>
      <w:r w:rsidR="00CE124F">
        <w:noBreakHyphen/>
      </w:r>
      <w:fldSimple w:instr=" SEQ Figure \* ARABIC \s 1 ">
        <w:r w:rsidR="007566B9">
          <w:rPr>
            <w:noProof/>
          </w:rPr>
          <w:t>64</w:t>
        </w:r>
      </w:fldSimple>
      <w:bookmarkEnd w:id="880"/>
      <w:bookmarkEnd w:id="881"/>
      <w:r w:rsidRPr="00442652">
        <w:t>. BROs Electric Savings – Aggressive Scenario</w:t>
      </w:r>
      <w:bookmarkEnd w:id="882"/>
      <w:bookmarkEnd w:id="883"/>
    </w:p>
    <w:p w14:paraId="0A9E4237" w14:textId="77777777" w:rsidR="00C961E4" w:rsidRPr="00442652" w:rsidRDefault="00C961E4" w:rsidP="00C961E4"/>
    <w:p w14:paraId="745EF63E" w14:textId="77777777" w:rsidR="00C961E4" w:rsidRPr="00442652" w:rsidRDefault="00D3685B" w:rsidP="00AF21BE">
      <w:pPr>
        <w:jc w:val="center"/>
      </w:pPr>
      <w:r>
        <w:rPr>
          <w:noProof/>
        </w:rPr>
        <w:drawing>
          <wp:inline distT="0" distB="0" distL="0" distR="0" wp14:anchorId="0B033A14" wp14:editId="15D7C14C">
            <wp:extent cx="5840083" cy="2987703"/>
            <wp:effectExtent l="0" t="0" r="889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43042" cy="2989217"/>
                    </a:xfrm>
                    <a:prstGeom prst="rect">
                      <a:avLst/>
                    </a:prstGeom>
                    <a:noFill/>
                  </pic:spPr>
                </pic:pic>
              </a:graphicData>
            </a:graphic>
          </wp:inline>
        </w:drawing>
      </w:r>
    </w:p>
    <w:p w14:paraId="7A19A68D" w14:textId="77777777" w:rsidR="00C961E4" w:rsidRPr="00442652" w:rsidRDefault="00C961E4" w:rsidP="00C961E4"/>
    <w:p w14:paraId="45175D24" w14:textId="77777777" w:rsidR="00CE124F" w:rsidRDefault="00CE124F">
      <w:pPr>
        <w:pStyle w:val="Caption"/>
      </w:pPr>
      <w:bookmarkStart w:id="884" w:name="_Ref490216943"/>
      <w:bookmarkStart w:id="885" w:name="_Toc490491798"/>
      <w:r>
        <w:t xml:space="preserve">Figure </w:t>
      </w:r>
      <w:fldSimple w:instr=" STYLEREF 1 \s ">
        <w:r w:rsidR="007566B9">
          <w:rPr>
            <w:noProof/>
          </w:rPr>
          <w:t>4</w:t>
        </w:r>
      </w:fldSimple>
      <w:r>
        <w:noBreakHyphen/>
      </w:r>
      <w:fldSimple w:instr=" SEQ Figure \* ARABIC \s 1 ">
        <w:r w:rsidR="007566B9">
          <w:rPr>
            <w:noProof/>
          </w:rPr>
          <w:t>65</w:t>
        </w:r>
      </w:fldSimple>
      <w:bookmarkEnd w:id="884"/>
      <w:r>
        <w:t xml:space="preserve">. </w:t>
      </w:r>
      <w:r w:rsidRPr="00442652">
        <w:t>BROs Gas Savings – Aggressive Scenario</w:t>
      </w:r>
      <w:bookmarkEnd w:id="885"/>
    </w:p>
    <w:p w14:paraId="2C5D19E7" w14:textId="77777777" w:rsidR="00C961E4" w:rsidRPr="00442652" w:rsidRDefault="004E2A0F" w:rsidP="00AF21BE">
      <w:pPr>
        <w:jc w:val="center"/>
      </w:pPr>
      <w:r>
        <w:rPr>
          <w:noProof/>
        </w:rPr>
        <w:drawing>
          <wp:inline distT="0" distB="0" distL="0" distR="0" wp14:anchorId="111F44A6" wp14:editId="77994514">
            <wp:extent cx="5788325" cy="2961225"/>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89560" cy="2961857"/>
                    </a:xfrm>
                    <a:prstGeom prst="rect">
                      <a:avLst/>
                    </a:prstGeom>
                    <a:noFill/>
                  </pic:spPr>
                </pic:pic>
              </a:graphicData>
            </a:graphic>
          </wp:inline>
        </w:drawing>
      </w:r>
    </w:p>
    <w:p w14:paraId="0AB77502" w14:textId="77777777" w:rsidR="00C961E4" w:rsidRPr="00442652" w:rsidRDefault="00C961E4" w:rsidP="00C961E4"/>
    <w:p w14:paraId="3B108925" w14:textId="77777777" w:rsidR="00C961E4" w:rsidRPr="00442652" w:rsidRDefault="00C961E4" w:rsidP="00C961E4"/>
    <w:p w14:paraId="046A2BDC" w14:textId="77777777" w:rsidR="00C961E4" w:rsidRPr="00442652" w:rsidRDefault="00C961E4" w:rsidP="00C961E4">
      <w:pPr>
        <w:pStyle w:val="Caption"/>
      </w:pPr>
      <w:bookmarkStart w:id="886" w:name="_Ref490216968"/>
      <w:bookmarkStart w:id="887" w:name="_Ref490138341"/>
      <w:bookmarkStart w:id="888" w:name="_Toc484437027"/>
      <w:bookmarkStart w:id="889" w:name="_Toc490491799"/>
      <w:r w:rsidRPr="00442652">
        <w:t xml:space="preserve">Figure </w:t>
      </w:r>
      <w:fldSimple w:instr=" STYLEREF 1 \s ">
        <w:r w:rsidR="007566B9">
          <w:rPr>
            <w:noProof/>
          </w:rPr>
          <w:t>4</w:t>
        </w:r>
      </w:fldSimple>
      <w:r w:rsidR="00CE124F">
        <w:noBreakHyphen/>
      </w:r>
      <w:fldSimple w:instr=" SEQ Figure \* ARABIC \s 1 ">
        <w:r w:rsidR="007566B9">
          <w:rPr>
            <w:noProof/>
          </w:rPr>
          <w:t>66</w:t>
        </w:r>
      </w:fldSimple>
      <w:bookmarkEnd w:id="886"/>
      <w:bookmarkEnd w:id="887"/>
      <w:r w:rsidRPr="00442652">
        <w:t>. BROs Program Spending – Aggressive Scenario</w:t>
      </w:r>
      <w:bookmarkEnd w:id="888"/>
      <w:bookmarkEnd w:id="889"/>
    </w:p>
    <w:p w14:paraId="78213B1C" w14:textId="77777777" w:rsidR="00C961E4" w:rsidRDefault="004E2A0F" w:rsidP="00AF21BE">
      <w:pPr>
        <w:jc w:val="center"/>
      </w:pPr>
      <w:r>
        <w:rPr>
          <w:noProof/>
        </w:rPr>
        <w:drawing>
          <wp:inline distT="0" distB="0" distL="0" distR="0" wp14:anchorId="4DFC19FC" wp14:editId="5B7DACFD">
            <wp:extent cx="5822830" cy="2790775"/>
            <wp:effectExtent l="0" t="0" r="698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825307" cy="2791962"/>
                    </a:xfrm>
                    <a:prstGeom prst="rect">
                      <a:avLst/>
                    </a:prstGeom>
                    <a:noFill/>
                  </pic:spPr>
                </pic:pic>
              </a:graphicData>
            </a:graphic>
          </wp:inline>
        </w:drawing>
      </w:r>
    </w:p>
    <w:p w14:paraId="2DE5971C" w14:textId="77777777" w:rsidR="00184B08" w:rsidRDefault="00184B08" w:rsidP="007D477B">
      <w:pPr>
        <w:jc w:val="both"/>
      </w:pPr>
    </w:p>
    <w:p w14:paraId="5BE2E36A" w14:textId="77777777" w:rsidR="000F51B9" w:rsidRDefault="000F51B9" w:rsidP="00AF21BE">
      <w:pPr>
        <w:pStyle w:val="Heading2"/>
      </w:pPr>
      <w:bookmarkStart w:id="890" w:name="_Toc484092512"/>
      <w:bookmarkStart w:id="891" w:name="_Toc484172718"/>
      <w:bookmarkStart w:id="892" w:name="_Toc484183054"/>
      <w:bookmarkStart w:id="893" w:name="_Ref484547969"/>
      <w:bookmarkStart w:id="894" w:name="_Ref485126446"/>
      <w:bookmarkStart w:id="895" w:name="_Toc490225819"/>
      <w:r>
        <w:t>C&amp;S Savings</w:t>
      </w:r>
      <w:bookmarkEnd w:id="890"/>
      <w:bookmarkEnd w:id="891"/>
      <w:bookmarkEnd w:id="892"/>
      <w:bookmarkEnd w:id="893"/>
      <w:bookmarkEnd w:id="894"/>
      <w:bookmarkEnd w:id="895"/>
    </w:p>
    <w:p w14:paraId="2A3B35F9" w14:textId="77777777" w:rsidR="00276B63" w:rsidRDefault="00642996" w:rsidP="0009749A">
      <w:pPr>
        <w:pStyle w:val="CommentText"/>
      </w:pPr>
      <w:bookmarkStart w:id="896" w:name="_Toc484092513"/>
      <w:r>
        <w:t xml:space="preserve">Incremental annual savings from C&amp;S are illustrated in </w:t>
      </w:r>
      <w:r>
        <w:fldChar w:fldCharType="begin"/>
      </w:r>
      <w:r>
        <w:instrText xml:space="preserve"> REF _Ref484524272 \h </w:instrText>
      </w:r>
      <w:r>
        <w:fldChar w:fldCharType="separate"/>
      </w:r>
      <w:r w:rsidR="007566B9" w:rsidRPr="0019767D">
        <w:t xml:space="preserve">Figure </w:t>
      </w:r>
      <w:r w:rsidR="007566B9">
        <w:rPr>
          <w:noProof/>
        </w:rPr>
        <w:t>4</w:t>
      </w:r>
      <w:r w:rsidR="007566B9">
        <w:noBreakHyphen/>
      </w:r>
      <w:r w:rsidR="007566B9">
        <w:rPr>
          <w:noProof/>
        </w:rPr>
        <w:t>67</w:t>
      </w:r>
      <w:r>
        <w:fldChar w:fldCharType="end"/>
      </w:r>
      <w:r>
        <w:t xml:space="preserve"> and </w:t>
      </w:r>
      <w:r>
        <w:fldChar w:fldCharType="begin"/>
      </w:r>
      <w:r>
        <w:instrText xml:space="preserve"> REF _Ref484524274 \h </w:instrText>
      </w:r>
      <w:r>
        <w:fldChar w:fldCharType="separate"/>
      </w:r>
      <w:r w:rsidR="007566B9" w:rsidRPr="00642996">
        <w:t xml:space="preserve">Figure </w:t>
      </w:r>
      <w:r w:rsidR="007566B9">
        <w:rPr>
          <w:noProof/>
        </w:rPr>
        <w:t>4</w:t>
      </w:r>
      <w:r w:rsidR="007566B9">
        <w:noBreakHyphen/>
      </w:r>
      <w:r w:rsidR="007566B9">
        <w:rPr>
          <w:noProof/>
        </w:rPr>
        <w:t>68</w:t>
      </w:r>
      <w:r>
        <w:fldChar w:fldCharType="end"/>
      </w:r>
      <w:r>
        <w:t xml:space="preserve">. Savings from C&amp;S are significantly higher than those estimated in </w:t>
      </w:r>
      <w:r w:rsidR="00276B63">
        <w:t>the 2015 PG study. The primary reason for increased savings are due to:</w:t>
      </w:r>
    </w:p>
    <w:p w14:paraId="3C924A7A" w14:textId="77777777" w:rsidR="00276B63" w:rsidRDefault="00276B63" w:rsidP="004E4E36">
      <w:pPr>
        <w:pStyle w:val="CommentText"/>
        <w:numPr>
          <w:ilvl w:val="0"/>
          <w:numId w:val="72"/>
        </w:numPr>
      </w:pPr>
      <w:r>
        <w:t>Evaluated 2013 T24 savings are higher than those unevaluated savings estimated in the 2015 study</w:t>
      </w:r>
    </w:p>
    <w:p w14:paraId="53400CED" w14:textId="77777777" w:rsidR="00276B63" w:rsidRDefault="00276B63" w:rsidP="004E4E36">
      <w:pPr>
        <w:pStyle w:val="CommentText"/>
        <w:numPr>
          <w:ilvl w:val="0"/>
          <w:numId w:val="72"/>
        </w:numPr>
      </w:pPr>
      <w:r>
        <w:t>IOU claims for 2016 Title 24 are higher than those savings estimated in the 2015 study</w:t>
      </w:r>
    </w:p>
    <w:p w14:paraId="5B3CBB6F" w14:textId="77777777" w:rsidR="0009749A" w:rsidRDefault="00276B63" w:rsidP="004E4E36">
      <w:pPr>
        <w:pStyle w:val="CommentText"/>
        <w:numPr>
          <w:ilvl w:val="0"/>
          <w:numId w:val="72"/>
        </w:numPr>
      </w:pPr>
      <w:r>
        <w:t>Inclusion of estimates for 2019 T24 in the 2018 study; these were not previously included in the mid case of the 2015 PG study</w:t>
      </w:r>
    </w:p>
    <w:p w14:paraId="43EF7B46" w14:textId="77777777" w:rsidR="00276B63" w:rsidRDefault="00276B63" w:rsidP="004E4E36">
      <w:pPr>
        <w:pStyle w:val="CommentText"/>
        <w:numPr>
          <w:ilvl w:val="0"/>
          <w:numId w:val="72"/>
        </w:numPr>
      </w:pPr>
      <w:r>
        <w:t>Additional/updated federal standards claimed by the IOUs not</w:t>
      </w:r>
      <w:r w:rsidR="00560958">
        <w:t xml:space="preserve"> included in the 2015 study</w:t>
      </w:r>
    </w:p>
    <w:p w14:paraId="55590020" w14:textId="77777777" w:rsidR="0009749A" w:rsidRDefault="0009749A" w:rsidP="0009749A">
      <w:pPr>
        <w:pStyle w:val="CommentText"/>
      </w:pPr>
    </w:p>
    <w:p w14:paraId="5266A158" w14:textId="77777777" w:rsidR="0009749A" w:rsidRDefault="00276B63" w:rsidP="00184B08">
      <w:r>
        <w:t xml:space="preserve">The team performed a high-level review of the </w:t>
      </w:r>
      <w:r w:rsidR="0009749A">
        <w:t xml:space="preserve">estimates the IOU provided </w:t>
      </w:r>
      <w:r>
        <w:t>in their claims. Navigant removed savings claims related to LED voluntary quality standards from the CEC</w:t>
      </w:r>
      <w:r w:rsidR="00560958">
        <w:t xml:space="preserve"> for two reasons: 1) i</w:t>
      </w:r>
      <w:r w:rsidR="008A754B">
        <w:t>t’s</w:t>
      </w:r>
      <w:r>
        <w:t xml:space="preserve"> uncertain how much savings a voluntary standard would generate</w:t>
      </w:r>
      <w:r w:rsidR="00560958">
        <w:t>, and 2) savings from 2018 T20 general service lamp standards were included in the model by Navigant</w:t>
      </w:r>
      <w:r>
        <w:t xml:space="preserve">. Furthermore, we note that some C&amp;S </w:t>
      </w:r>
      <w:r w:rsidR="0009749A">
        <w:t>are not ‘</w:t>
      </w:r>
      <w:r w:rsidR="0062682D">
        <w:t>o</w:t>
      </w:r>
      <w:r w:rsidR="0009749A">
        <w:t xml:space="preserve">n the books’ are </w:t>
      </w:r>
      <w:r>
        <w:t xml:space="preserve">inherently </w:t>
      </w:r>
      <w:r w:rsidR="0009749A">
        <w:t>uncertain</w:t>
      </w:r>
      <w:r>
        <w:t xml:space="preserve">. C&amp;S savings estimates </w:t>
      </w:r>
      <w:r w:rsidR="0009749A">
        <w:t xml:space="preserve">represent the best estimate </w:t>
      </w:r>
      <w:r>
        <w:t xml:space="preserve">based on available data. </w:t>
      </w:r>
    </w:p>
    <w:p w14:paraId="46487F04" w14:textId="77777777" w:rsidR="006A74FB" w:rsidRDefault="006A74FB" w:rsidP="00276B63">
      <w:pPr>
        <w:pStyle w:val="CommentText"/>
      </w:pPr>
    </w:p>
    <w:p w14:paraId="663D9252" w14:textId="77777777" w:rsidR="006A74FB" w:rsidRDefault="0019767D" w:rsidP="00184B08">
      <w:r>
        <w:t xml:space="preserve">Several notable trends can be observed in the results. </w:t>
      </w:r>
      <w:r w:rsidR="006A74FB">
        <w:t xml:space="preserve">Increases in whole building savings in 2020 and 2021 are attributed to the estimated impacts of 2019 T24 building codes we estimate to come into effect mid-2020. </w:t>
      </w:r>
      <w:r>
        <w:t xml:space="preserve">The increase in HVAC savings in 2023 is from the Federal </w:t>
      </w:r>
      <w:r w:rsidRPr="0019767D">
        <w:t>Air-Cooled Commercial Package ACs and HPs</w:t>
      </w:r>
      <w:r>
        <w:t xml:space="preserve"> standards (data provided by IOU claims). Incremental savings seems to decrease in the outer years as the market impacted by a code or standard has completely turned over and savings from the retrofit market are no longer counted. </w:t>
      </w:r>
    </w:p>
    <w:p w14:paraId="632333C5" w14:textId="77777777" w:rsidR="005D0599" w:rsidRDefault="005D0599" w:rsidP="0009749A">
      <w:pPr>
        <w:pStyle w:val="CommentText"/>
      </w:pPr>
    </w:p>
    <w:p w14:paraId="5886008E" w14:textId="77777777" w:rsidR="005D0599" w:rsidRPr="00642996" w:rsidRDefault="005D0599" w:rsidP="00642996">
      <w:pPr>
        <w:pStyle w:val="Caption"/>
      </w:pPr>
      <w:bookmarkStart w:id="897" w:name="_Ref484524272"/>
      <w:bookmarkStart w:id="898" w:name="_Toc484437020"/>
      <w:bookmarkStart w:id="899" w:name="_Toc490491800"/>
      <w:r w:rsidRPr="0019767D">
        <w:lastRenderedPageBreak/>
        <w:t xml:space="preserve">Figure </w:t>
      </w:r>
      <w:fldSimple w:instr=" STYLEREF 1 \s ">
        <w:r w:rsidR="007566B9">
          <w:rPr>
            <w:noProof/>
          </w:rPr>
          <w:t>4</w:t>
        </w:r>
      </w:fldSimple>
      <w:r w:rsidR="00CE124F">
        <w:noBreakHyphen/>
      </w:r>
      <w:fldSimple w:instr=" SEQ Figure \* ARABIC \s 1 ">
        <w:r w:rsidR="007566B9">
          <w:rPr>
            <w:noProof/>
          </w:rPr>
          <w:t>67</w:t>
        </w:r>
      </w:fldSimple>
      <w:bookmarkEnd w:id="897"/>
      <w:r w:rsidRPr="0019767D">
        <w:t>. C&amp;S Electric Savings (Including Interactive Effects)</w:t>
      </w:r>
      <w:bookmarkEnd w:id="898"/>
      <w:bookmarkEnd w:id="899"/>
      <w:r w:rsidRPr="0019767D">
        <w:t xml:space="preserve"> </w:t>
      </w:r>
    </w:p>
    <w:p w14:paraId="27D02852" w14:textId="77777777" w:rsidR="005D0599" w:rsidRDefault="005D0599" w:rsidP="0009749A">
      <w:pPr>
        <w:pStyle w:val="CommentText"/>
      </w:pPr>
    </w:p>
    <w:p w14:paraId="77A7985E" w14:textId="77777777" w:rsidR="005D0599" w:rsidRDefault="005D0599" w:rsidP="0009749A">
      <w:pPr>
        <w:pStyle w:val="CommentText"/>
      </w:pPr>
    </w:p>
    <w:p w14:paraId="738D5265" w14:textId="77777777" w:rsidR="00351D05" w:rsidRDefault="00351D05" w:rsidP="0009749A">
      <w:pPr>
        <w:pStyle w:val="CommentText"/>
      </w:pPr>
      <w:r>
        <w:rPr>
          <w:noProof/>
        </w:rPr>
        <w:drawing>
          <wp:inline distT="0" distB="0" distL="0" distR="0" wp14:anchorId="7F625AF2" wp14:editId="7B47EB79">
            <wp:extent cx="5791200" cy="2262041"/>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808070" cy="2268630"/>
                    </a:xfrm>
                    <a:prstGeom prst="rect">
                      <a:avLst/>
                    </a:prstGeom>
                    <a:noFill/>
                  </pic:spPr>
                </pic:pic>
              </a:graphicData>
            </a:graphic>
          </wp:inline>
        </w:drawing>
      </w:r>
    </w:p>
    <w:p w14:paraId="0F9EDD76" w14:textId="77777777" w:rsidR="005D0599" w:rsidRDefault="005D0599" w:rsidP="0009749A">
      <w:pPr>
        <w:pStyle w:val="CommentText"/>
      </w:pPr>
    </w:p>
    <w:p w14:paraId="5CA2B994" w14:textId="77777777" w:rsidR="005D0599" w:rsidRDefault="005D0599" w:rsidP="005D0599">
      <w:pPr>
        <w:keepNext/>
        <w:jc w:val="center"/>
        <w:rPr>
          <w:b/>
          <w:bCs/>
          <w:color w:val="3F4042"/>
          <w:szCs w:val="20"/>
        </w:rPr>
      </w:pPr>
    </w:p>
    <w:p w14:paraId="69B64811" w14:textId="77777777" w:rsidR="005D0599" w:rsidRDefault="005D0599" w:rsidP="00642996">
      <w:pPr>
        <w:pStyle w:val="Caption"/>
      </w:pPr>
      <w:bookmarkStart w:id="900" w:name="_Ref484524274"/>
      <w:bookmarkStart w:id="901" w:name="_Toc484437021"/>
      <w:bookmarkStart w:id="902" w:name="_Toc490491801"/>
      <w:r w:rsidRPr="00642996">
        <w:t xml:space="preserve">Figure </w:t>
      </w:r>
      <w:fldSimple w:instr=" STYLEREF 1 \s ">
        <w:r w:rsidR="007566B9">
          <w:rPr>
            <w:noProof/>
          </w:rPr>
          <w:t>4</w:t>
        </w:r>
      </w:fldSimple>
      <w:r w:rsidR="00CE124F">
        <w:noBreakHyphen/>
      </w:r>
      <w:fldSimple w:instr=" SEQ Figure \* ARABIC \s 1 ">
        <w:r w:rsidR="007566B9">
          <w:rPr>
            <w:noProof/>
          </w:rPr>
          <w:t>68</w:t>
        </w:r>
      </w:fldSimple>
      <w:bookmarkEnd w:id="900"/>
      <w:r w:rsidRPr="00642996">
        <w:t>. C&amp;S Gas Savings (Including Interactive Effects)</w:t>
      </w:r>
      <w:bookmarkEnd w:id="901"/>
      <w:bookmarkEnd w:id="902"/>
      <w:r w:rsidRPr="00642996">
        <w:t xml:space="preserve"> </w:t>
      </w:r>
    </w:p>
    <w:p w14:paraId="10F7A432" w14:textId="77777777" w:rsidR="005D0599" w:rsidRDefault="005D0599" w:rsidP="0009749A">
      <w:pPr>
        <w:pStyle w:val="CommentText"/>
      </w:pPr>
    </w:p>
    <w:p w14:paraId="0762DAD9" w14:textId="77777777" w:rsidR="0009749A" w:rsidRDefault="00F43017" w:rsidP="000F51B9">
      <w:r>
        <w:rPr>
          <w:noProof/>
        </w:rPr>
        <w:drawing>
          <wp:inline distT="0" distB="0" distL="0" distR="0" wp14:anchorId="11218103" wp14:editId="4D5F13E6">
            <wp:extent cx="5880100" cy="2296766"/>
            <wp:effectExtent l="0" t="0" r="635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892487" cy="2301604"/>
                    </a:xfrm>
                    <a:prstGeom prst="rect">
                      <a:avLst/>
                    </a:prstGeom>
                    <a:noFill/>
                  </pic:spPr>
                </pic:pic>
              </a:graphicData>
            </a:graphic>
          </wp:inline>
        </w:drawing>
      </w:r>
    </w:p>
    <w:p w14:paraId="767271A6" w14:textId="77777777" w:rsidR="00184B08" w:rsidRDefault="00184B08" w:rsidP="000F51B9"/>
    <w:p w14:paraId="1F7EDDB3" w14:textId="77777777" w:rsidR="00184B08" w:rsidRPr="000F51B9" w:rsidRDefault="00184B08" w:rsidP="000F51B9">
      <w:r>
        <w:t xml:space="preserve">Additional versions of </w:t>
      </w:r>
      <w:r>
        <w:fldChar w:fldCharType="begin"/>
      </w:r>
      <w:r>
        <w:instrText xml:space="preserve"> REF _Ref484524272 \h </w:instrText>
      </w:r>
      <w:r>
        <w:fldChar w:fldCharType="separate"/>
      </w:r>
      <w:r w:rsidR="007566B9" w:rsidRPr="0019767D">
        <w:t xml:space="preserve">Figure </w:t>
      </w:r>
      <w:r w:rsidR="007566B9">
        <w:rPr>
          <w:noProof/>
        </w:rPr>
        <w:t>4</w:t>
      </w:r>
      <w:r w:rsidR="007566B9">
        <w:noBreakHyphen/>
      </w:r>
      <w:r w:rsidR="007566B9">
        <w:rPr>
          <w:noProof/>
        </w:rPr>
        <w:t>67</w:t>
      </w:r>
      <w:r>
        <w:fldChar w:fldCharType="end"/>
      </w:r>
      <w:r>
        <w:t xml:space="preserve"> and </w:t>
      </w:r>
      <w:r>
        <w:fldChar w:fldCharType="begin"/>
      </w:r>
      <w:r>
        <w:instrText xml:space="preserve"> REF _Ref484524274 \h </w:instrText>
      </w:r>
      <w:r>
        <w:fldChar w:fldCharType="separate"/>
      </w:r>
      <w:r w:rsidR="007566B9" w:rsidRPr="00642996">
        <w:t xml:space="preserve">Figure </w:t>
      </w:r>
      <w:r w:rsidR="007566B9">
        <w:rPr>
          <w:noProof/>
        </w:rPr>
        <w:t>4</w:t>
      </w:r>
      <w:r w:rsidR="007566B9">
        <w:noBreakHyphen/>
      </w:r>
      <w:r w:rsidR="007566B9">
        <w:rPr>
          <w:noProof/>
        </w:rPr>
        <w:t>68</w:t>
      </w:r>
      <w:r>
        <w:fldChar w:fldCharType="end"/>
      </w:r>
      <w:r>
        <w:t xml:space="preserve"> for each IOU and including peak demand savings can be found in the results viewer under the tab “</w:t>
      </w:r>
      <w:r w:rsidRPr="00184B08">
        <w:t>Codes &amp; Standards</w:t>
      </w:r>
      <w:r>
        <w:t>”</w:t>
      </w:r>
    </w:p>
    <w:p w14:paraId="610BE12F" w14:textId="77777777" w:rsidR="00E97BD7" w:rsidRDefault="00E97BD7" w:rsidP="00E97BD7">
      <w:pPr>
        <w:pStyle w:val="Heading2"/>
      </w:pPr>
      <w:bookmarkStart w:id="903" w:name="_Toc478990530"/>
      <w:bookmarkStart w:id="904" w:name="_Toc479768608"/>
      <w:bookmarkStart w:id="905" w:name="_Toc482357332"/>
      <w:bookmarkStart w:id="906" w:name="_Toc482634307"/>
      <w:bookmarkStart w:id="907" w:name="_Toc482626439"/>
      <w:bookmarkStart w:id="908" w:name="_Toc484092514"/>
      <w:bookmarkStart w:id="909" w:name="_Toc484172720"/>
      <w:bookmarkStart w:id="910" w:name="_Toc484183056"/>
      <w:bookmarkStart w:id="911" w:name="_Ref484547410"/>
      <w:bookmarkStart w:id="912" w:name="_Ref484764555"/>
      <w:bookmarkStart w:id="913" w:name="_Toc490225820"/>
      <w:bookmarkEnd w:id="896"/>
      <w:r>
        <w:t>Detailed Study Results</w:t>
      </w:r>
      <w:bookmarkEnd w:id="903"/>
      <w:bookmarkEnd w:id="904"/>
      <w:bookmarkEnd w:id="905"/>
      <w:bookmarkEnd w:id="906"/>
      <w:bookmarkEnd w:id="907"/>
      <w:bookmarkEnd w:id="908"/>
      <w:bookmarkEnd w:id="909"/>
      <w:bookmarkEnd w:id="910"/>
      <w:bookmarkEnd w:id="911"/>
      <w:bookmarkEnd w:id="912"/>
      <w:bookmarkEnd w:id="913"/>
    </w:p>
    <w:p w14:paraId="1FCABB04" w14:textId="4D4803D0" w:rsidR="00CE648C" w:rsidRDefault="00E97BD7" w:rsidP="00E97BD7">
      <w:r w:rsidRPr="00074DC1">
        <w:t>Along with the model file and the summary results shown above, the team developed a downloadable excel tool, the 201</w:t>
      </w:r>
      <w:r w:rsidR="008B4CCB" w:rsidRPr="00074DC1">
        <w:t>8</w:t>
      </w:r>
      <w:r w:rsidRPr="00074DC1">
        <w:t xml:space="preserve"> PG Results Viewer. The Results Viewer provides stakeholders the ability to manipulate and visualize model outputs</w:t>
      </w:r>
      <w:r w:rsidR="00131F07">
        <w:t xml:space="preserve">. </w:t>
      </w:r>
      <w:r>
        <w:t xml:space="preserve"> </w:t>
      </w:r>
      <w:r w:rsidR="00CE648C">
        <w:t xml:space="preserve">The viewer contains multiple tabs (listed and described in </w:t>
      </w:r>
      <w:r w:rsidR="00FA33C3">
        <w:fldChar w:fldCharType="begin"/>
      </w:r>
      <w:r w:rsidR="00FA33C3">
        <w:instrText xml:space="preserve"> REF _Ref490229132 \h </w:instrText>
      </w:r>
      <w:r w:rsidR="00FA33C3">
        <w:fldChar w:fldCharType="separate"/>
      </w:r>
      <w:r w:rsidR="00761D20">
        <w:t xml:space="preserve">Table </w:t>
      </w:r>
      <w:r w:rsidR="00761D20">
        <w:rPr>
          <w:noProof/>
        </w:rPr>
        <w:t>4</w:t>
      </w:r>
      <w:r w:rsidR="00761D20">
        <w:noBreakHyphen/>
      </w:r>
      <w:r w:rsidR="00761D20">
        <w:rPr>
          <w:noProof/>
        </w:rPr>
        <w:t>4</w:t>
      </w:r>
      <w:r w:rsidR="00FA33C3">
        <w:fldChar w:fldCharType="end"/>
      </w:r>
      <w:r w:rsidR="00FA33C3">
        <w:t xml:space="preserve">) </w:t>
      </w:r>
      <w:r w:rsidR="00CE648C">
        <w:t xml:space="preserve">some provide high level results, others provide end use level results, and other provided detailed raw output. </w:t>
      </w:r>
      <w:r w:rsidR="00067CCB">
        <w:t xml:space="preserve">The results viewer provides “measure level” results from C&amp;S, Low Income, and BROs. A separate database of measure level results for rebate programs is also made available with this release. </w:t>
      </w:r>
    </w:p>
    <w:p w14:paraId="3F75545B" w14:textId="77777777" w:rsidR="00CE648C" w:rsidRDefault="00CE648C" w:rsidP="00E97BD7"/>
    <w:p w14:paraId="133200FA" w14:textId="527BA2B2" w:rsidR="00CE648C" w:rsidRDefault="00CE648C" w:rsidP="00CE648C">
      <w:pPr>
        <w:pStyle w:val="Caption"/>
      </w:pPr>
      <w:bookmarkStart w:id="914" w:name="_Ref484765397"/>
      <w:bookmarkStart w:id="915" w:name="_Ref490229132"/>
      <w:bookmarkStart w:id="916" w:name="_Toc490560694"/>
      <w:r>
        <w:t xml:space="preserve">Table </w:t>
      </w:r>
      <w:fldSimple w:instr=" STYLEREF 1 \s ">
        <w:r w:rsidR="00761D20">
          <w:rPr>
            <w:noProof/>
          </w:rPr>
          <w:t>4</w:t>
        </w:r>
      </w:fldSimple>
      <w:r>
        <w:noBreakHyphen/>
      </w:r>
      <w:bookmarkEnd w:id="914"/>
      <w:r w:rsidR="00B206D8">
        <w:fldChar w:fldCharType="begin"/>
      </w:r>
      <w:r w:rsidR="00B206D8">
        <w:instrText xml:space="preserve"> SEQ Table \* ARABIC \s 1 </w:instrText>
      </w:r>
      <w:r w:rsidR="00B206D8">
        <w:fldChar w:fldCharType="separate"/>
      </w:r>
      <w:r w:rsidR="00761D20">
        <w:rPr>
          <w:noProof/>
        </w:rPr>
        <w:t>4</w:t>
      </w:r>
      <w:r w:rsidR="00B206D8">
        <w:rPr>
          <w:noProof/>
        </w:rPr>
        <w:fldChar w:fldCharType="end"/>
      </w:r>
      <w:bookmarkEnd w:id="915"/>
      <w:r>
        <w:t>. Results Viewer Tabs</w:t>
      </w:r>
      <w:bookmarkEnd w:id="916"/>
    </w:p>
    <w:tbl>
      <w:tblPr>
        <w:tblStyle w:val="EnergyTable1"/>
        <w:tblW w:w="9000" w:type="dxa"/>
        <w:tblLook w:val="04A0" w:firstRow="1" w:lastRow="0" w:firstColumn="1" w:lastColumn="0" w:noHBand="0" w:noVBand="1"/>
      </w:tblPr>
      <w:tblGrid>
        <w:gridCol w:w="1706"/>
        <w:gridCol w:w="7294"/>
      </w:tblGrid>
      <w:tr w:rsidR="00CA3AED" w:rsidRPr="00CA3AED" w14:paraId="0D645440" w14:textId="77777777" w:rsidTr="00CA3AE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06" w:type="dxa"/>
            <w:noWrap/>
          </w:tcPr>
          <w:p w14:paraId="1EE69251" w14:textId="437843A4" w:rsidR="00CA3AED" w:rsidRPr="00CA3AED" w:rsidRDefault="00CA3AED" w:rsidP="00CA3AED">
            <w:pPr>
              <w:spacing w:line="240" w:lineRule="auto"/>
              <w:rPr>
                <w:sz w:val="16"/>
              </w:rPr>
            </w:pPr>
            <w:r w:rsidRPr="00CE648C">
              <w:rPr>
                <w:rFonts w:ascii="Arial Narrow" w:hAnsi="Arial Narrow" w:cs="Calibri"/>
                <w:bCs/>
                <w:iCs/>
                <w:color w:val="FFFFFF" w:themeColor="background1"/>
                <w:sz w:val="18"/>
                <w:szCs w:val="18"/>
              </w:rPr>
              <w:t>Tab</w:t>
            </w:r>
          </w:p>
        </w:tc>
        <w:tc>
          <w:tcPr>
            <w:tcW w:w="7294" w:type="dxa"/>
          </w:tcPr>
          <w:p w14:paraId="0E87DE35" w14:textId="77C7B9C6" w:rsidR="00CA3AED" w:rsidRPr="00CA3AED" w:rsidRDefault="00CA3AED" w:rsidP="00CA3AED">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6"/>
                <w:szCs w:val="22"/>
              </w:rPr>
            </w:pPr>
            <w:r w:rsidRPr="00CE648C">
              <w:rPr>
                <w:rFonts w:ascii="Arial Narrow" w:hAnsi="Arial Narrow" w:cs="Calibri"/>
                <w:color w:val="FFFFFF" w:themeColor="background1"/>
                <w:sz w:val="18"/>
                <w:szCs w:val="18"/>
              </w:rPr>
              <w:t>Description</w:t>
            </w:r>
          </w:p>
        </w:tc>
      </w:tr>
      <w:tr w:rsidR="00CA3AED" w:rsidRPr="00CA3AED" w14:paraId="2E1907B8" w14:textId="77777777" w:rsidTr="00CA3A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68D5928" w14:textId="613DF05D" w:rsidR="00CA3AED" w:rsidRPr="00CA3AED" w:rsidRDefault="00260768">
            <w:pPr>
              <w:spacing w:line="240" w:lineRule="auto"/>
              <w:rPr>
                <w:rFonts w:ascii="Arial Narrow" w:hAnsi="Arial Narrow" w:cs="Calibri"/>
                <w:bCs/>
                <w:iCs/>
                <w:sz w:val="18"/>
                <w:szCs w:val="18"/>
              </w:rPr>
            </w:pPr>
            <w:hyperlink r:id="rId127" w:anchor="RANGE!A1" w:history="1">
              <w:r w:rsidR="00CA3AED" w:rsidRPr="00CA3AED">
                <w:rPr>
                  <w:rFonts w:ascii="Arial Narrow" w:hAnsi="Arial Narrow" w:cs="Calibri"/>
                  <w:bCs/>
                  <w:iCs/>
                  <w:sz w:val="18"/>
                  <w:szCs w:val="18"/>
                </w:rPr>
                <w:t>Data Key and Definitions</w:t>
              </w:r>
            </w:hyperlink>
          </w:p>
        </w:tc>
        <w:tc>
          <w:tcPr>
            <w:tcW w:w="7294" w:type="dxa"/>
            <w:hideMark/>
          </w:tcPr>
          <w:p w14:paraId="47A207FB" w14:textId="77777777" w:rsidR="00CA3AED" w:rsidRPr="00CA3AED" w:rsidRDefault="00CA3AED" w:rsidP="00CA3AE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A brief description of key data fields and definitions of terms used in this tool</w:t>
            </w:r>
          </w:p>
        </w:tc>
      </w:tr>
      <w:tr w:rsidR="00CA3AED" w:rsidRPr="00CA3AED" w14:paraId="33D8C521" w14:textId="77777777" w:rsidTr="00CA3A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149E807" w14:textId="77777777" w:rsidR="00CA3AED" w:rsidRPr="00CA3AED" w:rsidRDefault="00260768" w:rsidP="00CA3AED">
            <w:pPr>
              <w:spacing w:line="240" w:lineRule="auto"/>
              <w:rPr>
                <w:rFonts w:ascii="Arial Narrow" w:hAnsi="Arial Narrow" w:cs="Calibri"/>
                <w:bCs/>
                <w:iCs/>
                <w:sz w:val="18"/>
                <w:szCs w:val="18"/>
              </w:rPr>
            </w:pPr>
            <w:hyperlink r:id="rId128" w:anchor="'Total Incr Potential'!A1" w:history="1">
              <w:r w:rsidR="00CA3AED" w:rsidRPr="00CA3AED">
                <w:rPr>
                  <w:rFonts w:ascii="Arial Narrow" w:hAnsi="Arial Narrow" w:cs="Calibri"/>
                  <w:bCs/>
                  <w:iCs/>
                  <w:sz w:val="18"/>
                  <w:szCs w:val="18"/>
                </w:rPr>
                <w:t>Total Incr Potential</w:t>
              </w:r>
            </w:hyperlink>
          </w:p>
        </w:tc>
        <w:tc>
          <w:tcPr>
            <w:tcW w:w="7294" w:type="dxa"/>
            <w:hideMark/>
          </w:tcPr>
          <w:p w14:paraId="5B570146" w14:textId="77777777" w:rsidR="00CA3AED" w:rsidRPr="00CA3AED" w:rsidRDefault="00CA3AED" w:rsidP="00CA3A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Stacks up the Incremental Market Potential data by sector for all programs</w:t>
            </w:r>
          </w:p>
        </w:tc>
      </w:tr>
      <w:tr w:rsidR="00CA3AED" w:rsidRPr="00CA3AED" w14:paraId="5D302692" w14:textId="77777777" w:rsidTr="00CA3A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E0F4FA4" w14:textId="77777777" w:rsidR="00CA3AED" w:rsidRPr="00CA3AED" w:rsidRDefault="00260768" w:rsidP="00CA3AED">
            <w:pPr>
              <w:spacing w:line="240" w:lineRule="auto"/>
              <w:rPr>
                <w:rFonts w:ascii="Arial Narrow" w:hAnsi="Arial Narrow" w:cs="Calibri"/>
                <w:bCs/>
                <w:iCs/>
                <w:sz w:val="18"/>
                <w:szCs w:val="18"/>
              </w:rPr>
            </w:pPr>
            <w:hyperlink r:id="rId129" w:anchor="'Total Incr Gross Potential'!A1" w:history="1">
              <w:r w:rsidR="00CA3AED" w:rsidRPr="00CA3AED">
                <w:rPr>
                  <w:rFonts w:ascii="Arial Narrow" w:hAnsi="Arial Narrow" w:cs="Calibri"/>
                  <w:bCs/>
                  <w:iCs/>
                  <w:sz w:val="18"/>
                  <w:szCs w:val="18"/>
                </w:rPr>
                <w:t>Total Incr Gross Potential</w:t>
              </w:r>
            </w:hyperlink>
          </w:p>
        </w:tc>
        <w:tc>
          <w:tcPr>
            <w:tcW w:w="7294" w:type="dxa"/>
            <w:hideMark/>
          </w:tcPr>
          <w:p w14:paraId="4C6F1973" w14:textId="77777777" w:rsidR="00CA3AED" w:rsidRPr="00CA3AED" w:rsidRDefault="00CA3AED" w:rsidP="00CA3AE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Stacks up the Incremental Gross Market Potential data by sector for all programs</w:t>
            </w:r>
          </w:p>
        </w:tc>
      </w:tr>
      <w:tr w:rsidR="00CA3AED" w:rsidRPr="00CA3AED" w14:paraId="0DAE8F34" w14:textId="77777777" w:rsidTr="00CA3A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B44880E" w14:textId="77777777" w:rsidR="00CA3AED" w:rsidRPr="00CA3AED" w:rsidRDefault="00260768" w:rsidP="00CA3AED">
            <w:pPr>
              <w:spacing w:line="240" w:lineRule="auto"/>
              <w:rPr>
                <w:rFonts w:ascii="Arial Narrow" w:hAnsi="Arial Narrow" w:cs="Calibri"/>
                <w:bCs/>
                <w:iCs/>
                <w:sz w:val="18"/>
                <w:szCs w:val="18"/>
              </w:rPr>
            </w:pPr>
            <w:hyperlink r:id="rId130" w:anchor="'Total Cumul Potential'!A1" w:history="1">
              <w:r w:rsidR="00CA3AED" w:rsidRPr="00CA3AED">
                <w:rPr>
                  <w:rFonts w:ascii="Arial Narrow" w:hAnsi="Arial Narrow" w:cs="Calibri"/>
                  <w:bCs/>
                  <w:iCs/>
                  <w:sz w:val="18"/>
                  <w:szCs w:val="18"/>
                </w:rPr>
                <w:t>Total Cumul Potential</w:t>
              </w:r>
            </w:hyperlink>
          </w:p>
        </w:tc>
        <w:tc>
          <w:tcPr>
            <w:tcW w:w="7294" w:type="dxa"/>
            <w:noWrap/>
            <w:hideMark/>
          </w:tcPr>
          <w:p w14:paraId="2F2452D6" w14:textId="77777777" w:rsidR="00CA3AED" w:rsidRPr="00CA3AED" w:rsidRDefault="00CA3AED" w:rsidP="00CA3A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Stacks up the Cumulative Market Potential data by sector for all programs</w:t>
            </w:r>
          </w:p>
        </w:tc>
      </w:tr>
      <w:tr w:rsidR="00CA3AED" w:rsidRPr="00CA3AED" w14:paraId="25D6C018" w14:textId="77777777" w:rsidTr="00CA3A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7CB882E5" w14:textId="77777777" w:rsidR="00CA3AED" w:rsidRPr="00CA3AED" w:rsidRDefault="00260768" w:rsidP="00CA3AED">
            <w:pPr>
              <w:spacing w:line="240" w:lineRule="auto"/>
              <w:rPr>
                <w:rFonts w:ascii="Arial Narrow" w:hAnsi="Arial Narrow" w:cs="Calibri"/>
                <w:bCs/>
                <w:iCs/>
                <w:sz w:val="18"/>
                <w:szCs w:val="18"/>
              </w:rPr>
            </w:pPr>
            <w:hyperlink r:id="rId131" w:anchor="'Total Spending'!A1" w:history="1">
              <w:r w:rsidR="00CA3AED" w:rsidRPr="00CA3AED">
                <w:rPr>
                  <w:rFonts w:ascii="Arial Narrow" w:hAnsi="Arial Narrow" w:cs="Calibri"/>
                  <w:bCs/>
                  <w:iCs/>
                  <w:sz w:val="18"/>
                  <w:szCs w:val="18"/>
                </w:rPr>
                <w:t>Total Spending</w:t>
              </w:r>
            </w:hyperlink>
          </w:p>
        </w:tc>
        <w:tc>
          <w:tcPr>
            <w:tcW w:w="7294" w:type="dxa"/>
            <w:hideMark/>
          </w:tcPr>
          <w:p w14:paraId="4D82968F" w14:textId="77777777" w:rsidR="00CA3AED" w:rsidRPr="00CA3AED" w:rsidRDefault="00CA3AED" w:rsidP="00CA3AE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Stacks up the Incremental Spending data by sector for all programs</w:t>
            </w:r>
          </w:p>
        </w:tc>
      </w:tr>
      <w:tr w:rsidR="00CA3AED" w:rsidRPr="00CA3AED" w14:paraId="60BB1922" w14:textId="77777777" w:rsidTr="00CA3AED">
        <w:trPr>
          <w:cnfStyle w:val="000000010000" w:firstRow="0" w:lastRow="0" w:firstColumn="0" w:lastColumn="0" w:oddVBand="0" w:evenVBand="0" w:oddHBand="0" w:evenHBand="1"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A9431E2" w14:textId="77777777" w:rsidR="00CA3AED" w:rsidRPr="00CA3AED" w:rsidRDefault="00260768" w:rsidP="00CA3AED">
            <w:pPr>
              <w:spacing w:line="240" w:lineRule="auto"/>
              <w:rPr>
                <w:rFonts w:ascii="Arial Narrow" w:hAnsi="Arial Narrow" w:cs="Calibri"/>
                <w:bCs/>
                <w:iCs/>
                <w:sz w:val="18"/>
                <w:szCs w:val="18"/>
              </w:rPr>
            </w:pPr>
            <w:hyperlink r:id="rId132" w:anchor="'Scenario Pivot - Incremental'!A1" w:history="1">
              <w:r w:rsidR="00CA3AED" w:rsidRPr="00CA3AED">
                <w:rPr>
                  <w:rFonts w:ascii="Arial Narrow" w:hAnsi="Arial Narrow" w:cs="Calibri"/>
                  <w:bCs/>
                  <w:iCs/>
                  <w:sz w:val="18"/>
                  <w:szCs w:val="18"/>
                </w:rPr>
                <w:t>Scenario Pivot - Incremental</w:t>
              </w:r>
            </w:hyperlink>
          </w:p>
        </w:tc>
        <w:tc>
          <w:tcPr>
            <w:tcW w:w="7294" w:type="dxa"/>
            <w:hideMark/>
          </w:tcPr>
          <w:p w14:paraId="624A8AC9" w14:textId="77777777" w:rsidR="00CA3AED" w:rsidRPr="00CA3AED" w:rsidRDefault="00CA3AED" w:rsidP="00CA3A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Provides Incremental Market Potential data for all programs by Scenario. It also allows the user to manipulate the data based on their needs through filters such as Service Territory, Building Type, Sector etc.</w:t>
            </w:r>
          </w:p>
        </w:tc>
      </w:tr>
      <w:tr w:rsidR="00CA3AED" w:rsidRPr="00CA3AED" w14:paraId="0E496D3D" w14:textId="77777777" w:rsidTr="00CA3A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4C01E92" w14:textId="77777777" w:rsidR="00CA3AED" w:rsidRPr="00CA3AED" w:rsidRDefault="00260768" w:rsidP="00CA3AED">
            <w:pPr>
              <w:spacing w:line="240" w:lineRule="auto"/>
              <w:rPr>
                <w:rFonts w:ascii="Arial Narrow" w:hAnsi="Arial Narrow" w:cs="Calibri"/>
                <w:bCs/>
                <w:iCs/>
                <w:sz w:val="18"/>
                <w:szCs w:val="18"/>
              </w:rPr>
            </w:pPr>
            <w:hyperlink r:id="rId133" w:anchor="'Scenario Pivot - Increm % '!A1" w:history="1">
              <w:r w:rsidR="00CA3AED" w:rsidRPr="00CA3AED">
                <w:rPr>
                  <w:rFonts w:ascii="Arial Narrow" w:hAnsi="Arial Narrow" w:cs="Calibri"/>
                  <w:bCs/>
                  <w:iCs/>
                  <w:sz w:val="18"/>
                  <w:szCs w:val="18"/>
                </w:rPr>
                <w:t xml:space="preserve">Scenario Pivot - Increm % </w:t>
              </w:r>
            </w:hyperlink>
          </w:p>
        </w:tc>
        <w:tc>
          <w:tcPr>
            <w:tcW w:w="7294" w:type="dxa"/>
            <w:hideMark/>
          </w:tcPr>
          <w:p w14:paraId="59618C1F" w14:textId="77777777" w:rsidR="00CA3AED" w:rsidRPr="00CA3AED" w:rsidRDefault="00CA3AED" w:rsidP="00CA3AE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Provides Incremental Market Potential as a percent of sales for all programs by Scenario. It also allows the user to manipulate the data based on their needs through filters such as Service Territory, Building Type, Sector etc.</w:t>
            </w:r>
          </w:p>
        </w:tc>
      </w:tr>
      <w:tr w:rsidR="00CA3AED" w:rsidRPr="00CA3AED" w14:paraId="595A242D" w14:textId="77777777" w:rsidTr="00CA3AED">
        <w:trPr>
          <w:cnfStyle w:val="000000010000" w:firstRow="0" w:lastRow="0" w:firstColumn="0" w:lastColumn="0" w:oddVBand="0" w:evenVBand="0" w:oddHBand="0" w:evenHBand="1"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1F066D2" w14:textId="77777777" w:rsidR="00CA3AED" w:rsidRPr="00CA3AED" w:rsidRDefault="00260768" w:rsidP="00CA3AED">
            <w:pPr>
              <w:spacing w:line="240" w:lineRule="auto"/>
              <w:rPr>
                <w:rFonts w:ascii="Arial Narrow" w:hAnsi="Arial Narrow" w:cs="Calibri"/>
                <w:bCs/>
                <w:iCs/>
                <w:sz w:val="18"/>
                <w:szCs w:val="18"/>
              </w:rPr>
            </w:pPr>
            <w:hyperlink r:id="rId134" w:anchor="'Scenario Pivot - Cumulative'!A1" w:history="1">
              <w:r w:rsidR="00CA3AED" w:rsidRPr="00CA3AED">
                <w:rPr>
                  <w:rFonts w:ascii="Arial Narrow" w:hAnsi="Arial Narrow" w:cs="Calibri"/>
                  <w:bCs/>
                  <w:iCs/>
                  <w:sz w:val="18"/>
                  <w:szCs w:val="18"/>
                </w:rPr>
                <w:t>Scenario Pivot - Cumulative</w:t>
              </w:r>
            </w:hyperlink>
          </w:p>
        </w:tc>
        <w:tc>
          <w:tcPr>
            <w:tcW w:w="7294" w:type="dxa"/>
            <w:hideMark/>
          </w:tcPr>
          <w:p w14:paraId="6EA55FD3" w14:textId="77777777" w:rsidR="00CA3AED" w:rsidRPr="00CA3AED" w:rsidRDefault="00CA3AED" w:rsidP="00CA3A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Provides Cumulative Market Potential data for all programs by Scenario. It also allows the user to manipulate the data based on their needs through filters such as Service Territory, Building Type, Sector etc.</w:t>
            </w:r>
          </w:p>
        </w:tc>
      </w:tr>
      <w:tr w:rsidR="00CA3AED" w:rsidRPr="00CA3AED" w14:paraId="6DAE8718" w14:textId="77777777" w:rsidTr="00CA3AED">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706" w:type="dxa"/>
            <w:noWrap/>
            <w:hideMark/>
          </w:tcPr>
          <w:p w14:paraId="722ABC5E" w14:textId="77777777" w:rsidR="00CA3AED" w:rsidRPr="00CA3AED" w:rsidRDefault="00260768" w:rsidP="00CA3AED">
            <w:pPr>
              <w:spacing w:line="240" w:lineRule="auto"/>
              <w:rPr>
                <w:rFonts w:ascii="Arial Narrow" w:hAnsi="Arial Narrow" w:cs="Calibri"/>
                <w:bCs/>
                <w:iCs/>
                <w:sz w:val="18"/>
                <w:szCs w:val="18"/>
              </w:rPr>
            </w:pPr>
            <w:hyperlink r:id="rId135" w:anchor="'Scenario Pivot - Spending'!A1" w:history="1">
              <w:r w:rsidR="00CA3AED" w:rsidRPr="00CA3AED">
                <w:rPr>
                  <w:rFonts w:ascii="Arial Narrow" w:hAnsi="Arial Narrow" w:cs="Calibri"/>
                  <w:bCs/>
                  <w:iCs/>
                  <w:sz w:val="18"/>
                  <w:szCs w:val="18"/>
                </w:rPr>
                <w:t>Scenario Pivot - Spending</w:t>
              </w:r>
            </w:hyperlink>
          </w:p>
        </w:tc>
        <w:tc>
          <w:tcPr>
            <w:tcW w:w="7294" w:type="dxa"/>
            <w:hideMark/>
          </w:tcPr>
          <w:p w14:paraId="6C89632C" w14:textId="77777777" w:rsidR="00CA3AED" w:rsidRPr="00CA3AED" w:rsidRDefault="00CA3AED" w:rsidP="00CA3AE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Provides Incremental Spending data by for all programs by Scenario. It also allows the user to manipulate the data based on their needs through filters such as Service Territory, Building Type, Sector etc.</w:t>
            </w:r>
          </w:p>
        </w:tc>
      </w:tr>
      <w:tr w:rsidR="00CA3AED" w:rsidRPr="00CA3AED" w14:paraId="291AFB67" w14:textId="77777777" w:rsidTr="00CA3A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5B818426" w14:textId="77777777" w:rsidR="00CA3AED" w:rsidRPr="00CA3AED" w:rsidRDefault="00260768" w:rsidP="00CA3AED">
            <w:pPr>
              <w:spacing w:line="240" w:lineRule="auto"/>
              <w:rPr>
                <w:rFonts w:ascii="Arial Narrow" w:hAnsi="Arial Narrow" w:cs="Calibri"/>
                <w:bCs/>
                <w:iCs/>
                <w:sz w:val="18"/>
                <w:szCs w:val="18"/>
              </w:rPr>
            </w:pPr>
            <w:hyperlink r:id="rId136" w:anchor="'Tech, Econ and Market Potential'!A1" w:history="1">
              <w:r w:rsidR="00CA3AED" w:rsidRPr="00CA3AED">
                <w:rPr>
                  <w:rFonts w:ascii="Arial Narrow" w:hAnsi="Arial Narrow" w:cs="Calibri"/>
                  <w:bCs/>
                  <w:iCs/>
                  <w:sz w:val="18"/>
                  <w:szCs w:val="18"/>
                </w:rPr>
                <w:t>Tech, Econ and Market Potential</w:t>
              </w:r>
            </w:hyperlink>
          </w:p>
        </w:tc>
        <w:tc>
          <w:tcPr>
            <w:tcW w:w="7294" w:type="dxa"/>
            <w:hideMark/>
          </w:tcPr>
          <w:p w14:paraId="12B79D52" w14:textId="77777777" w:rsidR="00CA3AED" w:rsidRPr="00CA3AED" w:rsidRDefault="00CA3AED" w:rsidP="00CA3A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Statewide technical, economic and market potential for 2018 and beyond in GWh, MW and MMTherms by scenario for equipment rebate programs.</w:t>
            </w:r>
          </w:p>
        </w:tc>
      </w:tr>
      <w:tr w:rsidR="00CA3AED" w:rsidRPr="00CA3AED" w14:paraId="3C6C0D87" w14:textId="77777777" w:rsidTr="00CA3AED">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B2B6321" w14:textId="77777777" w:rsidR="00CA3AED" w:rsidRPr="00CA3AED" w:rsidRDefault="00260768" w:rsidP="00CA3AED">
            <w:pPr>
              <w:spacing w:line="240" w:lineRule="auto"/>
              <w:rPr>
                <w:rFonts w:ascii="Arial Narrow" w:hAnsi="Arial Narrow" w:cs="Calibri"/>
                <w:bCs/>
                <w:iCs/>
                <w:sz w:val="18"/>
                <w:szCs w:val="18"/>
              </w:rPr>
            </w:pPr>
            <w:hyperlink r:id="rId137" w:anchor="'Use Category - Inc Rebate Net'!A1" w:history="1">
              <w:r w:rsidR="00CA3AED" w:rsidRPr="00CA3AED">
                <w:rPr>
                  <w:rFonts w:ascii="Arial Narrow" w:hAnsi="Arial Narrow" w:cs="Calibri"/>
                  <w:bCs/>
                  <w:iCs/>
                  <w:sz w:val="18"/>
                  <w:szCs w:val="18"/>
                </w:rPr>
                <w:t>Use Category - Inc Rebate Net</w:t>
              </w:r>
            </w:hyperlink>
          </w:p>
        </w:tc>
        <w:tc>
          <w:tcPr>
            <w:tcW w:w="7294" w:type="dxa"/>
            <w:hideMark/>
          </w:tcPr>
          <w:p w14:paraId="1A86B21F" w14:textId="77777777" w:rsidR="00CA3AED" w:rsidRPr="00CA3AED" w:rsidRDefault="00CA3AED" w:rsidP="00CA3AE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Visualize the Incremental Net Market Potential data by End Use Categories for equipment rebate programs. It also allows the user to manipulate the data based on their needs through filters such as Service Territory, Building Type, Sector etc.</w:t>
            </w:r>
          </w:p>
        </w:tc>
      </w:tr>
      <w:tr w:rsidR="00CA3AED" w:rsidRPr="00CA3AED" w14:paraId="5F210E7D" w14:textId="77777777" w:rsidTr="00CA3AED">
        <w:trPr>
          <w:cnfStyle w:val="000000010000" w:firstRow="0" w:lastRow="0" w:firstColumn="0" w:lastColumn="0" w:oddVBand="0" w:evenVBand="0" w:oddHBand="0" w:evenHBand="1"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84FCBB6" w14:textId="77777777" w:rsidR="00CA3AED" w:rsidRPr="00CA3AED" w:rsidRDefault="00260768" w:rsidP="00CA3AED">
            <w:pPr>
              <w:spacing w:line="240" w:lineRule="auto"/>
              <w:rPr>
                <w:rFonts w:ascii="Arial Narrow" w:hAnsi="Arial Narrow" w:cs="Calibri"/>
                <w:bCs/>
                <w:iCs/>
                <w:sz w:val="18"/>
                <w:szCs w:val="18"/>
              </w:rPr>
            </w:pPr>
            <w:hyperlink r:id="rId138" w:anchor="'Use Category - Inc Stranded Net'!A1" w:history="1">
              <w:r w:rsidR="00CA3AED" w:rsidRPr="00CA3AED">
                <w:rPr>
                  <w:rFonts w:ascii="Arial Narrow" w:hAnsi="Arial Narrow" w:cs="Calibri"/>
                  <w:bCs/>
                  <w:iCs/>
                  <w:sz w:val="18"/>
                  <w:szCs w:val="18"/>
                </w:rPr>
                <w:t>Use Category - Inc Stranded Net</w:t>
              </w:r>
            </w:hyperlink>
          </w:p>
        </w:tc>
        <w:tc>
          <w:tcPr>
            <w:tcW w:w="7294" w:type="dxa"/>
            <w:hideMark/>
          </w:tcPr>
          <w:p w14:paraId="4846CC86" w14:textId="77777777" w:rsidR="00CA3AED" w:rsidRPr="00CA3AED" w:rsidRDefault="00CA3AED" w:rsidP="00CA3A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Visualize the Stranded Potential data by End Use Categories for equipment rebate programs. It also allows the user to manipulate the data based on their needs through filters such as Service Territory, Building Type, Sector etc.</w:t>
            </w:r>
          </w:p>
        </w:tc>
      </w:tr>
      <w:tr w:rsidR="00CA3AED" w:rsidRPr="00CA3AED" w14:paraId="1875F2F2" w14:textId="77777777" w:rsidTr="00CA3AED">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235BB23" w14:textId="77777777" w:rsidR="00CA3AED" w:rsidRPr="00CA3AED" w:rsidRDefault="00260768" w:rsidP="00CA3AED">
            <w:pPr>
              <w:spacing w:line="240" w:lineRule="auto"/>
              <w:rPr>
                <w:rFonts w:ascii="Arial Narrow" w:hAnsi="Arial Narrow" w:cs="Calibri"/>
                <w:bCs/>
                <w:iCs/>
                <w:sz w:val="18"/>
                <w:szCs w:val="18"/>
              </w:rPr>
            </w:pPr>
            <w:hyperlink r:id="rId139" w:anchor="'Use Category - Inc Rebate Gross'!A1" w:history="1">
              <w:r w:rsidR="00CA3AED" w:rsidRPr="00CA3AED">
                <w:rPr>
                  <w:rFonts w:ascii="Arial Narrow" w:hAnsi="Arial Narrow" w:cs="Calibri"/>
                  <w:bCs/>
                  <w:iCs/>
                  <w:sz w:val="18"/>
                  <w:szCs w:val="18"/>
                </w:rPr>
                <w:t>Use Category - Inc Rebate Gross</w:t>
              </w:r>
            </w:hyperlink>
          </w:p>
        </w:tc>
        <w:tc>
          <w:tcPr>
            <w:tcW w:w="7294" w:type="dxa"/>
            <w:hideMark/>
          </w:tcPr>
          <w:p w14:paraId="3258EC82" w14:textId="77777777" w:rsidR="00CA3AED" w:rsidRPr="00CA3AED" w:rsidRDefault="00CA3AED" w:rsidP="00CA3AE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Visualize the Incremental Gross Market Potential data by End Use Categories for equipment rebate programs. It also allows the user to manipulate the data based on their needs through filters such as Service Territory, Building Type, Sector etc.</w:t>
            </w:r>
          </w:p>
        </w:tc>
      </w:tr>
      <w:tr w:rsidR="00CA3AED" w:rsidRPr="00CA3AED" w14:paraId="467570CD" w14:textId="77777777" w:rsidTr="00CA3AED">
        <w:trPr>
          <w:cnfStyle w:val="000000010000" w:firstRow="0" w:lastRow="0" w:firstColumn="0" w:lastColumn="0" w:oddVBand="0" w:evenVBand="0" w:oddHBand="0" w:evenHBand="1"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7FF5FED5" w14:textId="77777777" w:rsidR="00CA3AED" w:rsidRPr="00CA3AED" w:rsidRDefault="00260768" w:rsidP="00CA3AED">
            <w:pPr>
              <w:spacing w:line="240" w:lineRule="auto"/>
              <w:rPr>
                <w:rFonts w:ascii="Arial Narrow" w:hAnsi="Arial Narrow" w:cs="Calibri"/>
                <w:bCs/>
                <w:iCs/>
                <w:sz w:val="18"/>
                <w:szCs w:val="18"/>
              </w:rPr>
            </w:pPr>
            <w:hyperlink r:id="rId140" w:anchor="'Cost-effectiveness'!A1" w:history="1">
              <w:r w:rsidR="00CA3AED" w:rsidRPr="00CA3AED">
                <w:rPr>
                  <w:rFonts w:ascii="Arial Narrow" w:hAnsi="Arial Narrow" w:cs="Calibri"/>
                  <w:bCs/>
                  <w:iCs/>
                  <w:sz w:val="18"/>
                  <w:szCs w:val="18"/>
                </w:rPr>
                <w:t>Cost-effectiveness</w:t>
              </w:r>
            </w:hyperlink>
          </w:p>
        </w:tc>
        <w:tc>
          <w:tcPr>
            <w:tcW w:w="7294" w:type="dxa"/>
            <w:noWrap/>
            <w:hideMark/>
          </w:tcPr>
          <w:p w14:paraId="1B3E382D" w14:textId="77777777" w:rsidR="00CA3AED" w:rsidRPr="00CA3AED" w:rsidRDefault="00CA3AED" w:rsidP="00CA3A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 xml:space="preserve">Shows the portfolio cost effectiveness results for equipment rebate programs (excludes C&amp;S, BROs, Low Income). </w:t>
            </w:r>
          </w:p>
        </w:tc>
      </w:tr>
      <w:tr w:rsidR="00CA3AED" w:rsidRPr="00CA3AED" w14:paraId="642F8626" w14:textId="77777777" w:rsidTr="00CA3AED">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706" w:type="dxa"/>
            <w:noWrap/>
            <w:hideMark/>
          </w:tcPr>
          <w:p w14:paraId="227539C6" w14:textId="77777777" w:rsidR="00CA3AED" w:rsidRPr="00CA3AED" w:rsidRDefault="00260768" w:rsidP="00CA3AED">
            <w:pPr>
              <w:spacing w:line="240" w:lineRule="auto"/>
              <w:rPr>
                <w:rFonts w:ascii="Arial Narrow" w:hAnsi="Arial Narrow" w:cs="Calibri"/>
                <w:bCs/>
                <w:iCs/>
                <w:sz w:val="18"/>
                <w:szCs w:val="18"/>
              </w:rPr>
            </w:pPr>
            <w:hyperlink r:id="rId141" w:anchor="'Incremental Behavior'!A1" w:history="1">
              <w:r w:rsidR="00CA3AED" w:rsidRPr="00CA3AED">
                <w:rPr>
                  <w:rFonts w:ascii="Arial Narrow" w:hAnsi="Arial Narrow" w:cs="Calibri"/>
                  <w:bCs/>
                  <w:iCs/>
                  <w:sz w:val="18"/>
                  <w:szCs w:val="18"/>
                </w:rPr>
                <w:t>Incremental Behavior</w:t>
              </w:r>
            </w:hyperlink>
          </w:p>
        </w:tc>
        <w:tc>
          <w:tcPr>
            <w:tcW w:w="7294" w:type="dxa"/>
            <w:hideMark/>
          </w:tcPr>
          <w:p w14:paraId="0636177B" w14:textId="77777777" w:rsidR="00CA3AED" w:rsidRPr="00CA3AED" w:rsidRDefault="00CA3AED" w:rsidP="00CA3AE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Incremental effects of Behavioral programs by intervention. It also allows the user to manipulate the data based on their needs through filters such as Service Territory, Savings Type, Sector, and Scenario.</w:t>
            </w:r>
          </w:p>
        </w:tc>
      </w:tr>
      <w:tr w:rsidR="00CA3AED" w:rsidRPr="00CA3AED" w14:paraId="05734DBD" w14:textId="77777777" w:rsidTr="00CA3AED">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E3A500D" w14:textId="77777777" w:rsidR="00CA3AED" w:rsidRPr="00CA3AED" w:rsidRDefault="00260768" w:rsidP="00CA3AED">
            <w:pPr>
              <w:spacing w:line="240" w:lineRule="auto"/>
              <w:rPr>
                <w:rFonts w:ascii="Arial Narrow" w:hAnsi="Arial Narrow" w:cs="Calibri"/>
                <w:bCs/>
                <w:iCs/>
                <w:sz w:val="18"/>
                <w:szCs w:val="18"/>
              </w:rPr>
            </w:pPr>
            <w:hyperlink r:id="rId142" w:anchor="'Cumulative Behavior'!A1" w:history="1">
              <w:r w:rsidR="00CA3AED" w:rsidRPr="00CA3AED">
                <w:rPr>
                  <w:rFonts w:ascii="Arial Narrow" w:hAnsi="Arial Narrow" w:cs="Calibri"/>
                  <w:bCs/>
                  <w:iCs/>
                  <w:sz w:val="18"/>
                  <w:szCs w:val="18"/>
                </w:rPr>
                <w:t>Cumulative Behavior</w:t>
              </w:r>
            </w:hyperlink>
          </w:p>
        </w:tc>
        <w:tc>
          <w:tcPr>
            <w:tcW w:w="7294" w:type="dxa"/>
            <w:hideMark/>
          </w:tcPr>
          <w:p w14:paraId="6E1DB9F1" w14:textId="77777777" w:rsidR="00CA3AED" w:rsidRPr="00CA3AED" w:rsidRDefault="00CA3AED" w:rsidP="00CA3A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Cumulative effects of Behavioral programs by intervention. It also allows the user to manipulate the data based on their needs through filters such as Service Territory, Savings Type, Sector, and Scenario.</w:t>
            </w:r>
          </w:p>
        </w:tc>
      </w:tr>
      <w:tr w:rsidR="00CA3AED" w:rsidRPr="00CA3AED" w14:paraId="6E2EA3C8" w14:textId="77777777" w:rsidTr="00CA3AE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379F073" w14:textId="77777777" w:rsidR="00CA3AED" w:rsidRPr="00CA3AED" w:rsidRDefault="00260768" w:rsidP="00CA3AED">
            <w:pPr>
              <w:spacing w:line="240" w:lineRule="auto"/>
              <w:rPr>
                <w:rFonts w:ascii="Arial Narrow" w:hAnsi="Arial Narrow" w:cs="Calibri"/>
                <w:bCs/>
                <w:iCs/>
                <w:sz w:val="18"/>
                <w:szCs w:val="18"/>
              </w:rPr>
            </w:pPr>
            <w:hyperlink r:id="rId143" w:anchor="'Behavior Spending'!A1" w:history="1">
              <w:r w:rsidR="00CA3AED" w:rsidRPr="00CA3AED">
                <w:rPr>
                  <w:rFonts w:ascii="Arial Narrow" w:hAnsi="Arial Narrow" w:cs="Calibri"/>
                  <w:bCs/>
                  <w:iCs/>
                  <w:sz w:val="18"/>
                  <w:szCs w:val="18"/>
                </w:rPr>
                <w:t>Behavior Spending</w:t>
              </w:r>
            </w:hyperlink>
          </w:p>
        </w:tc>
        <w:tc>
          <w:tcPr>
            <w:tcW w:w="7294" w:type="dxa"/>
            <w:hideMark/>
          </w:tcPr>
          <w:p w14:paraId="680A4CBC" w14:textId="77777777" w:rsidR="00CA3AED" w:rsidRPr="00CA3AED" w:rsidRDefault="00CA3AED" w:rsidP="00CA3AE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Spending on Behavioral programs by intervention. It also allows the user to manipulate the data based on their needs through filters such as Service Territory, Savings Type, Sector, and Scenario.</w:t>
            </w:r>
          </w:p>
        </w:tc>
      </w:tr>
      <w:tr w:rsidR="00CA3AED" w:rsidRPr="00CA3AED" w14:paraId="7B29A2BE" w14:textId="77777777" w:rsidTr="00CA3AED">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E4E278B" w14:textId="77777777" w:rsidR="00CA3AED" w:rsidRPr="00CA3AED" w:rsidRDefault="00260768" w:rsidP="00CA3AED">
            <w:pPr>
              <w:spacing w:line="240" w:lineRule="auto"/>
              <w:rPr>
                <w:rFonts w:ascii="Arial Narrow" w:hAnsi="Arial Narrow" w:cs="Calibri"/>
                <w:bCs/>
                <w:iCs/>
                <w:sz w:val="18"/>
                <w:szCs w:val="18"/>
              </w:rPr>
            </w:pPr>
            <w:hyperlink r:id="rId144" w:anchor="'Codes &amp; Standards'!A1" w:history="1">
              <w:r w:rsidR="00CA3AED" w:rsidRPr="00CA3AED">
                <w:rPr>
                  <w:rFonts w:ascii="Arial Narrow" w:hAnsi="Arial Narrow" w:cs="Calibri"/>
                  <w:bCs/>
                  <w:iCs/>
                  <w:sz w:val="18"/>
                  <w:szCs w:val="18"/>
                </w:rPr>
                <w:t>Codes &amp; Standards</w:t>
              </w:r>
            </w:hyperlink>
          </w:p>
        </w:tc>
        <w:tc>
          <w:tcPr>
            <w:tcW w:w="7294" w:type="dxa"/>
            <w:hideMark/>
          </w:tcPr>
          <w:p w14:paraId="674FCAF2" w14:textId="77777777" w:rsidR="00CA3AED" w:rsidRPr="00CA3AED" w:rsidRDefault="00CA3AED" w:rsidP="00CA3A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Codes and Standards potential by End Use. It also allows the user to manipulate the data based on their needs through filters such as Service Territory, Savings Type and Sector.</w:t>
            </w:r>
          </w:p>
        </w:tc>
      </w:tr>
      <w:tr w:rsidR="00CA3AED" w:rsidRPr="00CA3AED" w14:paraId="0617B0F0" w14:textId="77777777" w:rsidTr="00CA3A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7554465" w14:textId="77777777" w:rsidR="00CA3AED" w:rsidRPr="00CA3AED" w:rsidRDefault="00260768" w:rsidP="00CA3AED">
            <w:pPr>
              <w:spacing w:line="240" w:lineRule="auto"/>
              <w:rPr>
                <w:rFonts w:ascii="Arial Narrow" w:hAnsi="Arial Narrow" w:cs="Calibri"/>
                <w:bCs/>
                <w:iCs/>
                <w:sz w:val="18"/>
                <w:szCs w:val="18"/>
              </w:rPr>
            </w:pPr>
            <w:hyperlink r:id="rId145" w:anchor="'Total Incr Mkt Potential'!A1" w:history="1">
              <w:r w:rsidR="00CA3AED" w:rsidRPr="00CA3AED">
                <w:rPr>
                  <w:rFonts w:ascii="Arial Narrow" w:hAnsi="Arial Narrow" w:cs="Calibri"/>
                  <w:bCs/>
                  <w:iCs/>
                  <w:sz w:val="18"/>
                  <w:szCs w:val="18"/>
                </w:rPr>
                <w:t>Total Incr Mkt Potential</w:t>
              </w:r>
            </w:hyperlink>
          </w:p>
        </w:tc>
        <w:tc>
          <w:tcPr>
            <w:tcW w:w="7294" w:type="dxa"/>
            <w:hideMark/>
          </w:tcPr>
          <w:p w14:paraId="6D2D836C" w14:textId="77777777" w:rsidR="00CA3AED" w:rsidRPr="00CA3AED" w:rsidRDefault="00CA3AED" w:rsidP="00CA3AE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Raw data of the Incremental Market Potential for all incentive programs in all service territories from 2018 through 2030</w:t>
            </w:r>
          </w:p>
        </w:tc>
      </w:tr>
      <w:tr w:rsidR="00CA3AED" w:rsidRPr="00CA3AED" w14:paraId="236DB199" w14:textId="77777777" w:rsidTr="00CA3A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55EB8D7A" w14:textId="77777777" w:rsidR="00CA3AED" w:rsidRPr="00CA3AED" w:rsidRDefault="00260768" w:rsidP="00CA3AED">
            <w:pPr>
              <w:spacing w:line="240" w:lineRule="auto"/>
              <w:rPr>
                <w:rFonts w:ascii="Arial Narrow" w:hAnsi="Arial Narrow" w:cs="Calibri"/>
                <w:bCs/>
                <w:iCs/>
                <w:sz w:val="18"/>
                <w:szCs w:val="18"/>
              </w:rPr>
            </w:pPr>
            <w:hyperlink r:id="rId146" w:anchor="'Total Incr Gross Mkt Pot'!A1" w:history="1">
              <w:r w:rsidR="00CA3AED" w:rsidRPr="00CA3AED">
                <w:rPr>
                  <w:rFonts w:ascii="Arial Narrow" w:hAnsi="Arial Narrow" w:cs="Calibri"/>
                  <w:bCs/>
                  <w:iCs/>
                  <w:sz w:val="18"/>
                  <w:szCs w:val="18"/>
                </w:rPr>
                <w:t>Total Incr Gross Mkt Potential</w:t>
              </w:r>
            </w:hyperlink>
          </w:p>
        </w:tc>
        <w:tc>
          <w:tcPr>
            <w:tcW w:w="7294" w:type="dxa"/>
            <w:hideMark/>
          </w:tcPr>
          <w:p w14:paraId="489F5431" w14:textId="77777777" w:rsidR="00CA3AED" w:rsidRPr="00CA3AED" w:rsidRDefault="00CA3AED" w:rsidP="00CA3A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Raw data of the Incremental Gross Market Potential for all incentive programs in all service territories from 2018 through 2030</w:t>
            </w:r>
          </w:p>
        </w:tc>
      </w:tr>
      <w:tr w:rsidR="00CA3AED" w:rsidRPr="00CA3AED" w14:paraId="714CFCDA" w14:textId="77777777" w:rsidTr="00CA3A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4242ED3C" w14:textId="77777777" w:rsidR="00CA3AED" w:rsidRPr="00CA3AED" w:rsidRDefault="00260768" w:rsidP="00CA3AED">
            <w:pPr>
              <w:spacing w:line="240" w:lineRule="auto"/>
              <w:rPr>
                <w:rFonts w:ascii="Arial Narrow" w:hAnsi="Arial Narrow" w:cs="Calibri"/>
                <w:bCs/>
                <w:iCs/>
                <w:sz w:val="18"/>
                <w:szCs w:val="18"/>
              </w:rPr>
            </w:pPr>
            <w:hyperlink r:id="rId147" w:anchor="'Increm Mkt Potential Spending'!A1" w:history="1">
              <w:r w:rsidR="00CA3AED" w:rsidRPr="00CA3AED">
                <w:rPr>
                  <w:rFonts w:ascii="Arial Narrow" w:hAnsi="Arial Narrow" w:cs="Calibri"/>
                  <w:bCs/>
                  <w:iCs/>
                  <w:sz w:val="18"/>
                  <w:szCs w:val="18"/>
                </w:rPr>
                <w:t>Increm Mkt Potential Spending</w:t>
              </w:r>
            </w:hyperlink>
          </w:p>
        </w:tc>
        <w:tc>
          <w:tcPr>
            <w:tcW w:w="7294" w:type="dxa"/>
            <w:hideMark/>
          </w:tcPr>
          <w:p w14:paraId="1C93E88C" w14:textId="77777777" w:rsidR="00CA3AED" w:rsidRPr="00CA3AED" w:rsidRDefault="00CA3AED" w:rsidP="00CA3AE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Raw data of the Market Potential Spending for Rebated Equipment and BROs programs in all service territories from 2018 through 2030</w:t>
            </w:r>
          </w:p>
        </w:tc>
      </w:tr>
      <w:tr w:rsidR="00CA3AED" w:rsidRPr="00CA3AED" w14:paraId="5CF55CCA" w14:textId="77777777" w:rsidTr="00CA3A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18D27AA" w14:textId="77777777" w:rsidR="00CA3AED" w:rsidRPr="00CA3AED" w:rsidRDefault="00260768" w:rsidP="00CA3AED">
            <w:pPr>
              <w:spacing w:line="240" w:lineRule="auto"/>
              <w:rPr>
                <w:rFonts w:ascii="Arial Narrow" w:hAnsi="Arial Narrow" w:cs="Calibri"/>
                <w:bCs/>
                <w:iCs/>
                <w:sz w:val="18"/>
                <w:szCs w:val="18"/>
              </w:rPr>
            </w:pPr>
            <w:hyperlink r:id="rId148" w:anchor="'Total Cumul Mkt Potential'!A1" w:history="1">
              <w:r w:rsidR="00CA3AED" w:rsidRPr="00CA3AED">
                <w:rPr>
                  <w:rFonts w:ascii="Arial Narrow" w:hAnsi="Arial Narrow" w:cs="Calibri"/>
                  <w:bCs/>
                  <w:iCs/>
                  <w:sz w:val="18"/>
                  <w:szCs w:val="18"/>
                </w:rPr>
                <w:t>Total Cumul Mkt Potential</w:t>
              </w:r>
            </w:hyperlink>
          </w:p>
        </w:tc>
        <w:tc>
          <w:tcPr>
            <w:tcW w:w="7294" w:type="dxa"/>
            <w:hideMark/>
          </w:tcPr>
          <w:p w14:paraId="0F3770F7" w14:textId="77777777" w:rsidR="00CA3AED" w:rsidRPr="00CA3AED" w:rsidRDefault="00CA3AED" w:rsidP="00CA3A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Raw data of the Cumulative Market Potential for all programs in all service territories from 2018 through 2030</w:t>
            </w:r>
          </w:p>
        </w:tc>
      </w:tr>
      <w:tr w:rsidR="00CA3AED" w:rsidRPr="00CA3AED" w14:paraId="21D91B74" w14:textId="77777777" w:rsidTr="00CA3A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4BF59FE7" w14:textId="77777777" w:rsidR="00CA3AED" w:rsidRPr="00CA3AED" w:rsidRDefault="00260768" w:rsidP="00CA3AED">
            <w:pPr>
              <w:spacing w:line="240" w:lineRule="auto"/>
              <w:rPr>
                <w:rFonts w:ascii="Arial Narrow" w:hAnsi="Arial Narrow" w:cs="Calibri"/>
                <w:bCs/>
                <w:iCs/>
                <w:sz w:val="18"/>
                <w:szCs w:val="18"/>
              </w:rPr>
            </w:pPr>
            <w:hyperlink r:id="rId149" w:anchor="'CEC Sales Data'!A1" w:history="1">
              <w:r w:rsidR="00CA3AED" w:rsidRPr="00CA3AED">
                <w:rPr>
                  <w:rFonts w:ascii="Arial Narrow" w:hAnsi="Arial Narrow" w:cs="Calibri"/>
                  <w:bCs/>
                  <w:iCs/>
                  <w:sz w:val="18"/>
                  <w:szCs w:val="18"/>
                </w:rPr>
                <w:t>CEC Sales Data</w:t>
              </w:r>
            </w:hyperlink>
          </w:p>
        </w:tc>
        <w:tc>
          <w:tcPr>
            <w:tcW w:w="7294" w:type="dxa"/>
            <w:hideMark/>
          </w:tcPr>
          <w:p w14:paraId="290437B0" w14:textId="77777777" w:rsidR="00CA3AED" w:rsidRPr="00CA3AED" w:rsidRDefault="00CA3AED" w:rsidP="00CA3AE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Raw data from the CEC of energy sales from 2018 through 2030</w:t>
            </w:r>
          </w:p>
        </w:tc>
      </w:tr>
      <w:tr w:rsidR="00CA3AED" w:rsidRPr="00CA3AED" w14:paraId="29E9D6F4" w14:textId="77777777" w:rsidTr="00CA3A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20FEF3AE" w14:textId="77777777" w:rsidR="00CA3AED" w:rsidRPr="00CA3AED" w:rsidRDefault="00260768" w:rsidP="00CA3AED">
            <w:pPr>
              <w:spacing w:line="240" w:lineRule="auto"/>
              <w:rPr>
                <w:rFonts w:ascii="Arial Narrow" w:hAnsi="Arial Narrow" w:cs="Calibri"/>
                <w:bCs/>
                <w:iCs/>
                <w:sz w:val="18"/>
                <w:szCs w:val="18"/>
              </w:rPr>
            </w:pPr>
            <w:hyperlink r:id="rId150" w:anchor="'Equipment Incr Tech Potential'!A1" w:history="1">
              <w:r w:rsidR="00CA3AED" w:rsidRPr="00CA3AED">
                <w:rPr>
                  <w:rFonts w:ascii="Arial Narrow" w:hAnsi="Arial Narrow" w:cs="Calibri"/>
                  <w:bCs/>
                  <w:iCs/>
                  <w:sz w:val="18"/>
                  <w:szCs w:val="18"/>
                </w:rPr>
                <w:t>Equipment Incr Tech Potential</w:t>
              </w:r>
            </w:hyperlink>
          </w:p>
        </w:tc>
        <w:tc>
          <w:tcPr>
            <w:tcW w:w="7294" w:type="dxa"/>
            <w:hideMark/>
          </w:tcPr>
          <w:p w14:paraId="6FD71913" w14:textId="77777777" w:rsidR="00CA3AED" w:rsidRPr="00CA3AED" w:rsidRDefault="00CA3AED" w:rsidP="00CA3A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Raw data of the Technical Potential for equipment rebate programs in all service territories from 2018 through 2030</w:t>
            </w:r>
          </w:p>
        </w:tc>
      </w:tr>
      <w:tr w:rsidR="00CA3AED" w:rsidRPr="00CA3AED" w14:paraId="4F74FF41" w14:textId="77777777" w:rsidTr="00CA3A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AE81B98" w14:textId="77777777" w:rsidR="00CA3AED" w:rsidRPr="00CA3AED" w:rsidRDefault="00260768" w:rsidP="00CA3AED">
            <w:pPr>
              <w:spacing w:line="240" w:lineRule="auto"/>
              <w:rPr>
                <w:rFonts w:ascii="Arial Narrow" w:hAnsi="Arial Narrow" w:cs="Calibri"/>
                <w:bCs/>
                <w:iCs/>
                <w:sz w:val="18"/>
                <w:szCs w:val="18"/>
              </w:rPr>
            </w:pPr>
            <w:hyperlink r:id="rId151" w:anchor="'Equipment Incr Econ Potential'!A1" w:history="1">
              <w:r w:rsidR="00CA3AED" w:rsidRPr="00CA3AED">
                <w:rPr>
                  <w:rFonts w:ascii="Arial Narrow" w:hAnsi="Arial Narrow" w:cs="Calibri"/>
                  <w:bCs/>
                  <w:iCs/>
                  <w:sz w:val="18"/>
                  <w:szCs w:val="18"/>
                </w:rPr>
                <w:t>Equipment Incr Econ Potential</w:t>
              </w:r>
            </w:hyperlink>
          </w:p>
        </w:tc>
        <w:tc>
          <w:tcPr>
            <w:tcW w:w="7294" w:type="dxa"/>
            <w:hideMark/>
          </w:tcPr>
          <w:p w14:paraId="05775E9A" w14:textId="77777777" w:rsidR="00CA3AED" w:rsidRPr="00CA3AED" w:rsidRDefault="00CA3AED" w:rsidP="00CA3AE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Raw data of the Economic Potential for equipment rebate programs in all service territories from 2018 through 2030</w:t>
            </w:r>
          </w:p>
        </w:tc>
      </w:tr>
      <w:tr w:rsidR="00CA3AED" w:rsidRPr="00CA3AED" w14:paraId="0DE8CEF9" w14:textId="77777777" w:rsidTr="00CA3A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56713B20" w14:textId="77777777" w:rsidR="00CA3AED" w:rsidRPr="00CA3AED" w:rsidRDefault="00260768" w:rsidP="00CA3AED">
            <w:pPr>
              <w:spacing w:line="240" w:lineRule="auto"/>
              <w:rPr>
                <w:rFonts w:ascii="Arial Narrow" w:hAnsi="Arial Narrow" w:cs="Calibri"/>
                <w:bCs/>
                <w:iCs/>
                <w:sz w:val="18"/>
                <w:szCs w:val="18"/>
              </w:rPr>
            </w:pPr>
            <w:hyperlink r:id="rId152" w:anchor="'Equipment Incr Mkt Potential'!A1" w:history="1">
              <w:r w:rsidR="00CA3AED" w:rsidRPr="00CA3AED">
                <w:rPr>
                  <w:rFonts w:ascii="Arial Narrow" w:hAnsi="Arial Narrow" w:cs="Calibri"/>
                  <w:bCs/>
                  <w:iCs/>
                  <w:sz w:val="18"/>
                  <w:szCs w:val="18"/>
                </w:rPr>
                <w:t>Equipment Incr Mkt Potential</w:t>
              </w:r>
            </w:hyperlink>
          </w:p>
        </w:tc>
        <w:tc>
          <w:tcPr>
            <w:tcW w:w="7294" w:type="dxa"/>
            <w:hideMark/>
          </w:tcPr>
          <w:p w14:paraId="50F624A6" w14:textId="77777777" w:rsidR="00CA3AED" w:rsidRPr="00CA3AED" w:rsidRDefault="00CA3AED" w:rsidP="00CA3A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Raw data of the Incremental Market Potential for equipment rebate programs in all service territories from 2018 through 2030</w:t>
            </w:r>
          </w:p>
        </w:tc>
      </w:tr>
      <w:tr w:rsidR="00CA3AED" w:rsidRPr="00CA3AED" w14:paraId="458C9C8E" w14:textId="77777777" w:rsidTr="00CA3A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758D1B1" w14:textId="77777777" w:rsidR="00CA3AED" w:rsidRPr="00CA3AED" w:rsidRDefault="00260768" w:rsidP="00CA3AED">
            <w:pPr>
              <w:spacing w:line="240" w:lineRule="auto"/>
              <w:rPr>
                <w:rFonts w:ascii="Arial Narrow" w:hAnsi="Arial Narrow" w:cs="Calibri"/>
                <w:bCs/>
                <w:iCs/>
                <w:sz w:val="18"/>
                <w:szCs w:val="18"/>
              </w:rPr>
            </w:pPr>
            <w:hyperlink r:id="rId153" w:anchor="'Equipment Incr Gross Mkt Pot'!A1" w:history="1">
              <w:r w:rsidR="00CA3AED" w:rsidRPr="00CA3AED">
                <w:rPr>
                  <w:rFonts w:ascii="Arial Narrow" w:hAnsi="Arial Narrow" w:cs="Calibri"/>
                  <w:bCs/>
                  <w:iCs/>
                  <w:sz w:val="18"/>
                  <w:szCs w:val="18"/>
                </w:rPr>
                <w:t>Equipment Incr Gross Mkt Pot</w:t>
              </w:r>
            </w:hyperlink>
          </w:p>
        </w:tc>
        <w:tc>
          <w:tcPr>
            <w:tcW w:w="7294" w:type="dxa"/>
            <w:hideMark/>
          </w:tcPr>
          <w:p w14:paraId="657145B8" w14:textId="77777777" w:rsidR="00CA3AED" w:rsidRPr="00CA3AED" w:rsidRDefault="00CA3AED" w:rsidP="00CA3AE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Raw data of the Incremental Gross Market Potential for equipment rebate programs in all service territories from 2018 through 2030</w:t>
            </w:r>
          </w:p>
        </w:tc>
      </w:tr>
      <w:tr w:rsidR="00CA3AED" w:rsidRPr="00CA3AED" w14:paraId="0E2A7B90" w14:textId="77777777" w:rsidTr="00CA3A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E5EBEF7" w14:textId="77777777" w:rsidR="00CA3AED" w:rsidRPr="00CA3AED" w:rsidRDefault="00260768" w:rsidP="00CA3AED">
            <w:pPr>
              <w:spacing w:line="240" w:lineRule="auto"/>
              <w:rPr>
                <w:rFonts w:ascii="Arial Narrow" w:hAnsi="Arial Narrow" w:cs="Calibri"/>
                <w:bCs/>
                <w:iCs/>
                <w:sz w:val="18"/>
                <w:szCs w:val="18"/>
              </w:rPr>
            </w:pPr>
            <w:hyperlink r:id="rId154" w:anchor="'Equipment Cumul Mkt Potential'!A1" w:history="1">
              <w:r w:rsidR="00CA3AED" w:rsidRPr="00CA3AED">
                <w:rPr>
                  <w:rFonts w:ascii="Arial Narrow" w:hAnsi="Arial Narrow" w:cs="Calibri"/>
                  <w:bCs/>
                  <w:iCs/>
                  <w:sz w:val="18"/>
                  <w:szCs w:val="18"/>
                </w:rPr>
                <w:t>Equipment Cumul Mkt Potential</w:t>
              </w:r>
            </w:hyperlink>
          </w:p>
        </w:tc>
        <w:tc>
          <w:tcPr>
            <w:tcW w:w="7294" w:type="dxa"/>
            <w:hideMark/>
          </w:tcPr>
          <w:p w14:paraId="53D0D93A" w14:textId="77777777" w:rsidR="00CA3AED" w:rsidRPr="00CA3AED" w:rsidRDefault="00CA3AED" w:rsidP="00CA3A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Raw data of the Cumulative Market Potential for equipment rebate programs in all service territories from 2018 through 2030</w:t>
            </w:r>
          </w:p>
        </w:tc>
      </w:tr>
      <w:tr w:rsidR="00CA3AED" w:rsidRPr="00CA3AED" w14:paraId="71F9BDF8" w14:textId="77777777" w:rsidTr="00CA3A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ED2EF99" w14:textId="77777777" w:rsidR="00CA3AED" w:rsidRPr="00CA3AED" w:rsidRDefault="00260768" w:rsidP="00CA3AED">
            <w:pPr>
              <w:spacing w:line="240" w:lineRule="auto"/>
              <w:rPr>
                <w:rFonts w:ascii="Arial Narrow" w:hAnsi="Arial Narrow" w:cs="Calibri"/>
                <w:bCs/>
                <w:iCs/>
                <w:sz w:val="18"/>
                <w:szCs w:val="18"/>
              </w:rPr>
            </w:pPr>
            <w:hyperlink r:id="rId155" w:anchor="'Equipment Incr Stranded Pot'!A1" w:history="1">
              <w:r w:rsidR="00CA3AED" w:rsidRPr="00CA3AED">
                <w:rPr>
                  <w:rFonts w:ascii="Arial Narrow" w:hAnsi="Arial Narrow" w:cs="Calibri"/>
                  <w:bCs/>
                  <w:iCs/>
                  <w:sz w:val="18"/>
                  <w:szCs w:val="18"/>
                </w:rPr>
                <w:t>Equiment Incr Stranded Pot</w:t>
              </w:r>
            </w:hyperlink>
          </w:p>
        </w:tc>
        <w:tc>
          <w:tcPr>
            <w:tcW w:w="7294" w:type="dxa"/>
            <w:hideMark/>
          </w:tcPr>
          <w:p w14:paraId="4D3E8178" w14:textId="77777777" w:rsidR="00CA3AED" w:rsidRPr="00CA3AED" w:rsidRDefault="00CA3AED" w:rsidP="00CA3AE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Raw data of the Stranded Potential for equipment rebate programs in all service territories from 2018 through 2030</w:t>
            </w:r>
          </w:p>
        </w:tc>
      </w:tr>
      <w:tr w:rsidR="00CA3AED" w:rsidRPr="00CA3AED" w14:paraId="64D9AEFE" w14:textId="77777777" w:rsidTr="00CA3A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4F9CA15" w14:textId="77777777" w:rsidR="00CA3AED" w:rsidRPr="00CA3AED" w:rsidRDefault="00260768" w:rsidP="00CA3AED">
            <w:pPr>
              <w:spacing w:line="240" w:lineRule="auto"/>
              <w:rPr>
                <w:rFonts w:ascii="Arial Narrow" w:hAnsi="Arial Narrow" w:cs="Calibri"/>
                <w:bCs/>
                <w:iCs/>
                <w:sz w:val="18"/>
                <w:szCs w:val="18"/>
              </w:rPr>
            </w:pPr>
            <w:hyperlink r:id="rId156" w:anchor="'Equip Portfolio CE'!A1" w:history="1">
              <w:r w:rsidR="00CA3AED" w:rsidRPr="00CA3AED">
                <w:rPr>
                  <w:rFonts w:ascii="Arial Narrow" w:hAnsi="Arial Narrow" w:cs="Calibri"/>
                  <w:bCs/>
                  <w:iCs/>
                  <w:sz w:val="18"/>
                  <w:szCs w:val="18"/>
                </w:rPr>
                <w:t>Equip Portfolio CE</w:t>
              </w:r>
            </w:hyperlink>
          </w:p>
        </w:tc>
        <w:tc>
          <w:tcPr>
            <w:tcW w:w="7294" w:type="dxa"/>
            <w:hideMark/>
          </w:tcPr>
          <w:p w14:paraId="4DCA4C30" w14:textId="77777777" w:rsidR="00CA3AED" w:rsidRPr="00CA3AED" w:rsidRDefault="00CA3AED" w:rsidP="00CA3A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Raw data of portfolio cost-effectiveness for equipment rebate programs in all service territories from 2018 through 2030</w:t>
            </w:r>
          </w:p>
        </w:tc>
      </w:tr>
      <w:tr w:rsidR="00CA3AED" w:rsidRPr="00CA3AED" w14:paraId="60563CDF" w14:textId="77777777" w:rsidTr="00CA3A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E1B3326" w14:textId="77777777" w:rsidR="00CA3AED" w:rsidRPr="00CA3AED" w:rsidRDefault="00260768" w:rsidP="00CA3AED">
            <w:pPr>
              <w:spacing w:line="240" w:lineRule="auto"/>
              <w:rPr>
                <w:rFonts w:ascii="Arial Narrow" w:hAnsi="Arial Narrow" w:cs="Calibri"/>
                <w:bCs/>
                <w:iCs/>
                <w:sz w:val="18"/>
                <w:szCs w:val="18"/>
              </w:rPr>
            </w:pPr>
            <w:hyperlink r:id="rId157" w:anchor="'Incremental BROs Savings'!A1" w:history="1">
              <w:r w:rsidR="00CA3AED" w:rsidRPr="00CA3AED">
                <w:rPr>
                  <w:rFonts w:ascii="Arial Narrow" w:hAnsi="Arial Narrow" w:cs="Calibri"/>
                  <w:bCs/>
                  <w:iCs/>
                  <w:sz w:val="18"/>
                  <w:szCs w:val="18"/>
                </w:rPr>
                <w:t>Incremental BROs Savings</w:t>
              </w:r>
            </w:hyperlink>
          </w:p>
        </w:tc>
        <w:tc>
          <w:tcPr>
            <w:tcW w:w="7294" w:type="dxa"/>
            <w:hideMark/>
          </w:tcPr>
          <w:p w14:paraId="4485E95C" w14:textId="77777777" w:rsidR="00CA3AED" w:rsidRPr="00CA3AED" w:rsidRDefault="00CA3AED" w:rsidP="00CA3AE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Raw data of the Incremental Behavior Program potential for all service territories from 2018 through 2030</w:t>
            </w:r>
          </w:p>
        </w:tc>
      </w:tr>
      <w:tr w:rsidR="00CA3AED" w:rsidRPr="00CA3AED" w14:paraId="5E3A5E16" w14:textId="77777777" w:rsidTr="00CA3A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676A17AB" w14:textId="77777777" w:rsidR="00CA3AED" w:rsidRPr="00CA3AED" w:rsidRDefault="00260768" w:rsidP="00CA3AED">
            <w:pPr>
              <w:spacing w:line="240" w:lineRule="auto"/>
              <w:rPr>
                <w:rFonts w:ascii="Arial Narrow" w:hAnsi="Arial Narrow" w:cs="Calibri"/>
                <w:bCs/>
                <w:iCs/>
                <w:sz w:val="18"/>
                <w:szCs w:val="18"/>
              </w:rPr>
            </w:pPr>
            <w:hyperlink r:id="rId158" w:anchor="'Cumulative BROs Savings'!A1" w:history="1">
              <w:r w:rsidR="00CA3AED" w:rsidRPr="00CA3AED">
                <w:rPr>
                  <w:rFonts w:ascii="Arial Narrow" w:hAnsi="Arial Narrow" w:cs="Calibri"/>
                  <w:bCs/>
                  <w:iCs/>
                  <w:sz w:val="18"/>
                  <w:szCs w:val="18"/>
                </w:rPr>
                <w:t>Cumulative BROs Savings</w:t>
              </w:r>
            </w:hyperlink>
          </w:p>
        </w:tc>
        <w:tc>
          <w:tcPr>
            <w:tcW w:w="7294" w:type="dxa"/>
            <w:hideMark/>
          </w:tcPr>
          <w:p w14:paraId="6C1AE119" w14:textId="77777777" w:rsidR="00CA3AED" w:rsidRPr="00CA3AED" w:rsidRDefault="00CA3AED" w:rsidP="00CA3A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Raw data of the Cumulative Behavior Program potential for all service territories from 2018 through 2030</w:t>
            </w:r>
          </w:p>
        </w:tc>
      </w:tr>
      <w:tr w:rsidR="00CA3AED" w:rsidRPr="00CA3AED" w14:paraId="09736F51" w14:textId="77777777" w:rsidTr="00CA3A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0386250" w14:textId="77777777" w:rsidR="00CA3AED" w:rsidRPr="00CA3AED" w:rsidRDefault="00260768" w:rsidP="00CA3AED">
            <w:pPr>
              <w:spacing w:line="240" w:lineRule="auto"/>
              <w:rPr>
                <w:rFonts w:ascii="Arial Narrow" w:hAnsi="Arial Narrow" w:cs="Calibri"/>
                <w:bCs/>
                <w:iCs/>
                <w:sz w:val="18"/>
                <w:szCs w:val="18"/>
              </w:rPr>
            </w:pPr>
            <w:hyperlink r:id="rId159" w:anchor="'BROs Spending'!A1" w:history="1">
              <w:r w:rsidR="00CA3AED" w:rsidRPr="00CA3AED">
                <w:rPr>
                  <w:rFonts w:ascii="Arial Narrow" w:hAnsi="Arial Narrow" w:cs="Calibri"/>
                  <w:bCs/>
                  <w:iCs/>
                  <w:sz w:val="18"/>
                  <w:szCs w:val="18"/>
                </w:rPr>
                <w:t>BROs Spending</w:t>
              </w:r>
            </w:hyperlink>
          </w:p>
        </w:tc>
        <w:tc>
          <w:tcPr>
            <w:tcW w:w="7294" w:type="dxa"/>
            <w:hideMark/>
          </w:tcPr>
          <w:p w14:paraId="0E205542" w14:textId="77777777" w:rsidR="00CA3AED" w:rsidRPr="00CA3AED" w:rsidRDefault="00CA3AED" w:rsidP="00CA3AE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Raw data of the Behavior Program spending for all service territories from 2018 through 2030</w:t>
            </w:r>
          </w:p>
        </w:tc>
      </w:tr>
      <w:tr w:rsidR="00CA3AED" w:rsidRPr="00CA3AED" w14:paraId="7A04CDAE" w14:textId="77777777" w:rsidTr="00CA3A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2C8229F6" w14:textId="77777777" w:rsidR="00CA3AED" w:rsidRPr="00CA3AED" w:rsidRDefault="00260768" w:rsidP="00CA3AED">
            <w:pPr>
              <w:spacing w:line="240" w:lineRule="auto"/>
              <w:rPr>
                <w:rFonts w:ascii="Arial Narrow" w:hAnsi="Arial Narrow" w:cs="Calibri"/>
                <w:bCs/>
                <w:iCs/>
                <w:sz w:val="18"/>
                <w:szCs w:val="18"/>
              </w:rPr>
            </w:pPr>
            <w:hyperlink r:id="rId160" w:anchor="'Low Income Incremental'!A1" w:history="1">
              <w:r w:rsidR="00CA3AED" w:rsidRPr="00CA3AED">
                <w:rPr>
                  <w:rFonts w:ascii="Arial Narrow" w:hAnsi="Arial Narrow" w:cs="Calibri"/>
                  <w:bCs/>
                  <w:iCs/>
                  <w:sz w:val="18"/>
                  <w:szCs w:val="18"/>
                </w:rPr>
                <w:t>Low Income Incremental</w:t>
              </w:r>
            </w:hyperlink>
          </w:p>
        </w:tc>
        <w:tc>
          <w:tcPr>
            <w:tcW w:w="7294" w:type="dxa"/>
            <w:hideMark/>
          </w:tcPr>
          <w:p w14:paraId="18907C7F" w14:textId="77777777" w:rsidR="00CA3AED" w:rsidRPr="00CA3AED" w:rsidRDefault="00CA3AED" w:rsidP="00CA3A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Raw data of the Incremental Low Income Program potential for all service territories from 2018 through 2030</w:t>
            </w:r>
          </w:p>
        </w:tc>
      </w:tr>
      <w:tr w:rsidR="00CA3AED" w:rsidRPr="00CA3AED" w14:paraId="61C709F6" w14:textId="77777777" w:rsidTr="00CA3A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2553793C" w14:textId="77777777" w:rsidR="00CA3AED" w:rsidRPr="00CA3AED" w:rsidRDefault="00260768" w:rsidP="00CA3AED">
            <w:pPr>
              <w:spacing w:line="240" w:lineRule="auto"/>
              <w:rPr>
                <w:rFonts w:ascii="Arial Narrow" w:hAnsi="Arial Narrow" w:cs="Calibri"/>
                <w:bCs/>
                <w:iCs/>
                <w:sz w:val="18"/>
                <w:szCs w:val="18"/>
              </w:rPr>
            </w:pPr>
            <w:hyperlink r:id="rId161" w:anchor="'Low Income Cumulative'!A1" w:history="1">
              <w:r w:rsidR="00CA3AED" w:rsidRPr="00CA3AED">
                <w:rPr>
                  <w:rFonts w:ascii="Arial Narrow" w:hAnsi="Arial Narrow" w:cs="Calibri"/>
                  <w:bCs/>
                  <w:iCs/>
                  <w:sz w:val="18"/>
                  <w:szCs w:val="18"/>
                </w:rPr>
                <w:t>Low Income Cumulative</w:t>
              </w:r>
            </w:hyperlink>
          </w:p>
        </w:tc>
        <w:tc>
          <w:tcPr>
            <w:tcW w:w="7294" w:type="dxa"/>
            <w:hideMark/>
          </w:tcPr>
          <w:p w14:paraId="0E5EB15E" w14:textId="77777777" w:rsidR="00CA3AED" w:rsidRPr="00CA3AED" w:rsidRDefault="00CA3AED" w:rsidP="00CA3AE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Raw data of the Cumulative Low Income Program potential for all service territories from 2018 through 2030</w:t>
            </w:r>
          </w:p>
        </w:tc>
      </w:tr>
      <w:tr w:rsidR="00CA3AED" w:rsidRPr="00CA3AED" w14:paraId="413CBA75" w14:textId="77777777" w:rsidTr="00CA3A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2BD5FFA8" w14:textId="77777777" w:rsidR="00CA3AED" w:rsidRPr="00CA3AED" w:rsidRDefault="00260768" w:rsidP="00CA3AED">
            <w:pPr>
              <w:spacing w:line="240" w:lineRule="auto"/>
              <w:rPr>
                <w:rFonts w:ascii="Arial Narrow" w:hAnsi="Arial Narrow" w:cs="Calibri"/>
                <w:bCs/>
                <w:iCs/>
                <w:sz w:val="18"/>
                <w:szCs w:val="18"/>
              </w:rPr>
            </w:pPr>
            <w:hyperlink r:id="rId162" w:anchor="'Incremental C&amp;S - w Interactive'!A1" w:history="1">
              <w:r w:rsidR="00CA3AED" w:rsidRPr="00CA3AED">
                <w:rPr>
                  <w:rFonts w:ascii="Arial Narrow" w:hAnsi="Arial Narrow" w:cs="Calibri"/>
                  <w:bCs/>
                  <w:iCs/>
                  <w:sz w:val="18"/>
                  <w:szCs w:val="18"/>
                </w:rPr>
                <w:t>Incremental C&amp;S - w Interactive</w:t>
              </w:r>
            </w:hyperlink>
          </w:p>
        </w:tc>
        <w:tc>
          <w:tcPr>
            <w:tcW w:w="7294" w:type="dxa"/>
            <w:hideMark/>
          </w:tcPr>
          <w:p w14:paraId="4BBD88FA" w14:textId="77777777" w:rsidR="00CA3AED" w:rsidRPr="00CA3AED" w:rsidRDefault="00CA3AED" w:rsidP="00CA3A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Raw data of the Codes and Standards potential with interactive effects for all service territories from 2018 through 2030</w:t>
            </w:r>
          </w:p>
        </w:tc>
      </w:tr>
      <w:tr w:rsidR="00CA3AED" w:rsidRPr="00CA3AED" w14:paraId="7B1363C4" w14:textId="77777777" w:rsidTr="00CA3A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51C9F9F6" w14:textId="77777777" w:rsidR="00CA3AED" w:rsidRPr="00CA3AED" w:rsidRDefault="00260768" w:rsidP="00CA3AED">
            <w:pPr>
              <w:spacing w:line="240" w:lineRule="auto"/>
              <w:rPr>
                <w:rFonts w:ascii="Arial Narrow" w:hAnsi="Arial Narrow" w:cs="Calibri"/>
                <w:bCs/>
                <w:iCs/>
                <w:sz w:val="18"/>
                <w:szCs w:val="18"/>
              </w:rPr>
            </w:pPr>
            <w:hyperlink r:id="rId163" w:anchor="'Incremental C&amp;S - wo Interactiv'!A1" w:history="1">
              <w:r w:rsidR="00CA3AED" w:rsidRPr="00CA3AED">
                <w:rPr>
                  <w:rFonts w:ascii="Arial Narrow" w:hAnsi="Arial Narrow" w:cs="Calibri"/>
                  <w:bCs/>
                  <w:iCs/>
                  <w:sz w:val="18"/>
                  <w:szCs w:val="18"/>
                </w:rPr>
                <w:t>Incremental C&amp;S wo Interactiv</w:t>
              </w:r>
            </w:hyperlink>
          </w:p>
        </w:tc>
        <w:tc>
          <w:tcPr>
            <w:tcW w:w="7294" w:type="dxa"/>
            <w:hideMark/>
          </w:tcPr>
          <w:p w14:paraId="4C873BF1" w14:textId="77777777" w:rsidR="00CA3AED" w:rsidRPr="00CA3AED" w:rsidRDefault="00CA3AED" w:rsidP="00CA3AE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Raw data of the Codes and Standards potential without interactive effects for all service territories from 2018 through 2030</w:t>
            </w:r>
          </w:p>
        </w:tc>
      </w:tr>
      <w:tr w:rsidR="00CA3AED" w:rsidRPr="00CA3AED" w14:paraId="068C4455" w14:textId="77777777" w:rsidTr="00CA3A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1E74087" w14:textId="77777777" w:rsidR="00CA3AED" w:rsidRPr="00CA3AED" w:rsidRDefault="00260768" w:rsidP="00CA3AED">
            <w:pPr>
              <w:spacing w:line="240" w:lineRule="auto"/>
              <w:rPr>
                <w:rFonts w:ascii="Arial Narrow" w:hAnsi="Arial Narrow" w:cs="Calibri"/>
                <w:bCs/>
                <w:iCs/>
                <w:sz w:val="18"/>
                <w:szCs w:val="18"/>
              </w:rPr>
            </w:pPr>
            <w:hyperlink r:id="rId164" w:anchor="'Cumulative C&amp;S - w Interactive'!A1" w:history="1">
              <w:r w:rsidR="00CA3AED" w:rsidRPr="00CA3AED">
                <w:rPr>
                  <w:rFonts w:ascii="Arial Narrow" w:hAnsi="Arial Narrow" w:cs="Calibri"/>
                  <w:bCs/>
                  <w:iCs/>
                  <w:sz w:val="18"/>
                  <w:szCs w:val="18"/>
                </w:rPr>
                <w:t>Cumulative C&amp;S - w Interactive</w:t>
              </w:r>
            </w:hyperlink>
          </w:p>
        </w:tc>
        <w:tc>
          <w:tcPr>
            <w:tcW w:w="7294" w:type="dxa"/>
            <w:hideMark/>
          </w:tcPr>
          <w:p w14:paraId="0FA34B4B" w14:textId="77777777" w:rsidR="00CA3AED" w:rsidRPr="00CA3AED" w:rsidRDefault="00CA3AED" w:rsidP="00CA3AED">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Raw data of the Codes and Standards potential with interactive effects for all service territories from 2018 through 2030</w:t>
            </w:r>
          </w:p>
        </w:tc>
      </w:tr>
      <w:tr w:rsidR="00CA3AED" w:rsidRPr="00CA3AED" w14:paraId="08A7D9FA" w14:textId="77777777" w:rsidTr="00CA3A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4E261A50" w14:textId="77777777" w:rsidR="00CA3AED" w:rsidRPr="00CA3AED" w:rsidRDefault="00260768" w:rsidP="00CA3AED">
            <w:pPr>
              <w:spacing w:line="240" w:lineRule="auto"/>
              <w:rPr>
                <w:rFonts w:ascii="Arial Narrow" w:hAnsi="Arial Narrow" w:cs="Calibri"/>
                <w:bCs/>
                <w:iCs/>
                <w:sz w:val="18"/>
                <w:szCs w:val="18"/>
              </w:rPr>
            </w:pPr>
            <w:hyperlink r:id="rId165" w:anchor="'Cumulative C&amp;S - wo Interactive'!A1" w:history="1">
              <w:r w:rsidR="00CA3AED" w:rsidRPr="00CA3AED">
                <w:rPr>
                  <w:rFonts w:ascii="Arial Narrow" w:hAnsi="Arial Narrow" w:cs="Calibri"/>
                  <w:bCs/>
                  <w:iCs/>
                  <w:sz w:val="18"/>
                  <w:szCs w:val="18"/>
                </w:rPr>
                <w:t>Cumulative C&amp;S - wo Interactive</w:t>
              </w:r>
            </w:hyperlink>
          </w:p>
        </w:tc>
        <w:tc>
          <w:tcPr>
            <w:tcW w:w="7294" w:type="dxa"/>
            <w:hideMark/>
          </w:tcPr>
          <w:p w14:paraId="26CC5A10" w14:textId="77777777" w:rsidR="00CA3AED" w:rsidRPr="00CA3AED" w:rsidRDefault="00CA3AED" w:rsidP="00CA3AE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CA3AED">
              <w:rPr>
                <w:rFonts w:ascii="Arial Narrow" w:hAnsi="Arial Narrow" w:cs="Calibri"/>
                <w:sz w:val="18"/>
                <w:szCs w:val="18"/>
              </w:rPr>
              <w:t>Raw data of the Codes and Standards potential without interactive effects for all service territories from 2018 through 2030</w:t>
            </w:r>
          </w:p>
        </w:tc>
      </w:tr>
    </w:tbl>
    <w:p w14:paraId="6C1D7209" w14:textId="7469151D" w:rsidR="00CA3AED" w:rsidRDefault="00CA3AED" w:rsidP="00CA3AED"/>
    <w:p w14:paraId="7E5BE162" w14:textId="442EE0E8" w:rsidR="00CA3AED" w:rsidRPr="00CA3AED" w:rsidRDefault="00CA3AED" w:rsidP="00CA3AED"/>
    <w:p w14:paraId="3A75B0C9" w14:textId="77777777" w:rsidR="00E97BD7" w:rsidRDefault="00E97BD7" w:rsidP="00E97BD7">
      <w:r>
        <w:t xml:space="preserve">The </w:t>
      </w:r>
      <w:r w:rsidR="00131F07">
        <w:t xml:space="preserve">viewer is illustrated in </w:t>
      </w:r>
      <w:r w:rsidR="004F0469">
        <w:fldChar w:fldCharType="begin"/>
      </w:r>
      <w:r w:rsidR="004F0469">
        <w:instrText xml:space="preserve"> REF _Ref484533254 \h </w:instrText>
      </w:r>
      <w:r w:rsidR="004F0469">
        <w:fldChar w:fldCharType="separate"/>
      </w:r>
      <w:r w:rsidR="007566B9" w:rsidRPr="004F0469">
        <w:t xml:space="preserve">Figure </w:t>
      </w:r>
      <w:r w:rsidR="007566B9">
        <w:rPr>
          <w:noProof/>
        </w:rPr>
        <w:t>4</w:t>
      </w:r>
      <w:r w:rsidR="007566B9">
        <w:noBreakHyphen/>
      </w:r>
      <w:r w:rsidR="007566B9">
        <w:rPr>
          <w:noProof/>
        </w:rPr>
        <w:t>69</w:t>
      </w:r>
      <w:r w:rsidR="004F0469">
        <w:fldChar w:fldCharType="end"/>
      </w:r>
      <w:r w:rsidR="004F0469">
        <w:t xml:space="preserve"> through </w:t>
      </w:r>
      <w:r w:rsidR="004F0469">
        <w:fldChar w:fldCharType="begin"/>
      </w:r>
      <w:r w:rsidR="004F0469">
        <w:instrText xml:space="preserve"> REF _Ref484533255 \h </w:instrText>
      </w:r>
      <w:r w:rsidR="004F0469">
        <w:fldChar w:fldCharType="separate"/>
      </w:r>
      <w:r w:rsidR="007566B9" w:rsidRPr="004F0469">
        <w:t xml:space="preserve">Figure </w:t>
      </w:r>
      <w:r w:rsidR="007566B9">
        <w:rPr>
          <w:noProof/>
        </w:rPr>
        <w:t>4</w:t>
      </w:r>
      <w:r w:rsidR="007566B9">
        <w:noBreakHyphen/>
      </w:r>
      <w:r w:rsidR="007566B9">
        <w:rPr>
          <w:noProof/>
        </w:rPr>
        <w:t>71</w:t>
      </w:r>
      <w:r w:rsidR="004F0469">
        <w:fldChar w:fldCharType="end"/>
      </w:r>
      <w:r w:rsidR="004F0469">
        <w:t>.</w:t>
      </w:r>
    </w:p>
    <w:p w14:paraId="500BDD65" w14:textId="77777777" w:rsidR="00131F07" w:rsidRDefault="00131F07" w:rsidP="00E97BD7"/>
    <w:p w14:paraId="72394561" w14:textId="7E88BC23" w:rsidR="00131F07" w:rsidRDefault="00131F07" w:rsidP="004F0469">
      <w:pPr>
        <w:pStyle w:val="Caption"/>
      </w:pPr>
      <w:bookmarkStart w:id="917" w:name="_Ref484533254"/>
      <w:bookmarkStart w:id="918" w:name="_Toc484437028"/>
      <w:bookmarkStart w:id="919" w:name="_Toc490491802"/>
      <w:r w:rsidRPr="004F0469">
        <w:lastRenderedPageBreak/>
        <w:t xml:space="preserve">Figure </w:t>
      </w:r>
      <w:fldSimple w:instr=" STYLEREF 1 \s ">
        <w:r w:rsidR="007566B9">
          <w:rPr>
            <w:noProof/>
          </w:rPr>
          <w:t>4</w:t>
        </w:r>
      </w:fldSimple>
      <w:r w:rsidR="00CE124F">
        <w:noBreakHyphen/>
      </w:r>
      <w:fldSimple w:instr=" SEQ Figure \* ARABIC \s 1 ">
        <w:r w:rsidR="007566B9">
          <w:rPr>
            <w:noProof/>
          </w:rPr>
          <w:t>69</w:t>
        </w:r>
      </w:fldSimple>
      <w:bookmarkEnd w:id="917"/>
      <w:r w:rsidRPr="004F0469">
        <w:t>. Results Viewer Overview Tab</w:t>
      </w:r>
      <w:bookmarkEnd w:id="918"/>
      <w:bookmarkEnd w:id="919"/>
    </w:p>
    <w:p w14:paraId="5EA69721" w14:textId="17AAA00D" w:rsidR="00CA3AED" w:rsidRPr="00CA3AED" w:rsidRDefault="00CA3AED" w:rsidP="00CA3AED">
      <w:r w:rsidRPr="00CA3AED">
        <w:rPr>
          <w:noProof/>
        </w:rPr>
        <w:drawing>
          <wp:inline distT="0" distB="0" distL="0" distR="0" wp14:anchorId="07CAD9FC" wp14:editId="090726C0">
            <wp:extent cx="5827594" cy="3671087"/>
            <wp:effectExtent l="19050" t="19050" r="20955" b="247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cstate="print">
                      <a:extLst>
                        <a:ext uri="{28A0092B-C50C-407E-A947-70E740481C1C}">
                          <a14:useLocalDpi xmlns:a14="http://schemas.microsoft.com/office/drawing/2010/main"/>
                        </a:ext>
                      </a:extLst>
                    </a:blip>
                    <a:srcRect/>
                    <a:stretch/>
                  </pic:blipFill>
                  <pic:spPr bwMode="auto">
                    <a:xfrm>
                      <a:off x="0" y="0"/>
                      <a:ext cx="5840740" cy="36793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278457" w14:textId="6AA31345" w:rsidR="00131F07" w:rsidRDefault="00131F07" w:rsidP="001202B7">
      <w:pPr>
        <w:jc w:val="center"/>
      </w:pPr>
    </w:p>
    <w:p w14:paraId="790CB8DF" w14:textId="77777777" w:rsidR="001202B7" w:rsidRDefault="001202B7" w:rsidP="001202B7">
      <w:pPr>
        <w:keepNext/>
        <w:spacing w:after="120"/>
        <w:jc w:val="center"/>
        <w:rPr>
          <w:b/>
          <w:bCs/>
          <w:color w:val="3F4042"/>
          <w:szCs w:val="20"/>
        </w:rPr>
      </w:pPr>
    </w:p>
    <w:p w14:paraId="781D36D9" w14:textId="4A0BC2FB" w:rsidR="00131F07" w:rsidRDefault="00131F07" w:rsidP="004F0469">
      <w:pPr>
        <w:pStyle w:val="Caption"/>
      </w:pPr>
      <w:bookmarkStart w:id="920" w:name="_Toc484437029"/>
      <w:bookmarkStart w:id="921" w:name="_Toc490491803"/>
      <w:r w:rsidRPr="004F0469">
        <w:t xml:space="preserve">Figure </w:t>
      </w:r>
      <w:fldSimple w:instr=" STYLEREF 1 \s ">
        <w:r w:rsidR="007566B9">
          <w:rPr>
            <w:noProof/>
          </w:rPr>
          <w:t>4</w:t>
        </w:r>
      </w:fldSimple>
      <w:r w:rsidR="00CE124F">
        <w:noBreakHyphen/>
      </w:r>
      <w:fldSimple w:instr=" SEQ Figure \* ARABIC \s 1 ">
        <w:r w:rsidR="007566B9">
          <w:rPr>
            <w:noProof/>
          </w:rPr>
          <w:t>70</w:t>
        </w:r>
      </w:fldSimple>
      <w:r w:rsidRPr="004F0469">
        <w:t>. Results Viewer Scenario Comparison</w:t>
      </w:r>
      <w:bookmarkEnd w:id="920"/>
      <w:r w:rsidR="00714E6E">
        <w:t xml:space="preserve"> (Illustrative)</w:t>
      </w:r>
      <w:bookmarkEnd w:id="921"/>
    </w:p>
    <w:p w14:paraId="4043EE07" w14:textId="56538A18" w:rsidR="00CA3AED" w:rsidRPr="00CA3AED" w:rsidRDefault="00CA3AED" w:rsidP="00CA3AED">
      <w:pPr>
        <w:jc w:val="center"/>
      </w:pPr>
      <w:r w:rsidRPr="00CA3AED">
        <w:rPr>
          <w:noProof/>
        </w:rPr>
        <w:drawing>
          <wp:inline distT="0" distB="0" distL="0" distR="0" wp14:anchorId="5DE5ABC9" wp14:editId="52E4B837">
            <wp:extent cx="4930475" cy="5479576"/>
            <wp:effectExtent l="19050" t="19050" r="22860" b="260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srcRect t="16507" r="59242"/>
                    <a:stretch/>
                  </pic:blipFill>
                  <pic:spPr bwMode="auto">
                    <a:xfrm>
                      <a:off x="0" y="0"/>
                      <a:ext cx="4955215" cy="55070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CE1C25" w14:textId="3DF647C4" w:rsidR="00131F07" w:rsidRDefault="00131F07" w:rsidP="001202B7">
      <w:pPr>
        <w:keepNext/>
        <w:spacing w:after="120"/>
        <w:jc w:val="center"/>
        <w:rPr>
          <w:b/>
          <w:bCs/>
          <w:color w:val="3F4042"/>
          <w:szCs w:val="20"/>
        </w:rPr>
      </w:pPr>
    </w:p>
    <w:p w14:paraId="651A6DEA" w14:textId="77777777" w:rsidR="001202B7" w:rsidRDefault="001202B7" w:rsidP="001202B7">
      <w:pPr>
        <w:keepNext/>
        <w:spacing w:after="120"/>
        <w:jc w:val="center"/>
        <w:rPr>
          <w:b/>
          <w:bCs/>
          <w:color w:val="3F4042"/>
          <w:szCs w:val="20"/>
        </w:rPr>
      </w:pPr>
    </w:p>
    <w:p w14:paraId="41F785DF" w14:textId="77777777" w:rsidR="001202B7" w:rsidRDefault="001202B7">
      <w:pPr>
        <w:spacing w:line="240" w:lineRule="auto"/>
        <w:rPr>
          <w:b/>
          <w:bCs/>
          <w:color w:val="3F4042"/>
          <w:szCs w:val="20"/>
        </w:rPr>
      </w:pPr>
      <w:r>
        <w:rPr>
          <w:b/>
          <w:bCs/>
          <w:color w:val="3F4042"/>
          <w:szCs w:val="20"/>
        </w:rPr>
        <w:br w:type="page"/>
      </w:r>
    </w:p>
    <w:p w14:paraId="4FD78A03" w14:textId="5E75A81C" w:rsidR="00131F07" w:rsidRPr="004F0469" w:rsidRDefault="00131F07" w:rsidP="004F0469">
      <w:pPr>
        <w:pStyle w:val="Caption"/>
      </w:pPr>
      <w:bookmarkStart w:id="922" w:name="_Ref484533255"/>
      <w:bookmarkStart w:id="923" w:name="_Toc484437030"/>
      <w:bookmarkStart w:id="924" w:name="_Toc490491804"/>
      <w:r w:rsidRPr="004F0469">
        <w:lastRenderedPageBreak/>
        <w:t xml:space="preserve">Figure </w:t>
      </w:r>
      <w:fldSimple w:instr=" STYLEREF 1 \s ">
        <w:r w:rsidR="007566B9">
          <w:rPr>
            <w:noProof/>
          </w:rPr>
          <w:t>4</w:t>
        </w:r>
      </w:fldSimple>
      <w:r w:rsidR="00CE124F">
        <w:noBreakHyphen/>
      </w:r>
      <w:fldSimple w:instr=" SEQ Figure \* ARABIC \s 1 ">
        <w:r w:rsidR="007566B9">
          <w:rPr>
            <w:noProof/>
          </w:rPr>
          <w:t>71</w:t>
        </w:r>
      </w:fldSimple>
      <w:bookmarkEnd w:id="922"/>
      <w:r w:rsidRPr="004F0469">
        <w:t>. Results Viewer End Use</w:t>
      </w:r>
      <w:r w:rsidR="00EA4438" w:rsidRPr="004F0469">
        <w:t>s</w:t>
      </w:r>
      <w:bookmarkEnd w:id="923"/>
      <w:r w:rsidR="00714E6E">
        <w:t xml:space="preserve"> (Illustrative)</w:t>
      </w:r>
      <w:bookmarkEnd w:id="924"/>
    </w:p>
    <w:p w14:paraId="1AD6724E" w14:textId="380571C9" w:rsidR="001202B7" w:rsidRDefault="00CA3AED" w:rsidP="001202B7">
      <w:pPr>
        <w:keepNext/>
        <w:spacing w:after="120"/>
        <w:jc w:val="center"/>
        <w:rPr>
          <w:b/>
          <w:bCs/>
          <w:color w:val="3F4042"/>
          <w:szCs w:val="20"/>
        </w:rPr>
      </w:pPr>
      <w:r>
        <w:rPr>
          <w:noProof/>
        </w:rPr>
        <w:drawing>
          <wp:inline distT="0" distB="0" distL="0" distR="0" wp14:anchorId="43EAF753" wp14:editId="1854C465">
            <wp:extent cx="5814950" cy="4465263"/>
            <wp:effectExtent l="19050" t="19050" r="14605" b="120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l="1" t="17142" r="41459"/>
                    <a:stretch/>
                  </pic:blipFill>
                  <pic:spPr bwMode="auto">
                    <a:xfrm>
                      <a:off x="0" y="0"/>
                      <a:ext cx="5839895" cy="44844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EBCC50" w14:textId="77777777" w:rsidR="001202B7" w:rsidRPr="001326E6" w:rsidRDefault="001202B7" w:rsidP="001202B7">
      <w:pPr>
        <w:keepNext/>
        <w:spacing w:after="120"/>
        <w:jc w:val="center"/>
        <w:rPr>
          <w:b/>
          <w:bCs/>
          <w:color w:val="3F4042"/>
          <w:szCs w:val="20"/>
        </w:rPr>
      </w:pPr>
    </w:p>
    <w:p w14:paraId="0409F8D3" w14:textId="77777777" w:rsidR="00131F07" w:rsidRPr="001326E6" w:rsidRDefault="00131F07" w:rsidP="00131F07">
      <w:pPr>
        <w:keepNext/>
        <w:spacing w:after="120"/>
        <w:jc w:val="center"/>
        <w:rPr>
          <w:b/>
          <w:bCs/>
          <w:color w:val="3F4042"/>
          <w:szCs w:val="20"/>
        </w:rPr>
      </w:pPr>
    </w:p>
    <w:p w14:paraId="0D9B6F60" w14:textId="77777777" w:rsidR="00131F07" w:rsidRPr="00131F07" w:rsidRDefault="00131F07" w:rsidP="00131F07"/>
    <w:p w14:paraId="1F0C7C9C" w14:textId="77777777" w:rsidR="00131F07" w:rsidRPr="00131F07" w:rsidRDefault="00131F07" w:rsidP="00131F07"/>
    <w:p w14:paraId="3D153222" w14:textId="77777777" w:rsidR="007E4D11" w:rsidRPr="001A3C04" w:rsidRDefault="007E4D11" w:rsidP="007E4D11">
      <w:pPr>
        <w:pStyle w:val="Heading1"/>
      </w:pPr>
      <w:bookmarkStart w:id="925" w:name="_Toc490225821"/>
      <w:r>
        <w:lastRenderedPageBreak/>
        <w:t>Comparision to 2015 Study</w:t>
      </w:r>
      <w:bookmarkEnd w:id="925"/>
      <w:r>
        <w:t xml:space="preserve"> </w:t>
      </w:r>
    </w:p>
    <w:p w14:paraId="71310470" w14:textId="21444106" w:rsidR="007E4D11" w:rsidRDefault="007E4D11" w:rsidP="0004676E">
      <w:pPr>
        <w:jc w:val="both"/>
      </w:pPr>
      <w:r>
        <w:t>Several recent changes in policy lead to significant changes in the way potential is expressed</w:t>
      </w:r>
      <w:r w:rsidR="006E2D76">
        <w:t xml:space="preserve"> in the 2018 Study as compared to the 2015 Study</w:t>
      </w:r>
      <w:r>
        <w:t xml:space="preserve">. </w:t>
      </w:r>
    </w:p>
    <w:p w14:paraId="00841E79" w14:textId="77777777" w:rsidR="007E4D11" w:rsidRDefault="007E4D11" w:rsidP="0004676E">
      <w:pPr>
        <w:pStyle w:val="ListParagraph"/>
        <w:numPr>
          <w:ilvl w:val="0"/>
          <w:numId w:val="82"/>
        </w:numPr>
        <w:jc w:val="both"/>
      </w:pPr>
      <w:r>
        <w:t>Market potential in the 2018 study is expressed in terms of net savings</w:t>
      </w:r>
    </w:p>
    <w:p w14:paraId="6791BD14" w14:textId="342C8251" w:rsidR="007E4D11" w:rsidRDefault="007E4D11" w:rsidP="0004676E">
      <w:pPr>
        <w:pStyle w:val="ListParagraph"/>
        <w:numPr>
          <w:ilvl w:val="0"/>
          <w:numId w:val="82"/>
        </w:numPr>
        <w:jc w:val="both"/>
      </w:pPr>
      <w:r>
        <w:t xml:space="preserve">Multiple scenarios are presented </w:t>
      </w:r>
      <w:r w:rsidR="006E2D76">
        <w:t xml:space="preserve">in the 2018 Study </w:t>
      </w:r>
      <w:r>
        <w:t>based on various cost effectiveness test parameters</w:t>
      </w:r>
    </w:p>
    <w:p w14:paraId="5D0FA027" w14:textId="77777777" w:rsidR="007E4D11" w:rsidRDefault="007E4D11" w:rsidP="0004676E">
      <w:pPr>
        <w:pStyle w:val="ListParagraph"/>
        <w:numPr>
          <w:ilvl w:val="0"/>
          <w:numId w:val="82"/>
        </w:numPr>
        <w:jc w:val="both"/>
      </w:pPr>
      <w:r>
        <w:t>The scope of savings from BROs and Low income are expanded in the 2018 study.</w:t>
      </w:r>
    </w:p>
    <w:p w14:paraId="3B7FCF16" w14:textId="77777777" w:rsidR="007E4D11" w:rsidRDefault="007E4D11" w:rsidP="0004676E">
      <w:pPr>
        <w:jc w:val="both"/>
      </w:pPr>
    </w:p>
    <w:p w14:paraId="31384D71" w14:textId="65059CF2" w:rsidR="007E4D11" w:rsidRDefault="007E4D11" w:rsidP="0004676E">
      <w:pPr>
        <w:jc w:val="both"/>
      </w:pPr>
      <w:r>
        <w:t xml:space="preserve">This section compares savings from the 2018 study to the 2015 study. </w:t>
      </w:r>
      <w:r w:rsidR="005F1F0E">
        <w:t xml:space="preserve">To make an even comparison, results </w:t>
      </w:r>
      <w:r w:rsidR="00BB7DE5">
        <w:t xml:space="preserve">for incentive programs </w:t>
      </w:r>
      <w:r w:rsidR="005F1F0E">
        <w:t>from the 2018 study in this section are expressed as gross savings instead of net. Comparisons are made for the calendar year 2018 (the first year of the forecast for the 2018 study) and 2024 (the last year</w:t>
      </w:r>
      <w:r w:rsidR="006F57E9">
        <w:t xml:space="preserve"> of the forecast for the 2015 study)</w:t>
      </w:r>
    </w:p>
    <w:p w14:paraId="57FFC8B5" w14:textId="77777777" w:rsidR="00BB255F" w:rsidRDefault="00BB255F" w:rsidP="0004676E">
      <w:pPr>
        <w:jc w:val="both"/>
      </w:pPr>
    </w:p>
    <w:p w14:paraId="0AC3ADBC" w14:textId="2D5C5C55" w:rsidR="00F56648" w:rsidRDefault="00FA33C3" w:rsidP="0004676E">
      <w:pPr>
        <w:jc w:val="both"/>
      </w:pPr>
      <w:r>
        <w:fldChar w:fldCharType="begin"/>
      </w:r>
      <w:r>
        <w:instrText xml:space="preserve"> REF _Ref490229197 \h </w:instrText>
      </w:r>
      <w:r>
        <w:fldChar w:fldCharType="separate"/>
      </w:r>
      <w:r>
        <w:t xml:space="preserve">Table </w:t>
      </w:r>
      <w:r>
        <w:rPr>
          <w:noProof/>
        </w:rPr>
        <w:t>5</w:t>
      </w:r>
      <w:r>
        <w:noBreakHyphen/>
      </w:r>
      <w:r>
        <w:rPr>
          <w:noProof/>
        </w:rPr>
        <w:t>1</w:t>
      </w:r>
      <w:r>
        <w:fldChar w:fldCharType="end"/>
      </w:r>
      <w:r w:rsidR="006F57E9">
        <w:t xml:space="preserve"> and </w:t>
      </w:r>
      <w:r>
        <w:fldChar w:fldCharType="begin"/>
      </w:r>
      <w:r>
        <w:instrText xml:space="preserve"> REF _Ref490229208 \h </w:instrText>
      </w:r>
      <w:r>
        <w:fldChar w:fldCharType="separate"/>
      </w:r>
      <w:r>
        <w:t xml:space="preserve">Table </w:t>
      </w:r>
      <w:r>
        <w:rPr>
          <w:noProof/>
        </w:rPr>
        <w:t>5</w:t>
      </w:r>
      <w:r>
        <w:noBreakHyphen/>
      </w:r>
      <w:r>
        <w:rPr>
          <w:noProof/>
        </w:rPr>
        <w:t>2</w:t>
      </w:r>
      <w:r>
        <w:fldChar w:fldCharType="end"/>
      </w:r>
      <w:r>
        <w:t xml:space="preserve"> </w:t>
      </w:r>
      <w:r w:rsidR="006F57E9" w:rsidRPr="00AF21BE">
        <w:t xml:space="preserve">show </w:t>
      </w:r>
      <w:r w:rsidR="005F1F0E" w:rsidRPr="00AF21BE">
        <w:t xml:space="preserve">the comparison between </w:t>
      </w:r>
      <w:r w:rsidR="006F57E9" w:rsidRPr="00AF21BE">
        <w:t>electric and gas savings</w:t>
      </w:r>
      <w:r w:rsidR="005F1F0E" w:rsidRPr="00AF21BE">
        <w:t xml:space="preserve"> for all incentive programs, </w:t>
      </w:r>
      <w:r w:rsidR="005F1F0E">
        <w:t xml:space="preserve">which include savings from </w:t>
      </w:r>
      <w:r w:rsidR="00185D90">
        <w:t>E</w:t>
      </w:r>
      <w:r w:rsidR="005F1F0E">
        <w:t xml:space="preserve">quipment </w:t>
      </w:r>
      <w:r w:rsidR="00185D90">
        <w:t>R</w:t>
      </w:r>
      <w:r w:rsidR="005F1F0E">
        <w:t xml:space="preserve">ebate programs, BROs interventions and </w:t>
      </w:r>
      <w:r w:rsidR="00185D90">
        <w:t>L</w:t>
      </w:r>
      <w:r w:rsidR="005F1F0E">
        <w:t xml:space="preserve">ow </w:t>
      </w:r>
      <w:r w:rsidR="00185D90">
        <w:t>I</w:t>
      </w:r>
      <w:r w:rsidR="005F1F0E">
        <w:t>ncome programs.</w:t>
      </w:r>
      <w:r w:rsidR="00BC62D1">
        <w:t xml:space="preserve"> </w:t>
      </w:r>
      <w:r w:rsidR="006E2D76">
        <w:t xml:space="preserve">All </w:t>
      </w:r>
      <w:r w:rsidR="00F56648">
        <w:t xml:space="preserve">scenarios </w:t>
      </w:r>
      <w:r w:rsidR="006E2D76">
        <w:t xml:space="preserve">generally </w:t>
      </w:r>
      <w:r w:rsidR="00F56648">
        <w:t>yield higher results in the 2018 study compared to the 2015</w:t>
      </w:r>
      <w:r w:rsidR="006E2D76">
        <w:t xml:space="preserve"> for both gas and electric</w:t>
      </w:r>
      <w:r w:rsidR="00F56648">
        <w:t xml:space="preserve">. </w:t>
      </w:r>
      <w:r w:rsidR="006E2D76">
        <w:t xml:space="preserve">The noted exception is Scenario 1 (TRC Reference) electric savings in the year 2018, which is just slightly lower than the 2015 study forecast. </w:t>
      </w:r>
      <w:r w:rsidR="00F56648">
        <w:t xml:space="preserve">It is important to note that the different incentive programs included in the total market potential contribute differently to this trend: </w:t>
      </w:r>
    </w:p>
    <w:p w14:paraId="0FECC0F1" w14:textId="728374F7" w:rsidR="00F56648" w:rsidRDefault="00F56648" w:rsidP="00AF21BE">
      <w:pPr>
        <w:pStyle w:val="ListParagraph"/>
        <w:numPr>
          <w:ilvl w:val="0"/>
          <w:numId w:val="97"/>
        </w:numPr>
        <w:jc w:val="both"/>
      </w:pPr>
      <w:r>
        <w:t xml:space="preserve">Savings from </w:t>
      </w:r>
      <w:r w:rsidR="00185D90">
        <w:t>E</w:t>
      </w:r>
      <w:r>
        <w:t xml:space="preserve">quipment </w:t>
      </w:r>
      <w:r w:rsidR="00185D90">
        <w:t>R</w:t>
      </w:r>
      <w:r>
        <w:t xml:space="preserve">ebate programs alone in the 2018 study are </w:t>
      </w:r>
      <w:r w:rsidR="00185D90">
        <w:t>lower</w:t>
      </w:r>
      <w:r>
        <w:t xml:space="preserve"> than the 2015 study results in some </w:t>
      </w:r>
      <w:r w:rsidR="00982C54">
        <w:t>scenarios</w:t>
      </w:r>
      <w:r>
        <w:t>:</w:t>
      </w:r>
    </w:p>
    <w:p w14:paraId="08B2A782" w14:textId="77777777" w:rsidR="00F56648" w:rsidRDefault="00F56648" w:rsidP="00AF21BE">
      <w:pPr>
        <w:pStyle w:val="ListParagraph"/>
        <w:numPr>
          <w:ilvl w:val="1"/>
          <w:numId w:val="97"/>
        </w:numPr>
        <w:jc w:val="both"/>
      </w:pPr>
      <w:r>
        <w:t>Electric savings in Scenario 1 (TRC Reference), Scenario 2 (mTRC w/ GHG Adder 1) and Scenario 3 (mTRC w/GHG adder 2) are lower than the 2015 study results</w:t>
      </w:r>
      <w:r w:rsidRPr="00F56648">
        <w:t xml:space="preserve">. </w:t>
      </w:r>
      <w:r w:rsidRPr="00AF21BE">
        <w:t xml:space="preserve">This implies </w:t>
      </w:r>
      <w:r>
        <w:t xml:space="preserve">that </w:t>
      </w:r>
      <w:r w:rsidRPr="00AF21BE">
        <w:t xml:space="preserve">the drop in avoided costs </w:t>
      </w:r>
      <w:r>
        <w:t xml:space="preserve">used to calculate the benefits for </w:t>
      </w:r>
      <w:r w:rsidR="00185D90">
        <w:t>E</w:t>
      </w:r>
      <w:r>
        <w:t xml:space="preserve">quipment </w:t>
      </w:r>
      <w:r w:rsidR="00185D90">
        <w:t>R</w:t>
      </w:r>
      <w:r>
        <w:t xml:space="preserve">ebate program measures </w:t>
      </w:r>
      <w:r w:rsidRPr="00AF21BE">
        <w:t>decreases program savings and the proposed GHG adder</w:t>
      </w:r>
      <w:r>
        <w:t>s</w:t>
      </w:r>
      <w:r w:rsidRPr="00AF21BE">
        <w:t xml:space="preserve"> </w:t>
      </w:r>
      <w:r>
        <w:t>are</w:t>
      </w:r>
      <w:r w:rsidRPr="00AF21BE">
        <w:t xml:space="preserve"> not enough to bring avoided costs back up to the level of the 2015 study. Values for the PAC scenarios in the 2018 Study are substantially higher than in the 2015 Study.</w:t>
      </w:r>
    </w:p>
    <w:p w14:paraId="48D0E46B" w14:textId="77777777" w:rsidR="00F56648" w:rsidRPr="00236875" w:rsidRDefault="00236875" w:rsidP="00AF21BE">
      <w:pPr>
        <w:pStyle w:val="ListParagraph"/>
        <w:numPr>
          <w:ilvl w:val="1"/>
          <w:numId w:val="97"/>
        </w:numPr>
        <w:jc w:val="both"/>
      </w:pPr>
      <w:r w:rsidRPr="00AF21BE">
        <w:t>Gas savings in Scenario 1 (TRC Reference) are lower than the 2015 study results, but on par or higher than the 2015 study results for all other scenarios</w:t>
      </w:r>
      <w:r w:rsidRPr="00236875">
        <w:t>.</w:t>
      </w:r>
    </w:p>
    <w:p w14:paraId="10D7AD92" w14:textId="02513E5E" w:rsidR="00414E68" w:rsidRDefault="00236875" w:rsidP="00FA33C3">
      <w:pPr>
        <w:pStyle w:val="ListParagraph"/>
        <w:numPr>
          <w:ilvl w:val="0"/>
          <w:numId w:val="97"/>
        </w:numPr>
        <w:jc w:val="both"/>
      </w:pPr>
      <w:r>
        <w:t xml:space="preserve">The scope of BROs interventions was significantly expanded in the 2018 study, which led to a substantially higher BROs savings in the 2018 study compared to the 2015 study. </w:t>
      </w:r>
      <w:r w:rsidR="00FA33C3">
        <w:fldChar w:fldCharType="begin"/>
      </w:r>
      <w:r w:rsidR="00FA33C3">
        <w:instrText xml:space="preserve"> REF _Ref490229260 \h </w:instrText>
      </w:r>
      <w:r w:rsidR="00FA33C3">
        <w:fldChar w:fldCharType="separate"/>
      </w:r>
      <w:r w:rsidR="00FA33C3">
        <w:t xml:space="preserve">Table </w:t>
      </w:r>
      <w:r w:rsidR="00FA33C3">
        <w:rPr>
          <w:noProof/>
        </w:rPr>
        <w:t>5</w:t>
      </w:r>
      <w:r w:rsidR="00FA33C3">
        <w:noBreakHyphen/>
      </w:r>
      <w:r w:rsidR="00FA33C3">
        <w:rPr>
          <w:noProof/>
        </w:rPr>
        <w:t>3</w:t>
      </w:r>
      <w:r w:rsidR="00FA33C3">
        <w:fldChar w:fldCharType="end"/>
      </w:r>
      <w:r w:rsidR="00FA33C3">
        <w:t xml:space="preserve"> </w:t>
      </w:r>
      <w:r w:rsidR="006A1475">
        <w:t xml:space="preserve">and </w:t>
      </w:r>
      <w:r w:rsidR="00FA33C3">
        <w:fldChar w:fldCharType="begin"/>
      </w:r>
      <w:r w:rsidR="00FA33C3">
        <w:instrText xml:space="preserve"> REF _Ref490229270 \h </w:instrText>
      </w:r>
      <w:r w:rsidR="00FA33C3">
        <w:fldChar w:fldCharType="separate"/>
      </w:r>
      <w:r w:rsidR="00FA33C3">
        <w:t xml:space="preserve">Table </w:t>
      </w:r>
      <w:r w:rsidR="00FA33C3">
        <w:rPr>
          <w:noProof/>
        </w:rPr>
        <w:t>5</w:t>
      </w:r>
      <w:r w:rsidR="00FA33C3">
        <w:noBreakHyphen/>
      </w:r>
      <w:r w:rsidR="00FA33C3">
        <w:rPr>
          <w:noProof/>
        </w:rPr>
        <w:t>4</w:t>
      </w:r>
      <w:r w:rsidR="00FA33C3">
        <w:fldChar w:fldCharType="end"/>
      </w:r>
      <w:r w:rsidR="00FA33C3">
        <w:t xml:space="preserve"> </w:t>
      </w:r>
      <w:r w:rsidR="006A1475">
        <w:t xml:space="preserve">summarize this trend. </w:t>
      </w:r>
      <w:r w:rsidR="00860A81">
        <w:t>Thus</w:t>
      </w:r>
      <w:r>
        <w:t>, BROs programs make up for the lost potential due to lower avoided costs in the equipment rebate programs, causing the overall market potential</w:t>
      </w:r>
      <w:r w:rsidR="00371287">
        <w:t xml:space="preserve"> for incentive programs</w:t>
      </w:r>
      <w:r>
        <w:t xml:space="preserve"> in the 2018 to be generally higher than the 2015 study results across all scenarios. </w:t>
      </w:r>
    </w:p>
    <w:p w14:paraId="01D23B53" w14:textId="77777777" w:rsidR="00414E68" w:rsidRDefault="00414E68">
      <w:pPr>
        <w:spacing w:line="240" w:lineRule="auto"/>
      </w:pPr>
      <w:r>
        <w:br w:type="page"/>
      </w:r>
    </w:p>
    <w:p w14:paraId="3D2A8591" w14:textId="77777777" w:rsidR="00860A81" w:rsidRDefault="00860A81" w:rsidP="00AF21BE">
      <w:pPr>
        <w:ind w:left="360"/>
      </w:pPr>
    </w:p>
    <w:p w14:paraId="2352E91D" w14:textId="77777777" w:rsidR="00CF198A" w:rsidRDefault="00CF198A" w:rsidP="00AF21BE">
      <w:pPr>
        <w:pStyle w:val="Caption"/>
      </w:pPr>
      <w:bookmarkStart w:id="926" w:name="_Ref490214171"/>
      <w:bookmarkStart w:id="927" w:name="_Ref490229197"/>
      <w:bookmarkStart w:id="928" w:name="_Toc490560695"/>
      <w:r>
        <w:t xml:space="preserve">Table </w:t>
      </w:r>
      <w:fldSimple w:instr=" STYLEREF 1 \s ">
        <w:r w:rsidR="007566B9">
          <w:rPr>
            <w:noProof/>
          </w:rPr>
          <w:t>5</w:t>
        </w:r>
      </w:fldSimple>
      <w:r>
        <w:noBreakHyphen/>
      </w:r>
      <w:bookmarkEnd w:id="926"/>
      <w:r w:rsidR="00B206D8">
        <w:fldChar w:fldCharType="begin"/>
      </w:r>
      <w:r w:rsidR="00B206D8">
        <w:instrText xml:space="preserve"> SEQ Table \* ARABIC \s 1 </w:instrText>
      </w:r>
      <w:r w:rsidR="00B206D8">
        <w:fldChar w:fldCharType="separate"/>
      </w:r>
      <w:r w:rsidR="007566B9">
        <w:rPr>
          <w:noProof/>
        </w:rPr>
        <w:t>1</w:t>
      </w:r>
      <w:r w:rsidR="00B206D8">
        <w:rPr>
          <w:noProof/>
        </w:rPr>
        <w:fldChar w:fldCharType="end"/>
      </w:r>
      <w:bookmarkEnd w:id="927"/>
      <w:r>
        <w:t xml:space="preserve">. </w:t>
      </w:r>
      <w:r w:rsidRPr="00CF198A">
        <w:t>Total Incentive Program Market Potential Comparison - Gross Electric Savings</w:t>
      </w:r>
      <w:bookmarkEnd w:id="928"/>
    </w:p>
    <w:tbl>
      <w:tblPr>
        <w:tblW w:w="8279" w:type="dxa"/>
        <w:jc w:val="center"/>
        <w:tblLook w:val="04A0" w:firstRow="1" w:lastRow="0" w:firstColumn="1" w:lastColumn="0" w:noHBand="0" w:noVBand="1"/>
      </w:tblPr>
      <w:tblGrid>
        <w:gridCol w:w="2143"/>
        <w:gridCol w:w="1534"/>
        <w:gridCol w:w="1499"/>
        <w:gridCol w:w="35"/>
        <w:gridCol w:w="1534"/>
        <w:gridCol w:w="1534"/>
      </w:tblGrid>
      <w:tr w:rsidR="00860A81" w:rsidRPr="00860A81" w14:paraId="62022D2C" w14:textId="77777777" w:rsidTr="00414E68">
        <w:trPr>
          <w:trHeight w:val="234"/>
          <w:jc w:val="center"/>
        </w:trPr>
        <w:tc>
          <w:tcPr>
            <w:tcW w:w="2143" w:type="dxa"/>
            <w:tcBorders>
              <w:top w:val="nil"/>
              <w:left w:val="nil"/>
              <w:bottom w:val="single" w:sz="12" w:space="0" w:color="95D600"/>
              <w:right w:val="nil"/>
            </w:tcBorders>
            <w:shd w:val="clear" w:color="000000" w:fill="555759"/>
            <w:vAlign w:val="center"/>
            <w:hideMark/>
          </w:tcPr>
          <w:p w14:paraId="3EC5C46B" w14:textId="77777777" w:rsidR="00860A81" w:rsidRPr="00860A81" w:rsidRDefault="00860A81" w:rsidP="00860A81">
            <w:pPr>
              <w:spacing w:line="240" w:lineRule="auto"/>
              <w:jc w:val="center"/>
              <w:rPr>
                <w:rFonts w:ascii="Arial Narrow" w:hAnsi="Arial Narrow"/>
                <w:b/>
                <w:bCs/>
                <w:color w:val="FFFFFF"/>
                <w:szCs w:val="20"/>
              </w:rPr>
            </w:pPr>
            <w:r w:rsidRPr="00860A81">
              <w:rPr>
                <w:rFonts w:ascii="Arial Narrow" w:hAnsi="Arial Narrow"/>
                <w:b/>
                <w:bCs/>
                <w:color w:val="FFFFFF"/>
                <w:szCs w:val="20"/>
              </w:rPr>
              <w:t> </w:t>
            </w:r>
          </w:p>
        </w:tc>
        <w:tc>
          <w:tcPr>
            <w:tcW w:w="3033" w:type="dxa"/>
            <w:gridSpan w:val="2"/>
            <w:tcBorders>
              <w:top w:val="nil"/>
              <w:left w:val="nil"/>
              <w:bottom w:val="single" w:sz="12" w:space="0" w:color="95D600"/>
              <w:right w:val="nil"/>
            </w:tcBorders>
            <w:shd w:val="clear" w:color="000000" w:fill="555759"/>
            <w:vAlign w:val="center"/>
            <w:hideMark/>
          </w:tcPr>
          <w:p w14:paraId="440D1044" w14:textId="77777777" w:rsidR="00860A81" w:rsidRPr="00860A81" w:rsidRDefault="00860A81" w:rsidP="00860A81">
            <w:pPr>
              <w:spacing w:line="240" w:lineRule="auto"/>
              <w:jc w:val="center"/>
              <w:rPr>
                <w:rFonts w:ascii="Arial Narrow" w:hAnsi="Arial Narrow"/>
                <w:b/>
                <w:bCs/>
                <w:color w:val="FFFFFF"/>
                <w:szCs w:val="20"/>
              </w:rPr>
            </w:pPr>
            <w:r w:rsidRPr="00860A81">
              <w:rPr>
                <w:rFonts w:ascii="Arial Narrow" w:hAnsi="Arial Narrow"/>
                <w:b/>
                <w:bCs/>
                <w:color w:val="FFFFFF"/>
                <w:szCs w:val="20"/>
              </w:rPr>
              <w:t>2018</w:t>
            </w:r>
          </w:p>
        </w:tc>
        <w:tc>
          <w:tcPr>
            <w:tcW w:w="3102" w:type="dxa"/>
            <w:gridSpan w:val="3"/>
            <w:tcBorders>
              <w:top w:val="nil"/>
              <w:left w:val="nil"/>
              <w:bottom w:val="single" w:sz="12" w:space="0" w:color="95D600"/>
              <w:right w:val="nil"/>
            </w:tcBorders>
            <w:shd w:val="clear" w:color="000000" w:fill="555759"/>
            <w:vAlign w:val="center"/>
            <w:hideMark/>
          </w:tcPr>
          <w:p w14:paraId="4435E0E9" w14:textId="77777777" w:rsidR="00860A81" w:rsidRPr="00860A81" w:rsidRDefault="00860A81" w:rsidP="00860A81">
            <w:pPr>
              <w:spacing w:line="240" w:lineRule="auto"/>
              <w:jc w:val="center"/>
              <w:rPr>
                <w:rFonts w:ascii="Arial Narrow" w:hAnsi="Arial Narrow"/>
                <w:b/>
                <w:bCs/>
                <w:color w:val="FFFFFF"/>
                <w:szCs w:val="20"/>
              </w:rPr>
            </w:pPr>
            <w:r w:rsidRPr="00860A81">
              <w:rPr>
                <w:rFonts w:ascii="Arial Narrow" w:hAnsi="Arial Narrow"/>
                <w:b/>
                <w:bCs/>
                <w:color w:val="FFFFFF"/>
                <w:szCs w:val="20"/>
              </w:rPr>
              <w:t>2024</w:t>
            </w:r>
          </w:p>
        </w:tc>
      </w:tr>
      <w:tr w:rsidR="00860A81" w:rsidRPr="00860A81" w14:paraId="05806A6D" w14:textId="77777777" w:rsidTr="00414E68">
        <w:trPr>
          <w:trHeight w:val="579"/>
          <w:jc w:val="center"/>
        </w:trPr>
        <w:tc>
          <w:tcPr>
            <w:tcW w:w="2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8BEBB8"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 </w:t>
            </w:r>
          </w:p>
        </w:tc>
        <w:tc>
          <w:tcPr>
            <w:tcW w:w="1534" w:type="dxa"/>
            <w:tcBorders>
              <w:top w:val="single" w:sz="4" w:space="0" w:color="auto"/>
              <w:left w:val="nil"/>
              <w:bottom w:val="single" w:sz="4" w:space="0" w:color="auto"/>
              <w:right w:val="single" w:sz="4" w:space="0" w:color="auto"/>
            </w:tcBorders>
            <w:shd w:val="clear" w:color="000000" w:fill="FFFFFF"/>
            <w:vAlign w:val="center"/>
            <w:hideMark/>
          </w:tcPr>
          <w:p w14:paraId="7ADEB98C" w14:textId="77777777" w:rsidR="00860A81" w:rsidRPr="00860A81" w:rsidRDefault="00860A81" w:rsidP="00860A81">
            <w:pPr>
              <w:spacing w:line="240" w:lineRule="auto"/>
              <w:jc w:val="center"/>
              <w:rPr>
                <w:rFonts w:ascii="Arial Narrow" w:hAnsi="Arial Narrow"/>
                <w:b/>
                <w:bCs/>
                <w:szCs w:val="20"/>
              </w:rPr>
            </w:pPr>
            <w:r w:rsidRPr="00860A81">
              <w:rPr>
                <w:rFonts w:ascii="Arial Narrow" w:hAnsi="Arial Narrow"/>
                <w:b/>
                <w:bCs/>
                <w:szCs w:val="20"/>
              </w:rPr>
              <w:t>Market Potential (GWh)</w:t>
            </w:r>
          </w:p>
        </w:tc>
        <w:tc>
          <w:tcPr>
            <w:tcW w:w="1534" w:type="dxa"/>
            <w:gridSpan w:val="2"/>
            <w:tcBorders>
              <w:top w:val="single" w:sz="4" w:space="0" w:color="auto"/>
              <w:left w:val="nil"/>
              <w:bottom w:val="single" w:sz="4" w:space="0" w:color="auto"/>
              <w:right w:val="single" w:sz="4" w:space="0" w:color="auto"/>
            </w:tcBorders>
            <w:shd w:val="clear" w:color="000000" w:fill="FFFFFF"/>
            <w:vAlign w:val="center"/>
            <w:hideMark/>
          </w:tcPr>
          <w:p w14:paraId="4D81298B" w14:textId="77777777" w:rsidR="00860A81" w:rsidRPr="00860A81" w:rsidRDefault="00860A81" w:rsidP="00860A81">
            <w:pPr>
              <w:spacing w:line="240" w:lineRule="auto"/>
              <w:jc w:val="center"/>
              <w:rPr>
                <w:rFonts w:ascii="Arial Narrow" w:hAnsi="Arial Narrow"/>
                <w:b/>
                <w:bCs/>
                <w:szCs w:val="20"/>
              </w:rPr>
            </w:pPr>
            <w:r w:rsidRPr="00860A81">
              <w:rPr>
                <w:rFonts w:ascii="Arial Narrow" w:hAnsi="Arial Narrow"/>
                <w:b/>
                <w:bCs/>
                <w:szCs w:val="20"/>
              </w:rPr>
              <w:t>Percent Difference Relative to 2015 study</w:t>
            </w:r>
          </w:p>
        </w:tc>
        <w:tc>
          <w:tcPr>
            <w:tcW w:w="1534" w:type="dxa"/>
            <w:tcBorders>
              <w:top w:val="single" w:sz="4" w:space="0" w:color="auto"/>
              <w:left w:val="nil"/>
              <w:bottom w:val="single" w:sz="4" w:space="0" w:color="auto"/>
              <w:right w:val="single" w:sz="4" w:space="0" w:color="auto"/>
            </w:tcBorders>
            <w:shd w:val="clear" w:color="000000" w:fill="FFFFFF"/>
            <w:vAlign w:val="center"/>
            <w:hideMark/>
          </w:tcPr>
          <w:p w14:paraId="6F2392BC" w14:textId="77777777" w:rsidR="00860A81" w:rsidRPr="00860A81" w:rsidRDefault="00860A81" w:rsidP="00860A81">
            <w:pPr>
              <w:spacing w:line="240" w:lineRule="auto"/>
              <w:jc w:val="center"/>
              <w:rPr>
                <w:rFonts w:ascii="Arial Narrow" w:hAnsi="Arial Narrow"/>
                <w:b/>
                <w:bCs/>
                <w:szCs w:val="20"/>
              </w:rPr>
            </w:pPr>
            <w:r w:rsidRPr="00860A81">
              <w:rPr>
                <w:rFonts w:ascii="Arial Narrow" w:hAnsi="Arial Narrow"/>
                <w:b/>
                <w:bCs/>
                <w:szCs w:val="20"/>
              </w:rPr>
              <w:t>Market Potential (GWh)</w:t>
            </w:r>
          </w:p>
        </w:tc>
        <w:tc>
          <w:tcPr>
            <w:tcW w:w="1534" w:type="dxa"/>
            <w:tcBorders>
              <w:top w:val="single" w:sz="4" w:space="0" w:color="auto"/>
              <w:left w:val="nil"/>
              <w:bottom w:val="single" w:sz="4" w:space="0" w:color="auto"/>
              <w:right w:val="single" w:sz="4" w:space="0" w:color="auto"/>
            </w:tcBorders>
            <w:shd w:val="clear" w:color="000000" w:fill="FFFFFF"/>
            <w:vAlign w:val="center"/>
            <w:hideMark/>
          </w:tcPr>
          <w:p w14:paraId="42C11CF3" w14:textId="77777777" w:rsidR="00860A81" w:rsidRPr="00860A81" w:rsidRDefault="00860A81" w:rsidP="00860A81">
            <w:pPr>
              <w:spacing w:line="240" w:lineRule="auto"/>
              <w:jc w:val="center"/>
              <w:rPr>
                <w:rFonts w:ascii="Arial Narrow" w:hAnsi="Arial Narrow"/>
                <w:b/>
                <w:bCs/>
                <w:szCs w:val="20"/>
              </w:rPr>
            </w:pPr>
            <w:r w:rsidRPr="00860A81">
              <w:rPr>
                <w:rFonts w:ascii="Arial Narrow" w:hAnsi="Arial Narrow"/>
                <w:b/>
                <w:bCs/>
                <w:szCs w:val="20"/>
              </w:rPr>
              <w:t>Percent Difference Relative to 2015 study</w:t>
            </w:r>
          </w:p>
        </w:tc>
      </w:tr>
      <w:tr w:rsidR="00860A81" w:rsidRPr="00860A81" w14:paraId="2DE34F70" w14:textId="77777777" w:rsidTr="00414E68">
        <w:trPr>
          <w:trHeight w:val="222"/>
          <w:jc w:val="center"/>
        </w:trPr>
        <w:tc>
          <w:tcPr>
            <w:tcW w:w="2143" w:type="dxa"/>
            <w:tcBorders>
              <w:top w:val="nil"/>
              <w:left w:val="single" w:sz="4" w:space="0" w:color="auto"/>
              <w:bottom w:val="single" w:sz="4" w:space="0" w:color="auto"/>
              <w:right w:val="single" w:sz="4" w:space="0" w:color="auto"/>
            </w:tcBorders>
            <w:shd w:val="clear" w:color="000000" w:fill="FFFFFF"/>
            <w:vAlign w:val="center"/>
            <w:hideMark/>
          </w:tcPr>
          <w:p w14:paraId="2A7F8A67"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2015 Study</w:t>
            </w:r>
          </w:p>
        </w:tc>
        <w:tc>
          <w:tcPr>
            <w:tcW w:w="1534" w:type="dxa"/>
            <w:tcBorders>
              <w:top w:val="nil"/>
              <w:left w:val="nil"/>
              <w:bottom w:val="single" w:sz="4" w:space="0" w:color="auto"/>
              <w:right w:val="single" w:sz="4" w:space="0" w:color="auto"/>
            </w:tcBorders>
            <w:shd w:val="clear" w:color="000000" w:fill="FFFFFF"/>
            <w:vAlign w:val="center"/>
            <w:hideMark/>
          </w:tcPr>
          <w:p w14:paraId="79ED4ABC"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1,177</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1F590CC7"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w:t>
            </w:r>
          </w:p>
        </w:tc>
        <w:tc>
          <w:tcPr>
            <w:tcW w:w="1534" w:type="dxa"/>
            <w:tcBorders>
              <w:top w:val="nil"/>
              <w:left w:val="nil"/>
              <w:bottom w:val="single" w:sz="4" w:space="0" w:color="auto"/>
              <w:right w:val="single" w:sz="4" w:space="0" w:color="auto"/>
            </w:tcBorders>
            <w:shd w:val="clear" w:color="000000" w:fill="FFFFFF"/>
            <w:vAlign w:val="center"/>
            <w:hideMark/>
          </w:tcPr>
          <w:p w14:paraId="364BF926"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1,332</w:t>
            </w:r>
          </w:p>
        </w:tc>
        <w:tc>
          <w:tcPr>
            <w:tcW w:w="1534" w:type="dxa"/>
            <w:tcBorders>
              <w:top w:val="nil"/>
              <w:left w:val="nil"/>
              <w:bottom w:val="single" w:sz="4" w:space="0" w:color="auto"/>
              <w:right w:val="single" w:sz="4" w:space="0" w:color="auto"/>
            </w:tcBorders>
            <w:shd w:val="clear" w:color="000000" w:fill="FFFFFF"/>
            <w:vAlign w:val="center"/>
            <w:hideMark/>
          </w:tcPr>
          <w:p w14:paraId="1BA1EBE4"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w:t>
            </w:r>
          </w:p>
        </w:tc>
      </w:tr>
      <w:tr w:rsidR="00860A81" w:rsidRPr="00860A81" w14:paraId="23F70A3E" w14:textId="77777777" w:rsidTr="00414E68">
        <w:trPr>
          <w:trHeight w:val="568"/>
          <w:jc w:val="center"/>
        </w:trPr>
        <w:tc>
          <w:tcPr>
            <w:tcW w:w="2143" w:type="dxa"/>
            <w:tcBorders>
              <w:top w:val="nil"/>
              <w:left w:val="single" w:sz="4" w:space="0" w:color="auto"/>
              <w:bottom w:val="single" w:sz="4" w:space="0" w:color="auto"/>
              <w:right w:val="single" w:sz="4" w:space="0" w:color="auto"/>
            </w:tcBorders>
            <w:shd w:val="clear" w:color="000000" w:fill="FFFFFF"/>
            <w:vAlign w:val="center"/>
            <w:hideMark/>
          </w:tcPr>
          <w:p w14:paraId="046B4BB7"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2018 Study – Scenario 1 (TRC Reference</w:t>
            </w:r>
          </w:p>
        </w:tc>
        <w:tc>
          <w:tcPr>
            <w:tcW w:w="1534" w:type="dxa"/>
            <w:tcBorders>
              <w:top w:val="nil"/>
              <w:left w:val="nil"/>
              <w:bottom w:val="single" w:sz="4" w:space="0" w:color="auto"/>
              <w:right w:val="single" w:sz="4" w:space="0" w:color="auto"/>
            </w:tcBorders>
            <w:shd w:val="clear" w:color="000000" w:fill="FFFFFF"/>
            <w:vAlign w:val="center"/>
            <w:hideMark/>
          </w:tcPr>
          <w:p w14:paraId="23445EA9"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1,160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10F02F32"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-1%</w:t>
            </w:r>
          </w:p>
        </w:tc>
        <w:tc>
          <w:tcPr>
            <w:tcW w:w="1534" w:type="dxa"/>
            <w:tcBorders>
              <w:top w:val="nil"/>
              <w:left w:val="nil"/>
              <w:bottom w:val="single" w:sz="4" w:space="0" w:color="auto"/>
              <w:right w:val="single" w:sz="4" w:space="0" w:color="auto"/>
            </w:tcBorders>
            <w:shd w:val="clear" w:color="000000" w:fill="FFFFFF"/>
            <w:vAlign w:val="center"/>
            <w:hideMark/>
          </w:tcPr>
          <w:p w14:paraId="694F54AC"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1,577</w:t>
            </w:r>
          </w:p>
        </w:tc>
        <w:tc>
          <w:tcPr>
            <w:tcW w:w="1534" w:type="dxa"/>
            <w:tcBorders>
              <w:top w:val="nil"/>
              <w:left w:val="nil"/>
              <w:bottom w:val="single" w:sz="4" w:space="0" w:color="auto"/>
              <w:right w:val="single" w:sz="4" w:space="0" w:color="auto"/>
            </w:tcBorders>
            <w:shd w:val="clear" w:color="000000" w:fill="FFFFFF"/>
            <w:vAlign w:val="center"/>
            <w:hideMark/>
          </w:tcPr>
          <w:p w14:paraId="23703D94"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18.4%</w:t>
            </w:r>
          </w:p>
        </w:tc>
      </w:tr>
      <w:tr w:rsidR="00860A81" w:rsidRPr="00860A81" w14:paraId="217B684D" w14:textId="77777777" w:rsidTr="00414E68">
        <w:trPr>
          <w:cantSplit/>
          <w:trHeight w:val="568"/>
          <w:jc w:val="center"/>
        </w:trPr>
        <w:tc>
          <w:tcPr>
            <w:tcW w:w="2143" w:type="dxa"/>
            <w:tcBorders>
              <w:top w:val="nil"/>
              <w:left w:val="single" w:sz="4" w:space="0" w:color="auto"/>
              <w:bottom w:val="single" w:sz="4" w:space="0" w:color="auto"/>
              <w:right w:val="single" w:sz="4" w:space="0" w:color="auto"/>
            </w:tcBorders>
            <w:shd w:val="clear" w:color="000000" w:fill="FFFFFF"/>
            <w:vAlign w:val="center"/>
            <w:hideMark/>
          </w:tcPr>
          <w:p w14:paraId="5750BE32"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 xml:space="preserve">2018 Study – Scenario 2 (mTRC w/ GHG Adder 1) </w:t>
            </w:r>
          </w:p>
        </w:tc>
        <w:tc>
          <w:tcPr>
            <w:tcW w:w="1534" w:type="dxa"/>
            <w:tcBorders>
              <w:top w:val="nil"/>
              <w:left w:val="nil"/>
              <w:bottom w:val="single" w:sz="4" w:space="0" w:color="auto"/>
              <w:right w:val="single" w:sz="4" w:space="0" w:color="auto"/>
            </w:tcBorders>
            <w:shd w:val="clear" w:color="000000" w:fill="FFFFFF"/>
            <w:vAlign w:val="center"/>
            <w:hideMark/>
          </w:tcPr>
          <w:p w14:paraId="4F9D5D8E"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1,208</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31ADECF"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3%</w:t>
            </w:r>
          </w:p>
        </w:tc>
        <w:tc>
          <w:tcPr>
            <w:tcW w:w="1534" w:type="dxa"/>
            <w:tcBorders>
              <w:top w:val="nil"/>
              <w:left w:val="nil"/>
              <w:bottom w:val="single" w:sz="4" w:space="0" w:color="auto"/>
              <w:right w:val="single" w:sz="4" w:space="0" w:color="auto"/>
            </w:tcBorders>
            <w:shd w:val="clear" w:color="000000" w:fill="FFFFFF"/>
            <w:vAlign w:val="center"/>
            <w:hideMark/>
          </w:tcPr>
          <w:p w14:paraId="18E29D51"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1,631</w:t>
            </w:r>
          </w:p>
        </w:tc>
        <w:tc>
          <w:tcPr>
            <w:tcW w:w="1534" w:type="dxa"/>
            <w:tcBorders>
              <w:top w:val="nil"/>
              <w:left w:val="nil"/>
              <w:bottom w:val="single" w:sz="4" w:space="0" w:color="auto"/>
              <w:right w:val="single" w:sz="4" w:space="0" w:color="auto"/>
            </w:tcBorders>
            <w:shd w:val="clear" w:color="000000" w:fill="FFFFFF"/>
            <w:vAlign w:val="center"/>
            <w:hideMark/>
          </w:tcPr>
          <w:p w14:paraId="48B9F867"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22%</w:t>
            </w:r>
          </w:p>
        </w:tc>
      </w:tr>
      <w:tr w:rsidR="00860A81" w:rsidRPr="00860A81" w14:paraId="00CDB637" w14:textId="77777777" w:rsidTr="00414E68">
        <w:trPr>
          <w:trHeight w:val="568"/>
          <w:jc w:val="center"/>
        </w:trPr>
        <w:tc>
          <w:tcPr>
            <w:tcW w:w="2143" w:type="dxa"/>
            <w:tcBorders>
              <w:top w:val="nil"/>
              <w:left w:val="single" w:sz="4" w:space="0" w:color="auto"/>
              <w:bottom w:val="single" w:sz="4" w:space="0" w:color="auto"/>
              <w:right w:val="single" w:sz="4" w:space="0" w:color="auto"/>
            </w:tcBorders>
            <w:shd w:val="clear" w:color="000000" w:fill="FFFFFF"/>
            <w:vAlign w:val="center"/>
            <w:hideMark/>
          </w:tcPr>
          <w:p w14:paraId="165D267F"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 xml:space="preserve">2018 Study – Scenario 3 (mTRC w/ GHG Adder 2) </w:t>
            </w:r>
          </w:p>
        </w:tc>
        <w:tc>
          <w:tcPr>
            <w:tcW w:w="1534" w:type="dxa"/>
            <w:tcBorders>
              <w:top w:val="nil"/>
              <w:left w:val="nil"/>
              <w:bottom w:val="single" w:sz="4" w:space="0" w:color="auto"/>
              <w:right w:val="single" w:sz="4" w:space="0" w:color="auto"/>
            </w:tcBorders>
            <w:shd w:val="clear" w:color="000000" w:fill="FFFFFF"/>
            <w:vAlign w:val="center"/>
            <w:hideMark/>
          </w:tcPr>
          <w:p w14:paraId="0E9A856B"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1,225</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58FD24F3"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4%</w:t>
            </w:r>
          </w:p>
        </w:tc>
        <w:tc>
          <w:tcPr>
            <w:tcW w:w="1534" w:type="dxa"/>
            <w:tcBorders>
              <w:top w:val="nil"/>
              <w:left w:val="nil"/>
              <w:bottom w:val="single" w:sz="4" w:space="0" w:color="auto"/>
              <w:right w:val="single" w:sz="4" w:space="0" w:color="auto"/>
            </w:tcBorders>
            <w:shd w:val="clear" w:color="000000" w:fill="FFFFFF"/>
            <w:vAlign w:val="center"/>
            <w:hideMark/>
          </w:tcPr>
          <w:p w14:paraId="027F5845"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1,690</w:t>
            </w:r>
          </w:p>
        </w:tc>
        <w:tc>
          <w:tcPr>
            <w:tcW w:w="1534" w:type="dxa"/>
            <w:tcBorders>
              <w:top w:val="nil"/>
              <w:left w:val="nil"/>
              <w:bottom w:val="single" w:sz="4" w:space="0" w:color="auto"/>
              <w:right w:val="single" w:sz="4" w:space="0" w:color="auto"/>
            </w:tcBorders>
            <w:shd w:val="clear" w:color="000000" w:fill="FFFFFF"/>
            <w:vAlign w:val="center"/>
            <w:hideMark/>
          </w:tcPr>
          <w:p w14:paraId="6A6A084F"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27%</w:t>
            </w:r>
          </w:p>
        </w:tc>
      </w:tr>
      <w:tr w:rsidR="00860A81" w:rsidRPr="00860A81" w14:paraId="362CC677" w14:textId="77777777" w:rsidTr="00414E68">
        <w:trPr>
          <w:cantSplit/>
          <w:trHeight w:val="568"/>
          <w:jc w:val="center"/>
        </w:trPr>
        <w:tc>
          <w:tcPr>
            <w:tcW w:w="2143" w:type="dxa"/>
            <w:tcBorders>
              <w:top w:val="nil"/>
              <w:left w:val="single" w:sz="4" w:space="0" w:color="auto"/>
              <w:bottom w:val="single" w:sz="4" w:space="0" w:color="auto"/>
              <w:right w:val="single" w:sz="4" w:space="0" w:color="auto"/>
            </w:tcBorders>
            <w:shd w:val="clear" w:color="000000" w:fill="FFFFFF"/>
            <w:vAlign w:val="center"/>
            <w:hideMark/>
          </w:tcPr>
          <w:p w14:paraId="6ED41B98"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 xml:space="preserve">2018 Study – Scenario 4 (PAC Reference) </w:t>
            </w:r>
          </w:p>
        </w:tc>
        <w:tc>
          <w:tcPr>
            <w:tcW w:w="1534" w:type="dxa"/>
            <w:tcBorders>
              <w:top w:val="nil"/>
              <w:left w:val="nil"/>
              <w:bottom w:val="single" w:sz="4" w:space="0" w:color="auto"/>
              <w:right w:val="single" w:sz="4" w:space="0" w:color="auto"/>
            </w:tcBorders>
            <w:shd w:val="clear" w:color="000000" w:fill="FFFFFF"/>
            <w:vAlign w:val="center"/>
            <w:hideMark/>
          </w:tcPr>
          <w:p w14:paraId="5A33783A"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1,528</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03981E91"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30%</w:t>
            </w:r>
          </w:p>
        </w:tc>
        <w:tc>
          <w:tcPr>
            <w:tcW w:w="1534" w:type="dxa"/>
            <w:tcBorders>
              <w:top w:val="nil"/>
              <w:left w:val="nil"/>
              <w:bottom w:val="single" w:sz="4" w:space="0" w:color="auto"/>
              <w:right w:val="single" w:sz="4" w:space="0" w:color="auto"/>
            </w:tcBorders>
            <w:shd w:val="clear" w:color="000000" w:fill="FFFFFF"/>
            <w:vAlign w:val="center"/>
            <w:hideMark/>
          </w:tcPr>
          <w:p w14:paraId="7DD95DD0"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1,888</w:t>
            </w:r>
          </w:p>
        </w:tc>
        <w:tc>
          <w:tcPr>
            <w:tcW w:w="1534" w:type="dxa"/>
            <w:tcBorders>
              <w:top w:val="nil"/>
              <w:left w:val="nil"/>
              <w:bottom w:val="single" w:sz="4" w:space="0" w:color="auto"/>
              <w:right w:val="single" w:sz="4" w:space="0" w:color="auto"/>
            </w:tcBorders>
            <w:shd w:val="clear" w:color="000000" w:fill="FFFFFF"/>
            <w:vAlign w:val="center"/>
            <w:hideMark/>
          </w:tcPr>
          <w:p w14:paraId="16F0FD29"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42%</w:t>
            </w:r>
          </w:p>
        </w:tc>
      </w:tr>
      <w:tr w:rsidR="00860A81" w:rsidRPr="00860A81" w14:paraId="3279753B" w14:textId="77777777" w:rsidTr="00414E68">
        <w:trPr>
          <w:trHeight w:val="568"/>
          <w:jc w:val="center"/>
        </w:trPr>
        <w:tc>
          <w:tcPr>
            <w:tcW w:w="2143" w:type="dxa"/>
            <w:tcBorders>
              <w:top w:val="nil"/>
              <w:left w:val="single" w:sz="4" w:space="0" w:color="auto"/>
              <w:bottom w:val="single" w:sz="4" w:space="0" w:color="auto"/>
              <w:right w:val="single" w:sz="4" w:space="0" w:color="auto"/>
            </w:tcBorders>
            <w:shd w:val="clear" w:color="000000" w:fill="FFFFFF"/>
            <w:vAlign w:val="center"/>
            <w:hideMark/>
          </w:tcPr>
          <w:p w14:paraId="6EC6A263"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 xml:space="preserve">2018 Study – Scenario 4 (PAC Aggressive) </w:t>
            </w:r>
          </w:p>
        </w:tc>
        <w:tc>
          <w:tcPr>
            <w:tcW w:w="1534" w:type="dxa"/>
            <w:tcBorders>
              <w:top w:val="nil"/>
              <w:left w:val="nil"/>
              <w:bottom w:val="single" w:sz="4" w:space="0" w:color="auto"/>
              <w:right w:val="single" w:sz="4" w:space="0" w:color="auto"/>
            </w:tcBorders>
            <w:shd w:val="clear" w:color="000000" w:fill="FFFFFF"/>
            <w:vAlign w:val="center"/>
            <w:hideMark/>
          </w:tcPr>
          <w:p w14:paraId="5550A407"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1,654</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11B18852"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41%</w:t>
            </w:r>
          </w:p>
        </w:tc>
        <w:tc>
          <w:tcPr>
            <w:tcW w:w="1534" w:type="dxa"/>
            <w:tcBorders>
              <w:top w:val="nil"/>
              <w:left w:val="nil"/>
              <w:bottom w:val="single" w:sz="4" w:space="0" w:color="auto"/>
              <w:right w:val="single" w:sz="4" w:space="0" w:color="auto"/>
            </w:tcBorders>
            <w:shd w:val="clear" w:color="000000" w:fill="FFFFFF"/>
            <w:vAlign w:val="center"/>
            <w:hideMark/>
          </w:tcPr>
          <w:p w14:paraId="62C77B38"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2,210</w:t>
            </w:r>
          </w:p>
        </w:tc>
        <w:tc>
          <w:tcPr>
            <w:tcW w:w="1534" w:type="dxa"/>
            <w:tcBorders>
              <w:top w:val="nil"/>
              <w:left w:val="nil"/>
              <w:bottom w:val="single" w:sz="4" w:space="0" w:color="auto"/>
              <w:right w:val="single" w:sz="4" w:space="0" w:color="auto"/>
            </w:tcBorders>
            <w:shd w:val="clear" w:color="000000" w:fill="FFFFFF"/>
            <w:vAlign w:val="center"/>
            <w:hideMark/>
          </w:tcPr>
          <w:p w14:paraId="19CEED7C"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66%</w:t>
            </w:r>
          </w:p>
        </w:tc>
      </w:tr>
    </w:tbl>
    <w:p w14:paraId="78932156" w14:textId="77777777" w:rsidR="00236875" w:rsidRDefault="00236875" w:rsidP="005F1F0E">
      <w:pPr>
        <w:pStyle w:val="Caption"/>
        <w:rPr>
          <w:highlight w:val="yellow"/>
        </w:rPr>
      </w:pPr>
    </w:p>
    <w:p w14:paraId="3F72D654" w14:textId="77777777" w:rsidR="00CF198A" w:rsidRDefault="00E47D2E" w:rsidP="00AF21BE">
      <w:pPr>
        <w:pStyle w:val="Caption"/>
      </w:pPr>
      <w:bookmarkStart w:id="929" w:name="_Ref490214173"/>
      <w:bookmarkStart w:id="930" w:name="_Ref490229208"/>
      <w:bookmarkStart w:id="931" w:name="_Toc490560696"/>
      <w:r>
        <w:t xml:space="preserve">Table </w:t>
      </w:r>
      <w:fldSimple w:instr=" STYLEREF 1 \s ">
        <w:r w:rsidR="007566B9">
          <w:rPr>
            <w:noProof/>
          </w:rPr>
          <w:t>5</w:t>
        </w:r>
      </w:fldSimple>
      <w:r>
        <w:noBreakHyphen/>
      </w:r>
      <w:bookmarkEnd w:id="929"/>
      <w:r w:rsidR="00B206D8">
        <w:fldChar w:fldCharType="begin"/>
      </w:r>
      <w:r w:rsidR="00B206D8">
        <w:instrText xml:space="preserve"> SEQ Table \* ARABIC \s 1 </w:instrText>
      </w:r>
      <w:r w:rsidR="00B206D8">
        <w:fldChar w:fldCharType="separate"/>
      </w:r>
      <w:r w:rsidR="007566B9">
        <w:rPr>
          <w:noProof/>
        </w:rPr>
        <w:t>2</w:t>
      </w:r>
      <w:r w:rsidR="00B206D8">
        <w:rPr>
          <w:noProof/>
        </w:rPr>
        <w:fldChar w:fldCharType="end"/>
      </w:r>
      <w:bookmarkEnd w:id="930"/>
      <w:r w:rsidR="00CF198A">
        <w:t xml:space="preserve">. </w:t>
      </w:r>
      <w:r w:rsidR="00CF198A" w:rsidRPr="00CF198A">
        <w:t>Total Incentive Program Market Potential Comparison - Gross Gas Savings</w:t>
      </w:r>
      <w:bookmarkEnd w:id="931"/>
    </w:p>
    <w:tbl>
      <w:tblPr>
        <w:tblW w:w="8383" w:type="dxa"/>
        <w:jc w:val="center"/>
        <w:tblLook w:val="04A0" w:firstRow="1" w:lastRow="0" w:firstColumn="1" w:lastColumn="0" w:noHBand="0" w:noVBand="1"/>
      </w:tblPr>
      <w:tblGrid>
        <w:gridCol w:w="2170"/>
        <w:gridCol w:w="1553"/>
        <w:gridCol w:w="1518"/>
        <w:gridCol w:w="35"/>
        <w:gridCol w:w="1553"/>
        <w:gridCol w:w="1554"/>
      </w:tblGrid>
      <w:tr w:rsidR="00860A81" w:rsidRPr="00860A81" w14:paraId="1DD9D708" w14:textId="77777777" w:rsidTr="00414E68">
        <w:trPr>
          <w:trHeight w:val="223"/>
          <w:jc w:val="center"/>
        </w:trPr>
        <w:tc>
          <w:tcPr>
            <w:tcW w:w="2170" w:type="dxa"/>
            <w:tcBorders>
              <w:top w:val="nil"/>
              <w:left w:val="nil"/>
              <w:bottom w:val="single" w:sz="12" w:space="0" w:color="95D600"/>
              <w:right w:val="nil"/>
            </w:tcBorders>
            <w:shd w:val="clear" w:color="000000" w:fill="555759"/>
            <w:vAlign w:val="center"/>
            <w:hideMark/>
          </w:tcPr>
          <w:p w14:paraId="3395388C" w14:textId="77777777" w:rsidR="00860A81" w:rsidRPr="00860A81" w:rsidRDefault="00860A81" w:rsidP="00860A81">
            <w:pPr>
              <w:spacing w:line="240" w:lineRule="auto"/>
              <w:jc w:val="center"/>
              <w:rPr>
                <w:rFonts w:ascii="Arial Narrow" w:hAnsi="Arial Narrow"/>
                <w:b/>
                <w:bCs/>
                <w:color w:val="FFFFFF"/>
                <w:szCs w:val="20"/>
              </w:rPr>
            </w:pPr>
            <w:r w:rsidRPr="00860A81">
              <w:rPr>
                <w:rFonts w:ascii="Arial Narrow" w:hAnsi="Arial Narrow"/>
                <w:b/>
                <w:bCs/>
                <w:color w:val="FFFFFF"/>
                <w:szCs w:val="20"/>
              </w:rPr>
              <w:t> </w:t>
            </w:r>
          </w:p>
        </w:tc>
        <w:tc>
          <w:tcPr>
            <w:tcW w:w="3071" w:type="dxa"/>
            <w:gridSpan w:val="2"/>
            <w:tcBorders>
              <w:top w:val="nil"/>
              <w:left w:val="nil"/>
              <w:bottom w:val="single" w:sz="12" w:space="0" w:color="95D600"/>
              <w:right w:val="nil"/>
            </w:tcBorders>
            <w:shd w:val="clear" w:color="000000" w:fill="555759"/>
            <w:vAlign w:val="center"/>
            <w:hideMark/>
          </w:tcPr>
          <w:p w14:paraId="7EA71923" w14:textId="77777777" w:rsidR="00860A81" w:rsidRPr="00860A81" w:rsidRDefault="00860A81" w:rsidP="00860A81">
            <w:pPr>
              <w:spacing w:line="240" w:lineRule="auto"/>
              <w:jc w:val="center"/>
              <w:rPr>
                <w:rFonts w:ascii="Arial Narrow" w:hAnsi="Arial Narrow"/>
                <w:b/>
                <w:bCs/>
                <w:color w:val="FFFFFF"/>
                <w:szCs w:val="20"/>
              </w:rPr>
            </w:pPr>
            <w:r w:rsidRPr="00860A81">
              <w:rPr>
                <w:rFonts w:ascii="Arial Narrow" w:hAnsi="Arial Narrow"/>
                <w:b/>
                <w:bCs/>
                <w:color w:val="FFFFFF"/>
                <w:szCs w:val="20"/>
              </w:rPr>
              <w:t>2018</w:t>
            </w:r>
          </w:p>
        </w:tc>
        <w:tc>
          <w:tcPr>
            <w:tcW w:w="3142" w:type="dxa"/>
            <w:gridSpan w:val="3"/>
            <w:tcBorders>
              <w:top w:val="nil"/>
              <w:left w:val="nil"/>
              <w:bottom w:val="single" w:sz="12" w:space="0" w:color="95D600"/>
              <w:right w:val="nil"/>
            </w:tcBorders>
            <w:shd w:val="clear" w:color="000000" w:fill="555759"/>
            <w:vAlign w:val="center"/>
            <w:hideMark/>
          </w:tcPr>
          <w:p w14:paraId="6B7C6273" w14:textId="77777777" w:rsidR="00860A81" w:rsidRPr="00860A81" w:rsidRDefault="00860A81" w:rsidP="00860A81">
            <w:pPr>
              <w:spacing w:line="240" w:lineRule="auto"/>
              <w:jc w:val="center"/>
              <w:rPr>
                <w:rFonts w:ascii="Arial Narrow" w:hAnsi="Arial Narrow"/>
                <w:b/>
                <w:bCs/>
                <w:color w:val="FFFFFF"/>
                <w:szCs w:val="20"/>
              </w:rPr>
            </w:pPr>
            <w:r w:rsidRPr="00860A81">
              <w:rPr>
                <w:rFonts w:ascii="Arial Narrow" w:hAnsi="Arial Narrow"/>
                <w:b/>
                <w:bCs/>
                <w:color w:val="FFFFFF"/>
                <w:szCs w:val="20"/>
              </w:rPr>
              <w:t>2024</w:t>
            </w:r>
          </w:p>
        </w:tc>
      </w:tr>
      <w:tr w:rsidR="00860A81" w:rsidRPr="00860A81" w14:paraId="46E4A2D3" w14:textId="77777777" w:rsidTr="00414E68">
        <w:trPr>
          <w:trHeight w:val="553"/>
          <w:jc w:val="center"/>
        </w:trPr>
        <w:tc>
          <w:tcPr>
            <w:tcW w:w="2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1B0E1F"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 </w:t>
            </w:r>
          </w:p>
        </w:tc>
        <w:tc>
          <w:tcPr>
            <w:tcW w:w="1553" w:type="dxa"/>
            <w:tcBorders>
              <w:top w:val="single" w:sz="4" w:space="0" w:color="auto"/>
              <w:left w:val="nil"/>
              <w:bottom w:val="single" w:sz="4" w:space="0" w:color="auto"/>
              <w:right w:val="single" w:sz="4" w:space="0" w:color="auto"/>
            </w:tcBorders>
            <w:shd w:val="clear" w:color="000000" w:fill="FFFFFF"/>
            <w:vAlign w:val="center"/>
            <w:hideMark/>
          </w:tcPr>
          <w:p w14:paraId="2DF9884A" w14:textId="77777777" w:rsidR="00860A81" w:rsidRPr="00860A81" w:rsidRDefault="00860A81" w:rsidP="00860A81">
            <w:pPr>
              <w:spacing w:line="240" w:lineRule="auto"/>
              <w:jc w:val="center"/>
              <w:rPr>
                <w:rFonts w:ascii="Arial Narrow" w:hAnsi="Arial Narrow"/>
                <w:b/>
                <w:bCs/>
                <w:szCs w:val="20"/>
              </w:rPr>
            </w:pPr>
            <w:r w:rsidRPr="00860A81">
              <w:rPr>
                <w:rFonts w:ascii="Arial Narrow" w:hAnsi="Arial Narrow"/>
                <w:b/>
                <w:bCs/>
                <w:szCs w:val="20"/>
              </w:rPr>
              <w:t>Market Potential (MM</w:t>
            </w:r>
            <w:r w:rsidR="00CF198A">
              <w:rPr>
                <w:rFonts w:ascii="Arial Narrow" w:hAnsi="Arial Narrow"/>
                <w:b/>
                <w:bCs/>
                <w:szCs w:val="20"/>
              </w:rPr>
              <w:t>T</w:t>
            </w:r>
            <w:r w:rsidRPr="00860A81">
              <w:rPr>
                <w:rFonts w:ascii="Arial Narrow" w:hAnsi="Arial Narrow"/>
                <w:b/>
                <w:bCs/>
                <w:szCs w:val="20"/>
              </w:rPr>
              <w:t>herms)</w:t>
            </w:r>
          </w:p>
        </w:tc>
        <w:tc>
          <w:tcPr>
            <w:tcW w:w="1553" w:type="dxa"/>
            <w:gridSpan w:val="2"/>
            <w:tcBorders>
              <w:top w:val="single" w:sz="4" w:space="0" w:color="auto"/>
              <w:left w:val="nil"/>
              <w:bottom w:val="single" w:sz="4" w:space="0" w:color="auto"/>
              <w:right w:val="single" w:sz="4" w:space="0" w:color="auto"/>
            </w:tcBorders>
            <w:shd w:val="clear" w:color="000000" w:fill="FFFFFF"/>
            <w:vAlign w:val="center"/>
            <w:hideMark/>
          </w:tcPr>
          <w:p w14:paraId="58EE4E3B" w14:textId="77777777" w:rsidR="00860A81" w:rsidRPr="00860A81" w:rsidRDefault="00860A81" w:rsidP="00860A81">
            <w:pPr>
              <w:spacing w:line="240" w:lineRule="auto"/>
              <w:jc w:val="center"/>
              <w:rPr>
                <w:rFonts w:ascii="Arial Narrow" w:hAnsi="Arial Narrow"/>
                <w:b/>
                <w:bCs/>
                <w:szCs w:val="20"/>
              </w:rPr>
            </w:pPr>
            <w:r w:rsidRPr="00860A81">
              <w:rPr>
                <w:rFonts w:ascii="Arial Narrow" w:hAnsi="Arial Narrow"/>
                <w:b/>
                <w:bCs/>
                <w:szCs w:val="20"/>
              </w:rPr>
              <w:t>Percent Difference Relative to 2015 study</w:t>
            </w:r>
          </w:p>
        </w:tc>
        <w:tc>
          <w:tcPr>
            <w:tcW w:w="1553" w:type="dxa"/>
            <w:tcBorders>
              <w:top w:val="single" w:sz="4" w:space="0" w:color="auto"/>
              <w:left w:val="nil"/>
              <w:bottom w:val="single" w:sz="4" w:space="0" w:color="auto"/>
              <w:right w:val="single" w:sz="4" w:space="0" w:color="auto"/>
            </w:tcBorders>
            <w:shd w:val="clear" w:color="000000" w:fill="FFFFFF"/>
            <w:vAlign w:val="center"/>
            <w:hideMark/>
          </w:tcPr>
          <w:p w14:paraId="493C14FC" w14:textId="77777777" w:rsidR="00860A81" w:rsidRPr="00860A81" w:rsidRDefault="00860A81" w:rsidP="00860A81">
            <w:pPr>
              <w:spacing w:line="240" w:lineRule="auto"/>
              <w:jc w:val="center"/>
              <w:rPr>
                <w:rFonts w:ascii="Arial Narrow" w:hAnsi="Arial Narrow"/>
                <w:b/>
                <w:bCs/>
                <w:szCs w:val="20"/>
              </w:rPr>
            </w:pPr>
            <w:r w:rsidRPr="00860A81">
              <w:rPr>
                <w:rFonts w:ascii="Arial Narrow" w:hAnsi="Arial Narrow"/>
                <w:b/>
                <w:bCs/>
                <w:szCs w:val="20"/>
              </w:rPr>
              <w:t>Market Potential (MM</w:t>
            </w:r>
            <w:r w:rsidR="00CF198A">
              <w:rPr>
                <w:rFonts w:ascii="Arial Narrow" w:hAnsi="Arial Narrow"/>
                <w:b/>
                <w:bCs/>
                <w:szCs w:val="20"/>
              </w:rPr>
              <w:t>T</w:t>
            </w:r>
            <w:r w:rsidRPr="00860A81">
              <w:rPr>
                <w:rFonts w:ascii="Arial Narrow" w:hAnsi="Arial Narrow"/>
                <w:b/>
                <w:bCs/>
                <w:szCs w:val="20"/>
              </w:rPr>
              <w:t>herms)</w:t>
            </w:r>
          </w:p>
        </w:tc>
        <w:tc>
          <w:tcPr>
            <w:tcW w:w="1553" w:type="dxa"/>
            <w:tcBorders>
              <w:top w:val="single" w:sz="4" w:space="0" w:color="auto"/>
              <w:left w:val="nil"/>
              <w:bottom w:val="single" w:sz="4" w:space="0" w:color="auto"/>
              <w:right w:val="single" w:sz="4" w:space="0" w:color="auto"/>
            </w:tcBorders>
            <w:shd w:val="clear" w:color="000000" w:fill="FFFFFF"/>
            <w:vAlign w:val="center"/>
            <w:hideMark/>
          </w:tcPr>
          <w:p w14:paraId="20FDE270" w14:textId="77777777" w:rsidR="00860A81" w:rsidRPr="00860A81" w:rsidRDefault="00860A81" w:rsidP="00860A81">
            <w:pPr>
              <w:spacing w:line="240" w:lineRule="auto"/>
              <w:jc w:val="center"/>
              <w:rPr>
                <w:rFonts w:ascii="Arial Narrow" w:hAnsi="Arial Narrow"/>
                <w:b/>
                <w:bCs/>
                <w:szCs w:val="20"/>
              </w:rPr>
            </w:pPr>
            <w:r w:rsidRPr="00860A81">
              <w:rPr>
                <w:rFonts w:ascii="Arial Narrow" w:hAnsi="Arial Narrow"/>
                <w:b/>
                <w:bCs/>
                <w:szCs w:val="20"/>
              </w:rPr>
              <w:t>Percent Difference Relative to 2015 study</w:t>
            </w:r>
          </w:p>
        </w:tc>
      </w:tr>
      <w:tr w:rsidR="00860A81" w:rsidRPr="00860A81" w14:paraId="0EACAC74" w14:textId="77777777" w:rsidTr="00414E68">
        <w:trPr>
          <w:trHeight w:val="212"/>
          <w:jc w:val="center"/>
        </w:trPr>
        <w:tc>
          <w:tcPr>
            <w:tcW w:w="2170" w:type="dxa"/>
            <w:tcBorders>
              <w:top w:val="nil"/>
              <w:left w:val="single" w:sz="4" w:space="0" w:color="auto"/>
              <w:bottom w:val="single" w:sz="4" w:space="0" w:color="auto"/>
              <w:right w:val="single" w:sz="4" w:space="0" w:color="auto"/>
            </w:tcBorders>
            <w:shd w:val="clear" w:color="000000" w:fill="FFFFFF"/>
            <w:vAlign w:val="center"/>
            <w:hideMark/>
          </w:tcPr>
          <w:p w14:paraId="4C476513"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2015 Study</w:t>
            </w:r>
          </w:p>
        </w:tc>
        <w:tc>
          <w:tcPr>
            <w:tcW w:w="1553" w:type="dxa"/>
            <w:tcBorders>
              <w:top w:val="nil"/>
              <w:left w:val="nil"/>
              <w:bottom w:val="single" w:sz="4" w:space="0" w:color="auto"/>
              <w:right w:val="single" w:sz="4" w:space="0" w:color="auto"/>
            </w:tcBorders>
            <w:shd w:val="clear" w:color="000000" w:fill="FFFFFF"/>
            <w:vAlign w:val="center"/>
            <w:hideMark/>
          </w:tcPr>
          <w:p w14:paraId="69FD5D5F"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34.6</w:t>
            </w:r>
          </w:p>
        </w:tc>
        <w:tc>
          <w:tcPr>
            <w:tcW w:w="1553" w:type="dxa"/>
            <w:gridSpan w:val="2"/>
            <w:tcBorders>
              <w:top w:val="nil"/>
              <w:left w:val="nil"/>
              <w:bottom w:val="single" w:sz="4" w:space="0" w:color="auto"/>
              <w:right w:val="single" w:sz="4" w:space="0" w:color="auto"/>
            </w:tcBorders>
            <w:shd w:val="clear" w:color="000000" w:fill="FFFFFF"/>
            <w:vAlign w:val="center"/>
            <w:hideMark/>
          </w:tcPr>
          <w:p w14:paraId="37F3ECB0"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w:t>
            </w:r>
          </w:p>
        </w:tc>
        <w:tc>
          <w:tcPr>
            <w:tcW w:w="1553" w:type="dxa"/>
            <w:tcBorders>
              <w:top w:val="nil"/>
              <w:left w:val="nil"/>
              <w:bottom w:val="single" w:sz="4" w:space="0" w:color="auto"/>
              <w:right w:val="single" w:sz="4" w:space="0" w:color="auto"/>
            </w:tcBorders>
            <w:shd w:val="clear" w:color="000000" w:fill="FFFFFF"/>
            <w:vAlign w:val="center"/>
            <w:hideMark/>
          </w:tcPr>
          <w:p w14:paraId="23CBFA59"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40.8</w:t>
            </w:r>
          </w:p>
        </w:tc>
        <w:tc>
          <w:tcPr>
            <w:tcW w:w="1553" w:type="dxa"/>
            <w:tcBorders>
              <w:top w:val="nil"/>
              <w:left w:val="nil"/>
              <w:bottom w:val="single" w:sz="4" w:space="0" w:color="auto"/>
              <w:right w:val="single" w:sz="4" w:space="0" w:color="auto"/>
            </w:tcBorders>
            <w:shd w:val="clear" w:color="000000" w:fill="FFFFFF"/>
            <w:vAlign w:val="center"/>
            <w:hideMark/>
          </w:tcPr>
          <w:p w14:paraId="634FFD13"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w:t>
            </w:r>
          </w:p>
        </w:tc>
      </w:tr>
      <w:tr w:rsidR="00860A81" w:rsidRPr="00860A81" w14:paraId="62020051" w14:textId="77777777" w:rsidTr="00414E68">
        <w:trPr>
          <w:trHeight w:val="543"/>
          <w:jc w:val="center"/>
        </w:trPr>
        <w:tc>
          <w:tcPr>
            <w:tcW w:w="2170" w:type="dxa"/>
            <w:tcBorders>
              <w:top w:val="nil"/>
              <w:left w:val="single" w:sz="4" w:space="0" w:color="auto"/>
              <w:bottom w:val="single" w:sz="4" w:space="0" w:color="auto"/>
              <w:right w:val="single" w:sz="4" w:space="0" w:color="auto"/>
            </w:tcBorders>
            <w:shd w:val="clear" w:color="000000" w:fill="FFFFFF"/>
            <w:vAlign w:val="center"/>
            <w:hideMark/>
          </w:tcPr>
          <w:p w14:paraId="11609CDC"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2018 Study – Scenario 1 (TRC Reference</w:t>
            </w:r>
          </w:p>
        </w:tc>
        <w:tc>
          <w:tcPr>
            <w:tcW w:w="1553" w:type="dxa"/>
            <w:tcBorders>
              <w:top w:val="nil"/>
              <w:left w:val="nil"/>
              <w:bottom w:val="single" w:sz="4" w:space="0" w:color="auto"/>
              <w:right w:val="single" w:sz="4" w:space="0" w:color="auto"/>
            </w:tcBorders>
            <w:shd w:val="clear" w:color="000000" w:fill="FFFFFF"/>
            <w:vAlign w:val="center"/>
            <w:hideMark/>
          </w:tcPr>
          <w:p w14:paraId="426E58AC"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42.4</w:t>
            </w:r>
          </w:p>
        </w:tc>
        <w:tc>
          <w:tcPr>
            <w:tcW w:w="1553" w:type="dxa"/>
            <w:gridSpan w:val="2"/>
            <w:tcBorders>
              <w:top w:val="nil"/>
              <w:left w:val="nil"/>
              <w:bottom w:val="single" w:sz="4" w:space="0" w:color="auto"/>
              <w:right w:val="single" w:sz="4" w:space="0" w:color="auto"/>
            </w:tcBorders>
            <w:shd w:val="clear" w:color="000000" w:fill="FFFFFF"/>
            <w:vAlign w:val="center"/>
            <w:hideMark/>
          </w:tcPr>
          <w:p w14:paraId="1E4C9388"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22%</w:t>
            </w:r>
          </w:p>
        </w:tc>
        <w:tc>
          <w:tcPr>
            <w:tcW w:w="1553" w:type="dxa"/>
            <w:tcBorders>
              <w:top w:val="nil"/>
              <w:left w:val="nil"/>
              <w:bottom w:val="single" w:sz="4" w:space="0" w:color="auto"/>
              <w:right w:val="single" w:sz="4" w:space="0" w:color="auto"/>
            </w:tcBorders>
            <w:shd w:val="clear" w:color="000000" w:fill="FFFFFF"/>
            <w:vAlign w:val="center"/>
            <w:hideMark/>
          </w:tcPr>
          <w:p w14:paraId="7AC48219"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53.5</w:t>
            </w:r>
          </w:p>
        </w:tc>
        <w:tc>
          <w:tcPr>
            <w:tcW w:w="1553" w:type="dxa"/>
            <w:tcBorders>
              <w:top w:val="nil"/>
              <w:left w:val="nil"/>
              <w:bottom w:val="single" w:sz="4" w:space="0" w:color="auto"/>
              <w:right w:val="single" w:sz="4" w:space="0" w:color="auto"/>
            </w:tcBorders>
            <w:shd w:val="clear" w:color="000000" w:fill="FFFFFF"/>
            <w:vAlign w:val="center"/>
            <w:hideMark/>
          </w:tcPr>
          <w:p w14:paraId="5FBFF40A"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31%</w:t>
            </w:r>
          </w:p>
        </w:tc>
      </w:tr>
      <w:tr w:rsidR="00860A81" w:rsidRPr="00860A81" w14:paraId="7B599B5D" w14:textId="77777777" w:rsidTr="00414E68">
        <w:trPr>
          <w:cantSplit/>
          <w:trHeight w:val="543"/>
          <w:jc w:val="center"/>
        </w:trPr>
        <w:tc>
          <w:tcPr>
            <w:tcW w:w="2170" w:type="dxa"/>
            <w:tcBorders>
              <w:top w:val="nil"/>
              <w:left w:val="single" w:sz="4" w:space="0" w:color="auto"/>
              <w:bottom w:val="single" w:sz="4" w:space="0" w:color="auto"/>
              <w:right w:val="single" w:sz="4" w:space="0" w:color="auto"/>
            </w:tcBorders>
            <w:shd w:val="clear" w:color="000000" w:fill="FFFFFF"/>
            <w:vAlign w:val="center"/>
            <w:hideMark/>
          </w:tcPr>
          <w:p w14:paraId="01D317B8"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 xml:space="preserve">2018 Study – Scenario 2 (mTRC w/ GHG Adder 1) </w:t>
            </w:r>
          </w:p>
        </w:tc>
        <w:tc>
          <w:tcPr>
            <w:tcW w:w="1553" w:type="dxa"/>
            <w:tcBorders>
              <w:top w:val="nil"/>
              <w:left w:val="nil"/>
              <w:bottom w:val="single" w:sz="4" w:space="0" w:color="auto"/>
              <w:right w:val="single" w:sz="4" w:space="0" w:color="auto"/>
            </w:tcBorders>
            <w:shd w:val="clear" w:color="000000" w:fill="FFFFFF"/>
            <w:vAlign w:val="center"/>
            <w:hideMark/>
          </w:tcPr>
          <w:p w14:paraId="1A419DBA"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51.3</w:t>
            </w:r>
          </w:p>
        </w:tc>
        <w:tc>
          <w:tcPr>
            <w:tcW w:w="1553" w:type="dxa"/>
            <w:gridSpan w:val="2"/>
            <w:tcBorders>
              <w:top w:val="nil"/>
              <w:left w:val="nil"/>
              <w:bottom w:val="single" w:sz="4" w:space="0" w:color="auto"/>
              <w:right w:val="single" w:sz="4" w:space="0" w:color="auto"/>
            </w:tcBorders>
            <w:shd w:val="clear" w:color="000000" w:fill="FFFFFF"/>
            <w:vAlign w:val="center"/>
            <w:hideMark/>
          </w:tcPr>
          <w:p w14:paraId="624C9EAB"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48%</w:t>
            </w:r>
          </w:p>
        </w:tc>
        <w:tc>
          <w:tcPr>
            <w:tcW w:w="1553" w:type="dxa"/>
            <w:tcBorders>
              <w:top w:val="nil"/>
              <w:left w:val="nil"/>
              <w:bottom w:val="single" w:sz="4" w:space="0" w:color="auto"/>
              <w:right w:val="single" w:sz="4" w:space="0" w:color="auto"/>
            </w:tcBorders>
            <w:shd w:val="clear" w:color="000000" w:fill="FFFFFF"/>
            <w:vAlign w:val="center"/>
            <w:hideMark/>
          </w:tcPr>
          <w:p w14:paraId="306FFC82"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72.2</w:t>
            </w:r>
          </w:p>
        </w:tc>
        <w:tc>
          <w:tcPr>
            <w:tcW w:w="1553" w:type="dxa"/>
            <w:tcBorders>
              <w:top w:val="nil"/>
              <w:left w:val="nil"/>
              <w:bottom w:val="single" w:sz="4" w:space="0" w:color="auto"/>
              <w:right w:val="single" w:sz="4" w:space="0" w:color="auto"/>
            </w:tcBorders>
            <w:shd w:val="clear" w:color="000000" w:fill="FFFFFF"/>
            <w:vAlign w:val="center"/>
            <w:hideMark/>
          </w:tcPr>
          <w:p w14:paraId="5336E0C4"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77%</w:t>
            </w:r>
          </w:p>
        </w:tc>
      </w:tr>
      <w:tr w:rsidR="00860A81" w:rsidRPr="00860A81" w14:paraId="38C7067A" w14:textId="77777777" w:rsidTr="00414E68">
        <w:trPr>
          <w:trHeight w:val="543"/>
          <w:jc w:val="center"/>
        </w:trPr>
        <w:tc>
          <w:tcPr>
            <w:tcW w:w="2170" w:type="dxa"/>
            <w:tcBorders>
              <w:top w:val="nil"/>
              <w:left w:val="single" w:sz="4" w:space="0" w:color="auto"/>
              <w:bottom w:val="single" w:sz="4" w:space="0" w:color="auto"/>
              <w:right w:val="single" w:sz="4" w:space="0" w:color="auto"/>
            </w:tcBorders>
            <w:shd w:val="clear" w:color="000000" w:fill="FFFFFF"/>
            <w:vAlign w:val="center"/>
            <w:hideMark/>
          </w:tcPr>
          <w:p w14:paraId="37AA28A9"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 xml:space="preserve">2018 Study – Scenario 3 (mTRC w/ GHG Adder 2) </w:t>
            </w:r>
          </w:p>
        </w:tc>
        <w:tc>
          <w:tcPr>
            <w:tcW w:w="1553" w:type="dxa"/>
            <w:tcBorders>
              <w:top w:val="nil"/>
              <w:left w:val="nil"/>
              <w:bottom w:val="single" w:sz="4" w:space="0" w:color="auto"/>
              <w:right w:val="single" w:sz="4" w:space="0" w:color="auto"/>
            </w:tcBorders>
            <w:shd w:val="clear" w:color="000000" w:fill="FFFFFF"/>
            <w:vAlign w:val="center"/>
            <w:hideMark/>
          </w:tcPr>
          <w:p w14:paraId="15E6A833"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59.5</w:t>
            </w:r>
          </w:p>
        </w:tc>
        <w:tc>
          <w:tcPr>
            <w:tcW w:w="1553" w:type="dxa"/>
            <w:gridSpan w:val="2"/>
            <w:tcBorders>
              <w:top w:val="nil"/>
              <w:left w:val="nil"/>
              <w:bottom w:val="single" w:sz="4" w:space="0" w:color="auto"/>
              <w:right w:val="single" w:sz="4" w:space="0" w:color="auto"/>
            </w:tcBorders>
            <w:shd w:val="clear" w:color="000000" w:fill="FFFFFF"/>
            <w:vAlign w:val="center"/>
            <w:hideMark/>
          </w:tcPr>
          <w:p w14:paraId="4CCF66F9"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72%</w:t>
            </w:r>
          </w:p>
        </w:tc>
        <w:tc>
          <w:tcPr>
            <w:tcW w:w="1553" w:type="dxa"/>
            <w:tcBorders>
              <w:top w:val="nil"/>
              <w:left w:val="nil"/>
              <w:bottom w:val="single" w:sz="4" w:space="0" w:color="auto"/>
              <w:right w:val="single" w:sz="4" w:space="0" w:color="auto"/>
            </w:tcBorders>
            <w:shd w:val="clear" w:color="000000" w:fill="FFFFFF"/>
            <w:vAlign w:val="center"/>
            <w:hideMark/>
          </w:tcPr>
          <w:p w14:paraId="4BAE2C02"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91.2</w:t>
            </w:r>
          </w:p>
        </w:tc>
        <w:tc>
          <w:tcPr>
            <w:tcW w:w="1553" w:type="dxa"/>
            <w:tcBorders>
              <w:top w:val="nil"/>
              <w:left w:val="nil"/>
              <w:bottom w:val="single" w:sz="4" w:space="0" w:color="auto"/>
              <w:right w:val="single" w:sz="4" w:space="0" w:color="auto"/>
            </w:tcBorders>
            <w:shd w:val="clear" w:color="000000" w:fill="FFFFFF"/>
            <w:vAlign w:val="center"/>
            <w:hideMark/>
          </w:tcPr>
          <w:p w14:paraId="73DB227D"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124%</w:t>
            </w:r>
          </w:p>
        </w:tc>
      </w:tr>
      <w:tr w:rsidR="00860A81" w:rsidRPr="00860A81" w14:paraId="79711806" w14:textId="77777777" w:rsidTr="00414E68">
        <w:trPr>
          <w:cantSplit/>
          <w:trHeight w:val="543"/>
          <w:jc w:val="center"/>
        </w:trPr>
        <w:tc>
          <w:tcPr>
            <w:tcW w:w="2170" w:type="dxa"/>
            <w:tcBorders>
              <w:top w:val="nil"/>
              <w:left w:val="single" w:sz="4" w:space="0" w:color="auto"/>
              <w:bottom w:val="single" w:sz="4" w:space="0" w:color="auto"/>
              <w:right w:val="single" w:sz="4" w:space="0" w:color="auto"/>
            </w:tcBorders>
            <w:shd w:val="clear" w:color="000000" w:fill="FFFFFF"/>
            <w:vAlign w:val="center"/>
            <w:hideMark/>
          </w:tcPr>
          <w:p w14:paraId="465053E8"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 xml:space="preserve">2018 Study – Scenario 4 (PAC Reference) </w:t>
            </w:r>
          </w:p>
        </w:tc>
        <w:tc>
          <w:tcPr>
            <w:tcW w:w="1553" w:type="dxa"/>
            <w:tcBorders>
              <w:top w:val="nil"/>
              <w:left w:val="nil"/>
              <w:bottom w:val="single" w:sz="4" w:space="0" w:color="auto"/>
              <w:right w:val="single" w:sz="4" w:space="0" w:color="auto"/>
            </w:tcBorders>
            <w:shd w:val="clear" w:color="000000" w:fill="FFFFFF"/>
            <w:vAlign w:val="center"/>
            <w:hideMark/>
          </w:tcPr>
          <w:p w14:paraId="12AFC01A"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55.3</w:t>
            </w:r>
          </w:p>
        </w:tc>
        <w:tc>
          <w:tcPr>
            <w:tcW w:w="1553" w:type="dxa"/>
            <w:gridSpan w:val="2"/>
            <w:tcBorders>
              <w:top w:val="nil"/>
              <w:left w:val="nil"/>
              <w:bottom w:val="single" w:sz="4" w:space="0" w:color="auto"/>
              <w:right w:val="single" w:sz="4" w:space="0" w:color="auto"/>
            </w:tcBorders>
            <w:shd w:val="clear" w:color="000000" w:fill="FFFFFF"/>
            <w:vAlign w:val="center"/>
            <w:hideMark/>
          </w:tcPr>
          <w:p w14:paraId="7B697098"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60%</w:t>
            </w:r>
          </w:p>
        </w:tc>
        <w:tc>
          <w:tcPr>
            <w:tcW w:w="1553" w:type="dxa"/>
            <w:tcBorders>
              <w:top w:val="nil"/>
              <w:left w:val="nil"/>
              <w:bottom w:val="single" w:sz="4" w:space="0" w:color="auto"/>
              <w:right w:val="single" w:sz="4" w:space="0" w:color="auto"/>
            </w:tcBorders>
            <w:shd w:val="clear" w:color="000000" w:fill="FFFFFF"/>
            <w:vAlign w:val="center"/>
            <w:hideMark/>
          </w:tcPr>
          <w:p w14:paraId="17117E8B"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74.8</w:t>
            </w:r>
          </w:p>
        </w:tc>
        <w:tc>
          <w:tcPr>
            <w:tcW w:w="1553" w:type="dxa"/>
            <w:tcBorders>
              <w:top w:val="nil"/>
              <w:left w:val="nil"/>
              <w:bottom w:val="single" w:sz="4" w:space="0" w:color="auto"/>
              <w:right w:val="single" w:sz="4" w:space="0" w:color="auto"/>
            </w:tcBorders>
            <w:shd w:val="clear" w:color="000000" w:fill="FFFFFF"/>
            <w:vAlign w:val="center"/>
            <w:hideMark/>
          </w:tcPr>
          <w:p w14:paraId="15304FC6"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83%</w:t>
            </w:r>
          </w:p>
        </w:tc>
      </w:tr>
      <w:tr w:rsidR="00860A81" w:rsidRPr="00860A81" w14:paraId="2B0073CA" w14:textId="77777777" w:rsidTr="00414E68">
        <w:trPr>
          <w:trHeight w:val="543"/>
          <w:jc w:val="center"/>
        </w:trPr>
        <w:tc>
          <w:tcPr>
            <w:tcW w:w="2170" w:type="dxa"/>
            <w:tcBorders>
              <w:top w:val="nil"/>
              <w:left w:val="single" w:sz="4" w:space="0" w:color="auto"/>
              <w:bottom w:val="single" w:sz="4" w:space="0" w:color="auto"/>
              <w:right w:val="single" w:sz="4" w:space="0" w:color="auto"/>
            </w:tcBorders>
            <w:shd w:val="clear" w:color="000000" w:fill="FFFFFF"/>
            <w:vAlign w:val="center"/>
            <w:hideMark/>
          </w:tcPr>
          <w:p w14:paraId="02B387C2"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 xml:space="preserve">2018 Study – Scenario 4 (PAC Aggressive) </w:t>
            </w:r>
          </w:p>
        </w:tc>
        <w:tc>
          <w:tcPr>
            <w:tcW w:w="1553" w:type="dxa"/>
            <w:tcBorders>
              <w:top w:val="nil"/>
              <w:left w:val="nil"/>
              <w:bottom w:val="single" w:sz="4" w:space="0" w:color="auto"/>
              <w:right w:val="single" w:sz="4" w:space="0" w:color="auto"/>
            </w:tcBorders>
            <w:shd w:val="clear" w:color="000000" w:fill="FFFFFF"/>
            <w:vAlign w:val="center"/>
            <w:hideMark/>
          </w:tcPr>
          <w:p w14:paraId="3C6BCE68"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57.8</w:t>
            </w:r>
          </w:p>
        </w:tc>
        <w:tc>
          <w:tcPr>
            <w:tcW w:w="1553" w:type="dxa"/>
            <w:gridSpan w:val="2"/>
            <w:tcBorders>
              <w:top w:val="nil"/>
              <w:left w:val="nil"/>
              <w:bottom w:val="single" w:sz="4" w:space="0" w:color="auto"/>
              <w:right w:val="single" w:sz="4" w:space="0" w:color="auto"/>
            </w:tcBorders>
            <w:shd w:val="clear" w:color="000000" w:fill="FFFFFF"/>
            <w:vAlign w:val="center"/>
            <w:hideMark/>
          </w:tcPr>
          <w:p w14:paraId="0EDA36B7"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67%</w:t>
            </w:r>
          </w:p>
        </w:tc>
        <w:tc>
          <w:tcPr>
            <w:tcW w:w="1553" w:type="dxa"/>
            <w:tcBorders>
              <w:top w:val="nil"/>
              <w:left w:val="nil"/>
              <w:bottom w:val="single" w:sz="4" w:space="0" w:color="auto"/>
              <w:right w:val="single" w:sz="4" w:space="0" w:color="auto"/>
            </w:tcBorders>
            <w:shd w:val="clear" w:color="000000" w:fill="FFFFFF"/>
            <w:vAlign w:val="center"/>
            <w:hideMark/>
          </w:tcPr>
          <w:p w14:paraId="6471C72C"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83.6</w:t>
            </w:r>
          </w:p>
        </w:tc>
        <w:tc>
          <w:tcPr>
            <w:tcW w:w="1553" w:type="dxa"/>
            <w:tcBorders>
              <w:top w:val="nil"/>
              <w:left w:val="nil"/>
              <w:bottom w:val="single" w:sz="4" w:space="0" w:color="auto"/>
              <w:right w:val="single" w:sz="4" w:space="0" w:color="auto"/>
            </w:tcBorders>
            <w:shd w:val="clear" w:color="000000" w:fill="FFFFFF"/>
            <w:vAlign w:val="center"/>
            <w:hideMark/>
          </w:tcPr>
          <w:p w14:paraId="7BF2C1C4"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105%</w:t>
            </w:r>
          </w:p>
        </w:tc>
      </w:tr>
    </w:tbl>
    <w:p w14:paraId="4B66E253" w14:textId="77777777" w:rsidR="005F1F0E" w:rsidRDefault="005F1F0E" w:rsidP="005F1F0E"/>
    <w:p w14:paraId="4505711B" w14:textId="275B1BCA" w:rsidR="00414E68" w:rsidRDefault="00414E68">
      <w:pPr>
        <w:spacing w:line="240" w:lineRule="auto"/>
      </w:pPr>
      <w:r>
        <w:br w:type="page"/>
      </w:r>
    </w:p>
    <w:p w14:paraId="6D45D2CC" w14:textId="77777777" w:rsidR="00E47D2E" w:rsidRDefault="00E47D2E" w:rsidP="007E4D11"/>
    <w:p w14:paraId="7486F82B" w14:textId="10700FC4" w:rsidR="00414E68" w:rsidRDefault="00FA33C3" w:rsidP="00414E68">
      <w:r>
        <w:fldChar w:fldCharType="begin"/>
      </w:r>
      <w:r>
        <w:instrText xml:space="preserve"> REF _Ref490229260 \h </w:instrText>
      </w:r>
      <w:r>
        <w:fldChar w:fldCharType="separate"/>
      </w:r>
      <w:r>
        <w:t xml:space="preserve">Table </w:t>
      </w:r>
      <w:r>
        <w:rPr>
          <w:noProof/>
        </w:rPr>
        <w:t>5</w:t>
      </w:r>
      <w:r>
        <w:noBreakHyphen/>
      </w:r>
      <w:r>
        <w:rPr>
          <w:noProof/>
        </w:rPr>
        <w:t>3</w:t>
      </w:r>
      <w:r>
        <w:fldChar w:fldCharType="end"/>
      </w:r>
      <w:r>
        <w:t xml:space="preserve"> and </w:t>
      </w:r>
      <w:r>
        <w:fldChar w:fldCharType="begin"/>
      </w:r>
      <w:r>
        <w:instrText xml:space="preserve"> REF _Ref490229270 \h </w:instrText>
      </w:r>
      <w:r>
        <w:fldChar w:fldCharType="separate"/>
      </w:r>
      <w:r>
        <w:t xml:space="preserve">Table </w:t>
      </w:r>
      <w:r>
        <w:rPr>
          <w:noProof/>
        </w:rPr>
        <w:t>5</w:t>
      </w:r>
      <w:r>
        <w:noBreakHyphen/>
      </w:r>
      <w:r>
        <w:rPr>
          <w:noProof/>
        </w:rPr>
        <w:t>4</w:t>
      </w:r>
      <w:r>
        <w:fldChar w:fldCharType="end"/>
      </w:r>
      <w:r>
        <w:t xml:space="preserve"> </w:t>
      </w:r>
      <w:r w:rsidR="00FB45A3">
        <w:t xml:space="preserve">show BROs results for electric and gas compared to the previous study. </w:t>
      </w:r>
      <w:r w:rsidR="006A1475">
        <w:t xml:space="preserve">As previously mentioned, </w:t>
      </w:r>
      <w:r w:rsidR="00FB45A3">
        <w:t xml:space="preserve">BROs savings are significantly higher compared to the previous study primarily owing to the expanded scope of BROs interventions and data updates. </w:t>
      </w:r>
    </w:p>
    <w:p w14:paraId="11045BBB" w14:textId="77777777" w:rsidR="006F57E9" w:rsidRDefault="006F57E9" w:rsidP="007E4D11"/>
    <w:p w14:paraId="78EB730B" w14:textId="77777777" w:rsidR="00596050" w:rsidRDefault="00596050" w:rsidP="00596050">
      <w:pPr>
        <w:pStyle w:val="Caption"/>
      </w:pPr>
      <w:bookmarkStart w:id="932" w:name="_Ref485125991"/>
      <w:bookmarkStart w:id="933" w:name="_Ref490229260"/>
      <w:bookmarkStart w:id="934" w:name="_Toc490560697"/>
      <w:r>
        <w:t xml:space="preserve">Table </w:t>
      </w:r>
      <w:fldSimple w:instr=" STYLEREF 1 \s ">
        <w:r w:rsidR="007566B9">
          <w:rPr>
            <w:noProof/>
          </w:rPr>
          <w:t>5</w:t>
        </w:r>
      </w:fldSimple>
      <w:r>
        <w:noBreakHyphen/>
      </w:r>
      <w:bookmarkEnd w:id="932"/>
      <w:r w:rsidR="00B206D8">
        <w:fldChar w:fldCharType="begin"/>
      </w:r>
      <w:r w:rsidR="00B206D8">
        <w:instrText xml:space="preserve"> SEQ Table \* ARABIC \s 1 </w:instrText>
      </w:r>
      <w:r w:rsidR="00B206D8">
        <w:fldChar w:fldCharType="separate"/>
      </w:r>
      <w:r w:rsidR="007566B9">
        <w:rPr>
          <w:noProof/>
        </w:rPr>
        <w:t>3</w:t>
      </w:r>
      <w:r w:rsidR="00B206D8">
        <w:rPr>
          <w:noProof/>
        </w:rPr>
        <w:fldChar w:fldCharType="end"/>
      </w:r>
      <w:bookmarkEnd w:id="933"/>
      <w:r w:rsidR="00CF198A">
        <w:t xml:space="preserve">. </w:t>
      </w:r>
      <w:r w:rsidR="00CF198A" w:rsidRPr="00CF198A">
        <w:t>BROs Potential Comparison - Gross Electric Savings</w:t>
      </w:r>
      <w:bookmarkEnd w:id="934"/>
      <w:r w:rsidR="00CF198A" w:rsidRPr="00CF198A" w:rsidDel="00CF198A">
        <w:t xml:space="preserve"> </w:t>
      </w:r>
    </w:p>
    <w:tbl>
      <w:tblPr>
        <w:tblW w:w="8248" w:type="dxa"/>
        <w:jc w:val="center"/>
        <w:tblLook w:val="04A0" w:firstRow="1" w:lastRow="0" w:firstColumn="1" w:lastColumn="0" w:noHBand="0" w:noVBand="1"/>
      </w:tblPr>
      <w:tblGrid>
        <w:gridCol w:w="2135"/>
        <w:gridCol w:w="1528"/>
        <w:gridCol w:w="1494"/>
        <w:gridCol w:w="34"/>
        <w:gridCol w:w="1528"/>
        <w:gridCol w:w="1529"/>
      </w:tblGrid>
      <w:tr w:rsidR="00860A81" w:rsidRPr="00860A81" w14:paraId="1B8992C0" w14:textId="77777777" w:rsidTr="00414E68">
        <w:trPr>
          <w:trHeight w:val="230"/>
          <w:jc w:val="center"/>
        </w:trPr>
        <w:tc>
          <w:tcPr>
            <w:tcW w:w="2135" w:type="dxa"/>
            <w:tcBorders>
              <w:top w:val="nil"/>
              <w:left w:val="nil"/>
              <w:bottom w:val="single" w:sz="12" w:space="0" w:color="95D600"/>
              <w:right w:val="nil"/>
            </w:tcBorders>
            <w:shd w:val="clear" w:color="000000" w:fill="555759"/>
            <w:vAlign w:val="center"/>
            <w:hideMark/>
          </w:tcPr>
          <w:p w14:paraId="7BA95CB6" w14:textId="77777777" w:rsidR="00860A81" w:rsidRPr="00860A81" w:rsidRDefault="00860A81" w:rsidP="00860A81">
            <w:pPr>
              <w:spacing w:line="240" w:lineRule="auto"/>
              <w:jc w:val="center"/>
              <w:rPr>
                <w:rFonts w:ascii="Arial Narrow" w:hAnsi="Arial Narrow"/>
                <w:b/>
                <w:bCs/>
                <w:color w:val="FFFFFF"/>
                <w:szCs w:val="20"/>
              </w:rPr>
            </w:pPr>
            <w:r w:rsidRPr="00860A81">
              <w:rPr>
                <w:rFonts w:ascii="Arial Narrow" w:hAnsi="Arial Narrow"/>
                <w:b/>
                <w:bCs/>
                <w:color w:val="FFFFFF"/>
                <w:szCs w:val="20"/>
              </w:rPr>
              <w:t> </w:t>
            </w:r>
          </w:p>
        </w:tc>
        <w:tc>
          <w:tcPr>
            <w:tcW w:w="3022" w:type="dxa"/>
            <w:gridSpan w:val="2"/>
            <w:tcBorders>
              <w:top w:val="nil"/>
              <w:left w:val="nil"/>
              <w:bottom w:val="single" w:sz="12" w:space="0" w:color="95D600"/>
              <w:right w:val="nil"/>
            </w:tcBorders>
            <w:shd w:val="clear" w:color="000000" w:fill="555759"/>
            <w:vAlign w:val="center"/>
            <w:hideMark/>
          </w:tcPr>
          <w:p w14:paraId="2B56ABBA" w14:textId="77777777" w:rsidR="00860A81" w:rsidRPr="00860A81" w:rsidRDefault="00860A81" w:rsidP="00860A81">
            <w:pPr>
              <w:spacing w:line="240" w:lineRule="auto"/>
              <w:jc w:val="center"/>
              <w:rPr>
                <w:rFonts w:ascii="Arial Narrow" w:hAnsi="Arial Narrow"/>
                <w:b/>
                <w:bCs/>
                <w:color w:val="FFFFFF"/>
                <w:szCs w:val="20"/>
              </w:rPr>
            </w:pPr>
            <w:r w:rsidRPr="00860A81">
              <w:rPr>
                <w:rFonts w:ascii="Arial Narrow" w:hAnsi="Arial Narrow"/>
                <w:b/>
                <w:bCs/>
                <w:color w:val="FFFFFF"/>
                <w:szCs w:val="20"/>
              </w:rPr>
              <w:t>2018</w:t>
            </w:r>
          </w:p>
        </w:tc>
        <w:tc>
          <w:tcPr>
            <w:tcW w:w="3091" w:type="dxa"/>
            <w:gridSpan w:val="3"/>
            <w:tcBorders>
              <w:top w:val="nil"/>
              <w:left w:val="nil"/>
              <w:bottom w:val="single" w:sz="12" w:space="0" w:color="95D600"/>
              <w:right w:val="nil"/>
            </w:tcBorders>
            <w:shd w:val="clear" w:color="000000" w:fill="555759"/>
            <w:vAlign w:val="center"/>
            <w:hideMark/>
          </w:tcPr>
          <w:p w14:paraId="3706D0EB" w14:textId="77777777" w:rsidR="00860A81" w:rsidRPr="00860A81" w:rsidRDefault="00860A81" w:rsidP="00860A81">
            <w:pPr>
              <w:spacing w:line="240" w:lineRule="auto"/>
              <w:jc w:val="center"/>
              <w:rPr>
                <w:rFonts w:ascii="Arial Narrow" w:hAnsi="Arial Narrow"/>
                <w:b/>
                <w:bCs/>
                <w:color w:val="FFFFFF"/>
                <w:szCs w:val="20"/>
              </w:rPr>
            </w:pPr>
            <w:r w:rsidRPr="00860A81">
              <w:rPr>
                <w:rFonts w:ascii="Arial Narrow" w:hAnsi="Arial Narrow"/>
                <w:b/>
                <w:bCs/>
                <w:color w:val="FFFFFF"/>
                <w:szCs w:val="20"/>
              </w:rPr>
              <w:t>2024</w:t>
            </w:r>
          </w:p>
        </w:tc>
      </w:tr>
      <w:tr w:rsidR="00860A81" w:rsidRPr="00860A81" w14:paraId="2DA8C8B6" w14:textId="77777777" w:rsidTr="00414E68">
        <w:trPr>
          <w:trHeight w:val="570"/>
          <w:jc w:val="center"/>
        </w:trPr>
        <w:tc>
          <w:tcPr>
            <w:tcW w:w="21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CF9F41" w14:textId="77777777" w:rsidR="00860A81" w:rsidRPr="00860A81" w:rsidRDefault="00860A81" w:rsidP="00860A81">
            <w:pPr>
              <w:spacing w:line="240" w:lineRule="auto"/>
              <w:jc w:val="center"/>
              <w:rPr>
                <w:rFonts w:ascii="Arial Narrow" w:hAnsi="Arial Narrow"/>
                <w:szCs w:val="20"/>
              </w:rPr>
            </w:pPr>
            <w:r w:rsidRPr="00860A81">
              <w:rPr>
                <w:rFonts w:ascii="Arial Narrow" w:hAnsi="Arial Narrow"/>
                <w:szCs w:val="20"/>
              </w:rPr>
              <w:t> </w:t>
            </w:r>
          </w:p>
        </w:tc>
        <w:tc>
          <w:tcPr>
            <w:tcW w:w="1528" w:type="dxa"/>
            <w:tcBorders>
              <w:top w:val="single" w:sz="4" w:space="0" w:color="auto"/>
              <w:left w:val="nil"/>
              <w:bottom w:val="single" w:sz="4" w:space="0" w:color="auto"/>
              <w:right w:val="single" w:sz="4" w:space="0" w:color="auto"/>
            </w:tcBorders>
            <w:shd w:val="clear" w:color="000000" w:fill="FFFFFF"/>
            <w:vAlign w:val="center"/>
            <w:hideMark/>
          </w:tcPr>
          <w:p w14:paraId="431D2960" w14:textId="77777777" w:rsidR="00860A81" w:rsidRPr="00860A81" w:rsidRDefault="00860A81" w:rsidP="00860A81">
            <w:pPr>
              <w:spacing w:line="240" w:lineRule="auto"/>
              <w:jc w:val="center"/>
              <w:rPr>
                <w:rFonts w:ascii="Arial Narrow" w:hAnsi="Arial Narrow"/>
                <w:b/>
                <w:bCs/>
                <w:szCs w:val="20"/>
              </w:rPr>
            </w:pPr>
            <w:r w:rsidRPr="00860A81">
              <w:rPr>
                <w:rFonts w:ascii="Arial Narrow" w:hAnsi="Arial Narrow"/>
                <w:b/>
                <w:bCs/>
                <w:szCs w:val="20"/>
              </w:rPr>
              <w:t>Market Potential (</w:t>
            </w:r>
            <w:r>
              <w:rPr>
                <w:rFonts w:ascii="Arial Narrow" w:hAnsi="Arial Narrow"/>
                <w:b/>
                <w:bCs/>
                <w:szCs w:val="20"/>
              </w:rPr>
              <w:t>GWh</w:t>
            </w:r>
            <w:r w:rsidRPr="00860A81">
              <w:rPr>
                <w:rFonts w:ascii="Arial Narrow" w:hAnsi="Arial Narrow"/>
                <w:b/>
                <w:bCs/>
                <w:szCs w:val="20"/>
              </w:rPr>
              <w:t>)</w:t>
            </w:r>
          </w:p>
        </w:tc>
        <w:tc>
          <w:tcPr>
            <w:tcW w:w="1528" w:type="dxa"/>
            <w:gridSpan w:val="2"/>
            <w:tcBorders>
              <w:top w:val="single" w:sz="4" w:space="0" w:color="auto"/>
              <w:left w:val="nil"/>
              <w:bottom w:val="single" w:sz="4" w:space="0" w:color="auto"/>
              <w:right w:val="single" w:sz="4" w:space="0" w:color="auto"/>
            </w:tcBorders>
            <w:shd w:val="clear" w:color="000000" w:fill="FFFFFF"/>
            <w:vAlign w:val="center"/>
            <w:hideMark/>
          </w:tcPr>
          <w:p w14:paraId="50C91A85" w14:textId="77777777" w:rsidR="00860A81" w:rsidRPr="00860A81" w:rsidRDefault="00860A81" w:rsidP="00860A81">
            <w:pPr>
              <w:spacing w:line="240" w:lineRule="auto"/>
              <w:jc w:val="center"/>
              <w:rPr>
                <w:rFonts w:ascii="Arial Narrow" w:hAnsi="Arial Narrow"/>
                <w:b/>
                <w:bCs/>
                <w:szCs w:val="20"/>
              </w:rPr>
            </w:pPr>
            <w:r w:rsidRPr="00860A81">
              <w:rPr>
                <w:rFonts w:ascii="Arial Narrow" w:hAnsi="Arial Narrow"/>
                <w:b/>
                <w:bCs/>
                <w:szCs w:val="20"/>
              </w:rPr>
              <w:t>Percent Difference Relative to 2015 study</w:t>
            </w:r>
          </w:p>
        </w:tc>
        <w:tc>
          <w:tcPr>
            <w:tcW w:w="1528" w:type="dxa"/>
            <w:tcBorders>
              <w:top w:val="single" w:sz="4" w:space="0" w:color="auto"/>
              <w:left w:val="nil"/>
              <w:bottom w:val="single" w:sz="4" w:space="0" w:color="auto"/>
              <w:right w:val="single" w:sz="4" w:space="0" w:color="auto"/>
            </w:tcBorders>
            <w:shd w:val="clear" w:color="000000" w:fill="FFFFFF"/>
            <w:vAlign w:val="center"/>
            <w:hideMark/>
          </w:tcPr>
          <w:p w14:paraId="4E0B4791" w14:textId="77777777" w:rsidR="00860A81" w:rsidRPr="00860A81" w:rsidRDefault="00860A81" w:rsidP="00860A81">
            <w:pPr>
              <w:spacing w:line="240" w:lineRule="auto"/>
              <w:jc w:val="center"/>
              <w:rPr>
                <w:rFonts w:ascii="Arial Narrow" w:hAnsi="Arial Narrow"/>
                <w:b/>
                <w:bCs/>
                <w:szCs w:val="20"/>
              </w:rPr>
            </w:pPr>
            <w:r w:rsidRPr="00860A81">
              <w:rPr>
                <w:rFonts w:ascii="Arial Narrow" w:hAnsi="Arial Narrow"/>
                <w:b/>
                <w:bCs/>
                <w:szCs w:val="20"/>
              </w:rPr>
              <w:t>Market Potential (</w:t>
            </w:r>
            <w:r>
              <w:rPr>
                <w:rFonts w:ascii="Arial Narrow" w:hAnsi="Arial Narrow"/>
                <w:b/>
                <w:bCs/>
                <w:szCs w:val="20"/>
              </w:rPr>
              <w:t>GWh</w:t>
            </w:r>
            <w:r w:rsidRPr="00860A81">
              <w:rPr>
                <w:rFonts w:ascii="Arial Narrow" w:hAnsi="Arial Narrow"/>
                <w:b/>
                <w:bCs/>
                <w:szCs w:val="20"/>
              </w:rPr>
              <w:t>)</w:t>
            </w:r>
          </w:p>
        </w:tc>
        <w:tc>
          <w:tcPr>
            <w:tcW w:w="1528" w:type="dxa"/>
            <w:tcBorders>
              <w:top w:val="single" w:sz="4" w:space="0" w:color="auto"/>
              <w:left w:val="nil"/>
              <w:bottom w:val="single" w:sz="4" w:space="0" w:color="auto"/>
              <w:right w:val="single" w:sz="4" w:space="0" w:color="auto"/>
            </w:tcBorders>
            <w:shd w:val="clear" w:color="000000" w:fill="FFFFFF"/>
            <w:vAlign w:val="center"/>
            <w:hideMark/>
          </w:tcPr>
          <w:p w14:paraId="21C56B0E" w14:textId="77777777" w:rsidR="00860A81" w:rsidRPr="00860A81" w:rsidRDefault="00860A81" w:rsidP="00860A81">
            <w:pPr>
              <w:spacing w:line="240" w:lineRule="auto"/>
              <w:jc w:val="center"/>
              <w:rPr>
                <w:rFonts w:ascii="Arial Narrow" w:hAnsi="Arial Narrow"/>
                <w:b/>
                <w:bCs/>
                <w:szCs w:val="20"/>
              </w:rPr>
            </w:pPr>
            <w:r w:rsidRPr="00860A81">
              <w:rPr>
                <w:rFonts w:ascii="Arial Narrow" w:hAnsi="Arial Narrow"/>
                <w:b/>
                <w:bCs/>
                <w:szCs w:val="20"/>
              </w:rPr>
              <w:t>Percent Difference Relative to 2015 study</w:t>
            </w:r>
          </w:p>
        </w:tc>
      </w:tr>
      <w:tr w:rsidR="00860A81" w:rsidRPr="00860A81" w14:paraId="1508C565" w14:textId="77777777" w:rsidTr="00414E68">
        <w:trPr>
          <w:trHeight w:val="446"/>
          <w:jc w:val="center"/>
        </w:trPr>
        <w:tc>
          <w:tcPr>
            <w:tcW w:w="2135" w:type="dxa"/>
            <w:tcBorders>
              <w:top w:val="nil"/>
              <w:left w:val="single" w:sz="4" w:space="0" w:color="auto"/>
              <w:bottom w:val="single" w:sz="4" w:space="0" w:color="auto"/>
              <w:right w:val="single" w:sz="4" w:space="0" w:color="auto"/>
            </w:tcBorders>
            <w:shd w:val="clear" w:color="000000" w:fill="FFFFFF"/>
            <w:vAlign w:val="center"/>
            <w:hideMark/>
          </w:tcPr>
          <w:p w14:paraId="3F28B2AD"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2015 Study</w:t>
            </w:r>
          </w:p>
        </w:tc>
        <w:tc>
          <w:tcPr>
            <w:tcW w:w="1528" w:type="dxa"/>
            <w:tcBorders>
              <w:top w:val="nil"/>
              <w:left w:val="nil"/>
              <w:bottom w:val="single" w:sz="4" w:space="0" w:color="auto"/>
              <w:right w:val="single" w:sz="4" w:space="0" w:color="auto"/>
            </w:tcBorders>
            <w:shd w:val="clear" w:color="000000" w:fill="FFFFFF"/>
            <w:vAlign w:val="center"/>
            <w:hideMark/>
          </w:tcPr>
          <w:p w14:paraId="175B7868"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153</w:t>
            </w:r>
          </w:p>
        </w:tc>
        <w:tc>
          <w:tcPr>
            <w:tcW w:w="1528" w:type="dxa"/>
            <w:gridSpan w:val="2"/>
            <w:tcBorders>
              <w:top w:val="nil"/>
              <w:left w:val="nil"/>
              <w:bottom w:val="single" w:sz="4" w:space="0" w:color="auto"/>
              <w:right w:val="single" w:sz="4" w:space="0" w:color="auto"/>
            </w:tcBorders>
            <w:shd w:val="clear" w:color="000000" w:fill="FFFFFF"/>
            <w:vAlign w:val="center"/>
            <w:hideMark/>
          </w:tcPr>
          <w:p w14:paraId="2B26F44A"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w:t>
            </w:r>
          </w:p>
        </w:tc>
        <w:tc>
          <w:tcPr>
            <w:tcW w:w="1528" w:type="dxa"/>
            <w:tcBorders>
              <w:top w:val="nil"/>
              <w:left w:val="nil"/>
              <w:bottom w:val="single" w:sz="4" w:space="0" w:color="auto"/>
              <w:right w:val="single" w:sz="4" w:space="0" w:color="auto"/>
            </w:tcBorders>
            <w:shd w:val="clear" w:color="000000" w:fill="FFFFFF"/>
            <w:vAlign w:val="center"/>
            <w:hideMark/>
          </w:tcPr>
          <w:p w14:paraId="107691CE"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176</w:t>
            </w:r>
          </w:p>
        </w:tc>
        <w:tc>
          <w:tcPr>
            <w:tcW w:w="1528" w:type="dxa"/>
            <w:tcBorders>
              <w:top w:val="nil"/>
              <w:left w:val="nil"/>
              <w:bottom w:val="single" w:sz="4" w:space="0" w:color="auto"/>
              <w:right w:val="single" w:sz="4" w:space="0" w:color="auto"/>
            </w:tcBorders>
            <w:shd w:val="clear" w:color="000000" w:fill="FFFFFF"/>
            <w:vAlign w:val="center"/>
            <w:hideMark/>
          </w:tcPr>
          <w:p w14:paraId="2FC433ED"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w:t>
            </w:r>
          </w:p>
        </w:tc>
      </w:tr>
      <w:tr w:rsidR="00860A81" w:rsidRPr="00860A81" w14:paraId="3B4462A8" w14:textId="77777777" w:rsidTr="00414E68">
        <w:trPr>
          <w:trHeight w:val="446"/>
          <w:jc w:val="center"/>
        </w:trPr>
        <w:tc>
          <w:tcPr>
            <w:tcW w:w="2135" w:type="dxa"/>
            <w:tcBorders>
              <w:top w:val="nil"/>
              <w:left w:val="single" w:sz="4" w:space="0" w:color="auto"/>
              <w:bottom w:val="single" w:sz="4" w:space="0" w:color="auto"/>
              <w:right w:val="single" w:sz="4" w:space="0" w:color="auto"/>
            </w:tcBorders>
            <w:shd w:val="clear" w:color="000000" w:fill="FFFFFF"/>
            <w:vAlign w:val="center"/>
            <w:hideMark/>
          </w:tcPr>
          <w:p w14:paraId="0C89734F"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2018 Study -  Reference</w:t>
            </w:r>
          </w:p>
        </w:tc>
        <w:tc>
          <w:tcPr>
            <w:tcW w:w="1528" w:type="dxa"/>
            <w:tcBorders>
              <w:top w:val="nil"/>
              <w:left w:val="nil"/>
              <w:bottom w:val="single" w:sz="4" w:space="0" w:color="auto"/>
              <w:right w:val="single" w:sz="4" w:space="0" w:color="auto"/>
            </w:tcBorders>
            <w:shd w:val="clear" w:color="000000" w:fill="FFFFFF"/>
            <w:vAlign w:val="center"/>
            <w:hideMark/>
          </w:tcPr>
          <w:p w14:paraId="10195958"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213</w:t>
            </w:r>
          </w:p>
        </w:tc>
        <w:tc>
          <w:tcPr>
            <w:tcW w:w="1528" w:type="dxa"/>
            <w:gridSpan w:val="2"/>
            <w:tcBorders>
              <w:top w:val="nil"/>
              <w:left w:val="nil"/>
              <w:bottom w:val="single" w:sz="4" w:space="0" w:color="auto"/>
              <w:right w:val="single" w:sz="4" w:space="0" w:color="auto"/>
            </w:tcBorders>
            <w:shd w:val="clear" w:color="000000" w:fill="FFFFFF"/>
            <w:vAlign w:val="center"/>
            <w:hideMark/>
          </w:tcPr>
          <w:p w14:paraId="37854EEC"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39%</w:t>
            </w:r>
          </w:p>
        </w:tc>
        <w:tc>
          <w:tcPr>
            <w:tcW w:w="1528" w:type="dxa"/>
            <w:tcBorders>
              <w:top w:val="nil"/>
              <w:left w:val="nil"/>
              <w:bottom w:val="single" w:sz="4" w:space="0" w:color="auto"/>
              <w:right w:val="single" w:sz="4" w:space="0" w:color="auto"/>
            </w:tcBorders>
            <w:shd w:val="clear" w:color="000000" w:fill="FFFFFF"/>
            <w:vAlign w:val="center"/>
            <w:hideMark/>
          </w:tcPr>
          <w:p w14:paraId="1031984B"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414</w:t>
            </w:r>
          </w:p>
        </w:tc>
        <w:tc>
          <w:tcPr>
            <w:tcW w:w="1528" w:type="dxa"/>
            <w:tcBorders>
              <w:top w:val="nil"/>
              <w:left w:val="nil"/>
              <w:bottom w:val="single" w:sz="4" w:space="0" w:color="auto"/>
              <w:right w:val="single" w:sz="4" w:space="0" w:color="auto"/>
            </w:tcBorders>
            <w:shd w:val="clear" w:color="000000" w:fill="FFFFFF"/>
            <w:vAlign w:val="center"/>
            <w:hideMark/>
          </w:tcPr>
          <w:p w14:paraId="59AC1F94"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135%</w:t>
            </w:r>
          </w:p>
        </w:tc>
      </w:tr>
      <w:tr w:rsidR="00860A81" w:rsidRPr="00860A81" w14:paraId="0DA8330B" w14:textId="77777777" w:rsidTr="00414E68">
        <w:trPr>
          <w:cantSplit/>
          <w:trHeight w:val="446"/>
          <w:jc w:val="center"/>
        </w:trPr>
        <w:tc>
          <w:tcPr>
            <w:tcW w:w="2135" w:type="dxa"/>
            <w:tcBorders>
              <w:top w:val="nil"/>
              <w:left w:val="single" w:sz="4" w:space="0" w:color="auto"/>
              <w:bottom w:val="single" w:sz="4" w:space="0" w:color="auto"/>
              <w:right w:val="single" w:sz="4" w:space="0" w:color="auto"/>
            </w:tcBorders>
            <w:shd w:val="clear" w:color="000000" w:fill="FFFFFF"/>
            <w:vAlign w:val="center"/>
            <w:hideMark/>
          </w:tcPr>
          <w:p w14:paraId="4989A477"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2018 Study - Aggressive</w:t>
            </w:r>
          </w:p>
        </w:tc>
        <w:tc>
          <w:tcPr>
            <w:tcW w:w="1528" w:type="dxa"/>
            <w:tcBorders>
              <w:top w:val="nil"/>
              <w:left w:val="nil"/>
              <w:bottom w:val="single" w:sz="4" w:space="0" w:color="auto"/>
              <w:right w:val="single" w:sz="4" w:space="0" w:color="auto"/>
            </w:tcBorders>
            <w:shd w:val="clear" w:color="000000" w:fill="FFFFFF"/>
            <w:vAlign w:val="center"/>
            <w:hideMark/>
          </w:tcPr>
          <w:p w14:paraId="4077567A"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264</w:t>
            </w:r>
          </w:p>
        </w:tc>
        <w:tc>
          <w:tcPr>
            <w:tcW w:w="1528" w:type="dxa"/>
            <w:gridSpan w:val="2"/>
            <w:tcBorders>
              <w:top w:val="nil"/>
              <w:left w:val="nil"/>
              <w:bottom w:val="single" w:sz="4" w:space="0" w:color="auto"/>
              <w:right w:val="single" w:sz="4" w:space="0" w:color="auto"/>
            </w:tcBorders>
            <w:shd w:val="clear" w:color="000000" w:fill="FFFFFF"/>
            <w:vAlign w:val="center"/>
            <w:hideMark/>
          </w:tcPr>
          <w:p w14:paraId="3D3D59B7"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73%</w:t>
            </w:r>
          </w:p>
        </w:tc>
        <w:tc>
          <w:tcPr>
            <w:tcW w:w="1528" w:type="dxa"/>
            <w:tcBorders>
              <w:top w:val="nil"/>
              <w:left w:val="nil"/>
              <w:bottom w:val="single" w:sz="4" w:space="0" w:color="auto"/>
              <w:right w:val="single" w:sz="4" w:space="0" w:color="auto"/>
            </w:tcBorders>
            <w:shd w:val="clear" w:color="000000" w:fill="FFFFFF"/>
            <w:vAlign w:val="center"/>
            <w:hideMark/>
          </w:tcPr>
          <w:p w14:paraId="75A7A1AF"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654</w:t>
            </w:r>
          </w:p>
        </w:tc>
        <w:tc>
          <w:tcPr>
            <w:tcW w:w="1528" w:type="dxa"/>
            <w:tcBorders>
              <w:top w:val="nil"/>
              <w:left w:val="nil"/>
              <w:bottom w:val="single" w:sz="4" w:space="0" w:color="auto"/>
              <w:right w:val="single" w:sz="4" w:space="0" w:color="auto"/>
            </w:tcBorders>
            <w:shd w:val="clear" w:color="000000" w:fill="FFFFFF"/>
            <w:vAlign w:val="center"/>
            <w:hideMark/>
          </w:tcPr>
          <w:p w14:paraId="3AF2BF78" w14:textId="77777777" w:rsidR="00860A81" w:rsidRPr="00860A81" w:rsidRDefault="00860A81" w:rsidP="00860A81">
            <w:pPr>
              <w:spacing w:line="240" w:lineRule="auto"/>
              <w:jc w:val="center"/>
              <w:rPr>
                <w:rFonts w:ascii="Arial Narrow" w:hAnsi="Arial Narrow"/>
                <w:szCs w:val="20"/>
              </w:rPr>
            </w:pPr>
            <w:r>
              <w:rPr>
                <w:rFonts w:ascii="Arial Narrow" w:hAnsi="Arial Narrow"/>
                <w:szCs w:val="20"/>
              </w:rPr>
              <w:t>271%</w:t>
            </w:r>
          </w:p>
        </w:tc>
      </w:tr>
    </w:tbl>
    <w:p w14:paraId="08BAD550" w14:textId="77777777" w:rsidR="00860A81" w:rsidRDefault="00860A81" w:rsidP="00AF21BE">
      <w:pPr>
        <w:pStyle w:val="Caption"/>
        <w:jc w:val="left"/>
      </w:pPr>
      <w:bookmarkStart w:id="935" w:name="_Ref485125992"/>
    </w:p>
    <w:p w14:paraId="029606E7" w14:textId="77777777" w:rsidR="00596050" w:rsidRDefault="00596050" w:rsidP="00FB45A3">
      <w:pPr>
        <w:pStyle w:val="Caption"/>
      </w:pPr>
      <w:bookmarkStart w:id="936" w:name="_Ref490229270"/>
      <w:bookmarkStart w:id="937" w:name="_Toc490560698"/>
      <w:r>
        <w:t xml:space="preserve">Table </w:t>
      </w:r>
      <w:fldSimple w:instr=" STYLEREF 1 \s ">
        <w:r w:rsidR="007566B9">
          <w:rPr>
            <w:noProof/>
          </w:rPr>
          <w:t>5</w:t>
        </w:r>
      </w:fldSimple>
      <w:r>
        <w:noBreakHyphen/>
      </w:r>
      <w:bookmarkEnd w:id="935"/>
      <w:r w:rsidR="00B206D8">
        <w:fldChar w:fldCharType="begin"/>
      </w:r>
      <w:r w:rsidR="00B206D8">
        <w:instrText xml:space="preserve"> SEQ Table \* ARABIC \s 1 </w:instrText>
      </w:r>
      <w:r w:rsidR="00B206D8">
        <w:fldChar w:fldCharType="separate"/>
      </w:r>
      <w:r w:rsidR="007566B9">
        <w:rPr>
          <w:noProof/>
        </w:rPr>
        <w:t>4</w:t>
      </w:r>
      <w:r w:rsidR="00B206D8">
        <w:rPr>
          <w:noProof/>
        </w:rPr>
        <w:fldChar w:fldCharType="end"/>
      </w:r>
      <w:bookmarkEnd w:id="936"/>
      <w:r w:rsidR="00CF198A">
        <w:t xml:space="preserve">. </w:t>
      </w:r>
      <w:r w:rsidR="00CF198A" w:rsidRPr="00CF198A">
        <w:t xml:space="preserve">BROs Potential Comparison - Gross </w:t>
      </w:r>
      <w:r w:rsidR="00CF198A">
        <w:t>Gas</w:t>
      </w:r>
      <w:r w:rsidR="00CF198A" w:rsidRPr="00CF198A">
        <w:t xml:space="preserve"> Savings</w:t>
      </w:r>
      <w:bookmarkEnd w:id="937"/>
      <w:r w:rsidR="00CF198A" w:rsidRPr="00CF198A" w:rsidDel="00CF198A">
        <w:t xml:space="preserve"> </w:t>
      </w:r>
    </w:p>
    <w:tbl>
      <w:tblPr>
        <w:tblW w:w="8220" w:type="dxa"/>
        <w:jc w:val="center"/>
        <w:tblLook w:val="04A0" w:firstRow="1" w:lastRow="0" w:firstColumn="1" w:lastColumn="0" w:noHBand="0" w:noVBand="1"/>
      </w:tblPr>
      <w:tblGrid>
        <w:gridCol w:w="2128"/>
        <w:gridCol w:w="1523"/>
        <w:gridCol w:w="1489"/>
        <w:gridCol w:w="34"/>
        <w:gridCol w:w="1523"/>
        <w:gridCol w:w="1523"/>
      </w:tblGrid>
      <w:tr w:rsidR="00860A81" w:rsidRPr="00860A81" w14:paraId="5A622843" w14:textId="77777777" w:rsidTr="00414E68">
        <w:trPr>
          <w:trHeight w:val="226"/>
          <w:jc w:val="center"/>
        </w:trPr>
        <w:tc>
          <w:tcPr>
            <w:tcW w:w="2128" w:type="dxa"/>
            <w:tcBorders>
              <w:top w:val="nil"/>
              <w:left w:val="nil"/>
              <w:bottom w:val="single" w:sz="12" w:space="0" w:color="95D600"/>
              <w:right w:val="nil"/>
            </w:tcBorders>
            <w:shd w:val="clear" w:color="000000" w:fill="555759"/>
            <w:vAlign w:val="center"/>
            <w:hideMark/>
          </w:tcPr>
          <w:p w14:paraId="50937F2B" w14:textId="77777777" w:rsidR="00860A81" w:rsidRPr="00AF21BE" w:rsidRDefault="00860A81" w:rsidP="00AF21BE">
            <w:pPr>
              <w:spacing w:before="40" w:after="40"/>
              <w:jc w:val="center"/>
              <w:rPr>
                <w:rFonts w:ascii="Arial Narrow" w:hAnsi="Arial Narrow"/>
                <w:b/>
                <w:color w:val="FFFFFF"/>
                <w:szCs w:val="20"/>
              </w:rPr>
            </w:pPr>
            <w:r w:rsidRPr="00AF21BE">
              <w:rPr>
                <w:rFonts w:ascii="Arial Narrow" w:hAnsi="Arial Narrow"/>
                <w:b/>
                <w:color w:val="FFFFFF"/>
                <w:szCs w:val="20"/>
              </w:rPr>
              <w:t> </w:t>
            </w:r>
          </w:p>
        </w:tc>
        <w:tc>
          <w:tcPr>
            <w:tcW w:w="3012" w:type="dxa"/>
            <w:gridSpan w:val="2"/>
            <w:tcBorders>
              <w:top w:val="nil"/>
              <w:left w:val="nil"/>
              <w:bottom w:val="single" w:sz="12" w:space="0" w:color="95D600"/>
              <w:right w:val="nil"/>
            </w:tcBorders>
            <w:shd w:val="clear" w:color="000000" w:fill="555759"/>
            <w:vAlign w:val="center"/>
            <w:hideMark/>
          </w:tcPr>
          <w:p w14:paraId="458277C1" w14:textId="77777777" w:rsidR="00860A81" w:rsidRPr="00AF21BE" w:rsidRDefault="00860A81" w:rsidP="00AF21BE">
            <w:pPr>
              <w:spacing w:before="40" w:after="40"/>
              <w:jc w:val="center"/>
              <w:rPr>
                <w:rFonts w:ascii="Arial Narrow" w:hAnsi="Arial Narrow"/>
                <w:b/>
                <w:color w:val="FFFFFF"/>
                <w:szCs w:val="20"/>
              </w:rPr>
            </w:pPr>
            <w:r w:rsidRPr="00AF21BE">
              <w:rPr>
                <w:rFonts w:ascii="Arial Narrow" w:hAnsi="Arial Narrow"/>
                <w:b/>
                <w:color w:val="FFFFFF"/>
                <w:szCs w:val="20"/>
              </w:rPr>
              <w:t>2018</w:t>
            </w:r>
          </w:p>
        </w:tc>
        <w:tc>
          <w:tcPr>
            <w:tcW w:w="3080" w:type="dxa"/>
            <w:gridSpan w:val="3"/>
            <w:tcBorders>
              <w:top w:val="nil"/>
              <w:left w:val="nil"/>
              <w:bottom w:val="single" w:sz="12" w:space="0" w:color="95D600"/>
              <w:right w:val="nil"/>
            </w:tcBorders>
            <w:shd w:val="clear" w:color="000000" w:fill="555759"/>
            <w:vAlign w:val="center"/>
            <w:hideMark/>
          </w:tcPr>
          <w:p w14:paraId="3938FD82" w14:textId="77777777" w:rsidR="00860A81" w:rsidRPr="00AF21BE" w:rsidRDefault="00860A81" w:rsidP="00AF21BE">
            <w:pPr>
              <w:spacing w:before="40" w:after="40"/>
              <w:jc w:val="center"/>
              <w:rPr>
                <w:rFonts w:ascii="Arial Narrow" w:hAnsi="Arial Narrow"/>
                <w:b/>
                <w:color w:val="FFFFFF"/>
                <w:szCs w:val="20"/>
              </w:rPr>
            </w:pPr>
            <w:r w:rsidRPr="00AF21BE">
              <w:rPr>
                <w:rFonts w:ascii="Arial Narrow" w:hAnsi="Arial Narrow"/>
                <w:b/>
                <w:color w:val="FFFFFF"/>
                <w:szCs w:val="20"/>
              </w:rPr>
              <w:t>2024</w:t>
            </w:r>
          </w:p>
        </w:tc>
      </w:tr>
      <w:tr w:rsidR="00860A81" w:rsidRPr="00860A81" w14:paraId="72887764" w14:textId="77777777" w:rsidTr="00414E68">
        <w:trPr>
          <w:trHeight w:val="560"/>
          <w:jc w:val="center"/>
        </w:trPr>
        <w:tc>
          <w:tcPr>
            <w:tcW w:w="21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AF697C" w14:textId="77777777" w:rsidR="00860A81" w:rsidRPr="00860A81" w:rsidRDefault="00860A81" w:rsidP="00AF21BE">
            <w:pPr>
              <w:spacing w:before="40" w:after="40"/>
              <w:jc w:val="center"/>
              <w:rPr>
                <w:rFonts w:ascii="Arial Narrow" w:hAnsi="Arial Narrow"/>
                <w:szCs w:val="20"/>
              </w:rPr>
            </w:pPr>
            <w:r w:rsidRPr="00860A81">
              <w:rPr>
                <w:rFonts w:ascii="Arial Narrow" w:hAnsi="Arial Narrow"/>
                <w:szCs w:val="20"/>
              </w:rPr>
              <w:t> </w:t>
            </w:r>
          </w:p>
        </w:tc>
        <w:tc>
          <w:tcPr>
            <w:tcW w:w="1523" w:type="dxa"/>
            <w:tcBorders>
              <w:top w:val="single" w:sz="4" w:space="0" w:color="auto"/>
              <w:left w:val="nil"/>
              <w:bottom w:val="single" w:sz="4" w:space="0" w:color="auto"/>
              <w:right w:val="single" w:sz="4" w:space="0" w:color="auto"/>
            </w:tcBorders>
            <w:shd w:val="clear" w:color="000000" w:fill="FFFFFF"/>
            <w:vAlign w:val="center"/>
            <w:hideMark/>
          </w:tcPr>
          <w:p w14:paraId="1E6E770A" w14:textId="77777777" w:rsidR="00860A81" w:rsidRPr="00AF21BE" w:rsidRDefault="00860A81" w:rsidP="00AF21BE">
            <w:pPr>
              <w:spacing w:before="40" w:after="40"/>
              <w:jc w:val="center"/>
              <w:rPr>
                <w:rFonts w:ascii="Arial Narrow" w:hAnsi="Arial Narrow"/>
                <w:b/>
                <w:szCs w:val="20"/>
              </w:rPr>
            </w:pPr>
            <w:r w:rsidRPr="00AF21BE">
              <w:rPr>
                <w:rFonts w:ascii="Arial Narrow" w:hAnsi="Arial Narrow"/>
                <w:b/>
                <w:szCs w:val="20"/>
              </w:rPr>
              <w:t>Market Potential (</w:t>
            </w:r>
            <w:r w:rsidR="00CF198A" w:rsidRPr="00AF21BE">
              <w:rPr>
                <w:rFonts w:ascii="Arial Narrow" w:hAnsi="Arial Narrow"/>
                <w:b/>
                <w:szCs w:val="20"/>
              </w:rPr>
              <w:t>MMTherms</w:t>
            </w:r>
            <w:r w:rsidRPr="00AF21BE">
              <w:rPr>
                <w:rFonts w:ascii="Arial Narrow" w:hAnsi="Arial Narrow"/>
                <w:b/>
                <w:szCs w:val="20"/>
              </w:rPr>
              <w:t>)</w:t>
            </w:r>
          </w:p>
        </w:tc>
        <w:tc>
          <w:tcPr>
            <w:tcW w:w="1523" w:type="dxa"/>
            <w:gridSpan w:val="2"/>
            <w:tcBorders>
              <w:top w:val="single" w:sz="4" w:space="0" w:color="auto"/>
              <w:left w:val="nil"/>
              <w:bottom w:val="single" w:sz="4" w:space="0" w:color="auto"/>
              <w:right w:val="single" w:sz="4" w:space="0" w:color="auto"/>
            </w:tcBorders>
            <w:shd w:val="clear" w:color="000000" w:fill="FFFFFF"/>
            <w:vAlign w:val="center"/>
            <w:hideMark/>
          </w:tcPr>
          <w:p w14:paraId="0ED98EEF" w14:textId="77777777" w:rsidR="00860A81" w:rsidRPr="00AF21BE" w:rsidRDefault="00860A81" w:rsidP="00AF21BE">
            <w:pPr>
              <w:spacing w:before="40" w:after="40"/>
              <w:jc w:val="center"/>
              <w:rPr>
                <w:rFonts w:ascii="Arial Narrow" w:hAnsi="Arial Narrow"/>
                <w:b/>
                <w:szCs w:val="20"/>
              </w:rPr>
            </w:pPr>
            <w:r w:rsidRPr="00AF21BE">
              <w:rPr>
                <w:rFonts w:ascii="Arial Narrow" w:hAnsi="Arial Narrow"/>
                <w:b/>
                <w:szCs w:val="20"/>
              </w:rPr>
              <w:t>Percent Difference Relative to 2015 study</w:t>
            </w:r>
          </w:p>
        </w:tc>
        <w:tc>
          <w:tcPr>
            <w:tcW w:w="1523" w:type="dxa"/>
            <w:tcBorders>
              <w:top w:val="single" w:sz="4" w:space="0" w:color="auto"/>
              <w:left w:val="nil"/>
              <w:bottom w:val="single" w:sz="4" w:space="0" w:color="auto"/>
              <w:right w:val="single" w:sz="4" w:space="0" w:color="auto"/>
            </w:tcBorders>
            <w:shd w:val="clear" w:color="000000" w:fill="FFFFFF"/>
            <w:vAlign w:val="center"/>
            <w:hideMark/>
          </w:tcPr>
          <w:p w14:paraId="4B4D1834" w14:textId="77777777" w:rsidR="00860A81" w:rsidRPr="00AF21BE" w:rsidRDefault="00860A81" w:rsidP="00AF21BE">
            <w:pPr>
              <w:spacing w:before="40" w:after="40"/>
              <w:jc w:val="center"/>
              <w:rPr>
                <w:rFonts w:ascii="Arial Narrow" w:hAnsi="Arial Narrow"/>
                <w:b/>
                <w:szCs w:val="20"/>
              </w:rPr>
            </w:pPr>
            <w:r w:rsidRPr="00AF21BE">
              <w:rPr>
                <w:rFonts w:ascii="Arial Narrow" w:hAnsi="Arial Narrow"/>
                <w:b/>
                <w:szCs w:val="20"/>
              </w:rPr>
              <w:t>Market Potential (</w:t>
            </w:r>
            <w:r w:rsidR="00CF198A" w:rsidRPr="00AF21BE">
              <w:rPr>
                <w:rFonts w:ascii="Arial Narrow" w:hAnsi="Arial Narrow"/>
                <w:b/>
                <w:szCs w:val="20"/>
              </w:rPr>
              <w:t>MMTherms</w:t>
            </w:r>
            <w:r w:rsidRPr="00AF21BE">
              <w:rPr>
                <w:rFonts w:ascii="Arial Narrow" w:hAnsi="Arial Narrow"/>
                <w:b/>
                <w:szCs w:val="20"/>
              </w:rPr>
              <w:t>)</w:t>
            </w:r>
          </w:p>
        </w:tc>
        <w:tc>
          <w:tcPr>
            <w:tcW w:w="1523" w:type="dxa"/>
            <w:tcBorders>
              <w:top w:val="single" w:sz="4" w:space="0" w:color="auto"/>
              <w:left w:val="nil"/>
              <w:bottom w:val="single" w:sz="4" w:space="0" w:color="auto"/>
              <w:right w:val="single" w:sz="4" w:space="0" w:color="auto"/>
            </w:tcBorders>
            <w:shd w:val="clear" w:color="000000" w:fill="FFFFFF"/>
            <w:vAlign w:val="center"/>
            <w:hideMark/>
          </w:tcPr>
          <w:p w14:paraId="67A65143" w14:textId="77777777" w:rsidR="00860A81" w:rsidRPr="00AF21BE" w:rsidRDefault="00860A81" w:rsidP="00AF21BE">
            <w:pPr>
              <w:spacing w:before="40" w:after="40"/>
              <w:jc w:val="center"/>
              <w:rPr>
                <w:rFonts w:ascii="Arial Narrow" w:hAnsi="Arial Narrow"/>
                <w:b/>
                <w:szCs w:val="20"/>
              </w:rPr>
            </w:pPr>
            <w:r w:rsidRPr="00AF21BE">
              <w:rPr>
                <w:rFonts w:ascii="Arial Narrow" w:hAnsi="Arial Narrow"/>
                <w:b/>
                <w:szCs w:val="20"/>
              </w:rPr>
              <w:t>Percent Difference Relative to 2015 study</w:t>
            </w:r>
          </w:p>
        </w:tc>
      </w:tr>
      <w:tr w:rsidR="00414E68" w:rsidRPr="00860A81" w14:paraId="28A174B7" w14:textId="77777777" w:rsidTr="00414E68">
        <w:trPr>
          <w:trHeight w:val="438"/>
          <w:jc w:val="center"/>
        </w:trPr>
        <w:tc>
          <w:tcPr>
            <w:tcW w:w="2128" w:type="dxa"/>
            <w:tcBorders>
              <w:top w:val="nil"/>
              <w:left w:val="single" w:sz="4" w:space="0" w:color="auto"/>
              <w:bottom w:val="single" w:sz="4" w:space="0" w:color="auto"/>
              <w:right w:val="single" w:sz="4" w:space="0" w:color="auto"/>
            </w:tcBorders>
            <w:shd w:val="clear" w:color="000000" w:fill="FFFFFF"/>
            <w:vAlign w:val="center"/>
            <w:hideMark/>
          </w:tcPr>
          <w:p w14:paraId="7859216C" w14:textId="77777777" w:rsidR="00414E68" w:rsidRPr="00860A81" w:rsidRDefault="00414E68" w:rsidP="00414E68">
            <w:pPr>
              <w:spacing w:before="40" w:after="40"/>
              <w:jc w:val="center"/>
              <w:rPr>
                <w:rFonts w:ascii="Arial Narrow" w:hAnsi="Arial Narrow"/>
                <w:szCs w:val="20"/>
              </w:rPr>
            </w:pPr>
            <w:r>
              <w:rPr>
                <w:rFonts w:ascii="Arial Narrow" w:hAnsi="Arial Narrow"/>
                <w:szCs w:val="20"/>
              </w:rPr>
              <w:t>2015 Study</w:t>
            </w:r>
          </w:p>
        </w:tc>
        <w:tc>
          <w:tcPr>
            <w:tcW w:w="1523" w:type="dxa"/>
            <w:tcBorders>
              <w:top w:val="nil"/>
              <w:left w:val="nil"/>
              <w:bottom w:val="single" w:sz="4" w:space="0" w:color="auto"/>
              <w:right w:val="single" w:sz="4" w:space="0" w:color="auto"/>
            </w:tcBorders>
            <w:shd w:val="clear" w:color="000000" w:fill="FFFFFF"/>
            <w:vAlign w:val="center"/>
            <w:hideMark/>
          </w:tcPr>
          <w:p w14:paraId="0E64343C" w14:textId="79DC2F85" w:rsidR="00414E68" w:rsidRPr="00860A81" w:rsidRDefault="00414E68" w:rsidP="00414E68">
            <w:pPr>
              <w:spacing w:before="40" w:after="40"/>
              <w:jc w:val="center"/>
              <w:rPr>
                <w:rFonts w:ascii="Arial Narrow" w:hAnsi="Arial Narrow"/>
                <w:szCs w:val="20"/>
              </w:rPr>
            </w:pPr>
            <w:r>
              <w:rPr>
                <w:rFonts w:ascii="Arial Narrow" w:hAnsi="Arial Narrow" w:cs="Calibri"/>
                <w:szCs w:val="20"/>
              </w:rPr>
              <w:t>5.3</w:t>
            </w:r>
          </w:p>
        </w:tc>
        <w:tc>
          <w:tcPr>
            <w:tcW w:w="1523" w:type="dxa"/>
            <w:gridSpan w:val="2"/>
            <w:tcBorders>
              <w:top w:val="nil"/>
              <w:left w:val="nil"/>
              <w:bottom w:val="single" w:sz="4" w:space="0" w:color="auto"/>
              <w:right w:val="single" w:sz="4" w:space="0" w:color="auto"/>
            </w:tcBorders>
            <w:shd w:val="clear" w:color="000000" w:fill="FFFFFF"/>
            <w:vAlign w:val="center"/>
            <w:hideMark/>
          </w:tcPr>
          <w:p w14:paraId="353488FC" w14:textId="24363D23" w:rsidR="00414E68" w:rsidRPr="00860A81" w:rsidRDefault="00414E68" w:rsidP="00414E68">
            <w:pPr>
              <w:spacing w:before="40" w:after="40"/>
              <w:jc w:val="center"/>
              <w:rPr>
                <w:rFonts w:ascii="Arial Narrow" w:hAnsi="Arial Narrow"/>
                <w:szCs w:val="20"/>
              </w:rPr>
            </w:pPr>
            <w:r>
              <w:rPr>
                <w:rFonts w:ascii="Arial Narrow" w:hAnsi="Arial Narrow" w:cs="Calibri"/>
                <w:szCs w:val="20"/>
              </w:rPr>
              <w:t>-</w:t>
            </w:r>
          </w:p>
        </w:tc>
        <w:tc>
          <w:tcPr>
            <w:tcW w:w="1523" w:type="dxa"/>
            <w:tcBorders>
              <w:top w:val="nil"/>
              <w:left w:val="nil"/>
              <w:bottom w:val="single" w:sz="4" w:space="0" w:color="auto"/>
              <w:right w:val="single" w:sz="4" w:space="0" w:color="auto"/>
            </w:tcBorders>
            <w:shd w:val="clear" w:color="000000" w:fill="FFFFFF"/>
            <w:vAlign w:val="center"/>
            <w:hideMark/>
          </w:tcPr>
          <w:p w14:paraId="3B780550" w14:textId="1BCCE2CE" w:rsidR="00414E68" w:rsidRPr="00860A81" w:rsidRDefault="00414E68" w:rsidP="00414E68">
            <w:pPr>
              <w:spacing w:before="40" w:after="40"/>
              <w:jc w:val="center"/>
              <w:rPr>
                <w:rFonts w:ascii="Arial Narrow" w:hAnsi="Arial Narrow"/>
                <w:szCs w:val="20"/>
              </w:rPr>
            </w:pPr>
            <w:r>
              <w:rPr>
                <w:rFonts w:ascii="Arial Narrow" w:hAnsi="Arial Narrow" w:cs="Calibri"/>
                <w:szCs w:val="20"/>
              </w:rPr>
              <w:t>6.1</w:t>
            </w:r>
          </w:p>
        </w:tc>
        <w:tc>
          <w:tcPr>
            <w:tcW w:w="1523" w:type="dxa"/>
            <w:tcBorders>
              <w:top w:val="nil"/>
              <w:left w:val="nil"/>
              <w:bottom w:val="single" w:sz="4" w:space="0" w:color="auto"/>
              <w:right w:val="single" w:sz="4" w:space="0" w:color="auto"/>
            </w:tcBorders>
            <w:shd w:val="clear" w:color="000000" w:fill="FFFFFF"/>
            <w:vAlign w:val="center"/>
            <w:hideMark/>
          </w:tcPr>
          <w:p w14:paraId="067098C5" w14:textId="28A90FB5" w:rsidR="00414E68" w:rsidRPr="00860A81" w:rsidRDefault="00414E68" w:rsidP="00414E68">
            <w:pPr>
              <w:spacing w:before="40" w:after="40"/>
              <w:jc w:val="center"/>
              <w:rPr>
                <w:rFonts w:ascii="Arial Narrow" w:hAnsi="Arial Narrow"/>
                <w:szCs w:val="20"/>
              </w:rPr>
            </w:pPr>
            <w:r>
              <w:rPr>
                <w:rFonts w:ascii="Arial Narrow" w:hAnsi="Arial Narrow" w:cs="Calibri"/>
                <w:szCs w:val="20"/>
              </w:rPr>
              <w:t>-</w:t>
            </w:r>
          </w:p>
        </w:tc>
      </w:tr>
      <w:tr w:rsidR="00414E68" w:rsidRPr="00860A81" w14:paraId="5D1FC9E3" w14:textId="77777777" w:rsidTr="00414E68">
        <w:trPr>
          <w:trHeight w:val="438"/>
          <w:jc w:val="center"/>
        </w:trPr>
        <w:tc>
          <w:tcPr>
            <w:tcW w:w="2128" w:type="dxa"/>
            <w:tcBorders>
              <w:top w:val="nil"/>
              <w:left w:val="single" w:sz="4" w:space="0" w:color="auto"/>
              <w:bottom w:val="single" w:sz="4" w:space="0" w:color="auto"/>
              <w:right w:val="single" w:sz="4" w:space="0" w:color="auto"/>
            </w:tcBorders>
            <w:shd w:val="clear" w:color="000000" w:fill="FFFFFF"/>
            <w:vAlign w:val="center"/>
            <w:hideMark/>
          </w:tcPr>
          <w:p w14:paraId="55075E54" w14:textId="77777777" w:rsidR="00414E68" w:rsidRPr="00860A81" w:rsidRDefault="00414E68" w:rsidP="00414E68">
            <w:pPr>
              <w:spacing w:before="40" w:after="40"/>
              <w:jc w:val="center"/>
              <w:rPr>
                <w:rFonts w:ascii="Arial Narrow" w:hAnsi="Arial Narrow"/>
                <w:szCs w:val="20"/>
              </w:rPr>
            </w:pPr>
            <w:r>
              <w:rPr>
                <w:rFonts w:ascii="Arial Narrow" w:hAnsi="Arial Narrow"/>
                <w:szCs w:val="20"/>
              </w:rPr>
              <w:t>2018 Study -  Reference</w:t>
            </w:r>
          </w:p>
        </w:tc>
        <w:tc>
          <w:tcPr>
            <w:tcW w:w="1523" w:type="dxa"/>
            <w:tcBorders>
              <w:top w:val="nil"/>
              <w:left w:val="nil"/>
              <w:bottom w:val="single" w:sz="4" w:space="0" w:color="auto"/>
              <w:right w:val="single" w:sz="4" w:space="0" w:color="auto"/>
            </w:tcBorders>
            <w:shd w:val="clear" w:color="000000" w:fill="FFFFFF"/>
            <w:vAlign w:val="center"/>
            <w:hideMark/>
          </w:tcPr>
          <w:p w14:paraId="16BAB228" w14:textId="52C5938A" w:rsidR="00414E68" w:rsidRPr="00860A81" w:rsidRDefault="00414E68" w:rsidP="00414E68">
            <w:pPr>
              <w:spacing w:before="40" w:after="40"/>
              <w:jc w:val="center"/>
              <w:rPr>
                <w:rFonts w:ascii="Arial Narrow" w:hAnsi="Arial Narrow"/>
                <w:szCs w:val="20"/>
              </w:rPr>
            </w:pPr>
            <w:r>
              <w:rPr>
                <w:rFonts w:ascii="Arial Narrow" w:hAnsi="Arial Narrow" w:cs="Calibri"/>
                <w:szCs w:val="20"/>
              </w:rPr>
              <w:t>12.0</w:t>
            </w:r>
          </w:p>
        </w:tc>
        <w:tc>
          <w:tcPr>
            <w:tcW w:w="1523" w:type="dxa"/>
            <w:gridSpan w:val="2"/>
            <w:tcBorders>
              <w:top w:val="nil"/>
              <w:left w:val="nil"/>
              <w:bottom w:val="single" w:sz="4" w:space="0" w:color="auto"/>
              <w:right w:val="single" w:sz="4" w:space="0" w:color="auto"/>
            </w:tcBorders>
            <w:shd w:val="clear" w:color="000000" w:fill="FFFFFF"/>
            <w:vAlign w:val="center"/>
            <w:hideMark/>
          </w:tcPr>
          <w:p w14:paraId="135162C1" w14:textId="7AA6BA61" w:rsidR="00414E68" w:rsidRPr="00860A81" w:rsidRDefault="00414E68" w:rsidP="00414E68">
            <w:pPr>
              <w:spacing w:before="40" w:after="40"/>
              <w:jc w:val="center"/>
              <w:rPr>
                <w:rFonts w:ascii="Arial Narrow" w:hAnsi="Arial Narrow"/>
                <w:szCs w:val="20"/>
              </w:rPr>
            </w:pPr>
            <w:r>
              <w:rPr>
                <w:rFonts w:ascii="Arial Narrow" w:hAnsi="Arial Narrow" w:cs="Calibri"/>
                <w:szCs w:val="20"/>
              </w:rPr>
              <w:t>126%</w:t>
            </w:r>
          </w:p>
        </w:tc>
        <w:tc>
          <w:tcPr>
            <w:tcW w:w="1523" w:type="dxa"/>
            <w:tcBorders>
              <w:top w:val="nil"/>
              <w:left w:val="nil"/>
              <w:bottom w:val="single" w:sz="4" w:space="0" w:color="auto"/>
              <w:right w:val="single" w:sz="4" w:space="0" w:color="auto"/>
            </w:tcBorders>
            <w:shd w:val="clear" w:color="000000" w:fill="FFFFFF"/>
            <w:vAlign w:val="center"/>
            <w:hideMark/>
          </w:tcPr>
          <w:p w14:paraId="34463EC3" w14:textId="364C88B7" w:rsidR="00414E68" w:rsidRPr="00860A81" w:rsidRDefault="00414E68" w:rsidP="00414E68">
            <w:pPr>
              <w:spacing w:before="40" w:after="40"/>
              <w:jc w:val="center"/>
              <w:rPr>
                <w:rFonts w:ascii="Arial Narrow" w:hAnsi="Arial Narrow"/>
                <w:szCs w:val="20"/>
              </w:rPr>
            </w:pPr>
            <w:r>
              <w:rPr>
                <w:rFonts w:ascii="Arial Narrow" w:hAnsi="Arial Narrow" w:cs="Calibri"/>
                <w:szCs w:val="20"/>
              </w:rPr>
              <w:t>17.7</w:t>
            </w:r>
          </w:p>
        </w:tc>
        <w:tc>
          <w:tcPr>
            <w:tcW w:w="1523" w:type="dxa"/>
            <w:tcBorders>
              <w:top w:val="nil"/>
              <w:left w:val="nil"/>
              <w:bottom w:val="single" w:sz="4" w:space="0" w:color="auto"/>
              <w:right w:val="single" w:sz="4" w:space="0" w:color="auto"/>
            </w:tcBorders>
            <w:shd w:val="clear" w:color="000000" w:fill="FFFFFF"/>
            <w:vAlign w:val="center"/>
            <w:hideMark/>
          </w:tcPr>
          <w:p w14:paraId="05E27E9C" w14:textId="0BBD4710" w:rsidR="00414E68" w:rsidRPr="00860A81" w:rsidRDefault="00414E68" w:rsidP="00414E68">
            <w:pPr>
              <w:spacing w:before="40" w:after="40"/>
              <w:jc w:val="center"/>
              <w:rPr>
                <w:rFonts w:ascii="Arial Narrow" w:hAnsi="Arial Narrow"/>
                <w:szCs w:val="20"/>
              </w:rPr>
            </w:pPr>
            <w:r>
              <w:rPr>
                <w:rFonts w:ascii="Arial Narrow" w:hAnsi="Arial Narrow" w:cs="Calibri"/>
                <w:szCs w:val="20"/>
              </w:rPr>
              <w:t>191%</w:t>
            </w:r>
          </w:p>
        </w:tc>
      </w:tr>
      <w:tr w:rsidR="00414E68" w:rsidRPr="00860A81" w14:paraId="5C9BBE54" w14:textId="77777777" w:rsidTr="00414E68">
        <w:trPr>
          <w:cantSplit/>
          <w:trHeight w:val="438"/>
          <w:jc w:val="center"/>
        </w:trPr>
        <w:tc>
          <w:tcPr>
            <w:tcW w:w="2128" w:type="dxa"/>
            <w:tcBorders>
              <w:top w:val="nil"/>
              <w:left w:val="single" w:sz="4" w:space="0" w:color="auto"/>
              <w:bottom w:val="single" w:sz="4" w:space="0" w:color="auto"/>
              <w:right w:val="single" w:sz="4" w:space="0" w:color="auto"/>
            </w:tcBorders>
            <w:shd w:val="clear" w:color="000000" w:fill="FFFFFF"/>
            <w:vAlign w:val="center"/>
            <w:hideMark/>
          </w:tcPr>
          <w:p w14:paraId="2790F18B" w14:textId="77777777" w:rsidR="00414E68" w:rsidRPr="00860A81" w:rsidRDefault="00414E68" w:rsidP="00414E68">
            <w:pPr>
              <w:spacing w:before="40" w:after="40"/>
              <w:jc w:val="center"/>
              <w:rPr>
                <w:rFonts w:ascii="Arial Narrow" w:hAnsi="Arial Narrow"/>
                <w:szCs w:val="20"/>
              </w:rPr>
            </w:pPr>
            <w:r>
              <w:rPr>
                <w:rFonts w:ascii="Arial Narrow" w:hAnsi="Arial Narrow"/>
                <w:szCs w:val="20"/>
              </w:rPr>
              <w:t>2018 Study - Aggressive</w:t>
            </w:r>
          </w:p>
        </w:tc>
        <w:tc>
          <w:tcPr>
            <w:tcW w:w="1523" w:type="dxa"/>
            <w:tcBorders>
              <w:top w:val="nil"/>
              <w:left w:val="nil"/>
              <w:bottom w:val="single" w:sz="4" w:space="0" w:color="auto"/>
              <w:right w:val="single" w:sz="4" w:space="0" w:color="auto"/>
            </w:tcBorders>
            <w:shd w:val="clear" w:color="000000" w:fill="FFFFFF"/>
            <w:vAlign w:val="center"/>
            <w:hideMark/>
          </w:tcPr>
          <w:p w14:paraId="7E8F206F" w14:textId="1AE76158" w:rsidR="00414E68" w:rsidRPr="00860A81" w:rsidRDefault="00414E68" w:rsidP="00414E68">
            <w:pPr>
              <w:spacing w:before="40" w:after="40"/>
              <w:jc w:val="center"/>
              <w:rPr>
                <w:rFonts w:ascii="Arial Narrow" w:hAnsi="Arial Narrow"/>
                <w:szCs w:val="20"/>
              </w:rPr>
            </w:pPr>
            <w:r>
              <w:rPr>
                <w:rFonts w:ascii="Arial Narrow" w:hAnsi="Arial Narrow" w:cs="Calibri"/>
                <w:szCs w:val="20"/>
              </w:rPr>
              <w:t>13.0</w:t>
            </w:r>
          </w:p>
        </w:tc>
        <w:tc>
          <w:tcPr>
            <w:tcW w:w="1523" w:type="dxa"/>
            <w:gridSpan w:val="2"/>
            <w:tcBorders>
              <w:top w:val="nil"/>
              <w:left w:val="nil"/>
              <w:bottom w:val="single" w:sz="4" w:space="0" w:color="auto"/>
              <w:right w:val="single" w:sz="4" w:space="0" w:color="auto"/>
            </w:tcBorders>
            <w:shd w:val="clear" w:color="000000" w:fill="FFFFFF"/>
            <w:vAlign w:val="center"/>
            <w:hideMark/>
          </w:tcPr>
          <w:p w14:paraId="53DC3257" w14:textId="1C4BC96B" w:rsidR="00414E68" w:rsidRPr="00860A81" w:rsidRDefault="00414E68" w:rsidP="00414E68">
            <w:pPr>
              <w:spacing w:before="40" w:after="40"/>
              <w:jc w:val="center"/>
              <w:rPr>
                <w:rFonts w:ascii="Arial Narrow" w:hAnsi="Arial Narrow"/>
                <w:szCs w:val="20"/>
              </w:rPr>
            </w:pPr>
            <w:r>
              <w:rPr>
                <w:rFonts w:ascii="Arial Narrow" w:hAnsi="Arial Narrow" w:cs="Calibri"/>
                <w:szCs w:val="20"/>
              </w:rPr>
              <w:t>146%</w:t>
            </w:r>
          </w:p>
        </w:tc>
        <w:tc>
          <w:tcPr>
            <w:tcW w:w="1523" w:type="dxa"/>
            <w:tcBorders>
              <w:top w:val="nil"/>
              <w:left w:val="nil"/>
              <w:bottom w:val="single" w:sz="4" w:space="0" w:color="auto"/>
              <w:right w:val="single" w:sz="4" w:space="0" w:color="auto"/>
            </w:tcBorders>
            <w:shd w:val="clear" w:color="000000" w:fill="FFFFFF"/>
            <w:vAlign w:val="center"/>
            <w:hideMark/>
          </w:tcPr>
          <w:p w14:paraId="418422B9" w14:textId="59E54A2D" w:rsidR="00414E68" w:rsidRPr="00860A81" w:rsidRDefault="00414E68" w:rsidP="00414E68">
            <w:pPr>
              <w:spacing w:before="40" w:after="40"/>
              <w:jc w:val="center"/>
              <w:rPr>
                <w:rFonts w:ascii="Arial Narrow" w:hAnsi="Arial Narrow"/>
                <w:szCs w:val="20"/>
              </w:rPr>
            </w:pPr>
            <w:r>
              <w:rPr>
                <w:rFonts w:ascii="Arial Narrow" w:hAnsi="Arial Narrow" w:cs="Calibri"/>
                <w:szCs w:val="20"/>
              </w:rPr>
              <w:t>24.1</w:t>
            </w:r>
          </w:p>
        </w:tc>
        <w:tc>
          <w:tcPr>
            <w:tcW w:w="1523" w:type="dxa"/>
            <w:tcBorders>
              <w:top w:val="nil"/>
              <w:left w:val="nil"/>
              <w:bottom w:val="single" w:sz="4" w:space="0" w:color="auto"/>
              <w:right w:val="single" w:sz="4" w:space="0" w:color="auto"/>
            </w:tcBorders>
            <w:shd w:val="clear" w:color="000000" w:fill="FFFFFF"/>
            <w:vAlign w:val="center"/>
            <w:hideMark/>
          </w:tcPr>
          <w:p w14:paraId="0534FB5C" w14:textId="6E0F023A" w:rsidR="00414E68" w:rsidRPr="00860A81" w:rsidRDefault="00414E68" w:rsidP="00414E68">
            <w:pPr>
              <w:spacing w:before="40" w:after="40"/>
              <w:jc w:val="center"/>
              <w:rPr>
                <w:rFonts w:ascii="Arial Narrow" w:hAnsi="Arial Narrow"/>
                <w:szCs w:val="20"/>
              </w:rPr>
            </w:pPr>
            <w:r>
              <w:rPr>
                <w:rFonts w:ascii="Arial Narrow" w:hAnsi="Arial Narrow" w:cs="Calibri"/>
                <w:szCs w:val="20"/>
              </w:rPr>
              <w:t>297%</w:t>
            </w:r>
          </w:p>
        </w:tc>
      </w:tr>
    </w:tbl>
    <w:p w14:paraId="5DE18869" w14:textId="77777777" w:rsidR="00596050" w:rsidRDefault="00596050" w:rsidP="00596050"/>
    <w:p w14:paraId="656A58F9" w14:textId="77777777" w:rsidR="00FB45A3" w:rsidRDefault="00FA33C3" w:rsidP="0004676E">
      <w:pPr>
        <w:pStyle w:val="CommentText"/>
        <w:jc w:val="both"/>
      </w:pPr>
      <w:r>
        <w:fldChar w:fldCharType="begin"/>
      </w:r>
      <w:r>
        <w:instrText xml:space="preserve"> REF _Ref490229260 \h </w:instrText>
      </w:r>
      <w:r>
        <w:fldChar w:fldCharType="separate"/>
      </w:r>
      <w:r>
        <w:t xml:space="preserve">Table </w:t>
      </w:r>
      <w:r>
        <w:rPr>
          <w:noProof/>
        </w:rPr>
        <w:t>5</w:t>
      </w:r>
      <w:r>
        <w:noBreakHyphen/>
      </w:r>
      <w:r>
        <w:rPr>
          <w:noProof/>
        </w:rPr>
        <w:t>3</w:t>
      </w:r>
      <w:r>
        <w:fldChar w:fldCharType="end"/>
      </w:r>
      <w:r>
        <w:t xml:space="preserve"> </w:t>
      </w:r>
      <w:r w:rsidR="00C84C33">
        <w:t>and</w:t>
      </w:r>
      <w:r w:rsidR="00FB45A3">
        <w:t xml:space="preserve"> </w:t>
      </w:r>
      <w:r>
        <w:fldChar w:fldCharType="begin"/>
      </w:r>
      <w:r>
        <w:instrText xml:space="preserve"> REF _Ref490229270 \h </w:instrText>
      </w:r>
      <w:r>
        <w:fldChar w:fldCharType="separate"/>
      </w:r>
      <w:r>
        <w:t xml:space="preserve">Table </w:t>
      </w:r>
      <w:r>
        <w:rPr>
          <w:noProof/>
        </w:rPr>
        <w:t>5</w:t>
      </w:r>
      <w:r>
        <w:noBreakHyphen/>
      </w:r>
      <w:r>
        <w:rPr>
          <w:noProof/>
        </w:rPr>
        <w:t>4</w:t>
      </w:r>
      <w:r>
        <w:fldChar w:fldCharType="end"/>
      </w:r>
      <w:r w:rsidR="00FB45A3">
        <w:t xml:space="preserve"> </w:t>
      </w:r>
      <w:r w:rsidR="00C84C33">
        <w:t xml:space="preserve">show </w:t>
      </w:r>
      <w:r w:rsidR="006C0C41">
        <w:t xml:space="preserve">net </w:t>
      </w:r>
      <w:r w:rsidR="00FB45A3">
        <w:t>C&amp;S results for electric and gas compared to the previous study. As mentioned earlier in</w:t>
      </w:r>
      <w:r w:rsidR="00C84C33">
        <w:t xml:space="preserve"> section</w:t>
      </w:r>
      <w:r w:rsidR="00FB45A3">
        <w:t xml:space="preserve"> </w:t>
      </w:r>
      <w:r w:rsidR="00FB45A3">
        <w:fldChar w:fldCharType="begin"/>
      </w:r>
      <w:r w:rsidR="00FB45A3">
        <w:instrText xml:space="preserve"> REF _Ref485126446 \n \h </w:instrText>
      </w:r>
      <w:r w:rsidR="0004676E">
        <w:instrText xml:space="preserve"> \* MERGEFORMAT </w:instrText>
      </w:r>
      <w:r w:rsidR="00FB45A3">
        <w:fldChar w:fldCharType="separate"/>
      </w:r>
      <w:r w:rsidR="007566B9">
        <w:t>4.2</w:t>
      </w:r>
      <w:r w:rsidR="00FB45A3">
        <w:fldChar w:fldCharType="end"/>
      </w:r>
      <w:r w:rsidR="00FB45A3">
        <w:t xml:space="preserve"> savings from C&amp;S are significantly higher than those estimated in the 2015 PG study. The primary reason for increased savings are due to:</w:t>
      </w:r>
    </w:p>
    <w:p w14:paraId="3BE4243F" w14:textId="77777777" w:rsidR="00FB45A3" w:rsidRDefault="00FB45A3" w:rsidP="0004676E">
      <w:pPr>
        <w:pStyle w:val="CommentText"/>
        <w:numPr>
          <w:ilvl w:val="0"/>
          <w:numId w:val="72"/>
        </w:numPr>
        <w:jc w:val="both"/>
      </w:pPr>
      <w:r>
        <w:t>Evaluated 2013 T24 savings are higher than those unevaluated savings estimated in the 2015 study</w:t>
      </w:r>
    </w:p>
    <w:p w14:paraId="3A4F4BEB" w14:textId="77777777" w:rsidR="00FB45A3" w:rsidRDefault="00FB45A3" w:rsidP="0004676E">
      <w:pPr>
        <w:pStyle w:val="CommentText"/>
        <w:numPr>
          <w:ilvl w:val="0"/>
          <w:numId w:val="72"/>
        </w:numPr>
        <w:jc w:val="both"/>
      </w:pPr>
      <w:r>
        <w:t>IOU claims for 2016 Title 24 are higher than those savings estimated in the 2015 study</w:t>
      </w:r>
    </w:p>
    <w:p w14:paraId="0F2057B5" w14:textId="77777777" w:rsidR="00FB45A3" w:rsidRDefault="00FB45A3" w:rsidP="0004676E">
      <w:pPr>
        <w:pStyle w:val="CommentText"/>
        <w:numPr>
          <w:ilvl w:val="0"/>
          <w:numId w:val="72"/>
        </w:numPr>
        <w:jc w:val="both"/>
      </w:pPr>
      <w:r>
        <w:t>Inclusion of estimates for 2019 T24 in the 2018 study; these were not previously included in the mid case of the 2015 PG study</w:t>
      </w:r>
    </w:p>
    <w:p w14:paraId="66D16C5B" w14:textId="02E790C8" w:rsidR="00414E68" w:rsidRDefault="00FB45A3" w:rsidP="0004676E">
      <w:pPr>
        <w:pStyle w:val="CommentText"/>
        <w:numPr>
          <w:ilvl w:val="0"/>
          <w:numId w:val="72"/>
        </w:numPr>
        <w:jc w:val="both"/>
      </w:pPr>
      <w:r>
        <w:t>Additional/updated federal standards claimed by the IOUs not included in the 2015 study</w:t>
      </w:r>
    </w:p>
    <w:p w14:paraId="08AA043A" w14:textId="77777777" w:rsidR="00414E68" w:rsidRDefault="00414E68">
      <w:pPr>
        <w:spacing w:line="240" w:lineRule="auto"/>
        <w:rPr>
          <w:szCs w:val="20"/>
        </w:rPr>
      </w:pPr>
      <w:r>
        <w:br w:type="page"/>
      </w:r>
    </w:p>
    <w:p w14:paraId="4ECA50EE" w14:textId="77777777" w:rsidR="00596050" w:rsidRDefault="00596050" w:rsidP="00596050">
      <w:pPr>
        <w:pStyle w:val="Caption"/>
      </w:pPr>
      <w:bookmarkStart w:id="938" w:name="_Ref485126001"/>
      <w:bookmarkStart w:id="939" w:name="_Toc490560699"/>
      <w:r>
        <w:lastRenderedPageBreak/>
        <w:t xml:space="preserve">Table </w:t>
      </w:r>
      <w:fldSimple w:instr=" STYLEREF 1 \s ">
        <w:r w:rsidR="007566B9">
          <w:rPr>
            <w:noProof/>
          </w:rPr>
          <w:t>5</w:t>
        </w:r>
      </w:fldSimple>
      <w:r>
        <w:noBreakHyphen/>
      </w:r>
      <w:bookmarkEnd w:id="938"/>
      <w:r w:rsidR="00B206D8">
        <w:fldChar w:fldCharType="begin"/>
      </w:r>
      <w:r w:rsidR="00B206D8">
        <w:instrText xml:space="preserve"> SEQ Table \* ARABIC \s 1 </w:instrText>
      </w:r>
      <w:r w:rsidR="00B206D8">
        <w:fldChar w:fldCharType="separate"/>
      </w:r>
      <w:r w:rsidR="007566B9">
        <w:rPr>
          <w:noProof/>
        </w:rPr>
        <w:t>5</w:t>
      </w:r>
      <w:r w:rsidR="00B206D8">
        <w:rPr>
          <w:noProof/>
        </w:rPr>
        <w:fldChar w:fldCharType="end"/>
      </w:r>
      <w:r>
        <w:t xml:space="preserve">. C&amp;S </w:t>
      </w:r>
      <w:r w:rsidR="006C0C41">
        <w:t>Net</w:t>
      </w:r>
      <w:r>
        <w:t xml:space="preserve"> Program Results Comparison - Electric</w:t>
      </w:r>
      <w:bookmarkEnd w:id="939"/>
    </w:p>
    <w:tbl>
      <w:tblPr>
        <w:tblW w:w="8233" w:type="dxa"/>
        <w:jc w:val="center"/>
        <w:tblLook w:val="04A0" w:firstRow="1" w:lastRow="0" w:firstColumn="1" w:lastColumn="0" w:noHBand="0" w:noVBand="1"/>
      </w:tblPr>
      <w:tblGrid>
        <w:gridCol w:w="2131"/>
        <w:gridCol w:w="1525"/>
        <w:gridCol w:w="1492"/>
        <w:gridCol w:w="33"/>
        <w:gridCol w:w="1525"/>
        <w:gridCol w:w="1527"/>
      </w:tblGrid>
      <w:tr w:rsidR="006A1475" w:rsidRPr="00C35483" w14:paraId="368425F8" w14:textId="77777777" w:rsidTr="00414E68">
        <w:trPr>
          <w:trHeight w:val="234"/>
          <w:jc w:val="center"/>
        </w:trPr>
        <w:tc>
          <w:tcPr>
            <w:tcW w:w="2131" w:type="dxa"/>
            <w:tcBorders>
              <w:top w:val="nil"/>
              <w:left w:val="nil"/>
              <w:bottom w:val="single" w:sz="12" w:space="0" w:color="95D600"/>
              <w:right w:val="nil"/>
            </w:tcBorders>
            <w:shd w:val="clear" w:color="000000" w:fill="555759"/>
            <w:vAlign w:val="center"/>
            <w:hideMark/>
          </w:tcPr>
          <w:p w14:paraId="48E6B154" w14:textId="77777777" w:rsidR="006A1475" w:rsidRPr="00C35483" w:rsidRDefault="006A1475" w:rsidP="00D24C10">
            <w:pPr>
              <w:spacing w:before="40" w:after="40"/>
              <w:jc w:val="center"/>
              <w:rPr>
                <w:rFonts w:ascii="Arial Narrow" w:hAnsi="Arial Narrow"/>
                <w:b/>
                <w:color w:val="FFFFFF"/>
                <w:szCs w:val="20"/>
              </w:rPr>
            </w:pPr>
            <w:r w:rsidRPr="00C35483">
              <w:rPr>
                <w:rFonts w:ascii="Arial Narrow" w:hAnsi="Arial Narrow"/>
                <w:b/>
                <w:color w:val="FFFFFF"/>
                <w:szCs w:val="20"/>
              </w:rPr>
              <w:t> </w:t>
            </w:r>
          </w:p>
        </w:tc>
        <w:tc>
          <w:tcPr>
            <w:tcW w:w="3017" w:type="dxa"/>
            <w:gridSpan w:val="2"/>
            <w:tcBorders>
              <w:top w:val="nil"/>
              <w:left w:val="nil"/>
              <w:bottom w:val="single" w:sz="12" w:space="0" w:color="95D600"/>
              <w:right w:val="nil"/>
            </w:tcBorders>
            <w:shd w:val="clear" w:color="000000" w:fill="555759"/>
            <w:vAlign w:val="center"/>
            <w:hideMark/>
          </w:tcPr>
          <w:p w14:paraId="552DC5D2" w14:textId="77777777" w:rsidR="006A1475" w:rsidRPr="00C35483" w:rsidRDefault="006A1475" w:rsidP="00D24C10">
            <w:pPr>
              <w:spacing w:before="40" w:after="40"/>
              <w:jc w:val="center"/>
              <w:rPr>
                <w:rFonts w:ascii="Arial Narrow" w:hAnsi="Arial Narrow"/>
                <w:b/>
                <w:color w:val="FFFFFF"/>
                <w:szCs w:val="20"/>
              </w:rPr>
            </w:pPr>
            <w:r w:rsidRPr="00C35483">
              <w:rPr>
                <w:rFonts w:ascii="Arial Narrow" w:hAnsi="Arial Narrow"/>
                <w:b/>
                <w:color w:val="FFFFFF"/>
                <w:szCs w:val="20"/>
              </w:rPr>
              <w:t>2018</w:t>
            </w:r>
          </w:p>
        </w:tc>
        <w:tc>
          <w:tcPr>
            <w:tcW w:w="3085" w:type="dxa"/>
            <w:gridSpan w:val="3"/>
            <w:tcBorders>
              <w:top w:val="nil"/>
              <w:left w:val="nil"/>
              <w:bottom w:val="single" w:sz="12" w:space="0" w:color="95D600"/>
              <w:right w:val="nil"/>
            </w:tcBorders>
            <w:shd w:val="clear" w:color="000000" w:fill="555759"/>
            <w:vAlign w:val="center"/>
            <w:hideMark/>
          </w:tcPr>
          <w:p w14:paraId="580AEF1E" w14:textId="77777777" w:rsidR="006A1475" w:rsidRPr="00C35483" w:rsidRDefault="006A1475" w:rsidP="00D24C10">
            <w:pPr>
              <w:spacing w:before="40" w:after="40"/>
              <w:jc w:val="center"/>
              <w:rPr>
                <w:rFonts w:ascii="Arial Narrow" w:hAnsi="Arial Narrow"/>
                <w:b/>
                <w:color w:val="FFFFFF"/>
                <w:szCs w:val="20"/>
              </w:rPr>
            </w:pPr>
            <w:r w:rsidRPr="00C35483">
              <w:rPr>
                <w:rFonts w:ascii="Arial Narrow" w:hAnsi="Arial Narrow"/>
                <w:b/>
                <w:color w:val="FFFFFF"/>
                <w:szCs w:val="20"/>
              </w:rPr>
              <w:t>2024</w:t>
            </w:r>
          </w:p>
        </w:tc>
      </w:tr>
      <w:tr w:rsidR="006A1475" w:rsidRPr="00C35483" w14:paraId="323811D0" w14:textId="77777777" w:rsidTr="00414E68">
        <w:trPr>
          <w:trHeight w:val="579"/>
          <w:jc w:val="center"/>
        </w:trPr>
        <w:tc>
          <w:tcPr>
            <w:tcW w:w="21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B16D4B" w14:textId="77777777" w:rsidR="006A1475" w:rsidRPr="00860A81" w:rsidRDefault="006A1475" w:rsidP="006A1475">
            <w:pPr>
              <w:spacing w:before="40" w:after="40"/>
              <w:jc w:val="center"/>
              <w:rPr>
                <w:rFonts w:ascii="Arial Narrow" w:hAnsi="Arial Narrow"/>
                <w:szCs w:val="20"/>
              </w:rPr>
            </w:pPr>
            <w:r>
              <w:rPr>
                <w:rFonts w:ascii="Arial Narrow" w:hAnsi="Arial Narrow"/>
                <w:szCs w:val="20"/>
              </w:rPr>
              <w:t> </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14:paraId="5FBA93B0" w14:textId="77777777" w:rsidR="006A1475" w:rsidRPr="00C35483" w:rsidRDefault="006A1475" w:rsidP="006A1475">
            <w:pPr>
              <w:spacing w:before="40" w:after="40"/>
              <w:jc w:val="center"/>
              <w:rPr>
                <w:rFonts w:ascii="Arial Narrow" w:hAnsi="Arial Narrow"/>
                <w:b/>
                <w:szCs w:val="20"/>
              </w:rPr>
            </w:pPr>
            <w:r>
              <w:rPr>
                <w:rFonts w:ascii="Arial Narrow" w:hAnsi="Arial Narrow"/>
                <w:b/>
                <w:bCs/>
                <w:szCs w:val="20"/>
              </w:rPr>
              <w:t>Market Potential (GWh)</w:t>
            </w:r>
          </w:p>
        </w:tc>
        <w:tc>
          <w:tcPr>
            <w:tcW w:w="1525" w:type="dxa"/>
            <w:gridSpan w:val="2"/>
            <w:tcBorders>
              <w:top w:val="single" w:sz="4" w:space="0" w:color="auto"/>
              <w:left w:val="nil"/>
              <w:bottom w:val="single" w:sz="4" w:space="0" w:color="auto"/>
              <w:right w:val="single" w:sz="4" w:space="0" w:color="auto"/>
            </w:tcBorders>
            <w:shd w:val="clear" w:color="000000" w:fill="FFFFFF"/>
            <w:vAlign w:val="center"/>
            <w:hideMark/>
          </w:tcPr>
          <w:p w14:paraId="13C09EAE" w14:textId="77777777" w:rsidR="006A1475" w:rsidRPr="00C35483" w:rsidRDefault="006A1475" w:rsidP="006A1475">
            <w:pPr>
              <w:spacing w:before="40" w:after="40"/>
              <w:jc w:val="center"/>
              <w:rPr>
                <w:rFonts w:ascii="Arial Narrow" w:hAnsi="Arial Narrow"/>
                <w:b/>
                <w:szCs w:val="20"/>
              </w:rPr>
            </w:pPr>
            <w:r>
              <w:rPr>
                <w:rFonts w:ascii="Arial Narrow" w:hAnsi="Arial Narrow"/>
                <w:b/>
                <w:bCs/>
                <w:szCs w:val="20"/>
              </w:rPr>
              <w:t>Percent Difference Relative to 2015 study</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14:paraId="5F944796" w14:textId="77777777" w:rsidR="006A1475" w:rsidRPr="00C35483" w:rsidRDefault="006A1475" w:rsidP="006A1475">
            <w:pPr>
              <w:spacing w:before="40" w:after="40"/>
              <w:jc w:val="center"/>
              <w:rPr>
                <w:rFonts w:ascii="Arial Narrow" w:hAnsi="Arial Narrow"/>
                <w:b/>
                <w:szCs w:val="20"/>
              </w:rPr>
            </w:pPr>
            <w:r>
              <w:rPr>
                <w:rFonts w:ascii="Arial Narrow" w:hAnsi="Arial Narrow"/>
                <w:b/>
                <w:bCs/>
                <w:szCs w:val="20"/>
              </w:rPr>
              <w:t>Market Potential (GWh)</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14:paraId="568B1F2E" w14:textId="77777777" w:rsidR="006A1475" w:rsidRPr="00C35483" w:rsidRDefault="006A1475" w:rsidP="006A1475">
            <w:pPr>
              <w:spacing w:before="40" w:after="40"/>
              <w:jc w:val="center"/>
              <w:rPr>
                <w:rFonts w:ascii="Arial Narrow" w:hAnsi="Arial Narrow"/>
                <w:b/>
                <w:szCs w:val="20"/>
              </w:rPr>
            </w:pPr>
            <w:r>
              <w:rPr>
                <w:rFonts w:ascii="Arial Narrow" w:hAnsi="Arial Narrow"/>
                <w:b/>
                <w:bCs/>
                <w:szCs w:val="20"/>
              </w:rPr>
              <w:t>Percent Difference Relative to 2015 study</w:t>
            </w:r>
          </w:p>
        </w:tc>
      </w:tr>
      <w:tr w:rsidR="006A1475" w:rsidRPr="00C35483" w14:paraId="01AC0A6D" w14:textId="77777777" w:rsidTr="00414E68">
        <w:trPr>
          <w:trHeight w:val="453"/>
          <w:jc w:val="center"/>
        </w:trPr>
        <w:tc>
          <w:tcPr>
            <w:tcW w:w="2131" w:type="dxa"/>
            <w:tcBorders>
              <w:top w:val="nil"/>
              <w:left w:val="single" w:sz="4" w:space="0" w:color="auto"/>
              <w:bottom w:val="single" w:sz="4" w:space="0" w:color="auto"/>
              <w:right w:val="single" w:sz="4" w:space="0" w:color="auto"/>
            </w:tcBorders>
            <w:shd w:val="clear" w:color="000000" w:fill="FFFFFF"/>
            <w:vAlign w:val="center"/>
            <w:hideMark/>
          </w:tcPr>
          <w:p w14:paraId="2C1013D5" w14:textId="77777777" w:rsidR="006A1475" w:rsidRPr="00860A81" w:rsidRDefault="006A1475" w:rsidP="006A1475">
            <w:pPr>
              <w:spacing w:before="40" w:after="40"/>
              <w:jc w:val="center"/>
              <w:rPr>
                <w:rFonts w:ascii="Arial Narrow" w:hAnsi="Arial Narrow"/>
                <w:szCs w:val="20"/>
              </w:rPr>
            </w:pPr>
            <w:r>
              <w:rPr>
                <w:rFonts w:ascii="Arial Narrow" w:hAnsi="Arial Narrow"/>
                <w:szCs w:val="20"/>
              </w:rPr>
              <w:t>2015 Study</w:t>
            </w:r>
          </w:p>
        </w:tc>
        <w:tc>
          <w:tcPr>
            <w:tcW w:w="1525" w:type="dxa"/>
            <w:tcBorders>
              <w:top w:val="nil"/>
              <w:left w:val="nil"/>
              <w:bottom w:val="single" w:sz="4" w:space="0" w:color="auto"/>
              <w:right w:val="single" w:sz="4" w:space="0" w:color="auto"/>
            </w:tcBorders>
            <w:shd w:val="clear" w:color="000000" w:fill="FFFFFF"/>
            <w:vAlign w:val="center"/>
            <w:hideMark/>
          </w:tcPr>
          <w:p w14:paraId="7FD59FDA" w14:textId="77777777" w:rsidR="006A1475" w:rsidRPr="00860A81" w:rsidRDefault="006A1475" w:rsidP="006A1475">
            <w:pPr>
              <w:spacing w:before="40" w:after="40"/>
              <w:jc w:val="center"/>
              <w:rPr>
                <w:rFonts w:ascii="Arial Narrow" w:hAnsi="Arial Narrow"/>
                <w:szCs w:val="20"/>
              </w:rPr>
            </w:pPr>
            <w:r>
              <w:rPr>
                <w:rFonts w:ascii="Arial Narrow" w:hAnsi="Arial Narrow"/>
                <w:szCs w:val="20"/>
              </w:rPr>
              <w:t>925</w:t>
            </w:r>
          </w:p>
        </w:tc>
        <w:tc>
          <w:tcPr>
            <w:tcW w:w="1525" w:type="dxa"/>
            <w:gridSpan w:val="2"/>
            <w:tcBorders>
              <w:top w:val="nil"/>
              <w:left w:val="nil"/>
              <w:bottom w:val="single" w:sz="4" w:space="0" w:color="auto"/>
              <w:right w:val="single" w:sz="4" w:space="0" w:color="auto"/>
            </w:tcBorders>
            <w:shd w:val="clear" w:color="000000" w:fill="FFFFFF"/>
            <w:vAlign w:val="center"/>
            <w:hideMark/>
          </w:tcPr>
          <w:p w14:paraId="4162675B" w14:textId="77777777" w:rsidR="006A1475" w:rsidRPr="00860A81" w:rsidRDefault="006A1475" w:rsidP="006A1475">
            <w:pPr>
              <w:spacing w:before="40" w:after="40"/>
              <w:jc w:val="center"/>
              <w:rPr>
                <w:rFonts w:ascii="Arial Narrow" w:hAnsi="Arial Narrow"/>
                <w:szCs w:val="20"/>
              </w:rPr>
            </w:pPr>
            <w:r>
              <w:rPr>
                <w:rFonts w:ascii="Arial Narrow" w:hAnsi="Arial Narrow"/>
                <w:szCs w:val="20"/>
              </w:rPr>
              <w:t>-</w:t>
            </w:r>
          </w:p>
        </w:tc>
        <w:tc>
          <w:tcPr>
            <w:tcW w:w="1525" w:type="dxa"/>
            <w:tcBorders>
              <w:top w:val="nil"/>
              <w:left w:val="nil"/>
              <w:bottom w:val="single" w:sz="4" w:space="0" w:color="auto"/>
              <w:right w:val="single" w:sz="4" w:space="0" w:color="auto"/>
            </w:tcBorders>
            <w:shd w:val="clear" w:color="000000" w:fill="FFFFFF"/>
            <w:vAlign w:val="center"/>
            <w:hideMark/>
          </w:tcPr>
          <w:p w14:paraId="7723DCF4" w14:textId="77777777" w:rsidR="006A1475" w:rsidRPr="00860A81" w:rsidRDefault="006A1475" w:rsidP="006A1475">
            <w:pPr>
              <w:spacing w:before="40" w:after="40"/>
              <w:jc w:val="center"/>
              <w:rPr>
                <w:rFonts w:ascii="Arial Narrow" w:hAnsi="Arial Narrow"/>
                <w:szCs w:val="20"/>
              </w:rPr>
            </w:pPr>
            <w:r>
              <w:rPr>
                <w:rFonts w:ascii="Arial Narrow" w:hAnsi="Arial Narrow"/>
                <w:szCs w:val="20"/>
              </w:rPr>
              <w:t>543</w:t>
            </w:r>
          </w:p>
        </w:tc>
        <w:tc>
          <w:tcPr>
            <w:tcW w:w="1525" w:type="dxa"/>
            <w:tcBorders>
              <w:top w:val="nil"/>
              <w:left w:val="nil"/>
              <w:bottom w:val="single" w:sz="4" w:space="0" w:color="auto"/>
              <w:right w:val="single" w:sz="4" w:space="0" w:color="auto"/>
            </w:tcBorders>
            <w:shd w:val="clear" w:color="000000" w:fill="FFFFFF"/>
            <w:vAlign w:val="center"/>
            <w:hideMark/>
          </w:tcPr>
          <w:p w14:paraId="35E0871C" w14:textId="77777777" w:rsidR="006A1475" w:rsidRPr="00860A81" w:rsidRDefault="006A1475" w:rsidP="006A1475">
            <w:pPr>
              <w:spacing w:before="40" w:after="40"/>
              <w:jc w:val="center"/>
              <w:rPr>
                <w:rFonts w:ascii="Arial Narrow" w:hAnsi="Arial Narrow"/>
                <w:szCs w:val="20"/>
              </w:rPr>
            </w:pPr>
            <w:r>
              <w:rPr>
                <w:rFonts w:ascii="Arial Narrow" w:hAnsi="Arial Narrow"/>
                <w:szCs w:val="20"/>
              </w:rPr>
              <w:t>-</w:t>
            </w:r>
          </w:p>
        </w:tc>
      </w:tr>
      <w:tr w:rsidR="006A1475" w:rsidRPr="00C35483" w14:paraId="2FC8CBD7" w14:textId="77777777" w:rsidTr="00414E68">
        <w:trPr>
          <w:trHeight w:val="453"/>
          <w:jc w:val="center"/>
        </w:trPr>
        <w:tc>
          <w:tcPr>
            <w:tcW w:w="2131" w:type="dxa"/>
            <w:tcBorders>
              <w:top w:val="nil"/>
              <w:left w:val="single" w:sz="4" w:space="0" w:color="auto"/>
              <w:bottom w:val="single" w:sz="4" w:space="0" w:color="auto"/>
              <w:right w:val="single" w:sz="4" w:space="0" w:color="auto"/>
            </w:tcBorders>
            <w:shd w:val="clear" w:color="000000" w:fill="FFFFFF"/>
            <w:vAlign w:val="center"/>
            <w:hideMark/>
          </w:tcPr>
          <w:p w14:paraId="4018B57D" w14:textId="77777777" w:rsidR="006A1475" w:rsidRPr="00860A81" w:rsidRDefault="006A1475" w:rsidP="006A1475">
            <w:pPr>
              <w:spacing w:before="40" w:after="40"/>
              <w:jc w:val="center"/>
              <w:rPr>
                <w:rFonts w:ascii="Arial Narrow" w:hAnsi="Arial Narrow"/>
                <w:szCs w:val="20"/>
              </w:rPr>
            </w:pPr>
            <w:r>
              <w:rPr>
                <w:rFonts w:ascii="Arial Narrow" w:hAnsi="Arial Narrow"/>
                <w:szCs w:val="20"/>
              </w:rPr>
              <w:t>2018 Study</w:t>
            </w:r>
          </w:p>
        </w:tc>
        <w:tc>
          <w:tcPr>
            <w:tcW w:w="1525" w:type="dxa"/>
            <w:tcBorders>
              <w:top w:val="nil"/>
              <w:left w:val="nil"/>
              <w:bottom w:val="single" w:sz="4" w:space="0" w:color="auto"/>
              <w:right w:val="single" w:sz="4" w:space="0" w:color="auto"/>
            </w:tcBorders>
            <w:shd w:val="clear" w:color="000000" w:fill="FFFFFF"/>
            <w:vAlign w:val="center"/>
            <w:hideMark/>
          </w:tcPr>
          <w:p w14:paraId="0EF7579B" w14:textId="77777777" w:rsidR="006A1475" w:rsidRPr="00860A81" w:rsidRDefault="006A1475" w:rsidP="006A1475">
            <w:pPr>
              <w:spacing w:before="40" w:after="40"/>
              <w:jc w:val="center"/>
              <w:rPr>
                <w:rFonts w:ascii="Arial Narrow" w:hAnsi="Arial Narrow"/>
                <w:szCs w:val="20"/>
              </w:rPr>
            </w:pPr>
            <w:r>
              <w:rPr>
                <w:rFonts w:ascii="Arial Narrow" w:hAnsi="Arial Narrow"/>
                <w:szCs w:val="20"/>
              </w:rPr>
              <w:t>1,212</w:t>
            </w:r>
          </w:p>
        </w:tc>
        <w:tc>
          <w:tcPr>
            <w:tcW w:w="1525" w:type="dxa"/>
            <w:gridSpan w:val="2"/>
            <w:tcBorders>
              <w:top w:val="nil"/>
              <w:left w:val="nil"/>
              <w:bottom w:val="single" w:sz="4" w:space="0" w:color="auto"/>
              <w:right w:val="single" w:sz="4" w:space="0" w:color="auto"/>
            </w:tcBorders>
            <w:shd w:val="clear" w:color="000000" w:fill="FFFFFF"/>
            <w:vAlign w:val="center"/>
            <w:hideMark/>
          </w:tcPr>
          <w:p w14:paraId="41E87B99" w14:textId="77777777" w:rsidR="006A1475" w:rsidRPr="00860A81" w:rsidRDefault="006A1475" w:rsidP="006A1475">
            <w:pPr>
              <w:spacing w:before="40" w:after="40"/>
              <w:jc w:val="center"/>
              <w:rPr>
                <w:rFonts w:ascii="Arial Narrow" w:hAnsi="Arial Narrow"/>
                <w:szCs w:val="20"/>
              </w:rPr>
            </w:pPr>
            <w:r>
              <w:rPr>
                <w:rFonts w:ascii="Arial Narrow" w:hAnsi="Arial Narrow"/>
                <w:szCs w:val="20"/>
              </w:rPr>
              <w:t>31%</w:t>
            </w:r>
          </w:p>
        </w:tc>
        <w:tc>
          <w:tcPr>
            <w:tcW w:w="1525" w:type="dxa"/>
            <w:tcBorders>
              <w:top w:val="nil"/>
              <w:left w:val="nil"/>
              <w:bottom w:val="single" w:sz="4" w:space="0" w:color="auto"/>
              <w:right w:val="single" w:sz="4" w:space="0" w:color="auto"/>
            </w:tcBorders>
            <w:shd w:val="clear" w:color="000000" w:fill="FFFFFF"/>
            <w:vAlign w:val="center"/>
            <w:hideMark/>
          </w:tcPr>
          <w:p w14:paraId="0EDA6F75" w14:textId="77777777" w:rsidR="006A1475" w:rsidRPr="00860A81" w:rsidRDefault="006A1475" w:rsidP="006A1475">
            <w:pPr>
              <w:spacing w:before="40" w:after="40"/>
              <w:jc w:val="center"/>
              <w:rPr>
                <w:rFonts w:ascii="Arial Narrow" w:hAnsi="Arial Narrow"/>
                <w:szCs w:val="20"/>
              </w:rPr>
            </w:pPr>
            <w:r>
              <w:rPr>
                <w:rFonts w:ascii="Arial Narrow" w:hAnsi="Arial Narrow"/>
                <w:szCs w:val="20"/>
              </w:rPr>
              <w:t>1,347</w:t>
            </w:r>
          </w:p>
        </w:tc>
        <w:tc>
          <w:tcPr>
            <w:tcW w:w="1525" w:type="dxa"/>
            <w:tcBorders>
              <w:top w:val="nil"/>
              <w:left w:val="nil"/>
              <w:bottom w:val="single" w:sz="4" w:space="0" w:color="auto"/>
              <w:right w:val="single" w:sz="4" w:space="0" w:color="auto"/>
            </w:tcBorders>
            <w:shd w:val="clear" w:color="000000" w:fill="FFFFFF"/>
            <w:vAlign w:val="center"/>
            <w:hideMark/>
          </w:tcPr>
          <w:p w14:paraId="6CF28AEE" w14:textId="77777777" w:rsidR="006A1475" w:rsidRPr="00860A81" w:rsidRDefault="006A1475" w:rsidP="006A1475">
            <w:pPr>
              <w:spacing w:before="40" w:after="40"/>
              <w:jc w:val="center"/>
              <w:rPr>
                <w:rFonts w:ascii="Arial Narrow" w:hAnsi="Arial Narrow"/>
                <w:szCs w:val="20"/>
              </w:rPr>
            </w:pPr>
            <w:r>
              <w:rPr>
                <w:rFonts w:ascii="Arial Narrow" w:hAnsi="Arial Narrow"/>
                <w:szCs w:val="20"/>
              </w:rPr>
              <w:t>148%</w:t>
            </w:r>
          </w:p>
        </w:tc>
      </w:tr>
    </w:tbl>
    <w:p w14:paraId="4540C8DA" w14:textId="77777777" w:rsidR="00596050" w:rsidRDefault="00596050" w:rsidP="00596050"/>
    <w:p w14:paraId="6166338D" w14:textId="77777777" w:rsidR="00596050" w:rsidRDefault="00596050" w:rsidP="00596050">
      <w:pPr>
        <w:pStyle w:val="Caption"/>
      </w:pPr>
      <w:bookmarkStart w:id="940" w:name="_Ref485126002"/>
      <w:bookmarkStart w:id="941" w:name="_Toc490560700"/>
      <w:r>
        <w:t xml:space="preserve">Table </w:t>
      </w:r>
      <w:fldSimple w:instr=" STYLEREF 1 \s ">
        <w:r w:rsidR="007566B9">
          <w:rPr>
            <w:noProof/>
          </w:rPr>
          <w:t>5</w:t>
        </w:r>
      </w:fldSimple>
      <w:r>
        <w:noBreakHyphen/>
      </w:r>
      <w:bookmarkEnd w:id="940"/>
      <w:r w:rsidR="00B206D8">
        <w:fldChar w:fldCharType="begin"/>
      </w:r>
      <w:r w:rsidR="00B206D8">
        <w:instrText xml:space="preserve"> SEQ Table \* ARABIC \s 1 </w:instrText>
      </w:r>
      <w:r w:rsidR="00B206D8">
        <w:fldChar w:fldCharType="separate"/>
      </w:r>
      <w:r w:rsidR="007566B9">
        <w:rPr>
          <w:noProof/>
        </w:rPr>
        <w:t>6</w:t>
      </w:r>
      <w:r w:rsidR="00B206D8">
        <w:rPr>
          <w:noProof/>
        </w:rPr>
        <w:fldChar w:fldCharType="end"/>
      </w:r>
      <w:r>
        <w:t xml:space="preserve">. C&amp;S </w:t>
      </w:r>
      <w:r w:rsidR="006C0C41">
        <w:t>Net</w:t>
      </w:r>
      <w:r>
        <w:t xml:space="preserve"> Program Results Comparison - Gas</w:t>
      </w:r>
      <w:bookmarkEnd w:id="941"/>
    </w:p>
    <w:tbl>
      <w:tblPr>
        <w:tblW w:w="8189" w:type="dxa"/>
        <w:jc w:val="center"/>
        <w:tblLook w:val="04A0" w:firstRow="1" w:lastRow="0" w:firstColumn="1" w:lastColumn="0" w:noHBand="0" w:noVBand="1"/>
      </w:tblPr>
      <w:tblGrid>
        <w:gridCol w:w="2120"/>
        <w:gridCol w:w="1517"/>
        <w:gridCol w:w="1484"/>
        <w:gridCol w:w="33"/>
        <w:gridCol w:w="1517"/>
        <w:gridCol w:w="1518"/>
      </w:tblGrid>
      <w:tr w:rsidR="006A1475" w:rsidRPr="00C35483" w14:paraId="7F26E338" w14:textId="77777777" w:rsidTr="00414E68">
        <w:trPr>
          <w:trHeight w:val="207"/>
          <w:jc w:val="center"/>
        </w:trPr>
        <w:tc>
          <w:tcPr>
            <w:tcW w:w="2120" w:type="dxa"/>
            <w:tcBorders>
              <w:top w:val="nil"/>
              <w:left w:val="nil"/>
              <w:bottom w:val="single" w:sz="12" w:space="0" w:color="95D600"/>
              <w:right w:val="nil"/>
            </w:tcBorders>
            <w:shd w:val="clear" w:color="000000" w:fill="555759"/>
            <w:vAlign w:val="center"/>
            <w:hideMark/>
          </w:tcPr>
          <w:p w14:paraId="28D498B1" w14:textId="77777777" w:rsidR="006A1475" w:rsidRPr="00C35483" w:rsidRDefault="006A1475" w:rsidP="00D24C10">
            <w:pPr>
              <w:spacing w:before="40" w:after="40"/>
              <w:jc w:val="center"/>
              <w:rPr>
                <w:rFonts w:ascii="Arial Narrow" w:hAnsi="Arial Narrow"/>
                <w:b/>
                <w:color w:val="FFFFFF"/>
                <w:szCs w:val="20"/>
              </w:rPr>
            </w:pPr>
            <w:r w:rsidRPr="00C35483">
              <w:rPr>
                <w:rFonts w:ascii="Arial Narrow" w:hAnsi="Arial Narrow"/>
                <w:b/>
                <w:color w:val="FFFFFF"/>
                <w:szCs w:val="20"/>
              </w:rPr>
              <w:t> </w:t>
            </w:r>
          </w:p>
        </w:tc>
        <w:tc>
          <w:tcPr>
            <w:tcW w:w="3001" w:type="dxa"/>
            <w:gridSpan w:val="2"/>
            <w:tcBorders>
              <w:top w:val="nil"/>
              <w:left w:val="nil"/>
              <w:bottom w:val="single" w:sz="12" w:space="0" w:color="95D600"/>
              <w:right w:val="nil"/>
            </w:tcBorders>
            <w:shd w:val="clear" w:color="000000" w:fill="555759"/>
            <w:vAlign w:val="center"/>
            <w:hideMark/>
          </w:tcPr>
          <w:p w14:paraId="7EF28A6D" w14:textId="77777777" w:rsidR="006A1475" w:rsidRPr="00C35483" w:rsidRDefault="006A1475" w:rsidP="00D24C10">
            <w:pPr>
              <w:spacing w:before="40" w:after="40"/>
              <w:jc w:val="center"/>
              <w:rPr>
                <w:rFonts w:ascii="Arial Narrow" w:hAnsi="Arial Narrow"/>
                <w:b/>
                <w:color w:val="FFFFFF"/>
                <w:szCs w:val="20"/>
              </w:rPr>
            </w:pPr>
            <w:r w:rsidRPr="00C35483">
              <w:rPr>
                <w:rFonts w:ascii="Arial Narrow" w:hAnsi="Arial Narrow"/>
                <w:b/>
                <w:color w:val="FFFFFF"/>
                <w:szCs w:val="20"/>
              </w:rPr>
              <w:t>2018</w:t>
            </w:r>
          </w:p>
        </w:tc>
        <w:tc>
          <w:tcPr>
            <w:tcW w:w="3068" w:type="dxa"/>
            <w:gridSpan w:val="3"/>
            <w:tcBorders>
              <w:top w:val="nil"/>
              <w:left w:val="nil"/>
              <w:bottom w:val="single" w:sz="12" w:space="0" w:color="95D600"/>
              <w:right w:val="nil"/>
            </w:tcBorders>
            <w:shd w:val="clear" w:color="000000" w:fill="555759"/>
            <w:vAlign w:val="center"/>
            <w:hideMark/>
          </w:tcPr>
          <w:p w14:paraId="39B5666B" w14:textId="77777777" w:rsidR="006A1475" w:rsidRPr="00C35483" w:rsidRDefault="006A1475" w:rsidP="00D24C10">
            <w:pPr>
              <w:spacing w:before="40" w:after="40"/>
              <w:jc w:val="center"/>
              <w:rPr>
                <w:rFonts w:ascii="Arial Narrow" w:hAnsi="Arial Narrow"/>
                <w:b/>
                <w:color w:val="FFFFFF"/>
                <w:szCs w:val="20"/>
              </w:rPr>
            </w:pPr>
            <w:r w:rsidRPr="00C35483">
              <w:rPr>
                <w:rFonts w:ascii="Arial Narrow" w:hAnsi="Arial Narrow"/>
                <w:b/>
                <w:color w:val="FFFFFF"/>
                <w:szCs w:val="20"/>
              </w:rPr>
              <w:t>2024</w:t>
            </w:r>
          </w:p>
        </w:tc>
      </w:tr>
      <w:tr w:rsidR="006A1475" w:rsidRPr="00C35483" w14:paraId="536CFCF4" w14:textId="77777777" w:rsidTr="00414E68">
        <w:trPr>
          <w:trHeight w:val="514"/>
          <w:jc w:val="center"/>
        </w:trPr>
        <w:tc>
          <w:tcPr>
            <w:tcW w:w="2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E7DF12" w14:textId="77777777" w:rsidR="006A1475" w:rsidRPr="00860A81" w:rsidRDefault="006A1475" w:rsidP="00D24C10">
            <w:pPr>
              <w:spacing w:before="40" w:after="40"/>
              <w:jc w:val="center"/>
              <w:rPr>
                <w:rFonts w:ascii="Arial Narrow" w:hAnsi="Arial Narrow"/>
                <w:szCs w:val="20"/>
              </w:rPr>
            </w:pPr>
            <w:r>
              <w:rPr>
                <w:rFonts w:ascii="Arial Narrow" w:hAnsi="Arial Narrow"/>
                <w:szCs w:val="20"/>
              </w:rPr>
              <w:t> </w:t>
            </w:r>
          </w:p>
        </w:tc>
        <w:tc>
          <w:tcPr>
            <w:tcW w:w="1517" w:type="dxa"/>
            <w:tcBorders>
              <w:top w:val="single" w:sz="4" w:space="0" w:color="auto"/>
              <w:left w:val="nil"/>
              <w:bottom w:val="single" w:sz="4" w:space="0" w:color="auto"/>
              <w:right w:val="single" w:sz="4" w:space="0" w:color="auto"/>
            </w:tcBorders>
            <w:shd w:val="clear" w:color="000000" w:fill="FFFFFF"/>
            <w:vAlign w:val="center"/>
            <w:hideMark/>
          </w:tcPr>
          <w:p w14:paraId="0765759B" w14:textId="77777777" w:rsidR="006A1475" w:rsidRPr="00C35483" w:rsidRDefault="006A1475" w:rsidP="00D24C10">
            <w:pPr>
              <w:spacing w:before="40" w:after="40"/>
              <w:jc w:val="center"/>
              <w:rPr>
                <w:rFonts w:ascii="Arial Narrow" w:hAnsi="Arial Narrow"/>
                <w:b/>
                <w:szCs w:val="20"/>
              </w:rPr>
            </w:pPr>
            <w:r>
              <w:rPr>
                <w:rFonts w:ascii="Arial Narrow" w:hAnsi="Arial Narrow"/>
                <w:b/>
                <w:bCs/>
                <w:szCs w:val="20"/>
              </w:rPr>
              <w:t>Market Potential (MMTherms)</w:t>
            </w:r>
          </w:p>
        </w:tc>
        <w:tc>
          <w:tcPr>
            <w:tcW w:w="1517" w:type="dxa"/>
            <w:gridSpan w:val="2"/>
            <w:tcBorders>
              <w:top w:val="single" w:sz="4" w:space="0" w:color="auto"/>
              <w:left w:val="nil"/>
              <w:bottom w:val="single" w:sz="4" w:space="0" w:color="auto"/>
              <w:right w:val="single" w:sz="4" w:space="0" w:color="auto"/>
            </w:tcBorders>
            <w:shd w:val="clear" w:color="000000" w:fill="FFFFFF"/>
            <w:vAlign w:val="center"/>
            <w:hideMark/>
          </w:tcPr>
          <w:p w14:paraId="5A5D7A66" w14:textId="77777777" w:rsidR="006A1475" w:rsidRPr="00C35483" w:rsidRDefault="006A1475" w:rsidP="00D24C10">
            <w:pPr>
              <w:spacing w:before="40" w:after="40"/>
              <w:jc w:val="center"/>
              <w:rPr>
                <w:rFonts w:ascii="Arial Narrow" w:hAnsi="Arial Narrow"/>
                <w:b/>
                <w:szCs w:val="20"/>
              </w:rPr>
            </w:pPr>
            <w:r>
              <w:rPr>
                <w:rFonts w:ascii="Arial Narrow" w:hAnsi="Arial Narrow"/>
                <w:b/>
                <w:bCs/>
                <w:szCs w:val="20"/>
              </w:rPr>
              <w:t>Percent Difference Relative to 2015 study</w:t>
            </w:r>
          </w:p>
        </w:tc>
        <w:tc>
          <w:tcPr>
            <w:tcW w:w="1517" w:type="dxa"/>
            <w:tcBorders>
              <w:top w:val="single" w:sz="4" w:space="0" w:color="auto"/>
              <w:left w:val="nil"/>
              <w:bottom w:val="single" w:sz="4" w:space="0" w:color="auto"/>
              <w:right w:val="single" w:sz="4" w:space="0" w:color="auto"/>
            </w:tcBorders>
            <w:shd w:val="clear" w:color="000000" w:fill="FFFFFF"/>
            <w:vAlign w:val="center"/>
            <w:hideMark/>
          </w:tcPr>
          <w:p w14:paraId="4F2D72A5" w14:textId="77777777" w:rsidR="006A1475" w:rsidRPr="00C35483" w:rsidRDefault="006A1475" w:rsidP="00D24C10">
            <w:pPr>
              <w:spacing w:before="40" w:after="40"/>
              <w:jc w:val="center"/>
              <w:rPr>
                <w:rFonts w:ascii="Arial Narrow" w:hAnsi="Arial Narrow"/>
                <w:b/>
                <w:szCs w:val="20"/>
              </w:rPr>
            </w:pPr>
            <w:r>
              <w:rPr>
                <w:rFonts w:ascii="Arial Narrow" w:hAnsi="Arial Narrow"/>
                <w:b/>
                <w:bCs/>
                <w:szCs w:val="20"/>
              </w:rPr>
              <w:t>Market Potential (MMTherms)</w:t>
            </w:r>
          </w:p>
        </w:tc>
        <w:tc>
          <w:tcPr>
            <w:tcW w:w="1517" w:type="dxa"/>
            <w:tcBorders>
              <w:top w:val="single" w:sz="4" w:space="0" w:color="auto"/>
              <w:left w:val="nil"/>
              <w:bottom w:val="single" w:sz="4" w:space="0" w:color="auto"/>
              <w:right w:val="single" w:sz="4" w:space="0" w:color="auto"/>
            </w:tcBorders>
            <w:shd w:val="clear" w:color="000000" w:fill="FFFFFF"/>
            <w:vAlign w:val="center"/>
            <w:hideMark/>
          </w:tcPr>
          <w:p w14:paraId="1D940ABF" w14:textId="77777777" w:rsidR="006A1475" w:rsidRPr="00C35483" w:rsidRDefault="006A1475" w:rsidP="00D24C10">
            <w:pPr>
              <w:spacing w:before="40" w:after="40"/>
              <w:jc w:val="center"/>
              <w:rPr>
                <w:rFonts w:ascii="Arial Narrow" w:hAnsi="Arial Narrow"/>
                <w:b/>
                <w:szCs w:val="20"/>
              </w:rPr>
            </w:pPr>
            <w:r>
              <w:rPr>
                <w:rFonts w:ascii="Arial Narrow" w:hAnsi="Arial Narrow"/>
                <w:b/>
                <w:bCs/>
                <w:szCs w:val="20"/>
              </w:rPr>
              <w:t>Percent Difference Relative to 2015 study</w:t>
            </w:r>
          </w:p>
        </w:tc>
      </w:tr>
      <w:tr w:rsidR="006A1475" w:rsidRPr="00C35483" w14:paraId="17FC9283" w14:textId="77777777" w:rsidTr="00414E68">
        <w:trPr>
          <w:trHeight w:val="402"/>
          <w:jc w:val="center"/>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173105FE" w14:textId="77777777" w:rsidR="006A1475" w:rsidRPr="00860A81" w:rsidRDefault="006A1475" w:rsidP="00D24C10">
            <w:pPr>
              <w:spacing w:before="40" w:after="40"/>
              <w:jc w:val="center"/>
              <w:rPr>
                <w:rFonts w:ascii="Arial Narrow" w:hAnsi="Arial Narrow"/>
                <w:szCs w:val="20"/>
              </w:rPr>
            </w:pPr>
            <w:r>
              <w:rPr>
                <w:rFonts w:ascii="Arial Narrow" w:hAnsi="Arial Narrow"/>
                <w:szCs w:val="20"/>
              </w:rPr>
              <w:t>2015 Study</w:t>
            </w:r>
          </w:p>
        </w:tc>
        <w:tc>
          <w:tcPr>
            <w:tcW w:w="1517" w:type="dxa"/>
            <w:tcBorders>
              <w:top w:val="nil"/>
              <w:left w:val="nil"/>
              <w:bottom w:val="single" w:sz="4" w:space="0" w:color="auto"/>
              <w:right w:val="single" w:sz="4" w:space="0" w:color="auto"/>
            </w:tcBorders>
            <w:shd w:val="clear" w:color="000000" w:fill="FFFFFF"/>
            <w:vAlign w:val="center"/>
            <w:hideMark/>
          </w:tcPr>
          <w:p w14:paraId="4EBFA396" w14:textId="77777777" w:rsidR="006A1475" w:rsidRPr="00860A81" w:rsidRDefault="006A1475" w:rsidP="00D24C10">
            <w:pPr>
              <w:spacing w:before="40" w:after="40"/>
              <w:jc w:val="center"/>
              <w:rPr>
                <w:rFonts w:ascii="Arial Narrow" w:hAnsi="Arial Narrow"/>
                <w:szCs w:val="20"/>
              </w:rPr>
            </w:pPr>
            <w:r>
              <w:rPr>
                <w:rFonts w:ascii="Arial Narrow" w:hAnsi="Arial Narrow"/>
                <w:szCs w:val="20"/>
              </w:rPr>
              <w:t>16.7</w:t>
            </w:r>
          </w:p>
        </w:tc>
        <w:tc>
          <w:tcPr>
            <w:tcW w:w="1517" w:type="dxa"/>
            <w:gridSpan w:val="2"/>
            <w:tcBorders>
              <w:top w:val="nil"/>
              <w:left w:val="nil"/>
              <w:bottom w:val="single" w:sz="4" w:space="0" w:color="auto"/>
              <w:right w:val="single" w:sz="4" w:space="0" w:color="auto"/>
            </w:tcBorders>
            <w:shd w:val="clear" w:color="000000" w:fill="FFFFFF"/>
            <w:vAlign w:val="center"/>
            <w:hideMark/>
          </w:tcPr>
          <w:p w14:paraId="28F381D1" w14:textId="77777777" w:rsidR="006A1475" w:rsidRPr="00860A81" w:rsidRDefault="006A1475" w:rsidP="00D24C10">
            <w:pPr>
              <w:spacing w:before="40" w:after="40"/>
              <w:jc w:val="center"/>
              <w:rPr>
                <w:rFonts w:ascii="Arial Narrow" w:hAnsi="Arial Narrow"/>
                <w:szCs w:val="20"/>
              </w:rPr>
            </w:pPr>
            <w:r>
              <w:rPr>
                <w:rFonts w:ascii="Arial Narrow" w:hAnsi="Arial Narrow"/>
                <w:szCs w:val="20"/>
              </w:rPr>
              <w:t>-</w:t>
            </w:r>
          </w:p>
        </w:tc>
        <w:tc>
          <w:tcPr>
            <w:tcW w:w="1517" w:type="dxa"/>
            <w:tcBorders>
              <w:top w:val="nil"/>
              <w:left w:val="nil"/>
              <w:bottom w:val="single" w:sz="4" w:space="0" w:color="auto"/>
              <w:right w:val="single" w:sz="4" w:space="0" w:color="auto"/>
            </w:tcBorders>
            <w:shd w:val="clear" w:color="000000" w:fill="FFFFFF"/>
            <w:vAlign w:val="center"/>
            <w:hideMark/>
          </w:tcPr>
          <w:p w14:paraId="20C7FDFA" w14:textId="77777777" w:rsidR="006A1475" w:rsidRPr="00860A81" w:rsidRDefault="006A1475" w:rsidP="00D24C10">
            <w:pPr>
              <w:spacing w:before="40" w:after="40"/>
              <w:jc w:val="center"/>
              <w:rPr>
                <w:rFonts w:ascii="Arial Narrow" w:hAnsi="Arial Narrow"/>
                <w:szCs w:val="20"/>
              </w:rPr>
            </w:pPr>
            <w:r>
              <w:rPr>
                <w:rFonts w:ascii="Arial Narrow" w:hAnsi="Arial Narrow"/>
                <w:szCs w:val="20"/>
              </w:rPr>
              <w:t>14.5</w:t>
            </w:r>
          </w:p>
        </w:tc>
        <w:tc>
          <w:tcPr>
            <w:tcW w:w="1517" w:type="dxa"/>
            <w:tcBorders>
              <w:top w:val="nil"/>
              <w:left w:val="nil"/>
              <w:bottom w:val="single" w:sz="4" w:space="0" w:color="auto"/>
              <w:right w:val="single" w:sz="4" w:space="0" w:color="auto"/>
            </w:tcBorders>
            <w:shd w:val="clear" w:color="000000" w:fill="FFFFFF"/>
            <w:vAlign w:val="center"/>
            <w:hideMark/>
          </w:tcPr>
          <w:p w14:paraId="33672B80" w14:textId="77777777" w:rsidR="006A1475" w:rsidRPr="00860A81" w:rsidRDefault="006A1475" w:rsidP="00D24C10">
            <w:pPr>
              <w:spacing w:before="40" w:after="40"/>
              <w:jc w:val="center"/>
              <w:rPr>
                <w:rFonts w:ascii="Arial Narrow" w:hAnsi="Arial Narrow"/>
                <w:szCs w:val="20"/>
              </w:rPr>
            </w:pPr>
            <w:r>
              <w:rPr>
                <w:rFonts w:ascii="Arial Narrow" w:hAnsi="Arial Narrow"/>
                <w:szCs w:val="20"/>
              </w:rPr>
              <w:t>-</w:t>
            </w:r>
          </w:p>
        </w:tc>
      </w:tr>
      <w:tr w:rsidR="006A1475" w:rsidRPr="00C35483" w14:paraId="43AD3896" w14:textId="77777777" w:rsidTr="00414E68">
        <w:trPr>
          <w:trHeight w:val="402"/>
          <w:jc w:val="center"/>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4F8D6A3B" w14:textId="77777777" w:rsidR="006A1475" w:rsidRPr="00860A81" w:rsidRDefault="006A1475" w:rsidP="00D24C10">
            <w:pPr>
              <w:spacing w:before="40" w:after="40"/>
              <w:jc w:val="center"/>
              <w:rPr>
                <w:rFonts w:ascii="Arial Narrow" w:hAnsi="Arial Narrow"/>
                <w:szCs w:val="20"/>
              </w:rPr>
            </w:pPr>
            <w:r>
              <w:rPr>
                <w:rFonts w:ascii="Arial Narrow" w:hAnsi="Arial Narrow"/>
                <w:szCs w:val="20"/>
              </w:rPr>
              <w:t>2018 Study</w:t>
            </w:r>
          </w:p>
        </w:tc>
        <w:tc>
          <w:tcPr>
            <w:tcW w:w="1517" w:type="dxa"/>
            <w:tcBorders>
              <w:top w:val="nil"/>
              <w:left w:val="nil"/>
              <w:bottom w:val="single" w:sz="4" w:space="0" w:color="auto"/>
              <w:right w:val="single" w:sz="4" w:space="0" w:color="auto"/>
            </w:tcBorders>
            <w:shd w:val="clear" w:color="000000" w:fill="FFFFFF"/>
            <w:vAlign w:val="center"/>
            <w:hideMark/>
          </w:tcPr>
          <w:p w14:paraId="7F312D93" w14:textId="77777777" w:rsidR="006A1475" w:rsidRPr="00860A81" w:rsidRDefault="006A1475" w:rsidP="00D24C10">
            <w:pPr>
              <w:spacing w:before="40" w:after="40"/>
              <w:jc w:val="center"/>
              <w:rPr>
                <w:rFonts w:ascii="Arial Narrow" w:hAnsi="Arial Narrow"/>
                <w:szCs w:val="20"/>
              </w:rPr>
            </w:pPr>
            <w:r>
              <w:rPr>
                <w:rFonts w:ascii="Arial Narrow" w:hAnsi="Arial Narrow"/>
                <w:szCs w:val="20"/>
              </w:rPr>
              <w:t>39.2</w:t>
            </w:r>
          </w:p>
        </w:tc>
        <w:tc>
          <w:tcPr>
            <w:tcW w:w="1517" w:type="dxa"/>
            <w:gridSpan w:val="2"/>
            <w:tcBorders>
              <w:top w:val="nil"/>
              <w:left w:val="nil"/>
              <w:bottom w:val="single" w:sz="4" w:space="0" w:color="auto"/>
              <w:right w:val="single" w:sz="4" w:space="0" w:color="auto"/>
            </w:tcBorders>
            <w:shd w:val="clear" w:color="000000" w:fill="FFFFFF"/>
            <w:vAlign w:val="center"/>
            <w:hideMark/>
          </w:tcPr>
          <w:p w14:paraId="1CAE5FEF" w14:textId="77777777" w:rsidR="006A1475" w:rsidRPr="00860A81" w:rsidRDefault="006A1475" w:rsidP="00D24C10">
            <w:pPr>
              <w:spacing w:before="40" w:after="40"/>
              <w:jc w:val="center"/>
              <w:rPr>
                <w:rFonts w:ascii="Arial Narrow" w:hAnsi="Arial Narrow"/>
                <w:szCs w:val="20"/>
              </w:rPr>
            </w:pPr>
            <w:r>
              <w:rPr>
                <w:rFonts w:ascii="Arial Narrow" w:hAnsi="Arial Narrow"/>
                <w:szCs w:val="20"/>
              </w:rPr>
              <w:t>135%</w:t>
            </w:r>
          </w:p>
        </w:tc>
        <w:tc>
          <w:tcPr>
            <w:tcW w:w="1517" w:type="dxa"/>
            <w:tcBorders>
              <w:top w:val="nil"/>
              <w:left w:val="nil"/>
              <w:bottom w:val="single" w:sz="4" w:space="0" w:color="auto"/>
              <w:right w:val="single" w:sz="4" w:space="0" w:color="auto"/>
            </w:tcBorders>
            <w:shd w:val="clear" w:color="000000" w:fill="FFFFFF"/>
            <w:vAlign w:val="center"/>
            <w:hideMark/>
          </w:tcPr>
          <w:p w14:paraId="68A30D4B" w14:textId="77777777" w:rsidR="006A1475" w:rsidRPr="00860A81" w:rsidRDefault="006A1475" w:rsidP="00D24C10">
            <w:pPr>
              <w:spacing w:before="40" w:after="40"/>
              <w:jc w:val="center"/>
              <w:rPr>
                <w:rFonts w:ascii="Arial Narrow" w:hAnsi="Arial Narrow"/>
                <w:szCs w:val="20"/>
              </w:rPr>
            </w:pPr>
            <w:r>
              <w:rPr>
                <w:rFonts w:ascii="Arial Narrow" w:hAnsi="Arial Narrow"/>
                <w:szCs w:val="20"/>
              </w:rPr>
              <w:t>53.7</w:t>
            </w:r>
          </w:p>
        </w:tc>
        <w:tc>
          <w:tcPr>
            <w:tcW w:w="1517" w:type="dxa"/>
            <w:tcBorders>
              <w:top w:val="nil"/>
              <w:left w:val="nil"/>
              <w:bottom w:val="single" w:sz="4" w:space="0" w:color="auto"/>
              <w:right w:val="single" w:sz="4" w:space="0" w:color="auto"/>
            </w:tcBorders>
            <w:shd w:val="clear" w:color="000000" w:fill="FFFFFF"/>
            <w:vAlign w:val="center"/>
            <w:hideMark/>
          </w:tcPr>
          <w:p w14:paraId="5241DC4C" w14:textId="77777777" w:rsidR="006A1475" w:rsidRPr="00860A81" w:rsidRDefault="006A1475" w:rsidP="00D24C10">
            <w:pPr>
              <w:spacing w:before="40" w:after="40"/>
              <w:jc w:val="center"/>
              <w:rPr>
                <w:rFonts w:ascii="Arial Narrow" w:hAnsi="Arial Narrow"/>
                <w:szCs w:val="20"/>
              </w:rPr>
            </w:pPr>
            <w:r>
              <w:rPr>
                <w:rFonts w:ascii="Arial Narrow" w:hAnsi="Arial Narrow"/>
                <w:szCs w:val="20"/>
              </w:rPr>
              <w:t>270%</w:t>
            </w:r>
          </w:p>
        </w:tc>
      </w:tr>
    </w:tbl>
    <w:p w14:paraId="67609853" w14:textId="77777777" w:rsidR="00596050" w:rsidRDefault="00596050" w:rsidP="00596050"/>
    <w:p w14:paraId="7FC08D14" w14:textId="77777777" w:rsidR="00596050" w:rsidRDefault="00596050" w:rsidP="007E4D11">
      <w:pPr>
        <w:sectPr w:rsidR="00596050" w:rsidSect="00146A54">
          <w:pgSz w:w="12240" w:h="15840" w:code="1"/>
          <w:pgMar w:top="1440" w:right="1440" w:bottom="1440" w:left="1440" w:header="720" w:footer="720" w:gutter="0"/>
          <w:cols w:space="720"/>
          <w:docGrid w:linePitch="360"/>
        </w:sectPr>
      </w:pPr>
    </w:p>
    <w:p w14:paraId="18F12BCF" w14:textId="77777777" w:rsidR="00DB788B" w:rsidRPr="00DA7405" w:rsidRDefault="00E97BD7" w:rsidP="001D4FF7">
      <w:pPr>
        <w:pStyle w:val="Heading5"/>
      </w:pPr>
      <w:bookmarkStart w:id="942" w:name="_Ref477255194"/>
      <w:bookmarkStart w:id="943" w:name="_Toc478990531"/>
      <w:bookmarkStart w:id="944" w:name="_Toc479768609"/>
      <w:bookmarkStart w:id="945" w:name="_Toc482357333"/>
      <w:bookmarkStart w:id="946" w:name="_Toc482634308"/>
      <w:bookmarkStart w:id="947" w:name="_Toc482626440"/>
      <w:bookmarkStart w:id="948" w:name="_Toc484092515"/>
      <w:bookmarkStart w:id="949" w:name="_Toc484172721"/>
      <w:bookmarkStart w:id="950" w:name="_Toc484183057"/>
      <w:bookmarkStart w:id="951" w:name="_Toc490225822"/>
      <w:r>
        <w:lastRenderedPageBreak/>
        <w:t>Calibration</w:t>
      </w:r>
      <w:bookmarkEnd w:id="942"/>
      <w:bookmarkEnd w:id="943"/>
      <w:bookmarkEnd w:id="944"/>
      <w:bookmarkEnd w:id="945"/>
      <w:bookmarkEnd w:id="946"/>
      <w:bookmarkEnd w:id="947"/>
      <w:bookmarkEnd w:id="948"/>
      <w:bookmarkEnd w:id="949"/>
      <w:bookmarkEnd w:id="950"/>
      <w:bookmarkEnd w:id="951"/>
    </w:p>
    <w:p w14:paraId="772A5B45" w14:textId="77777777" w:rsidR="00053BD2" w:rsidRPr="00DA7405" w:rsidRDefault="00E97BD7" w:rsidP="005D56D0">
      <w:pPr>
        <w:pStyle w:val="Heading6"/>
      </w:pPr>
      <w:bookmarkStart w:id="952" w:name="_Toc478990532"/>
      <w:bookmarkStart w:id="953" w:name="_Toc479768610"/>
      <w:bookmarkStart w:id="954" w:name="_Toc482357334"/>
      <w:bookmarkStart w:id="955" w:name="_Toc482634309"/>
      <w:bookmarkStart w:id="956" w:name="_Toc482626441"/>
      <w:bookmarkStart w:id="957" w:name="_Toc484092516"/>
      <w:bookmarkStart w:id="958" w:name="_Toc484172722"/>
      <w:bookmarkStart w:id="959" w:name="_Toc484183058"/>
      <w:bookmarkStart w:id="960" w:name="_Toc490225823"/>
      <w:r>
        <w:t>Overview</w:t>
      </w:r>
      <w:bookmarkEnd w:id="952"/>
      <w:bookmarkEnd w:id="953"/>
      <w:bookmarkEnd w:id="954"/>
      <w:bookmarkEnd w:id="955"/>
      <w:bookmarkEnd w:id="956"/>
      <w:bookmarkEnd w:id="957"/>
      <w:bookmarkEnd w:id="958"/>
      <w:bookmarkEnd w:id="959"/>
      <w:bookmarkEnd w:id="960"/>
    </w:p>
    <w:p w14:paraId="2EFC5350" w14:textId="77777777" w:rsidR="00E97BD7" w:rsidRPr="004F0469" w:rsidRDefault="00E97BD7" w:rsidP="00E97BD7">
      <w:r w:rsidRPr="004F0469">
        <w:t>Forecasting is the inherently uncertain process of estimating future outcomes by applying a model to historic and current observations. As with all forecasts, the PG model results cannot be empirically validated a priori, as there is no future basis against which one can compare simulated versus actual results. Despite that all future estimates are untestable at the time they are made, forecasts can still warrant confidence when historic observations can be shown to reliably correspond with generally accepted theory and models.</w:t>
      </w:r>
    </w:p>
    <w:p w14:paraId="2114F79C" w14:textId="77777777" w:rsidR="00E97BD7" w:rsidRPr="004F0469" w:rsidRDefault="00E97BD7" w:rsidP="00E97BD7"/>
    <w:p w14:paraId="3C6BE374" w14:textId="77777777" w:rsidR="00E97BD7" w:rsidRPr="004F0469" w:rsidRDefault="00E97BD7" w:rsidP="00E97BD7">
      <w:r w:rsidRPr="004F0469">
        <w:t>Calibration provides both the forecaster and stakeholders with a degree of confidence that simulated results are reasonable and reliable. Calibration is intended to achieve three main purposes:</w:t>
      </w:r>
    </w:p>
    <w:p w14:paraId="1201B36F" w14:textId="77777777" w:rsidR="00E97BD7" w:rsidRPr="004F0469" w:rsidRDefault="00E97BD7" w:rsidP="004E4E36">
      <w:pPr>
        <w:pStyle w:val="ListParagraph"/>
        <w:numPr>
          <w:ilvl w:val="0"/>
          <w:numId w:val="16"/>
        </w:numPr>
      </w:pPr>
      <w:r w:rsidRPr="004F0469">
        <w:t>Ground the model in actual market conditions and ensure the model reproduces historic program achievements;</w:t>
      </w:r>
    </w:p>
    <w:p w14:paraId="664D5814" w14:textId="77777777" w:rsidR="00E97BD7" w:rsidRPr="004F0469" w:rsidRDefault="00E97BD7" w:rsidP="004E4E36">
      <w:pPr>
        <w:pStyle w:val="ListParagraph"/>
        <w:numPr>
          <w:ilvl w:val="0"/>
          <w:numId w:val="16"/>
        </w:numPr>
      </w:pPr>
      <w:r w:rsidRPr="004F0469">
        <w:t>Ensure a realistic starting point from which future projects are made; and</w:t>
      </w:r>
    </w:p>
    <w:p w14:paraId="4038DE4B" w14:textId="77777777" w:rsidR="00E97BD7" w:rsidRPr="004F0469" w:rsidRDefault="00E97BD7" w:rsidP="004E4E36">
      <w:pPr>
        <w:pStyle w:val="ListParagraph"/>
        <w:numPr>
          <w:ilvl w:val="0"/>
          <w:numId w:val="16"/>
        </w:numPr>
      </w:pPr>
      <w:r w:rsidRPr="004F0469">
        <w:t xml:space="preserve">Account for varying levels of market barriers across different types of technologies and end uses. </w:t>
      </w:r>
    </w:p>
    <w:p w14:paraId="60B4B3B8" w14:textId="77777777" w:rsidR="00E97BD7" w:rsidRPr="008B4CCB" w:rsidRDefault="00E97BD7" w:rsidP="00E97BD7">
      <w:pPr>
        <w:rPr>
          <w:highlight w:val="yellow"/>
        </w:rPr>
      </w:pPr>
    </w:p>
    <w:p w14:paraId="0F5F76D5" w14:textId="77777777" w:rsidR="00E97BD7" w:rsidRPr="00ED04DD" w:rsidRDefault="00E97BD7" w:rsidP="00E97BD7">
      <w:r w:rsidRPr="00ED04DD">
        <w:t xml:space="preserve">The PG model is calibrated by reviewing </w:t>
      </w:r>
      <w:r w:rsidR="007E4DED" w:rsidRPr="00ED04DD">
        <w:t>historic program data from 2013 to 2015</w:t>
      </w:r>
      <w:r w:rsidRPr="00ED04DD">
        <w:t xml:space="preserve"> to assess how the market has reacted to program offerings in the past. The Navigant team used </w:t>
      </w:r>
      <w:r w:rsidR="007E4DED" w:rsidRPr="00ED04DD">
        <w:t xml:space="preserve">2013-2015 IOU-reported spending </w:t>
      </w:r>
      <w:r w:rsidR="007E4DED">
        <w:t xml:space="preserve">and savings </w:t>
      </w:r>
      <w:r w:rsidR="007E4DED" w:rsidRPr="00ED04DD">
        <w:t xml:space="preserve">data </w:t>
      </w:r>
      <w:r w:rsidRPr="00ED04DD">
        <w:t>as the calibration data</w:t>
      </w:r>
      <w:r w:rsidR="007E4DED" w:rsidRPr="00ED04DD">
        <w:t>.</w:t>
      </w:r>
    </w:p>
    <w:p w14:paraId="5C5E8CD0" w14:textId="77777777" w:rsidR="00E97BD7" w:rsidRPr="008B4CCB" w:rsidRDefault="00E97BD7" w:rsidP="00E97BD7">
      <w:pPr>
        <w:rPr>
          <w:highlight w:val="yellow"/>
        </w:rPr>
      </w:pPr>
    </w:p>
    <w:p w14:paraId="324CF3AF" w14:textId="77777777" w:rsidR="00E97BD7" w:rsidRPr="00ED04DD" w:rsidRDefault="00E97BD7" w:rsidP="00E97BD7">
      <w:r w:rsidRPr="00ED04DD">
        <w:t xml:space="preserve">The calibration data are used to inform the appropriate values for the customer willingness and awareness parameters that drive measure adoption during the model time horizon. These parameters are then considered to account for the range of factors—technological, economic, market, and program factors— that contribute to historic program achievements. This includes consumers’ awareness of programs and their willingness to participate in them. </w:t>
      </w:r>
    </w:p>
    <w:p w14:paraId="4D2D5E89" w14:textId="77777777" w:rsidR="00E97BD7" w:rsidRPr="008B4CCB" w:rsidRDefault="00E97BD7" w:rsidP="00E97BD7">
      <w:pPr>
        <w:rPr>
          <w:highlight w:val="yellow"/>
        </w:rPr>
      </w:pPr>
    </w:p>
    <w:p w14:paraId="60907F11" w14:textId="77777777" w:rsidR="002744EA" w:rsidRPr="00ED04DD" w:rsidRDefault="00E97BD7" w:rsidP="00E97BD7">
      <w:r w:rsidRPr="00ED04DD">
        <w:t xml:space="preserve">This calibration method (a) tracks what measures have been installed or planned for installation over an historic </w:t>
      </w:r>
      <w:r w:rsidR="007E4DED" w:rsidRPr="00ED04DD">
        <w:t xml:space="preserve">three-year </w:t>
      </w:r>
      <w:r w:rsidRPr="00ED04DD">
        <w:t xml:space="preserve">period and (b) forecasts how remaining stocks of equipment will be upgraded, including the influence of various factors such as new codes and standards, or new delivery mechanisms. </w:t>
      </w:r>
    </w:p>
    <w:p w14:paraId="22678C17" w14:textId="77777777" w:rsidR="003E6937" w:rsidRPr="00ED04DD" w:rsidRDefault="003E6937" w:rsidP="003E6937">
      <w:pPr>
        <w:pStyle w:val="Heading6"/>
      </w:pPr>
      <w:bookmarkStart w:id="961" w:name="_Toc478990533"/>
      <w:bookmarkStart w:id="962" w:name="_Toc479768611"/>
      <w:bookmarkStart w:id="963" w:name="_Toc482357335"/>
      <w:bookmarkStart w:id="964" w:name="_Toc482634310"/>
      <w:bookmarkStart w:id="965" w:name="_Toc482626442"/>
      <w:bookmarkStart w:id="966" w:name="_Toc484092517"/>
      <w:bookmarkStart w:id="967" w:name="_Toc484172723"/>
      <w:bookmarkStart w:id="968" w:name="_Toc484183059"/>
      <w:bookmarkStart w:id="969" w:name="_Toc490225824"/>
      <w:r w:rsidRPr="00ED04DD">
        <w:t>Necessity of Calibration</w:t>
      </w:r>
      <w:bookmarkEnd w:id="961"/>
      <w:bookmarkEnd w:id="962"/>
      <w:bookmarkEnd w:id="963"/>
      <w:bookmarkEnd w:id="964"/>
      <w:bookmarkEnd w:id="965"/>
      <w:bookmarkEnd w:id="966"/>
      <w:bookmarkEnd w:id="967"/>
      <w:bookmarkEnd w:id="968"/>
      <w:bookmarkEnd w:id="969"/>
    </w:p>
    <w:p w14:paraId="79760AD2" w14:textId="77777777" w:rsidR="003E6937" w:rsidRPr="00ED04DD" w:rsidRDefault="003E6937" w:rsidP="003E6937">
      <w:r w:rsidRPr="00ED04DD">
        <w:t xml:space="preserve">Calibration refers to the standard process of adjusting model parameters such that model results align with observed data. In evaluative statistical models, calibration is called regression, and goodness of fit is typically the main focus since the models are usually simple. In situations of complex dynamics and non-linearity (as in this study), model sophistication and adequacy can become the main focus. But grounding the model in observation remains equally necessary. The ability of a forecast to reasonably simulate observed data affords credibility and confidence to forecast estimates. </w:t>
      </w:r>
    </w:p>
    <w:p w14:paraId="408A0A88" w14:textId="77777777" w:rsidR="003E6937" w:rsidRPr="008B4CCB" w:rsidRDefault="003E6937" w:rsidP="003E6937">
      <w:pPr>
        <w:rPr>
          <w:highlight w:val="yellow"/>
        </w:rPr>
      </w:pPr>
    </w:p>
    <w:p w14:paraId="0AC2E125" w14:textId="77777777" w:rsidR="003E6937" w:rsidRPr="00ED04DD" w:rsidRDefault="003E6937" w:rsidP="003E6937">
      <w:r w:rsidRPr="00ED04DD">
        <w:t xml:space="preserve">Although there are data supporting all underlying parameters in the PG model, much of the data are at an aggregate level that can be inadequate to forecast differences across the various classes of technologies and end uses. The customer willingness-to-adopt factor is a good example of this effect. Customers may </w:t>
      </w:r>
      <w:r w:rsidRPr="00ED04DD">
        <w:lastRenderedPageBreak/>
        <w:t>exhibit certain average purchase tendencies in adopting measures based on their financial characteristics. Nevertheless, there may be features of certain end use technologies that cause customer behavior to vary from the average. Residential building envelope is an end use where adoption of measures like insulation is consistently lower than would be predicted compared with other end uses. Residential lighting adoption, on the other hand, performs better than the average predicted customer purchase tendencies, even after adjusting for differences in financial attractiveness. We often think of these differences as the influence of non-financial product attributes or of market barriers.</w:t>
      </w:r>
    </w:p>
    <w:p w14:paraId="714404D5" w14:textId="77777777" w:rsidR="003E6937" w:rsidRPr="008B4CCB" w:rsidRDefault="003E6937" w:rsidP="003E6937">
      <w:pPr>
        <w:rPr>
          <w:highlight w:val="yellow"/>
        </w:rPr>
      </w:pPr>
    </w:p>
    <w:p w14:paraId="597A48A7" w14:textId="77777777" w:rsidR="003E6937" w:rsidRPr="00ED04DD" w:rsidRDefault="00ED04DD" w:rsidP="003E6937">
      <w:r>
        <w:t xml:space="preserve">Figure A-1 </w:t>
      </w:r>
      <w:r w:rsidR="003E6937" w:rsidRPr="00ED04DD">
        <w:t>below illustrates the concept of calibration. The chart on the left shows how certain end uses may over predict (</w:t>
      </w:r>
      <w:r>
        <w:t>blue</w:t>
      </w:r>
      <w:r w:rsidR="003E6937" w:rsidRPr="00ED04DD">
        <w:t>) or under predict (</w:t>
      </w:r>
      <w:r>
        <w:t>green</w:t>
      </w:r>
      <w:r w:rsidR="003E6937" w:rsidRPr="00ED04DD">
        <w:t xml:space="preserve">) adoption compared to observations of program participation. By adjusting </w:t>
      </w:r>
      <w:r w:rsidR="00EB58CC">
        <w:t>the calibration levers</w:t>
      </w:r>
      <w:r w:rsidR="003E6937" w:rsidRPr="00ED04DD">
        <w:t>, as illustrated in the right chart below, the modeled results in past years become aligned with reported historical program achievements.</w:t>
      </w:r>
    </w:p>
    <w:p w14:paraId="43421073" w14:textId="77777777" w:rsidR="003E6937" w:rsidRPr="008B4CCB" w:rsidRDefault="003E6937" w:rsidP="003E6937">
      <w:pPr>
        <w:pStyle w:val="Caption"/>
        <w:rPr>
          <w:highlight w:val="yellow"/>
        </w:rPr>
      </w:pPr>
    </w:p>
    <w:p w14:paraId="587DE730" w14:textId="77777777" w:rsidR="00FC3873" w:rsidRPr="00323BFA" w:rsidRDefault="00FC3873" w:rsidP="00FC3873">
      <w:pPr>
        <w:pStyle w:val="Caption"/>
      </w:pPr>
      <w:bookmarkStart w:id="970" w:name="_Toc482634240"/>
      <w:bookmarkStart w:id="971" w:name="_Toc484436991"/>
      <w:bookmarkStart w:id="972" w:name="_Toc490561154"/>
      <w:r w:rsidRPr="00323BFA">
        <w:t xml:space="preserve">Figure </w:t>
      </w:r>
      <w:fldSimple w:instr=" STYLEREF 5 \s ">
        <w:r w:rsidR="007566B9">
          <w:rPr>
            <w:noProof/>
          </w:rPr>
          <w:t>A</w:t>
        </w:r>
      </w:fldSimple>
      <w:r w:rsidRPr="00323BFA">
        <w:noBreakHyphen/>
      </w:r>
      <w:fldSimple w:instr=" SEQ Figure_Apx \* ARABIC \s 5 ">
        <w:r w:rsidR="007566B9">
          <w:rPr>
            <w:noProof/>
          </w:rPr>
          <w:t>1</w:t>
        </w:r>
      </w:fldSimple>
      <w:r w:rsidRPr="00323BFA">
        <w:t>. The Concept of Calibrating</w:t>
      </w:r>
      <w:bookmarkEnd w:id="970"/>
      <w:bookmarkEnd w:id="971"/>
      <w:bookmarkEnd w:id="972"/>
    </w:p>
    <w:p w14:paraId="711B0D5A" w14:textId="77777777" w:rsidR="00FC3873" w:rsidRPr="008B4CCB" w:rsidRDefault="00ED04DD" w:rsidP="00FC3873">
      <w:pPr>
        <w:keepNext/>
        <w:jc w:val="center"/>
        <w:rPr>
          <w:highlight w:val="yellow"/>
        </w:rPr>
      </w:pPr>
      <w:r w:rsidRPr="00ED04DD">
        <w:rPr>
          <w:noProof/>
        </w:rPr>
        <w:drawing>
          <wp:inline distT="0" distB="0" distL="0" distR="0" wp14:anchorId="71AE7889" wp14:editId="4D530A8B">
            <wp:extent cx="5919024" cy="2300603"/>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l="940" r="1229"/>
                    <a:stretch/>
                  </pic:blipFill>
                  <pic:spPr bwMode="auto">
                    <a:xfrm>
                      <a:off x="0" y="0"/>
                      <a:ext cx="5954248" cy="2314294"/>
                    </a:xfrm>
                    <a:prstGeom prst="rect">
                      <a:avLst/>
                    </a:prstGeom>
                    <a:noFill/>
                    <a:ln>
                      <a:noFill/>
                    </a:ln>
                    <a:extLst>
                      <a:ext uri="{53640926-AAD7-44D8-BBD7-CCE9431645EC}">
                        <a14:shadowObscured xmlns:a14="http://schemas.microsoft.com/office/drawing/2010/main"/>
                      </a:ext>
                    </a:extLst>
                  </pic:spPr>
                </pic:pic>
              </a:graphicData>
            </a:graphic>
          </wp:inline>
        </w:drawing>
      </w:r>
    </w:p>
    <w:p w14:paraId="35DC2BA2" w14:textId="77777777" w:rsidR="00FC3873" w:rsidRPr="00323BFA" w:rsidRDefault="00FC3873" w:rsidP="00FC3873"/>
    <w:p w14:paraId="5A82BC18" w14:textId="77777777" w:rsidR="00FC3873" w:rsidRPr="00323BFA" w:rsidRDefault="00FC3873" w:rsidP="00FC3873">
      <w:r w:rsidRPr="00323BFA">
        <w:t>Note that model parameters and results may be increased or decreased depending on the end use.  We do not “calibrate down” on aggregate, but rather just “calibrate” the end uses both up and down as appropriate based on the data, as shown in the chart on the right above.</w:t>
      </w:r>
    </w:p>
    <w:p w14:paraId="6476C12E" w14:textId="77777777" w:rsidR="00FC3873" w:rsidRPr="008B4CCB" w:rsidRDefault="00FC3873" w:rsidP="00FC3873">
      <w:pPr>
        <w:rPr>
          <w:highlight w:val="yellow"/>
        </w:rPr>
      </w:pPr>
    </w:p>
    <w:p w14:paraId="3ADDE118" w14:textId="77777777" w:rsidR="00FC3873" w:rsidRPr="00323BFA" w:rsidRDefault="00FC3873" w:rsidP="00FC3873">
      <w:r w:rsidRPr="00323BFA">
        <w:t>Calibration is not an optional exercise in modeling. One might suggest that the average customer data should be sufficient to make a reliable aggregated forecast. Nevertheless, there are two important non-linearities that compel us toward a more granular parameterization:</w:t>
      </w:r>
    </w:p>
    <w:p w14:paraId="6D113852" w14:textId="77777777" w:rsidR="00FC3873" w:rsidRPr="00323BFA" w:rsidRDefault="00FC3873" w:rsidP="004E4E36">
      <w:pPr>
        <w:pStyle w:val="ListParagraph"/>
        <w:numPr>
          <w:ilvl w:val="0"/>
          <w:numId w:val="17"/>
        </w:numPr>
      </w:pPr>
      <w:r w:rsidRPr="00323BFA">
        <w:t>Program portfolios are not evenly composed across end-uses. This leads to an uneven weighting issue whereby average customer willingness</w:t>
      </w:r>
      <w:r w:rsidR="00EB58CC" w:rsidRPr="00323BFA">
        <w:t xml:space="preserve"> and awareness</w:t>
      </w:r>
      <w:r w:rsidRPr="00323BFA">
        <w:t xml:space="preserve"> may not lead to the correct calculation of total savings</w:t>
      </w:r>
      <w:r w:rsidR="00EB58CC" w:rsidRPr="00323BFA">
        <w:t xml:space="preserve"> and costs</w:t>
      </w:r>
      <w:r w:rsidRPr="00323BFA">
        <w:t xml:space="preserve">. </w:t>
      </w:r>
    </w:p>
    <w:p w14:paraId="48AAA37D" w14:textId="77777777" w:rsidR="0088306C" w:rsidRPr="00EB58CC" w:rsidRDefault="00FC3873" w:rsidP="004E4E36">
      <w:pPr>
        <w:pStyle w:val="ListParagraph"/>
        <w:numPr>
          <w:ilvl w:val="0"/>
          <w:numId w:val="17"/>
        </w:numPr>
      </w:pPr>
      <w:r w:rsidRPr="00323BFA">
        <w:t xml:space="preserve">The dynamics in the model regarding the timing of adoption can become incompatible with the remaining potential indicated by program achievements. For example, if the forecast results were not calibrated for CFL lighting in the residential sector, the saturation may remain inaccurately low in early years and indicate a larger remaining potential in future years. Thus calibrating upward may increase potential in the early years but decrease potential in later years. This implies that in the absence of IOU program intervention, residential CFLs would have historically had much </w:t>
      </w:r>
      <w:r w:rsidRPr="00323BFA">
        <w:lastRenderedPageBreak/>
        <w:t>lower adoption. Calibration therefore allows us to capture these program influences to more accurately reflect remaining potential.</w:t>
      </w:r>
    </w:p>
    <w:p w14:paraId="554EDC6F" w14:textId="77777777" w:rsidR="0088306C" w:rsidRPr="004F0469" w:rsidRDefault="0088306C" w:rsidP="004F0469">
      <w:pPr>
        <w:ind w:left="360"/>
      </w:pPr>
    </w:p>
    <w:p w14:paraId="4D6B68FD" w14:textId="77777777" w:rsidR="00FC3873" w:rsidRPr="004F0469" w:rsidRDefault="00FC3873" w:rsidP="00FC3873">
      <w:r w:rsidRPr="004F0469">
        <w:t>This discussion is intended to highlight the necessity of calibration and the effective irrelevance of uncalibrated parameters. It may be tempting to “relax” the calibrated parameters back toward the average to measure the effect of what could be possible. But the uncalibrated results can be difficult to interpret and almost certainly would not produce feasible results for certain end uses. Thus they provide no basis for a reasonable forecast. Instead, we treat the calibrated results as the most basic set of interpretable results from which alternate scenarios are developed. Changes to calibrated parameters are not returned to the uncalibrated averages, but are rather explicitly developed based on the feasibility of values that parameters might take over time and how quickly the change might occur. This is discussed more in the last section of this brief.</w:t>
      </w:r>
    </w:p>
    <w:p w14:paraId="2CA78382" w14:textId="77777777" w:rsidR="00FC3873" w:rsidRPr="004F0469" w:rsidRDefault="00FC3873" w:rsidP="00FC3873">
      <w:pPr>
        <w:pStyle w:val="Heading6"/>
      </w:pPr>
      <w:bookmarkStart w:id="973" w:name="_Toc478990534"/>
      <w:bookmarkStart w:id="974" w:name="_Toc479768612"/>
      <w:bookmarkStart w:id="975" w:name="_Toc482357336"/>
      <w:bookmarkStart w:id="976" w:name="_Toc482634311"/>
      <w:bookmarkStart w:id="977" w:name="_Toc482626443"/>
      <w:bookmarkStart w:id="978" w:name="_Toc484092518"/>
      <w:bookmarkStart w:id="979" w:name="_Toc484172724"/>
      <w:bookmarkStart w:id="980" w:name="_Toc484183060"/>
      <w:bookmarkStart w:id="981" w:name="_Toc490225825"/>
      <w:r w:rsidRPr="004F0469">
        <w:t>Interpreting Calibration</w:t>
      </w:r>
      <w:bookmarkEnd w:id="973"/>
      <w:bookmarkEnd w:id="974"/>
      <w:bookmarkEnd w:id="975"/>
      <w:bookmarkEnd w:id="976"/>
      <w:bookmarkEnd w:id="977"/>
      <w:bookmarkEnd w:id="978"/>
      <w:bookmarkEnd w:id="979"/>
      <w:bookmarkEnd w:id="980"/>
      <w:bookmarkEnd w:id="981"/>
    </w:p>
    <w:p w14:paraId="316CE4A6" w14:textId="77777777" w:rsidR="00FC3873" w:rsidRPr="004F0469" w:rsidRDefault="00FC3873" w:rsidP="00FC3873">
      <w:r w:rsidRPr="004F0469">
        <w:t>Calibration can constrain market potential for certain end uses when aligning model results with past IOU energy efficiency portfolio accomplishments. Although calibration provides a reasonable historic basis for estimating future market potential, past program achievements may not capture the potential due to structural changes in future programs or changes in consumer values. Calibration can be viewed as holding constant certain factors that might otherwise change future program potential, such as:</w:t>
      </w:r>
    </w:p>
    <w:p w14:paraId="398C86A7" w14:textId="77777777" w:rsidR="00FC3873" w:rsidRPr="004F0469" w:rsidRDefault="00FC3873" w:rsidP="00FC3873"/>
    <w:p w14:paraId="5F16800B" w14:textId="77777777" w:rsidR="00FC3873" w:rsidRPr="004F0469" w:rsidRDefault="00FC3873" w:rsidP="004E4E36">
      <w:pPr>
        <w:pStyle w:val="ListParagraph"/>
        <w:numPr>
          <w:ilvl w:val="0"/>
          <w:numId w:val="18"/>
        </w:numPr>
      </w:pPr>
      <w:r w:rsidRPr="004F0469">
        <w:t xml:space="preserve">Consumer values and attitudes toward energy efficient measures; </w:t>
      </w:r>
    </w:p>
    <w:p w14:paraId="7D3B1BDB" w14:textId="77777777" w:rsidR="00FC3873" w:rsidRPr="004F0469" w:rsidRDefault="00FC3873" w:rsidP="004E4E36">
      <w:pPr>
        <w:pStyle w:val="ListParagraph"/>
        <w:numPr>
          <w:ilvl w:val="0"/>
          <w:numId w:val="18"/>
        </w:numPr>
      </w:pPr>
      <w:r w:rsidRPr="004F0469">
        <w:t>Market barriers associated with different end uses;</w:t>
      </w:r>
    </w:p>
    <w:p w14:paraId="5FA8960B" w14:textId="77777777" w:rsidR="00FC3873" w:rsidRPr="004F0469" w:rsidRDefault="00FC3873" w:rsidP="004E4E36">
      <w:pPr>
        <w:pStyle w:val="ListParagraph"/>
        <w:numPr>
          <w:ilvl w:val="0"/>
          <w:numId w:val="18"/>
        </w:numPr>
      </w:pPr>
      <w:r w:rsidRPr="004F0469">
        <w:t>Program efficacy in delivering measures; and</w:t>
      </w:r>
    </w:p>
    <w:p w14:paraId="61911D01" w14:textId="77777777" w:rsidR="00FC3873" w:rsidRPr="004F0469" w:rsidRDefault="00FC3873" w:rsidP="004E4E36">
      <w:pPr>
        <w:pStyle w:val="ListParagraph"/>
        <w:numPr>
          <w:ilvl w:val="0"/>
          <w:numId w:val="18"/>
        </w:numPr>
      </w:pPr>
      <w:r w:rsidRPr="004F0469">
        <w:t xml:space="preserve">Program spending constraints and priorities. </w:t>
      </w:r>
    </w:p>
    <w:p w14:paraId="1712969E" w14:textId="77777777" w:rsidR="00FC3873" w:rsidRPr="004F0469" w:rsidRDefault="00FC3873" w:rsidP="00FC3873"/>
    <w:p w14:paraId="3F28EA6A" w14:textId="77777777" w:rsidR="00FC3873" w:rsidRPr="004F0469" w:rsidRDefault="00FC3873" w:rsidP="00FC3873">
      <w:r w:rsidRPr="004F0469">
        <w:t xml:space="preserve">Changing values and shifting program characteristics would likely cause deviations from market potential estimates calibrated to past program achievements. </w:t>
      </w:r>
    </w:p>
    <w:p w14:paraId="1FB5B522" w14:textId="77777777" w:rsidR="00FC3873" w:rsidRPr="004F0469" w:rsidRDefault="00FC3873" w:rsidP="00FC3873"/>
    <w:p w14:paraId="18F29DEA" w14:textId="77777777" w:rsidR="00FC3873" w:rsidRPr="004F0469" w:rsidRDefault="00FC3873" w:rsidP="00FC3873">
      <w:r w:rsidRPr="004F0469">
        <w:t>Does calibrating to historic data constrain the future forecast? In a strictly numeric sense, yes. If a certain end use is calibrated downward or upward, then future adoption and its timing are affected. Nevertheless, this should not be interpreted as “calibration constrains the level of adoption that we think is possible.” Rather calibration provides a more accurate estimate of the current state of customer willingness, market barriers, program characteristics and remaining adoption potential. One forecast scenario might assume that the underlying conditions remain the same—a sort of business as usual scenario. We might develop another scenario such that it represents a transforming market based on agreed-upon end state parameter values appropriate for the end use market. For insulation that may mean a slight improvement, for water heating a greater improvement, and for lighting perhaps little change is warranted if fewer market barriers exist today.</w:t>
      </w:r>
    </w:p>
    <w:p w14:paraId="2EA0D534" w14:textId="77777777" w:rsidR="00FC3873" w:rsidRPr="004F0469" w:rsidRDefault="00FC3873" w:rsidP="00FC3873"/>
    <w:p w14:paraId="6B1FF265" w14:textId="77777777" w:rsidR="00FC3873" w:rsidRPr="00BA20F0" w:rsidRDefault="00FC3873" w:rsidP="00FC3873">
      <w:r w:rsidRPr="004F0469">
        <w:t xml:space="preserve">One interpretation is that the calibration process creates a floor for the remaining potential.  Market barriers, customer attitudes, and program efficacy generally move in the direction of improvement. The extent to which a market or program can improve should not be compared to the uncalibrated results, but rather to the vision for what is reasonably possible for the parameters describing each end use. This may require little change, some change, or greater change in parameter values for different end-uses. But </w:t>
      </w:r>
      <w:r w:rsidRPr="004F0469">
        <w:lastRenderedPageBreak/>
        <w:t xml:space="preserve">improvements to parameter values are based on their own merits and feasibility, and are independent of the uncalibrated parameter values and results. </w:t>
      </w:r>
    </w:p>
    <w:p w14:paraId="43A309F9" w14:textId="77777777" w:rsidR="00FC3873" w:rsidRPr="002A012E" w:rsidRDefault="00FC3873" w:rsidP="00FC3873">
      <w:pPr>
        <w:pStyle w:val="Heading6"/>
      </w:pPr>
      <w:bookmarkStart w:id="982" w:name="_Toc478990535"/>
      <w:bookmarkStart w:id="983" w:name="_Toc479768613"/>
      <w:bookmarkStart w:id="984" w:name="_Toc482357337"/>
      <w:bookmarkStart w:id="985" w:name="_Toc482634312"/>
      <w:bookmarkStart w:id="986" w:name="_Toc482626444"/>
      <w:bookmarkStart w:id="987" w:name="_Toc484092519"/>
      <w:bookmarkStart w:id="988" w:name="_Toc484172725"/>
      <w:bookmarkStart w:id="989" w:name="_Toc484183061"/>
      <w:bookmarkStart w:id="990" w:name="_Toc490225826"/>
      <w:r w:rsidRPr="002A012E">
        <w:t>Implementing Calibration</w:t>
      </w:r>
      <w:bookmarkEnd w:id="982"/>
      <w:bookmarkEnd w:id="983"/>
      <w:bookmarkEnd w:id="984"/>
      <w:bookmarkEnd w:id="985"/>
      <w:bookmarkEnd w:id="986"/>
      <w:bookmarkEnd w:id="987"/>
      <w:bookmarkEnd w:id="988"/>
      <w:bookmarkEnd w:id="989"/>
      <w:bookmarkEnd w:id="990"/>
    </w:p>
    <w:p w14:paraId="60C263E8" w14:textId="77777777" w:rsidR="002A012E" w:rsidRPr="002A012E" w:rsidRDefault="002A012E" w:rsidP="00FC3873">
      <w:r w:rsidRPr="002A012E">
        <w:t>The PG model is calibrated primarily using historic program budgets. Calibration inputs include 2013-2015 IOU-reported incentive and admin expenditures in Compliance Filings</w:t>
      </w:r>
      <w:r>
        <w:rPr>
          <w:rStyle w:val="FootnoteReference"/>
        </w:rPr>
        <w:footnoteReference w:id="98"/>
      </w:r>
      <w:r w:rsidRPr="002A012E">
        <w:t>. An illustration of the calibration targets used is shown below</w:t>
      </w:r>
      <w:r>
        <w:t>:</w:t>
      </w:r>
    </w:p>
    <w:p w14:paraId="1C7F9BF1" w14:textId="77777777" w:rsidR="002A012E" w:rsidRPr="002A012E" w:rsidRDefault="002A012E" w:rsidP="00FC3873"/>
    <w:p w14:paraId="668E2C2A" w14:textId="77777777" w:rsidR="002A012E" w:rsidRDefault="00CE648C" w:rsidP="002A012E">
      <w:pPr>
        <w:pStyle w:val="Caption"/>
      </w:pPr>
      <w:bookmarkStart w:id="991" w:name="_Toc484437031"/>
      <w:bookmarkStart w:id="992" w:name="_Toc490561155"/>
      <w:r w:rsidRPr="00323BFA">
        <w:t xml:space="preserve">Figure </w:t>
      </w:r>
      <w:fldSimple w:instr=" STYLEREF 5 \s ">
        <w:r w:rsidR="007566B9">
          <w:rPr>
            <w:noProof/>
          </w:rPr>
          <w:t>A</w:t>
        </w:r>
      </w:fldSimple>
      <w:r w:rsidRPr="00323BFA">
        <w:noBreakHyphen/>
      </w:r>
      <w:fldSimple w:instr=" SEQ Figure_Apx \* ARABIC \s 5 ">
        <w:r w:rsidR="007566B9">
          <w:rPr>
            <w:noProof/>
          </w:rPr>
          <w:t>2</w:t>
        </w:r>
      </w:fldSimple>
      <w:r w:rsidRPr="00323BFA">
        <w:t xml:space="preserve">. </w:t>
      </w:r>
      <w:r w:rsidR="002A012E">
        <w:t>Illustrative 2013-2015 Calibration Targets</w:t>
      </w:r>
      <w:bookmarkEnd w:id="991"/>
      <w:bookmarkEnd w:id="992"/>
    </w:p>
    <w:p w14:paraId="77412943" w14:textId="77777777" w:rsidR="002A012E" w:rsidRDefault="002A012E" w:rsidP="00FC3873">
      <w:pPr>
        <w:rPr>
          <w:highlight w:val="yellow"/>
        </w:rPr>
      </w:pPr>
      <w:r>
        <w:rPr>
          <w:noProof/>
          <w:highlight w:val="yellow"/>
        </w:rPr>
        <w:drawing>
          <wp:inline distT="0" distB="0" distL="0" distR="0" wp14:anchorId="05C84A32" wp14:editId="6FD30F84">
            <wp:extent cx="6755130" cy="3255645"/>
            <wp:effectExtent l="0" t="0" r="762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755130" cy="3255645"/>
                    </a:xfrm>
                    <a:prstGeom prst="rect">
                      <a:avLst/>
                    </a:prstGeom>
                    <a:noFill/>
                  </pic:spPr>
                </pic:pic>
              </a:graphicData>
            </a:graphic>
          </wp:inline>
        </w:drawing>
      </w:r>
    </w:p>
    <w:p w14:paraId="19D8DFA9" w14:textId="77777777" w:rsidR="002A012E" w:rsidRDefault="002A012E" w:rsidP="00FC3873"/>
    <w:p w14:paraId="300914A9" w14:textId="77777777" w:rsidR="00FC3873" w:rsidRDefault="00D351A9" w:rsidP="00FC3873">
      <w:r>
        <w:t xml:space="preserve">During the calibration period, budgets are anchored to historical spending. During the forecast period, budgets can change over time based on inputs and assumptions that go into the model. </w:t>
      </w:r>
      <w:r w:rsidR="001513FB">
        <w:t>Broadly, c</w:t>
      </w:r>
      <w:r w:rsidR="00FC3873" w:rsidRPr="002A012E">
        <w:t xml:space="preserve">alibration </w:t>
      </w:r>
      <w:r>
        <w:t>examines</w:t>
      </w:r>
      <w:r w:rsidR="00FC3873" w:rsidRPr="002A012E">
        <w:t xml:space="preserve"> </w:t>
      </w:r>
      <w:r w:rsidR="001513FB">
        <w:t>two</w:t>
      </w:r>
      <w:r w:rsidR="00FC3873" w:rsidRPr="002A012E">
        <w:t xml:space="preserve"> </w:t>
      </w:r>
      <w:r>
        <w:t>categories</w:t>
      </w:r>
      <w:r w:rsidR="00FC3873" w:rsidRPr="002A012E">
        <w:t xml:space="preserve"> of </w:t>
      </w:r>
      <w:r>
        <w:t>levers</w:t>
      </w:r>
      <w:r w:rsidR="00FC3873" w:rsidRPr="002A012E">
        <w:t xml:space="preserve"> to best align results with past</w:t>
      </w:r>
      <w:r w:rsidR="001513FB">
        <w:t xml:space="preserve"> program achievements. </w:t>
      </w:r>
      <w:r>
        <w:t>A comprehensive list of the calibration levers that are used and their impact on model results is provided below.</w:t>
      </w:r>
    </w:p>
    <w:p w14:paraId="676A6F0F" w14:textId="77777777" w:rsidR="001513FB" w:rsidRDefault="001513FB" w:rsidP="00FC3873"/>
    <w:p w14:paraId="79338037" w14:textId="77777777" w:rsidR="00D351A9" w:rsidRDefault="00CE648C" w:rsidP="00323BFA">
      <w:pPr>
        <w:pStyle w:val="Caption"/>
      </w:pPr>
      <w:bookmarkStart w:id="993" w:name="_Toc484436978"/>
      <w:bookmarkStart w:id="994" w:name="_Toc490226027"/>
      <w:r>
        <w:lastRenderedPageBreak/>
        <w:t xml:space="preserve">Table </w:t>
      </w:r>
      <w:fldSimple w:instr=" STYLEREF 5 \s ">
        <w:r w:rsidR="007566B9">
          <w:rPr>
            <w:noProof/>
          </w:rPr>
          <w:t>A</w:t>
        </w:r>
      </w:fldSimple>
      <w:r>
        <w:noBreakHyphen/>
      </w:r>
      <w:fldSimple w:instr=" SEQ Table_Apx \* ARABIC \s 5 ">
        <w:r w:rsidR="007566B9">
          <w:rPr>
            <w:noProof/>
          </w:rPr>
          <w:t>1</w:t>
        </w:r>
      </w:fldSimple>
      <w:r>
        <w:t xml:space="preserve">. </w:t>
      </w:r>
      <w:r w:rsidR="00D351A9">
        <w:t>Calibration Levers</w:t>
      </w:r>
      <w:bookmarkEnd w:id="993"/>
      <w:bookmarkEnd w:id="994"/>
    </w:p>
    <w:tbl>
      <w:tblPr>
        <w:tblStyle w:val="EnergyTable1"/>
        <w:tblW w:w="8280" w:type="dxa"/>
        <w:tblLook w:val="04A0" w:firstRow="1" w:lastRow="0" w:firstColumn="1" w:lastColumn="0" w:noHBand="0" w:noVBand="1"/>
      </w:tblPr>
      <w:tblGrid>
        <w:gridCol w:w="1440"/>
        <w:gridCol w:w="2160"/>
        <w:gridCol w:w="4680"/>
      </w:tblGrid>
      <w:tr w:rsidR="001513FB" w:rsidRPr="001513FB" w14:paraId="45414544" w14:textId="77777777" w:rsidTr="00F6638A">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440" w:type="dxa"/>
            <w:hideMark/>
          </w:tcPr>
          <w:p w14:paraId="47CAC227" w14:textId="77777777" w:rsidR="001513FB" w:rsidRPr="001513FB" w:rsidRDefault="001513FB" w:rsidP="00323BFA">
            <w:pPr>
              <w:keepNext/>
              <w:spacing w:line="240" w:lineRule="auto"/>
              <w:rPr>
                <w:rFonts w:ascii="Arial Narrow" w:hAnsi="Arial Narrow" w:cs="Arial"/>
                <w:szCs w:val="20"/>
              </w:rPr>
            </w:pPr>
            <w:r w:rsidRPr="001513FB">
              <w:rPr>
                <w:rFonts w:ascii="Arial Narrow" w:eastAsiaTheme="minorEastAsia" w:hAnsi="Arial Narrow" w:cstheme="minorBidi"/>
                <w:bCs/>
                <w:color w:val="FFFFFF" w:themeColor="light1"/>
                <w:kern w:val="24"/>
                <w:szCs w:val="20"/>
              </w:rPr>
              <w:t>Category</w:t>
            </w:r>
          </w:p>
        </w:tc>
        <w:tc>
          <w:tcPr>
            <w:tcW w:w="2160" w:type="dxa"/>
            <w:hideMark/>
          </w:tcPr>
          <w:p w14:paraId="48873BE4" w14:textId="77777777" w:rsidR="001513FB" w:rsidRPr="001513FB" w:rsidRDefault="001513FB" w:rsidP="00323BFA">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1513FB">
              <w:rPr>
                <w:rFonts w:ascii="Arial Narrow" w:hAnsi="Arial Narrow" w:cs="Arial"/>
                <w:bCs/>
                <w:color w:val="FFFFFF" w:themeColor="light1"/>
                <w:kern w:val="24"/>
                <w:szCs w:val="20"/>
              </w:rPr>
              <w:t>Lever</w:t>
            </w:r>
          </w:p>
        </w:tc>
        <w:tc>
          <w:tcPr>
            <w:tcW w:w="4680" w:type="dxa"/>
            <w:hideMark/>
          </w:tcPr>
          <w:p w14:paraId="07117EFC" w14:textId="77777777" w:rsidR="001513FB" w:rsidRPr="001513FB" w:rsidRDefault="001513FB" w:rsidP="00323BFA">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1513FB">
              <w:rPr>
                <w:rFonts w:ascii="Arial Narrow" w:hAnsi="Arial Narrow" w:cs="Arial"/>
                <w:bCs/>
                <w:color w:val="FFFFFF" w:themeColor="light1"/>
                <w:kern w:val="24"/>
                <w:szCs w:val="20"/>
              </w:rPr>
              <w:t>Impact on Model results</w:t>
            </w:r>
          </w:p>
        </w:tc>
      </w:tr>
      <w:tr w:rsidR="001513FB" w:rsidRPr="001513FB" w14:paraId="7703F50E" w14:textId="77777777" w:rsidTr="00F6638A">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440" w:type="dxa"/>
            <w:vMerge w:val="restart"/>
            <w:hideMark/>
          </w:tcPr>
          <w:p w14:paraId="740B129F" w14:textId="77777777" w:rsidR="001513FB" w:rsidRPr="001513FB" w:rsidRDefault="001513FB" w:rsidP="00323BFA">
            <w:pPr>
              <w:keepNext/>
              <w:spacing w:line="240" w:lineRule="auto"/>
              <w:jc w:val="left"/>
              <w:rPr>
                <w:rFonts w:ascii="Arial Narrow" w:hAnsi="Arial Narrow" w:cs="Arial"/>
                <w:szCs w:val="20"/>
              </w:rPr>
            </w:pPr>
            <w:r w:rsidRPr="001513FB">
              <w:rPr>
                <w:rFonts w:ascii="Arial Narrow" w:hAnsi="Arial Narrow" w:cs="Arial"/>
                <w:bCs/>
                <w:kern w:val="24"/>
                <w:szCs w:val="20"/>
              </w:rPr>
              <w:t>Awareness</w:t>
            </w:r>
          </w:p>
        </w:tc>
        <w:tc>
          <w:tcPr>
            <w:tcW w:w="2160" w:type="dxa"/>
            <w:hideMark/>
          </w:tcPr>
          <w:p w14:paraId="67D6648E" w14:textId="77777777" w:rsidR="001513FB" w:rsidRPr="001513FB" w:rsidRDefault="001513FB" w:rsidP="00323BFA">
            <w:pPr>
              <w:keepNext/>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1513FB">
              <w:rPr>
                <w:rFonts w:ascii="Arial Narrow" w:hAnsi="Arial Narrow" w:cs="Arial"/>
                <w:kern w:val="24"/>
                <w:szCs w:val="20"/>
              </w:rPr>
              <w:t>Initial Awareness</w:t>
            </w:r>
          </w:p>
        </w:tc>
        <w:tc>
          <w:tcPr>
            <w:tcW w:w="4680" w:type="dxa"/>
            <w:hideMark/>
          </w:tcPr>
          <w:p w14:paraId="26DC9319" w14:textId="77777777" w:rsidR="001513FB" w:rsidRPr="001513FB" w:rsidRDefault="001513FB" w:rsidP="00323BFA">
            <w:pPr>
              <w:keepNext/>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1513FB">
              <w:rPr>
                <w:rFonts w:ascii="Arial Narrow" w:hAnsi="Arial Narrow" w:cs="Arial"/>
                <w:color w:val="000000" w:themeColor="dark1"/>
                <w:kern w:val="24"/>
                <w:szCs w:val="20"/>
              </w:rPr>
              <w:t>Increasing initial awareness shortens the time required for a measure to reach 100% consumer awareness. Also sets upper bound on adoption in the first year.</w:t>
            </w:r>
          </w:p>
        </w:tc>
      </w:tr>
      <w:tr w:rsidR="001513FB" w:rsidRPr="001513FB" w14:paraId="273F7FA1" w14:textId="77777777" w:rsidTr="00F6638A">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440" w:type="dxa"/>
            <w:vMerge/>
            <w:hideMark/>
          </w:tcPr>
          <w:p w14:paraId="6DDD0528" w14:textId="77777777" w:rsidR="001513FB" w:rsidRPr="001513FB" w:rsidRDefault="001513FB" w:rsidP="00323BFA">
            <w:pPr>
              <w:keepNext/>
              <w:spacing w:line="240" w:lineRule="auto"/>
              <w:jc w:val="left"/>
              <w:rPr>
                <w:rFonts w:ascii="Arial Narrow" w:hAnsi="Arial Narrow" w:cs="Arial"/>
                <w:szCs w:val="20"/>
              </w:rPr>
            </w:pPr>
          </w:p>
        </w:tc>
        <w:tc>
          <w:tcPr>
            <w:tcW w:w="2160" w:type="dxa"/>
            <w:hideMark/>
          </w:tcPr>
          <w:p w14:paraId="531BBF19" w14:textId="77777777" w:rsidR="001513FB" w:rsidRPr="001513FB" w:rsidRDefault="001513FB" w:rsidP="00323BFA">
            <w:pPr>
              <w:keepNext/>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1513FB">
              <w:rPr>
                <w:rFonts w:ascii="Arial Narrow" w:hAnsi="Arial Narrow" w:cs="Arial"/>
                <w:kern w:val="24"/>
                <w:szCs w:val="20"/>
              </w:rPr>
              <w:t>Marketing Strength</w:t>
            </w:r>
          </w:p>
        </w:tc>
        <w:tc>
          <w:tcPr>
            <w:tcW w:w="4680" w:type="dxa"/>
            <w:hideMark/>
          </w:tcPr>
          <w:p w14:paraId="6A7F0DC0" w14:textId="77777777" w:rsidR="001513FB" w:rsidRPr="001513FB" w:rsidRDefault="001513FB" w:rsidP="00323BFA">
            <w:pPr>
              <w:keepNext/>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1513FB">
              <w:rPr>
                <w:rFonts w:ascii="Arial Narrow" w:hAnsi="Arial Narrow" w:cs="Arial"/>
                <w:color w:val="000000" w:themeColor="dark1"/>
                <w:kern w:val="24"/>
                <w:szCs w:val="20"/>
              </w:rPr>
              <w:t>Increasing marketing strength increases adoption rate of measures in the nascent stage (i.e. having low initial consumer awareness). Less useful for measures having moderate to high initial consumer awareness.</w:t>
            </w:r>
          </w:p>
        </w:tc>
      </w:tr>
      <w:tr w:rsidR="001513FB" w:rsidRPr="001513FB" w14:paraId="2B66B239" w14:textId="77777777" w:rsidTr="00F6638A">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440" w:type="dxa"/>
            <w:vMerge/>
            <w:hideMark/>
          </w:tcPr>
          <w:p w14:paraId="4A100726" w14:textId="77777777" w:rsidR="001513FB" w:rsidRPr="001513FB" w:rsidRDefault="001513FB" w:rsidP="00323BFA">
            <w:pPr>
              <w:keepNext/>
              <w:spacing w:line="240" w:lineRule="auto"/>
              <w:jc w:val="left"/>
              <w:rPr>
                <w:rFonts w:ascii="Arial Narrow" w:hAnsi="Arial Narrow" w:cs="Arial"/>
                <w:szCs w:val="20"/>
              </w:rPr>
            </w:pPr>
          </w:p>
        </w:tc>
        <w:tc>
          <w:tcPr>
            <w:tcW w:w="2160" w:type="dxa"/>
            <w:hideMark/>
          </w:tcPr>
          <w:p w14:paraId="63EF1777" w14:textId="77777777" w:rsidR="001513FB" w:rsidRPr="001513FB" w:rsidRDefault="001513FB" w:rsidP="00323BFA">
            <w:pPr>
              <w:keepNext/>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1513FB">
              <w:rPr>
                <w:rFonts w:ascii="Arial Narrow" w:hAnsi="Arial Narrow" w:cs="Arial"/>
                <w:kern w:val="24"/>
                <w:szCs w:val="20"/>
              </w:rPr>
              <w:t>Word-of-Mouth (WOM) Strength</w:t>
            </w:r>
          </w:p>
        </w:tc>
        <w:tc>
          <w:tcPr>
            <w:tcW w:w="4680" w:type="dxa"/>
            <w:hideMark/>
          </w:tcPr>
          <w:p w14:paraId="66642830" w14:textId="77777777" w:rsidR="001513FB" w:rsidRPr="001513FB" w:rsidRDefault="001513FB" w:rsidP="00323BFA">
            <w:pPr>
              <w:keepNext/>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1513FB">
              <w:rPr>
                <w:rFonts w:ascii="Arial Narrow" w:hAnsi="Arial Narrow" w:cs="Arial"/>
                <w:color w:val="000000" w:themeColor="dark1"/>
                <w:kern w:val="24"/>
                <w:szCs w:val="20"/>
              </w:rPr>
              <w:t>Increasing WOM increases adoption ramp rate, particularly in a measure’s growth stage</w:t>
            </w:r>
            <w:r w:rsidRPr="001513FB">
              <w:rPr>
                <w:rFonts w:ascii="Arial Narrow" w:hAnsi="Arial Narrow" w:cs="Arial"/>
                <w:i/>
                <w:iCs/>
                <w:color w:val="000000" w:themeColor="dark1"/>
                <w:kern w:val="24"/>
                <w:szCs w:val="20"/>
              </w:rPr>
              <w:t>.</w:t>
            </w:r>
          </w:p>
        </w:tc>
      </w:tr>
      <w:tr w:rsidR="001513FB" w:rsidRPr="001513FB" w14:paraId="3A2F900F" w14:textId="77777777" w:rsidTr="00F6638A">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440" w:type="dxa"/>
            <w:vMerge w:val="restart"/>
            <w:hideMark/>
          </w:tcPr>
          <w:p w14:paraId="1DD0070E" w14:textId="77777777" w:rsidR="001513FB" w:rsidRPr="001513FB" w:rsidRDefault="001513FB" w:rsidP="00323BFA">
            <w:pPr>
              <w:keepNext/>
              <w:spacing w:line="240" w:lineRule="auto"/>
              <w:jc w:val="left"/>
              <w:rPr>
                <w:rFonts w:ascii="Arial Narrow" w:hAnsi="Arial Narrow" w:cs="Arial"/>
                <w:szCs w:val="20"/>
              </w:rPr>
            </w:pPr>
            <w:r w:rsidRPr="001513FB">
              <w:rPr>
                <w:rFonts w:ascii="Arial Narrow" w:hAnsi="Arial Narrow" w:cs="Arial"/>
                <w:bCs/>
                <w:kern w:val="24"/>
                <w:szCs w:val="20"/>
              </w:rPr>
              <w:t>Willingness</w:t>
            </w:r>
          </w:p>
        </w:tc>
        <w:tc>
          <w:tcPr>
            <w:tcW w:w="2160" w:type="dxa"/>
            <w:hideMark/>
          </w:tcPr>
          <w:p w14:paraId="50AB6F77" w14:textId="77777777" w:rsidR="001513FB" w:rsidRPr="001513FB" w:rsidRDefault="001513FB" w:rsidP="00323BFA">
            <w:pPr>
              <w:keepNext/>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1513FB">
              <w:rPr>
                <w:rFonts w:ascii="Arial Narrow" w:hAnsi="Arial Narrow" w:cs="Arial"/>
                <w:kern w:val="24"/>
                <w:szCs w:val="20"/>
              </w:rPr>
              <w:t>Implied Discount Rate (iDR)</w:t>
            </w:r>
          </w:p>
        </w:tc>
        <w:tc>
          <w:tcPr>
            <w:tcW w:w="4680" w:type="dxa"/>
            <w:hideMark/>
          </w:tcPr>
          <w:p w14:paraId="5BDFF7BA" w14:textId="77777777" w:rsidR="001513FB" w:rsidRPr="001513FB" w:rsidRDefault="001513FB" w:rsidP="00323BFA">
            <w:pPr>
              <w:keepNext/>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1513FB">
              <w:rPr>
                <w:rFonts w:ascii="Arial Narrow" w:hAnsi="Arial Narrow" w:cs="Arial"/>
                <w:color w:val="000000" w:themeColor="dark1"/>
                <w:kern w:val="24"/>
                <w:szCs w:val="20"/>
              </w:rPr>
              <w:t>the iDR is adjusted when perceived market barriers are higher or lower than normal, or when factors other than cost effectiveness may play a larger role in purchase decisions.</w:t>
            </w:r>
          </w:p>
        </w:tc>
      </w:tr>
      <w:tr w:rsidR="001513FB" w:rsidRPr="001513FB" w14:paraId="605F0694" w14:textId="77777777" w:rsidTr="00F6638A">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440" w:type="dxa"/>
            <w:vMerge/>
            <w:hideMark/>
          </w:tcPr>
          <w:p w14:paraId="4DB66218" w14:textId="77777777" w:rsidR="001513FB" w:rsidRPr="001513FB" w:rsidRDefault="001513FB" w:rsidP="00323BFA">
            <w:pPr>
              <w:keepNext/>
              <w:spacing w:line="240" w:lineRule="auto"/>
              <w:jc w:val="left"/>
              <w:rPr>
                <w:rFonts w:ascii="Arial Narrow" w:hAnsi="Arial Narrow" w:cs="Arial"/>
                <w:szCs w:val="20"/>
              </w:rPr>
            </w:pPr>
          </w:p>
        </w:tc>
        <w:tc>
          <w:tcPr>
            <w:tcW w:w="2160" w:type="dxa"/>
            <w:hideMark/>
          </w:tcPr>
          <w:p w14:paraId="68DE19F8" w14:textId="77777777" w:rsidR="001513FB" w:rsidRPr="001513FB" w:rsidRDefault="001513FB" w:rsidP="00323BFA">
            <w:pPr>
              <w:keepNext/>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1513FB">
              <w:rPr>
                <w:rFonts w:ascii="Arial Narrow" w:hAnsi="Arial Narrow" w:cs="Arial"/>
                <w:kern w:val="24"/>
                <w:szCs w:val="20"/>
              </w:rPr>
              <w:t>Sensitivity</w:t>
            </w:r>
          </w:p>
        </w:tc>
        <w:tc>
          <w:tcPr>
            <w:tcW w:w="4680" w:type="dxa"/>
            <w:hideMark/>
          </w:tcPr>
          <w:p w14:paraId="2B972479" w14:textId="77777777" w:rsidR="001513FB" w:rsidRPr="001513FB" w:rsidRDefault="001513FB" w:rsidP="00323BFA">
            <w:pPr>
              <w:keepNext/>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1513FB">
              <w:rPr>
                <w:rFonts w:ascii="Arial Narrow" w:hAnsi="Arial Narrow" w:cs="Arial"/>
                <w:color w:val="000000" w:themeColor="dark1"/>
                <w:kern w:val="24"/>
                <w:szCs w:val="20"/>
              </w:rPr>
              <w:t>the consumer sensitivity is adjusted when markets are considered mature and customer primary focus is measure cost effectiveness</w:t>
            </w:r>
          </w:p>
        </w:tc>
      </w:tr>
      <w:tr w:rsidR="001513FB" w:rsidRPr="001513FB" w14:paraId="5D83CDEF" w14:textId="77777777" w:rsidTr="00F6638A">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440" w:type="dxa"/>
            <w:vMerge/>
            <w:hideMark/>
          </w:tcPr>
          <w:p w14:paraId="388C46B0" w14:textId="77777777" w:rsidR="001513FB" w:rsidRPr="001513FB" w:rsidRDefault="001513FB" w:rsidP="00D351A9">
            <w:pPr>
              <w:spacing w:line="240" w:lineRule="auto"/>
              <w:jc w:val="left"/>
              <w:rPr>
                <w:rFonts w:ascii="Arial Narrow" w:hAnsi="Arial Narrow" w:cs="Arial"/>
                <w:szCs w:val="20"/>
              </w:rPr>
            </w:pPr>
          </w:p>
        </w:tc>
        <w:tc>
          <w:tcPr>
            <w:tcW w:w="2160" w:type="dxa"/>
            <w:hideMark/>
          </w:tcPr>
          <w:p w14:paraId="7880AF7E" w14:textId="77777777" w:rsidR="001513FB" w:rsidRPr="001513FB" w:rsidRDefault="001513FB" w:rsidP="00D351A9">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1513FB">
              <w:rPr>
                <w:rFonts w:ascii="Arial Narrow" w:hAnsi="Arial Narrow" w:cs="Arial"/>
                <w:kern w:val="24"/>
                <w:szCs w:val="20"/>
              </w:rPr>
              <w:t>Incentive levels</w:t>
            </w:r>
          </w:p>
        </w:tc>
        <w:tc>
          <w:tcPr>
            <w:tcW w:w="4680" w:type="dxa"/>
            <w:hideMark/>
          </w:tcPr>
          <w:p w14:paraId="7BD961A4" w14:textId="77777777" w:rsidR="001513FB" w:rsidRPr="001513FB" w:rsidRDefault="001513FB" w:rsidP="00D351A9">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1513FB">
              <w:rPr>
                <w:rFonts w:ascii="Arial Narrow" w:hAnsi="Arial Narrow" w:cs="Arial"/>
                <w:color w:val="000000" w:themeColor="dark1"/>
                <w:kern w:val="24"/>
                <w:szCs w:val="20"/>
              </w:rPr>
              <w:t>Spending and savings are sensitive to incentive levels, so changes in incentive levels by small increments are explored.</w:t>
            </w:r>
          </w:p>
        </w:tc>
      </w:tr>
    </w:tbl>
    <w:p w14:paraId="24801F52" w14:textId="77777777" w:rsidR="001513FB" w:rsidRPr="002A012E" w:rsidRDefault="001513FB" w:rsidP="00FC3873"/>
    <w:p w14:paraId="623E49EE" w14:textId="77777777" w:rsidR="00FC3873" w:rsidRPr="002A012E" w:rsidRDefault="00FC3873" w:rsidP="00FC3873">
      <w:r w:rsidRPr="002A012E">
        <w:t xml:space="preserve">Parameters are adjusted to fit historic observations during the calibration period. Then the parameters are applied to the forecast period, which begins in the year of most recent density data vintage. Calibrating parameters up and down can have different effects in a dynamic model depending on the initial saturation (i.e., density) data. For example, calibrating up can increase both historic and future adoption if the initial saturation is low. If initial saturation is high, then calibrating up can increase past adoption in the model, leaving less for future years. </w:t>
      </w:r>
    </w:p>
    <w:p w14:paraId="0AA711B2" w14:textId="77777777" w:rsidR="00FC3873" w:rsidRPr="002A012E" w:rsidRDefault="00FC3873" w:rsidP="00FC3873"/>
    <w:p w14:paraId="465E9229" w14:textId="77777777" w:rsidR="00146A54" w:rsidRDefault="00FC3873" w:rsidP="002F0833">
      <w:r w:rsidRPr="002A012E">
        <w:t>Once the consumer preference parameters are calibrated, t</w:t>
      </w:r>
      <w:r w:rsidR="00D351A9">
        <w:t>he model forecast begins in 2016</w:t>
      </w:r>
      <w:r w:rsidRPr="002A012E">
        <w:t xml:space="preserve"> by applying known market saturation data of that same vintage. Forecasts indicate the saturation of measures over time under the expected IOU future program influences.</w:t>
      </w:r>
    </w:p>
    <w:p w14:paraId="351A0716" w14:textId="77777777" w:rsidR="0004676E" w:rsidRDefault="0004676E" w:rsidP="002F0833"/>
    <w:p w14:paraId="428EA8D0" w14:textId="77777777" w:rsidR="0004676E" w:rsidRDefault="0004676E" w:rsidP="002F0833"/>
    <w:p w14:paraId="75EF1AE3" w14:textId="77777777" w:rsidR="0004676E" w:rsidRDefault="0004676E" w:rsidP="002F0833"/>
    <w:p w14:paraId="70E762CF" w14:textId="77777777" w:rsidR="0004676E" w:rsidRDefault="0004676E" w:rsidP="002F0833"/>
    <w:p w14:paraId="77C69236" w14:textId="77777777" w:rsidR="0004676E" w:rsidRDefault="0004676E" w:rsidP="002F0833"/>
    <w:p w14:paraId="17E41AEE" w14:textId="77777777" w:rsidR="0004676E" w:rsidRDefault="0004676E" w:rsidP="002F0833"/>
    <w:p w14:paraId="24E9D2F0" w14:textId="77777777" w:rsidR="0004676E" w:rsidRDefault="0004676E" w:rsidP="002F0833"/>
    <w:p w14:paraId="394DF6B0" w14:textId="77777777" w:rsidR="0004676E" w:rsidRDefault="0004676E" w:rsidP="002F0833"/>
    <w:p w14:paraId="7EFD8BEF" w14:textId="77777777" w:rsidR="0004676E" w:rsidRDefault="0004676E" w:rsidP="002F0833"/>
    <w:p w14:paraId="5FEE5366" w14:textId="77777777" w:rsidR="0004676E" w:rsidRDefault="0004676E" w:rsidP="0004676E">
      <w:pPr>
        <w:pStyle w:val="Heading5"/>
      </w:pPr>
      <w:bookmarkStart w:id="995" w:name="_Ref490217212"/>
      <w:bookmarkStart w:id="996" w:name="_Toc490225827"/>
      <w:r>
        <w:lastRenderedPageBreak/>
        <w:t>Technical, Economic and Cumulative Market Potential for Equipment Rebate Programs</w:t>
      </w:r>
      <w:bookmarkEnd w:id="995"/>
      <w:bookmarkEnd w:id="996"/>
    </w:p>
    <w:p w14:paraId="55024865" w14:textId="77777777" w:rsidR="0004676E" w:rsidRPr="0004676E" w:rsidRDefault="00A322A2" w:rsidP="0004676E">
      <w:pPr>
        <w:jc w:val="both"/>
      </w:pPr>
      <w:r>
        <w:t>Figure B-1 through Figure B-10 below</w:t>
      </w:r>
      <w:r w:rsidR="0004676E" w:rsidRPr="0004676E">
        <w:t xml:space="preserve"> illustrate the statewide technical, economic and cumulative market potential from IOU equipment rebates for electric (GWh) and gas (MMTherms) respectively</w:t>
      </w:r>
      <w:r w:rsidR="0040202B">
        <w:t xml:space="preserve"> for each scenario</w:t>
      </w:r>
      <w:r w:rsidR="0004676E" w:rsidRPr="0004676E">
        <w:t>. These graphs do not show IOU claimable savings from behavior, low income or C&amp;S advocacy programs</w:t>
      </w:r>
      <w:r w:rsidR="0040202B">
        <w:t xml:space="preserve"> as the</w:t>
      </w:r>
      <w:r w:rsidR="0004676E" w:rsidRPr="0004676E">
        <w:t xml:space="preserve"> technical and economic potential for these sources are undefined. </w:t>
      </w:r>
      <w:r w:rsidR="0040202B">
        <w:t>Only Scenario 5 (PAC Aggressive)</w:t>
      </w:r>
      <w:r w:rsidR="0004676E" w:rsidRPr="0004676E">
        <w:t xml:space="preserve"> </w:t>
      </w:r>
      <w:r w:rsidR="0040202B">
        <w:t>includes</w:t>
      </w:r>
      <w:r w:rsidR="0004676E" w:rsidRPr="0004676E">
        <w:t xml:space="preserve"> the effects of energy efficiency financing. The cumulative market potential line is based on an accumulation start year of 2015 to match the needs of tracking towards SB350.</w:t>
      </w:r>
    </w:p>
    <w:p w14:paraId="53A02A73" w14:textId="77777777" w:rsidR="0004676E" w:rsidRPr="0004676E" w:rsidRDefault="0004676E" w:rsidP="0004676E">
      <w:pPr>
        <w:jc w:val="both"/>
      </w:pPr>
    </w:p>
    <w:p w14:paraId="42895CDD" w14:textId="77777777" w:rsidR="0004676E" w:rsidRPr="0004676E" w:rsidRDefault="0004676E" w:rsidP="0004676E">
      <w:pPr>
        <w:jc w:val="both"/>
      </w:pPr>
      <w:r w:rsidRPr="0004676E">
        <w:t xml:space="preserve">The technical potential is based on instantaneous potential, which is defined as the amount of energy savings that would be possible if the highest level of efficiency for all technically applicable opportunities to improve energy efficiency were taken. It does not account for equipment stock turnover. The economic potential shown in the graph is a subset of technical potential that is cost-effective under the </w:t>
      </w:r>
      <w:r w:rsidR="0040202B">
        <w:t>relevant screening</w:t>
      </w:r>
      <w:r w:rsidRPr="0004676E">
        <w:t xml:space="preserve"> test</w:t>
      </w:r>
      <w:r w:rsidR="0040202B">
        <w:t xml:space="preserve"> in each scenario</w:t>
      </w:r>
      <w:r w:rsidRPr="0004676E">
        <w:t>. Both the technical and economic potential lines grow steadily over time to reflect stock growth</w:t>
      </w:r>
      <w:r w:rsidR="0040202B">
        <w:t xml:space="preserve"> across all scenarios.</w:t>
      </w:r>
    </w:p>
    <w:p w14:paraId="2ABC5105" w14:textId="77777777" w:rsidR="0004676E" w:rsidRPr="0004676E" w:rsidRDefault="0004676E" w:rsidP="0004676E">
      <w:pPr>
        <w:jc w:val="both"/>
      </w:pPr>
    </w:p>
    <w:p w14:paraId="157CF247" w14:textId="77777777" w:rsidR="0004676E" w:rsidRPr="0004676E" w:rsidRDefault="0004676E" w:rsidP="0004676E">
      <w:pPr>
        <w:jc w:val="both"/>
      </w:pPr>
      <w:r w:rsidRPr="0004676E">
        <w:t xml:space="preserve">The large gap between the economic and technical potential on </w:t>
      </w:r>
      <w:r w:rsidR="0040202B">
        <w:t>the</w:t>
      </w:r>
      <w:r w:rsidRPr="0004676E">
        <w:t xml:space="preserve"> graphs </w:t>
      </w:r>
      <w:r w:rsidR="0040202B">
        <w:t>for Scenario 1 (TRC Reference)</w:t>
      </w:r>
      <w:r w:rsidRPr="0004676E">
        <w:t xml:space="preserve"> reflects that a significant number of measures are not cost-effective. A key driver for this is the 2016 avoided cost update, which produced avoided costs that are lower than in previous studies. </w:t>
      </w:r>
      <w:r w:rsidR="0040202B">
        <w:t>This gap becomes smaller as the cost test used to screen measures becomes less stringent for electric savings. This gap is smallest in Scenario 2 (mTRC w/ GHG Adder 2) for gas savings as the adder is applied uniformly to all gas measures. On the other hand, the impact of the adder on electric measures is loadshape-dependent, which means the benefits of the GHG adder vary by time of day and season.</w:t>
      </w:r>
    </w:p>
    <w:p w14:paraId="75674FE0" w14:textId="77777777" w:rsidR="0004676E" w:rsidRPr="0004676E" w:rsidRDefault="0004676E" w:rsidP="0004676E">
      <w:pPr>
        <w:jc w:val="both"/>
      </w:pPr>
    </w:p>
    <w:p w14:paraId="17704C86" w14:textId="77777777" w:rsidR="0004676E" w:rsidRPr="0004676E" w:rsidRDefault="0004676E" w:rsidP="0004676E">
      <w:pPr>
        <w:jc w:val="both"/>
      </w:pPr>
      <w:r w:rsidRPr="0004676E">
        <w:t xml:space="preserve">The electric cumulative market potential </w:t>
      </w:r>
      <w:r w:rsidR="0040202B">
        <w:t xml:space="preserve">generally </w:t>
      </w:r>
      <w:r w:rsidRPr="0004676E">
        <w:t>grows at a steady pace between 2018 and 2021, after which it ramps up out to 2030</w:t>
      </w:r>
      <w:r w:rsidR="0040202B">
        <w:t xml:space="preserve"> across all scenarios.</w:t>
      </w:r>
      <w:r w:rsidRPr="0004676E">
        <w:t xml:space="preserve"> Savings from LEDs are expected to grow significantly during this time. Since overall potential is generally dominated by lighting measures, the growth in the LED market drives the cumulative market potential. </w:t>
      </w:r>
    </w:p>
    <w:p w14:paraId="4A3465CE" w14:textId="77777777" w:rsidR="0004676E" w:rsidRPr="0004676E" w:rsidRDefault="0004676E" w:rsidP="0004676E">
      <w:pPr>
        <w:jc w:val="both"/>
      </w:pPr>
    </w:p>
    <w:p w14:paraId="5732615B" w14:textId="77777777" w:rsidR="0004676E" w:rsidRDefault="0004676E" w:rsidP="0004676E">
      <w:pPr>
        <w:jc w:val="both"/>
      </w:pPr>
      <w:r w:rsidRPr="0004676E">
        <w:t xml:space="preserve">Additional versions of </w:t>
      </w:r>
      <w:r w:rsidR="0040202B">
        <w:t>these figures</w:t>
      </w:r>
      <w:r w:rsidRPr="0004676E">
        <w:t xml:space="preserve"> including demand savings and savings as a percent of consumption are available for each utility and all scenarios in the results viewer under the tab “Tech, Econ and Market Potential”</w:t>
      </w:r>
    </w:p>
    <w:p w14:paraId="42CDD1E0" w14:textId="77777777" w:rsidR="0004676E" w:rsidRDefault="0004676E" w:rsidP="0004676E">
      <w:pPr>
        <w:jc w:val="both"/>
      </w:pPr>
    </w:p>
    <w:p w14:paraId="6CF954D7" w14:textId="77777777" w:rsidR="00BF37AB" w:rsidRPr="00BF37AB" w:rsidRDefault="00BF37AB" w:rsidP="00BF37AB">
      <w:pPr>
        <w:pStyle w:val="Caption"/>
        <w:rPr>
          <w:highlight w:val="yellow"/>
        </w:rPr>
      </w:pPr>
      <w:r w:rsidRPr="00BF37AB">
        <w:lastRenderedPageBreak/>
        <w:t xml:space="preserve"> </w:t>
      </w:r>
      <w:bookmarkStart w:id="997" w:name="_Toc490561156"/>
      <w:r w:rsidRPr="00323BFA">
        <w:t xml:space="preserve">Figure </w:t>
      </w:r>
      <w:fldSimple w:instr=" STYLEREF 5 \s ">
        <w:r w:rsidR="007566B9">
          <w:rPr>
            <w:noProof/>
          </w:rPr>
          <w:t>B</w:t>
        </w:r>
      </w:fldSimple>
      <w:r w:rsidRPr="00323BFA">
        <w:noBreakHyphen/>
      </w:r>
      <w:fldSimple w:instr=" SEQ Figure_Apx \* ARABIC \s 5 ">
        <w:r w:rsidR="007566B9">
          <w:rPr>
            <w:noProof/>
          </w:rPr>
          <w:t>1</w:t>
        </w:r>
      </w:fldSimple>
      <w:r w:rsidRPr="00BF37AB">
        <w:t>. Statewide Technical, Economic and Cumulative Electric Market Potential for Equipment Rebate Programs in Scenario 1 (TRC Reference)</w:t>
      </w:r>
      <w:bookmarkEnd w:id="997"/>
    </w:p>
    <w:p w14:paraId="3438AD79" w14:textId="77777777" w:rsidR="0004676E" w:rsidRDefault="004E6AA2" w:rsidP="00BF37AB">
      <w:pPr>
        <w:pStyle w:val="Caption"/>
      </w:pPr>
      <w:r>
        <w:rPr>
          <w:noProof/>
        </w:rPr>
        <w:drawing>
          <wp:inline distT="0" distB="0" distL="0" distR="0" wp14:anchorId="0F07335E" wp14:editId="224A4CBB">
            <wp:extent cx="3639312" cy="3227832"/>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639312" cy="3227832"/>
                    </a:xfrm>
                    <a:prstGeom prst="rect">
                      <a:avLst/>
                    </a:prstGeom>
                    <a:noFill/>
                  </pic:spPr>
                </pic:pic>
              </a:graphicData>
            </a:graphic>
          </wp:inline>
        </w:drawing>
      </w:r>
    </w:p>
    <w:p w14:paraId="7D63CE0D" w14:textId="77777777" w:rsidR="004E6AA2" w:rsidRDefault="00BF37AB" w:rsidP="00BF37AB">
      <w:pPr>
        <w:pStyle w:val="Caption"/>
      </w:pPr>
      <w:bookmarkStart w:id="998" w:name="_Toc490561157"/>
      <w:r w:rsidRPr="00BF37AB">
        <w:t xml:space="preserve">Figure </w:t>
      </w:r>
      <w:fldSimple w:instr=" STYLEREF 5 \s ">
        <w:r w:rsidR="007566B9">
          <w:rPr>
            <w:noProof/>
          </w:rPr>
          <w:t>B</w:t>
        </w:r>
      </w:fldSimple>
      <w:r w:rsidRPr="00BF37AB">
        <w:noBreakHyphen/>
      </w:r>
      <w:fldSimple w:instr=" SEQ Figure_Apx \* ARABIC \s 5 ">
        <w:r w:rsidR="007566B9">
          <w:rPr>
            <w:noProof/>
          </w:rPr>
          <w:t>2</w:t>
        </w:r>
      </w:fldSimple>
      <w:r w:rsidRPr="00BF37AB">
        <w:t xml:space="preserve">. Statewide Technical, Economic and Cumulative Electric Market Potential for Equipment Rebate Programs in Scenario </w:t>
      </w:r>
      <w:r w:rsidR="00A322A2">
        <w:t>2 (mTRC w/ GHG Adder 1</w:t>
      </w:r>
      <w:r w:rsidRPr="00BF37AB">
        <w:t>)</w:t>
      </w:r>
      <w:bookmarkEnd w:id="998"/>
    </w:p>
    <w:p w14:paraId="78E4B36B" w14:textId="77777777" w:rsidR="0004676E" w:rsidRDefault="004E6AA2" w:rsidP="0004676E">
      <w:pPr>
        <w:jc w:val="center"/>
      </w:pPr>
      <w:r>
        <w:rPr>
          <w:noProof/>
        </w:rPr>
        <w:drawing>
          <wp:inline distT="0" distB="0" distL="0" distR="0" wp14:anchorId="176E6286" wp14:editId="00C67830">
            <wp:extent cx="3636903" cy="3227832"/>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636903" cy="3227832"/>
                    </a:xfrm>
                    <a:prstGeom prst="rect">
                      <a:avLst/>
                    </a:prstGeom>
                    <a:noFill/>
                  </pic:spPr>
                </pic:pic>
              </a:graphicData>
            </a:graphic>
          </wp:inline>
        </w:drawing>
      </w:r>
    </w:p>
    <w:p w14:paraId="78C402E2" w14:textId="77777777" w:rsidR="004E6AA2" w:rsidRDefault="004E6AA2" w:rsidP="0004676E">
      <w:pPr>
        <w:jc w:val="center"/>
      </w:pPr>
    </w:p>
    <w:p w14:paraId="12AF916A" w14:textId="77777777" w:rsidR="00851BC9" w:rsidRDefault="00851BC9" w:rsidP="0004676E">
      <w:pPr>
        <w:jc w:val="center"/>
      </w:pPr>
    </w:p>
    <w:p w14:paraId="746A45FA" w14:textId="77777777" w:rsidR="00851BC9" w:rsidRDefault="00851BC9" w:rsidP="0004676E">
      <w:pPr>
        <w:jc w:val="center"/>
      </w:pPr>
    </w:p>
    <w:p w14:paraId="2C0B8A0C" w14:textId="77777777" w:rsidR="00851BC9" w:rsidRDefault="00851BC9" w:rsidP="00851BC9">
      <w:pPr>
        <w:pStyle w:val="Caption"/>
      </w:pPr>
      <w:bookmarkStart w:id="999" w:name="_Toc490561158"/>
      <w:r w:rsidRPr="00BF37AB">
        <w:lastRenderedPageBreak/>
        <w:t xml:space="preserve">Figure </w:t>
      </w:r>
      <w:fldSimple w:instr=" STYLEREF 5 \s ">
        <w:r w:rsidR="007566B9">
          <w:rPr>
            <w:noProof/>
          </w:rPr>
          <w:t>B</w:t>
        </w:r>
      </w:fldSimple>
      <w:r w:rsidRPr="00BF37AB">
        <w:noBreakHyphen/>
      </w:r>
      <w:fldSimple w:instr=" SEQ Figure_Apx \* ARABIC \s 5 ">
        <w:r w:rsidR="007566B9">
          <w:rPr>
            <w:noProof/>
          </w:rPr>
          <w:t>3</w:t>
        </w:r>
      </w:fldSimple>
      <w:r w:rsidRPr="00BF37AB">
        <w:t xml:space="preserve">. Statewide Technical, Economic and Cumulative Electric Market Potential for Equipment Rebate Programs in Scenario </w:t>
      </w:r>
      <w:r w:rsidR="00A322A2">
        <w:t>3</w:t>
      </w:r>
      <w:r w:rsidRPr="00BF37AB">
        <w:t xml:space="preserve"> (</w:t>
      </w:r>
      <w:r w:rsidR="00A322A2">
        <w:t>mTRC w/ GHG Adder 2</w:t>
      </w:r>
      <w:r w:rsidRPr="00BF37AB">
        <w:t>)</w:t>
      </w:r>
      <w:bookmarkEnd w:id="999"/>
    </w:p>
    <w:p w14:paraId="51BBBC82" w14:textId="77777777" w:rsidR="004E6AA2" w:rsidRDefault="004E6AA2" w:rsidP="0004676E">
      <w:pPr>
        <w:jc w:val="center"/>
      </w:pPr>
      <w:r>
        <w:rPr>
          <w:noProof/>
        </w:rPr>
        <w:drawing>
          <wp:inline distT="0" distB="0" distL="0" distR="0" wp14:anchorId="58FD842E" wp14:editId="10C4C224">
            <wp:extent cx="3636903" cy="3227832"/>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636903" cy="3227832"/>
                    </a:xfrm>
                    <a:prstGeom prst="rect">
                      <a:avLst/>
                    </a:prstGeom>
                    <a:noFill/>
                  </pic:spPr>
                </pic:pic>
              </a:graphicData>
            </a:graphic>
          </wp:inline>
        </w:drawing>
      </w:r>
    </w:p>
    <w:p w14:paraId="2A3BB260" w14:textId="77777777" w:rsidR="00A322A2" w:rsidRDefault="00A322A2" w:rsidP="0004676E">
      <w:pPr>
        <w:jc w:val="center"/>
      </w:pPr>
    </w:p>
    <w:p w14:paraId="4F36DCF9" w14:textId="77777777" w:rsidR="00A322A2" w:rsidRDefault="00A322A2" w:rsidP="00A322A2">
      <w:pPr>
        <w:pStyle w:val="Caption"/>
      </w:pPr>
      <w:bookmarkStart w:id="1000" w:name="_Toc490561159"/>
      <w:r w:rsidRPr="00BF37AB">
        <w:t xml:space="preserve">Figure </w:t>
      </w:r>
      <w:fldSimple w:instr=" STYLEREF 5 \s ">
        <w:r w:rsidR="007566B9">
          <w:rPr>
            <w:noProof/>
          </w:rPr>
          <w:t>B</w:t>
        </w:r>
      </w:fldSimple>
      <w:r w:rsidRPr="00BF37AB">
        <w:noBreakHyphen/>
      </w:r>
      <w:fldSimple w:instr=" SEQ Figure_Apx \* ARABIC \s 5 ">
        <w:r w:rsidR="007566B9">
          <w:rPr>
            <w:noProof/>
          </w:rPr>
          <w:t>4</w:t>
        </w:r>
      </w:fldSimple>
      <w:r w:rsidRPr="00BF37AB">
        <w:t xml:space="preserve">. Statewide Technical, Economic and Cumulative Electric Market Potential for Equipment Rebate Programs in Scenario </w:t>
      </w:r>
      <w:r>
        <w:t>4</w:t>
      </w:r>
      <w:r w:rsidRPr="00BF37AB">
        <w:t xml:space="preserve"> (</w:t>
      </w:r>
      <w:r>
        <w:t>PAC Reference</w:t>
      </w:r>
      <w:r w:rsidRPr="00BF37AB">
        <w:t>)</w:t>
      </w:r>
      <w:bookmarkEnd w:id="1000"/>
    </w:p>
    <w:p w14:paraId="06C81CF8" w14:textId="77777777" w:rsidR="004E6AA2" w:rsidRDefault="004E6AA2" w:rsidP="0004676E">
      <w:pPr>
        <w:jc w:val="center"/>
      </w:pPr>
    </w:p>
    <w:p w14:paraId="460C07C5" w14:textId="77777777" w:rsidR="004E6AA2" w:rsidRDefault="004E6AA2" w:rsidP="0004676E">
      <w:pPr>
        <w:jc w:val="center"/>
      </w:pPr>
      <w:r>
        <w:rPr>
          <w:noProof/>
        </w:rPr>
        <w:drawing>
          <wp:inline distT="0" distB="0" distL="0" distR="0" wp14:anchorId="67588D75" wp14:editId="4B37AC0D">
            <wp:extent cx="3636903" cy="3227832"/>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636903" cy="3227832"/>
                    </a:xfrm>
                    <a:prstGeom prst="rect">
                      <a:avLst/>
                    </a:prstGeom>
                    <a:noFill/>
                  </pic:spPr>
                </pic:pic>
              </a:graphicData>
            </a:graphic>
          </wp:inline>
        </w:drawing>
      </w:r>
    </w:p>
    <w:p w14:paraId="5692FAD0" w14:textId="77777777" w:rsidR="004E6AA2" w:rsidRDefault="004E6AA2" w:rsidP="0004676E">
      <w:pPr>
        <w:jc w:val="center"/>
      </w:pPr>
    </w:p>
    <w:p w14:paraId="5FACED21" w14:textId="77777777" w:rsidR="004E6AA2" w:rsidRDefault="00A322A2" w:rsidP="00A322A2">
      <w:pPr>
        <w:pStyle w:val="Caption"/>
      </w:pPr>
      <w:bookmarkStart w:id="1001" w:name="_Toc490561160"/>
      <w:r w:rsidRPr="00BF37AB">
        <w:lastRenderedPageBreak/>
        <w:t xml:space="preserve">Figure </w:t>
      </w:r>
      <w:fldSimple w:instr=" STYLEREF 5 \s ">
        <w:r w:rsidR="007566B9">
          <w:rPr>
            <w:noProof/>
          </w:rPr>
          <w:t>B</w:t>
        </w:r>
      </w:fldSimple>
      <w:r w:rsidRPr="00BF37AB">
        <w:noBreakHyphen/>
      </w:r>
      <w:fldSimple w:instr=" SEQ Figure_Apx \* ARABIC \s 5 ">
        <w:r w:rsidR="007566B9">
          <w:rPr>
            <w:noProof/>
          </w:rPr>
          <w:t>5</w:t>
        </w:r>
      </w:fldSimple>
      <w:r w:rsidRPr="00BF37AB">
        <w:t xml:space="preserve">. Statewide Technical, Economic and Cumulative Electric Market Potential for Equipment Rebate Programs in Scenario </w:t>
      </w:r>
      <w:r>
        <w:t>5</w:t>
      </w:r>
      <w:r w:rsidRPr="00BF37AB">
        <w:t xml:space="preserve"> (</w:t>
      </w:r>
      <w:r>
        <w:t>PAC aggressive</w:t>
      </w:r>
      <w:r w:rsidRPr="00BF37AB">
        <w:t>)</w:t>
      </w:r>
      <w:bookmarkEnd w:id="1001"/>
    </w:p>
    <w:p w14:paraId="0811F697" w14:textId="77777777" w:rsidR="004E6AA2" w:rsidRDefault="004E6AA2" w:rsidP="0004676E">
      <w:pPr>
        <w:jc w:val="center"/>
      </w:pPr>
      <w:r>
        <w:rPr>
          <w:noProof/>
        </w:rPr>
        <w:drawing>
          <wp:inline distT="0" distB="0" distL="0" distR="0" wp14:anchorId="31D053CD" wp14:editId="202BBA96">
            <wp:extent cx="3636903" cy="3227832"/>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636903" cy="3227832"/>
                    </a:xfrm>
                    <a:prstGeom prst="rect">
                      <a:avLst/>
                    </a:prstGeom>
                    <a:noFill/>
                  </pic:spPr>
                </pic:pic>
              </a:graphicData>
            </a:graphic>
          </wp:inline>
        </w:drawing>
      </w:r>
    </w:p>
    <w:p w14:paraId="342DAC0A" w14:textId="77777777" w:rsidR="00A322A2" w:rsidRDefault="00A322A2" w:rsidP="0004676E">
      <w:pPr>
        <w:jc w:val="center"/>
      </w:pPr>
    </w:p>
    <w:p w14:paraId="572DC36A" w14:textId="77777777" w:rsidR="00A322A2" w:rsidRDefault="00A322A2" w:rsidP="00A322A2">
      <w:pPr>
        <w:pStyle w:val="Caption"/>
      </w:pPr>
      <w:bookmarkStart w:id="1002" w:name="_Toc490561161"/>
      <w:r w:rsidRPr="00BF37AB">
        <w:t xml:space="preserve">Figure </w:t>
      </w:r>
      <w:fldSimple w:instr=" STYLEREF 5 \s ">
        <w:r w:rsidR="007566B9">
          <w:rPr>
            <w:noProof/>
          </w:rPr>
          <w:t>B</w:t>
        </w:r>
      </w:fldSimple>
      <w:r w:rsidRPr="00BF37AB">
        <w:noBreakHyphen/>
      </w:r>
      <w:fldSimple w:instr=" SEQ Figure_Apx \* ARABIC \s 5 ">
        <w:r w:rsidR="007566B9">
          <w:rPr>
            <w:noProof/>
          </w:rPr>
          <w:t>6</w:t>
        </w:r>
      </w:fldSimple>
      <w:r w:rsidRPr="00BF37AB">
        <w:t xml:space="preserve">. Statewide Technical, Economic and Cumulative </w:t>
      </w:r>
      <w:r>
        <w:t>Gas</w:t>
      </w:r>
      <w:r w:rsidRPr="00BF37AB">
        <w:t xml:space="preserve"> Market Potential for Equipment Rebate Programs in Scenario 1 (TRC Reference)</w:t>
      </w:r>
      <w:bookmarkEnd w:id="1002"/>
    </w:p>
    <w:p w14:paraId="11AE93CD" w14:textId="77777777" w:rsidR="0004676E" w:rsidRDefault="0004676E" w:rsidP="0004676E">
      <w:pPr>
        <w:jc w:val="center"/>
      </w:pPr>
    </w:p>
    <w:p w14:paraId="7168CE3A" w14:textId="77777777" w:rsidR="0004676E" w:rsidRDefault="004919BB" w:rsidP="004919BB">
      <w:pPr>
        <w:jc w:val="center"/>
      </w:pPr>
      <w:r>
        <w:rPr>
          <w:noProof/>
        </w:rPr>
        <w:drawing>
          <wp:inline distT="0" distB="0" distL="0" distR="0" wp14:anchorId="48A1E189" wp14:editId="055624D5">
            <wp:extent cx="3949585" cy="322783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949585" cy="3227832"/>
                    </a:xfrm>
                    <a:prstGeom prst="rect">
                      <a:avLst/>
                    </a:prstGeom>
                    <a:noFill/>
                  </pic:spPr>
                </pic:pic>
              </a:graphicData>
            </a:graphic>
          </wp:inline>
        </w:drawing>
      </w:r>
    </w:p>
    <w:p w14:paraId="5CBC6E18" w14:textId="77777777" w:rsidR="00A322A2" w:rsidRDefault="00A322A2" w:rsidP="004919BB">
      <w:pPr>
        <w:jc w:val="center"/>
      </w:pPr>
    </w:p>
    <w:p w14:paraId="43D885A1" w14:textId="77777777" w:rsidR="0004676E" w:rsidRDefault="00A322A2" w:rsidP="00A322A2">
      <w:pPr>
        <w:pStyle w:val="Caption"/>
      </w:pPr>
      <w:bookmarkStart w:id="1003" w:name="_Toc490561162"/>
      <w:r w:rsidRPr="00BF37AB">
        <w:lastRenderedPageBreak/>
        <w:t xml:space="preserve">Figure </w:t>
      </w:r>
      <w:fldSimple w:instr=" STYLEREF 5 \s ">
        <w:r w:rsidR="007566B9">
          <w:rPr>
            <w:noProof/>
          </w:rPr>
          <w:t>B</w:t>
        </w:r>
      </w:fldSimple>
      <w:r w:rsidRPr="00BF37AB">
        <w:noBreakHyphen/>
      </w:r>
      <w:fldSimple w:instr=" SEQ Figure_Apx \* ARABIC \s 5 ">
        <w:r w:rsidR="007566B9">
          <w:rPr>
            <w:noProof/>
          </w:rPr>
          <w:t>7</w:t>
        </w:r>
      </w:fldSimple>
      <w:r w:rsidRPr="00BF37AB">
        <w:t xml:space="preserve">. </w:t>
      </w:r>
      <w:r w:rsidRPr="00BF37AB">
        <w:rPr>
          <w:b w:val="0"/>
          <w:bCs w:val="0"/>
        </w:rPr>
        <w:t xml:space="preserve">Statewide Technical, Economic and Cumulative </w:t>
      </w:r>
      <w:r>
        <w:t>Gas</w:t>
      </w:r>
      <w:r w:rsidRPr="00BF37AB">
        <w:rPr>
          <w:b w:val="0"/>
          <w:bCs w:val="0"/>
        </w:rPr>
        <w:t xml:space="preserve"> Market Potential</w:t>
      </w:r>
      <w:r w:rsidR="0004676E" w:rsidRPr="00156E54" w:rsidDel="00E46BE0">
        <w:t xml:space="preserve"> for </w:t>
      </w:r>
      <w:r w:rsidRPr="00BF37AB">
        <w:t xml:space="preserve">Equipment Rebate Programs in Scenario </w:t>
      </w:r>
      <w:r>
        <w:t>2 (mTRC w/ GHG Adder 1</w:t>
      </w:r>
      <w:r w:rsidRPr="00BF37AB">
        <w:t>)</w:t>
      </w:r>
      <w:bookmarkEnd w:id="1003"/>
    </w:p>
    <w:p w14:paraId="648B5571" w14:textId="77777777" w:rsidR="0004676E" w:rsidRDefault="004919BB" w:rsidP="004919BB">
      <w:pPr>
        <w:jc w:val="center"/>
      </w:pPr>
      <w:r>
        <w:rPr>
          <w:noProof/>
        </w:rPr>
        <w:drawing>
          <wp:inline distT="0" distB="0" distL="0" distR="0" wp14:anchorId="54CFAD9C" wp14:editId="3E441649">
            <wp:extent cx="3949586" cy="322783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949586" cy="3227832"/>
                    </a:xfrm>
                    <a:prstGeom prst="rect">
                      <a:avLst/>
                    </a:prstGeom>
                    <a:noFill/>
                  </pic:spPr>
                </pic:pic>
              </a:graphicData>
            </a:graphic>
          </wp:inline>
        </w:drawing>
      </w:r>
    </w:p>
    <w:p w14:paraId="5059B5BA" w14:textId="77777777" w:rsidR="0004676E" w:rsidRDefault="0004676E" w:rsidP="002F0833"/>
    <w:p w14:paraId="1C9D8D12" w14:textId="77777777" w:rsidR="0004676E" w:rsidRDefault="00A322A2" w:rsidP="00A322A2">
      <w:pPr>
        <w:jc w:val="center"/>
      </w:pPr>
      <w:bookmarkStart w:id="1004" w:name="_Toc490561163"/>
      <w:r w:rsidRPr="00A322A2">
        <w:t xml:space="preserve">Figure </w:t>
      </w:r>
      <w:fldSimple w:instr=" STYLEREF 5 \s ">
        <w:r w:rsidR="007566B9">
          <w:rPr>
            <w:noProof/>
          </w:rPr>
          <w:t>B</w:t>
        </w:r>
      </w:fldSimple>
      <w:r w:rsidRPr="00A322A2">
        <w:noBreakHyphen/>
      </w:r>
      <w:fldSimple w:instr=" SEQ Figure_Apx \* ARABIC \s 5 ">
        <w:r w:rsidR="007566B9">
          <w:rPr>
            <w:noProof/>
          </w:rPr>
          <w:t>8</w:t>
        </w:r>
      </w:fldSimple>
      <w:r w:rsidRPr="00A322A2">
        <w:t xml:space="preserve">. </w:t>
      </w:r>
      <w:r w:rsidRPr="00A322A2">
        <w:rPr>
          <w:color w:val="3F4042"/>
          <w:szCs w:val="20"/>
        </w:rPr>
        <w:t xml:space="preserve">Statewide Technical, Economic and Cumulative </w:t>
      </w:r>
      <w:r w:rsidRPr="00A322A2">
        <w:t>Gas</w:t>
      </w:r>
      <w:r w:rsidRPr="00A322A2">
        <w:rPr>
          <w:color w:val="3F4042"/>
          <w:szCs w:val="20"/>
        </w:rPr>
        <w:t xml:space="preserve"> Market Potential</w:t>
      </w:r>
      <w:r w:rsidRPr="00A322A2">
        <w:t xml:space="preserve"> for Equipment Rebate Programs in Scenario </w:t>
      </w:r>
      <w:r>
        <w:t>3</w:t>
      </w:r>
      <w:r w:rsidRPr="00A322A2">
        <w:t xml:space="preserve"> (</w:t>
      </w:r>
      <w:r>
        <w:t>mTRC w/ GHG Adder 2</w:t>
      </w:r>
      <w:r w:rsidRPr="00A322A2">
        <w:t>)</w:t>
      </w:r>
      <w:bookmarkEnd w:id="1004"/>
    </w:p>
    <w:p w14:paraId="63399F9D" w14:textId="77777777" w:rsidR="0004676E" w:rsidRDefault="004919BB" w:rsidP="004919BB">
      <w:pPr>
        <w:jc w:val="center"/>
      </w:pPr>
      <w:r>
        <w:rPr>
          <w:noProof/>
        </w:rPr>
        <w:drawing>
          <wp:inline distT="0" distB="0" distL="0" distR="0" wp14:anchorId="5517B57A" wp14:editId="0999E3B0">
            <wp:extent cx="3949586" cy="322783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949586" cy="3227832"/>
                    </a:xfrm>
                    <a:prstGeom prst="rect">
                      <a:avLst/>
                    </a:prstGeom>
                    <a:noFill/>
                  </pic:spPr>
                </pic:pic>
              </a:graphicData>
            </a:graphic>
          </wp:inline>
        </w:drawing>
      </w:r>
    </w:p>
    <w:p w14:paraId="34AD2D17" w14:textId="77777777" w:rsidR="004919BB" w:rsidRDefault="004919BB" w:rsidP="002F0833"/>
    <w:p w14:paraId="72A7AA23" w14:textId="77777777" w:rsidR="00A322A2" w:rsidRDefault="00A322A2" w:rsidP="002F0833"/>
    <w:p w14:paraId="2536F84D" w14:textId="77777777" w:rsidR="00A322A2" w:rsidRDefault="00A322A2" w:rsidP="002F0833"/>
    <w:p w14:paraId="48E077EA" w14:textId="77777777" w:rsidR="00A322A2" w:rsidRDefault="00A322A2" w:rsidP="00A322A2">
      <w:pPr>
        <w:jc w:val="center"/>
      </w:pPr>
      <w:bookmarkStart w:id="1005" w:name="_Toc490561164"/>
      <w:r w:rsidRPr="00A322A2">
        <w:lastRenderedPageBreak/>
        <w:t xml:space="preserve">Figure </w:t>
      </w:r>
      <w:fldSimple w:instr=" STYLEREF 5 \s ">
        <w:r w:rsidR="007566B9">
          <w:rPr>
            <w:noProof/>
          </w:rPr>
          <w:t>B</w:t>
        </w:r>
      </w:fldSimple>
      <w:r w:rsidRPr="00A322A2">
        <w:noBreakHyphen/>
      </w:r>
      <w:fldSimple w:instr=" SEQ Figure_Apx \* ARABIC \s 5 ">
        <w:r w:rsidR="007566B9">
          <w:rPr>
            <w:noProof/>
          </w:rPr>
          <w:t>9</w:t>
        </w:r>
      </w:fldSimple>
      <w:r w:rsidRPr="00A322A2">
        <w:t xml:space="preserve">. </w:t>
      </w:r>
      <w:r w:rsidRPr="00A322A2">
        <w:rPr>
          <w:color w:val="3F4042"/>
          <w:szCs w:val="20"/>
        </w:rPr>
        <w:t xml:space="preserve">Statewide Technical, Economic and Cumulative </w:t>
      </w:r>
      <w:r w:rsidRPr="00A322A2">
        <w:t>Gas</w:t>
      </w:r>
      <w:r w:rsidRPr="00A322A2">
        <w:rPr>
          <w:color w:val="3F4042"/>
          <w:szCs w:val="20"/>
        </w:rPr>
        <w:t xml:space="preserve"> Market Potential</w:t>
      </w:r>
      <w:r w:rsidRPr="00A322A2">
        <w:t xml:space="preserve"> for Equipment Rebate Programs in Scenario </w:t>
      </w:r>
      <w:r>
        <w:t>4</w:t>
      </w:r>
      <w:r w:rsidRPr="00A322A2">
        <w:t xml:space="preserve"> (</w:t>
      </w:r>
      <w:r>
        <w:t>PAC Reference</w:t>
      </w:r>
      <w:r w:rsidRPr="00A322A2">
        <w:t>)</w:t>
      </w:r>
      <w:bookmarkEnd w:id="1005"/>
    </w:p>
    <w:p w14:paraId="666532F5" w14:textId="77777777" w:rsidR="004919BB" w:rsidRDefault="004919BB" w:rsidP="004919BB">
      <w:pPr>
        <w:jc w:val="center"/>
      </w:pPr>
      <w:r>
        <w:rPr>
          <w:noProof/>
        </w:rPr>
        <w:drawing>
          <wp:inline distT="0" distB="0" distL="0" distR="0" wp14:anchorId="6FC08CA9" wp14:editId="48E1124D">
            <wp:extent cx="3949586" cy="322783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949586" cy="3227832"/>
                    </a:xfrm>
                    <a:prstGeom prst="rect">
                      <a:avLst/>
                    </a:prstGeom>
                    <a:noFill/>
                  </pic:spPr>
                </pic:pic>
              </a:graphicData>
            </a:graphic>
          </wp:inline>
        </w:drawing>
      </w:r>
    </w:p>
    <w:p w14:paraId="5360D0DF" w14:textId="77777777" w:rsidR="00A322A2" w:rsidRPr="00A322A2" w:rsidRDefault="00A322A2" w:rsidP="00A322A2">
      <w:pPr>
        <w:jc w:val="center"/>
        <w:rPr>
          <w:b/>
        </w:rPr>
      </w:pPr>
    </w:p>
    <w:p w14:paraId="4439DC1E" w14:textId="77777777" w:rsidR="004919BB" w:rsidRDefault="00A322A2" w:rsidP="00A322A2">
      <w:pPr>
        <w:jc w:val="center"/>
      </w:pPr>
      <w:bookmarkStart w:id="1006" w:name="_Toc490561165"/>
      <w:r w:rsidRPr="00A322A2">
        <w:t xml:space="preserve">Figure </w:t>
      </w:r>
      <w:fldSimple w:instr=" STYLEREF 5 \s ">
        <w:r w:rsidR="007566B9">
          <w:rPr>
            <w:noProof/>
          </w:rPr>
          <w:t>B</w:t>
        </w:r>
      </w:fldSimple>
      <w:r w:rsidRPr="00A322A2">
        <w:noBreakHyphen/>
      </w:r>
      <w:fldSimple w:instr=" SEQ Figure_Apx \* ARABIC \s 5 ">
        <w:r w:rsidR="007566B9">
          <w:rPr>
            <w:noProof/>
          </w:rPr>
          <w:t>10</w:t>
        </w:r>
      </w:fldSimple>
      <w:r w:rsidRPr="00A322A2">
        <w:t xml:space="preserve">. </w:t>
      </w:r>
      <w:r w:rsidRPr="00A322A2">
        <w:rPr>
          <w:color w:val="3F4042"/>
          <w:szCs w:val="20"/>
        </w:rPr>
        <w:t xml:space="preserve">Statewide Technical, Economic and Cumulative </w:t>
      </w:r>
      <w:r w:rsidRPr="00A322A2">
        <w:t>Gas</w:t>
      </w:r>
      <w:r w:rsidRPr="00A322A2">
        <w:rPr>
          <w:color w:val="3F4042"/>
          <w:szCs w:val="20"/>
        </w:rPr>
        <w:t xml:space="preserve"> Market Potential</w:t>
      </w:r>
      <w:r w:rsidRPr="00A322A2">
        <w:t xml:space="preserve"> for Equipment Rebate Programs in Scenario </w:t>
      </w:r>
      <w:r>
        <w:t>4 (PAC Aggressive)</w:t>
      </w:r>
      <w:bookmarkEnd w:id="1006"/>
    </w:p>
    <w:p w14:paraId="7ABE5452" w14:textId="77777777" w:rsidR="004919BB" w:rsidRDefault="004919BB" w:rsidP="002F0833"/>
    <w:p w14:paraId="72B5BD6E" w14:textId="77777777" w:rsidR="004919BB" w:rsidRDefault="004919BB" w:rsidP="004919BB">
      <w:pPr>
        <w:jc w:val="center"/>
      </w:pPr>
      <w:r>
        <w:rPr>
          <w:noProof/>
        </w:rPr>
        <w:drawing>
          <wp:inline distT="0" distB="0" distL="0" distR="0" wp14:anchorId="7D87E4D1" wp14:editId="616225C0">
            <wp:extent cx="3949586" cy="322783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949586" cy="3227832"/>
                    </a:xfrm>
                    <a:prstGeom prst="rect">
                      <a:avLst/>
                    </a:prstGeom>
                    <a:noFill/>
                  </pic:spPr>
                </pic:pic>
              </a:graphicData>
            </a:graphic>
          </wp:inline>
        </w:drawing>
      </w:r>
    </w:p>
    <w:p w14:paraId="413117AD" w14:textId="77777777" w:rsidR="00146A54" w:rsidRDefault="00146A54" w:rsidP="002F0833">
      <w:pPr>
        <w:sectPr w:rsidR="00146A54" w:rsidSect="00146A54">
          <w:footerReference w:type="default" r:id="rId181"/>
          <w:pgSz w:w="12240" w:h="15840" w:code="1"/>
          <w:pgMar w:top="1440" w:right="1440" w:bottom="1440" w:left="1440" w:header="720" w:footer="720" w:gutter="0"/>
          <w:pgNumType w:start="1" w:chapStyle="5"/>
          <w:cols w:space="720"/>
          <w:docGrid w:linePitch="360"/>
        </w:sectPr>
      </w:pPr>
    </w:p>
    <w:p w14:paraId="13662549" w14:textId="77777777" w:rsidR="005669E4" w:rsidRDefault="00D30C26" w:rsidP="005669E4">
      <w:pPr>
        <w:pStyle w:val="Heading5"/>
      </w:pPr>
      <w:bookmarkStart w:id="1007" w:name="_Toc478990540"/>
      <w:bookmarkStart w:id="1008" w:name="_Toc479768618"/>
      <w:bookmarkStart w:id="1009" w:name="_Ref482026980"/>
      <w:bookmarkStart w:id="1010" w:name="_Ref482027002"/>
      <w:bookmarkStart w:id="1011" w:name="_Toc482357339"/>
      <w:bookmarkStart w:id="1012" w:name="_Toc482634314"/>
      <w:bookmarkStart w:id="1013" w:name="_Toc482626446"/>
      <w:bookmarkStart w:id="1014" w:name="_Ref484095965"/>
      <w:bookmarkStart w:id="1015" w:name="_Toc484172726"/>
      <w:bookmarkStart w:id="1016" w:name="_Toc484183062"/>
      <w:bookmarkStart w:id="1017" w:name="_Ref484532064"/>
      <w:bookmarkStart w:id="1018" w:name="_Toc490225828"/>
      <w:bookmarkStart w:id="1019" w:name="_Toc484092521"/>
      <w:r>
        <w:lastRenderedPageBreak/>
        <w:t>BROS</w:t>
      </w:r>
      <w:bookmarkEnd w:id="1007"/>
      <w:bookmarkEnd w:id="1008"/>
      <w:bookmarkEnd w:id="1009"/>
      <w:bookmarkEnd w:id="1010"/>
      <w:bookmarkEnd w:id="1011"/>
      <w:bookmarkEnd w:id="1012"/>
      <w:bookmarkEnd w:id="1013"/>
      <w:bookmarkEnd w:id="1014"/>
      <w:bookmarkEnd w:id="1015"/>
      <w:bookmarkEnd w:id="1016"/>
      <w:bookmarkEnd w:id="1017"/>
      <w:bookmarkEnd w:id="1018"/>
    </w:p>
    <w:p w14:paraId="50B12867" w14:textId="77777777" w:rsidR="00E01C42" w:rsidRPr="00136D49" w:rsidRDefault="00E01C42" w:rsidP="00E01C42">
      <w:bookmarkStart w:id="1020" w:name="_Toc484092522"/>
      <w:bookmarkEnd w:id="1019"/>
      <w:r>
        <w:t xml:space="preserve">This appendix discusses the BROs interventions that are include in the PG model. It describes each intervention and discusses data sources and assumptions. A separate spreadsheet is also made available for stakeholders to review the final detailed inputs for intervention specific each utility and building type.  </w:t>
      </w:r>
    </w:p>
    <w:p w14:paraId="3767CAD0" w14:textId="77777777" w:rsidR="00E01C42" w:rsidRDefault="00E01C42" w:rsidP="00E01C42">
      <w:pPr>
        <w:pStyle w:val="Heading6"/>
        <w:numPr>
          <w:ilvl w:val="5"/>
          <w:numId w:val="8"/>
        </w:numPr>
        <w:ind w:left="0" w:firstLine="0"/>
      </w:pPr>
      <w:bookmarkStart w:id="1021" w:name="_Toc480271806"/>
      <w:bookmarkStart w:id="1022" w:name="_Toc484183063"/>
      <w:bookmarkStart w:id="1023" w:name="_Toc490225829"/>
      <w:r>
        <w:t xml:space="preserve">Residential - </w:t>
      </w:r>
      <w:r w:rsidRPr="00065CEA">
        <w:t>Home Energy Reports</w:t>
      </w:r>
      <w:bookmarkEnd w:id="1021"/>
      <w:bookmarkEnd w:id="1022"/>
      <w:bookmarkEnd w:id="1023"/>
    </w:p>
    <w:p w14:paraId="23DC6DC6" w14:textId="77777777" w:rsidR="00E01C42" w:rsidRDefault="00E01C42" w:rsidP="00E01C42">
      <w:pPr>
        <w:rPr>
          <w:b/>
        </w:rPr>
      </w:pPr>
      <w:r w:rsidRPr="00DF089C">
        <w:rPr>
          <w:b/>
        </w:rPr>
        <w:t xml:space="preserve">Summary </w:t>
      </w:r>
    </w:p>
    <w:p w14:paraId="5A6C0119" w14:textId="77777777" w:rsidR="00E01C42" w:rsidRPr="00DF089C" w:rsidRDefault="00E01C42" w:rsidP="00E01C42">
      <w:pPr>
        <w:rPr>
          <w:b/>
        </w:rPr>
      </w:pPr>
    </w:p>
    <w:p w14:paraId="7C72F073" w14:textId="77777777" w:rsidR="00E01C42" w:rsidRDefault="00E01C42" w:rsidP="00E01C42">
      <w:pPr>
        <w:rPr>
          <w:szCs w:val="20"/>
        </w:rPr>
      </w:pPr>
      <w:r w:rsidRPr="0097294E">
        <w:rPr>
          <w:szCs w:val="20"/>
        </w:rPr>
        <w:t>Home Energy Reports (HER</w:t>
      </w:r>
      <w:r>
        <w:rPr>
          <w:szCs w:val="20"/>
        </w:rPr>
        <w:t>s</w:t>
      </w:r>
      <w:r w:rsidRPr="0097294E">
        <w:rPr>
          <w:szCs w:val="20"/>
        </w:rPr>
        <w:t>) are among the most prevalent and widely studied of behavioral interventions. Residential custom</w:t>
      </w:r>
      <w:r>
        <w:rPr>
          <w:szCs w:val="20"/>
        </w:rPr>
        <w:t>ers are periodically mailed HERs</w:t>
      </w:r>
      <w:r w:rsidRPr="0097294E">
        <w:rPr>
          <w:szCs w:val="20"/>
        </w:rPr>
        <w:t xml:space="preserve"> that provide feedback about their home’s energy use, including normative comparisons to similar neighbors, tips for improving energy efficiency, and occasionally messaging about rewards or incentives.</w:t>
      </w:r>
      <w:r>
        <w:rPr>
          <w:szCs w:val="20"/>
        </w:rPr>
        <w:t xml:space="preserve"> HERs</w:t>
      </w:r>
      <w:r w:rsidRPr="0097294E">
        <w:rPr>
          <w:szCs w:val="20"/>
        </w:rPr>
        <w:t xml:space="preserve"> programs are generally provided to customers </w:t>
      </w:r>
      <w:r>
        <w:rPr>
          <w:szCs w:val="20"/>
        </w:rPr>
        <w:t>on an opt-out basi</w:t>
      </w:r>
      <w:r w:rsidRPr="0097294E">
        <w:rPr>
          <w:szCs w:val="20"/>
        </w:rPr>
        <w:t>s, although utilities</w:t>
      </w:r>
      <w:r>
        <w:rPr>
          <w:szCs w:val="20"/>
        </w:rPr>
        <w:t xml:space="preserve"> in other states</w:t>
      </w:r>
      <w:r w:rsidRPr="0097294E">
        <w:rPr>
          <w:szCs w:val="20"/>
        </w:rPr>
        <w:t xml:space="preserve"> have conducted opt-in programs. </w:t>
      </w:r>
    </w:p>
    <w:p w14:paraId="607F59D8" w14:textId="77777777" w:rsidR="00E01C42" w:rsidRPr="0097294E" w:rsidRDefault="00E01C42" w:rsidP="00E01C42">
      <w:pPr>
        <w:rPr>
          <w:szCs w:val="20"/>
        </w:rPr>
      </w:pPr>
    </w:p>
    <w:p w14:paraId="10A6AD3B" w14:textId="77777777" w:rsidR="00E01C42" w:rsidRDefault="00E01C42" w:rsidP="00E01C42">
      <w:pPr>
        <w:rPr>
          <w:szCs w:val="20"/>
        </w:rPr>
      </w:pPr>
      <w:r w:rsidRPr="00C81F0D">
        <w:rPr>
          <w:szCs w:val="20"/>
        </w:rPr>
        <w:t>Estimated electric savings range from 1.0-2.3%, while gas savings are 0.6</w:t>
      </w:r>
      <w:r>
        <w:rPr>
          <w:szCs w:val="20"/>
        </w:rPr>
        <w:t>%-1.9%. Costs are set at $0.09</w:t>
      </w:r>
      <w:r w:rsidR="008C0AC4">
        <w:rPr>
          <w:szCs w:val="20"/>
        </w:rPr>
        <w:t>-$0.29</w:t>
      </w:r>
      <w:r>
        <w:rPr>
          <w:szCs w:val="20"/>
        </w:rPr>
        <w:t xml:space="preserve"> per</w:t>
      </w:r>
      <w:r w:rsidRPr="00C81F0D">
        <w:rPr>
          <w:szCs w:val="20"/>
        </w:rPr>
        <w:t xml:space="preserve"> kWh</w:t>
      </w:r>
      <w:r w:rsidR="008C0AC4">
        <w:rPr>
          <w:szCs w:val="20"/>
        </w:rPr>
        <w:t xml:space="preserve"> and </w:t>
      </w:r>
      <w:r w:rsidRPr="00C81F0D">
        <w:rPr>
          <w:szCs w:val="20"/>
        </w:rPr>
        <w:t>$3.06</w:t>
      </w:r>
      <w:r w:rsidR="008C0AC4">
        <w:rPr>
          <w:szCs w:val="20"/>
        </w:rPr>
        <w:t>-$4.11</w:t>
      </w:r>
      <w:r w:rsidRPr="00C81F0D">
        <w:rPr>
          <w:szCs w:val="20"/>
        </w:rPr>
        <w:t xml:space="preserve"> per therm. </w:t>
      </w:r>
    </w:p>
    <w:p w14:paraId="65506A47" w14:textId="77777777" w:rsidR="00194C72" w:rsidRPr="00C81F0D" w:rsidRDefault="00194C72" w:rsidP="00E01C42">
      <w:pPr>
        <w:rPr>
          <w:szCs w:val="20"/>
        </w:rPr>
      </w:pPr>
    </w:p>
    <w:p w14:paraId="590A0853" w14:textId="77777777" w:rsidR="00E01C42" w:rsidRPr="00C81F0D" w:rsidRDefault="00194C72" w:rsidP="00E01C42">
      <w:pPr>
        <w:pStyle w:val="Caption"/>
        <w:rPr>
          <w:b w:val="0"/>
          <w:szCs w:val="24"/>
        </w:rPr>
      </w:pPr>
      <w:bookmarkStart w:id="1024" w:name="_Toc490226028"/>
      <w:r>
        <w:t xml:space="preserve">Table </w:t>
      </w:r>
      <w:fldSimple w:instr=" STYLEREF 5 \s ">
        <w:r w:rsidR="007566B9">
          <w:rPr>
            <w:noProof/>
          </w:rPr>
          <w:t>C</w:t>
        </w:r>
      </w:fldSimple>
      <w:r>
        <w:noBreakHyphen/>
      </w:r>
      <w:fldSimple w:instr=" SEQ Table_Apx \* ARABIC \s 5 ">
        <w:r w:rsidR="007566B9">
          <w:rPr>
            <w:noProof/>
          </w:rPr>
          <w:t>1</w:t>
        </w:r>
      </w:fldSimple>
      <w:r>
        <w:t xml:space="preserve">. </w:t>
      </w:r>
      <w:r w:rsidR="00E01C42" w:rsidRPr="00C81F0D">
        <w:t>Home Energy Reports - Key Assumptions</w:t>
      </w:r>
      <w:bookmarkEnd w:id="1024"/>
    </w:p>
    <w:tbl>
      <w:tblPr>
        <w:tblW w:w="9482" w:type="dxa"/>
        <w:jc w:val="center"/>
        <w:tblBorders>
          <w:bottom w:val="single" w:sz="8" w:space="0" w:color="555759"/>
          <w:insideH w:val="single" w:sz="4" w:space="0" w:color="DCDDDE"/>
        </w:tblBorders>
        <w:tblLook w:val="04A0" w:firstRow="1" w:lastRow="0" w:firstColumn="1" w:lastColumn="0" w:noHBand="0" w:noVBand="1"/>
      </w:tblPr>
      <w:tblGrid>
        <w:gridCol w:w="1120"/>
        <w:gridCol w:w="1524"/>
        <w:gridCol w:w="1002"/>
        <w:gridCol w:w="949"/>
        <w:gridCol w:w="1121"/>
        <w:gridCol w:w="960"/>
        <w:gridCol w:w="1106"/>
        <w:gridCol w:w="1700"/>
      </w:tblGrid>
      <w:tr w:rsidR="002544A3" w:rsidRPr="00734722" w14:paraId="0DACA65A" w14:textId="77777777" w:rsidTr="008C0AC4">
        <w:trPr>
          <w:cantSplit/>
          <w:trHeight w:val="296"/>
          <w:jc w:val="center"/>
        </w:trPr>
        <w:tc>
          <w:tcPr>
            <w:tcW w:w="1120" w:type="dxa"/>
            <w:vMerge w:val="restart"/>
            <w:tcBorders>
              <w:top w:val="nil"/>
              <w:left w:val="nil"/>
              <w:bottom w:val="single" w:sz="12" w:space="0" w:color="95D600"/>
              <w:right w:val="nil"/>
              <w:tl2br w:val="nil"/>
              <w:tr2bl w:val="nil"/>
            </w:tcBorders>
            <w:shd w:val="clear" w:color="auto" w:fill="555759"/>
            <w:hideMark/>
          </w:tcPr>
          <w:p w14:paraId="70EE2C85" w14:textId="77777777" w:rsidR="00E01C42" w:rsidRPr="00D11078" w:rsidRDefault="00E01C42" w:rsidP="008C0AC4">
            <w:pPr>
              <w:spacing w:before="40" w:after="40"/>
              <w:jc w:val="center"/>
              <w:rPr>
                <w:b/>
                <w:color w:val="FFFFFF"/>
              </w:rPr>
            </w:pPr>
            <w:r w:rsidRPr="00D11078">
              <w:rPr>
                <w:b/>
                <w:color w:val="FFFFFF"/>
              </w:rPr>
              <w:t>Sector</w:t>
            </w:r>
          </w:p>
        </w:tc>
        <w:tc>
          <w:tcPr>
            <w:tcW w:w="1524" w:type="dxa"/>
            <w:vMerge w:val="restart"/>
            <w:tcBorders>
              <w:top w:val="nil"/>
              <w:left w:val="nil"/>
              <w:bottom w:val="single" w:sz="12" w:space="0" w:color="95D600"/>
              <w:right w:val="nil"/>
              <w:tl2br w:val="nil"/>
              <w:tr2bl w:val="nil"/>
            </w:tcBorders>
            <w:shd w:val="clear" w:color="auto" w:fill="555759"/>
            <w:hideMark/>
          </w:tcPr>
          <w:p w14:paraId="7C2ED862" w14:textId="77777777" w:rsidR="00E01C42" w:rsidRPr="00D11078" w:rsidRDefault="00E01C42" w:rsidP="008C0AC4">
            <w:pPr>
              <w:spacing w:before="40" w:after="40"/>
              <w:jc w:val="center"/>
              <w:rPr>
                <w:b/>
                <w:color w:val="FFFFFF"/>
              </w:rPr>
            </w:pPr>
            <w:r w:rsidRPr="00D11078">
              <w:rPr>
                <w:b/>
                <w:color w:val="FFFFFF"/>
              </w:rPr>
              <w:t>Type</w:t>
            </w:r>
          </w:p>
        </w:tc>
        <w:tc>
          <w:tcPr>
            <w:tcW w:w="1002" w:type="dxa"/>
            <w:vMerge w:val="restart"/>
            <w:tcBorders>
              <w:top w:val="nil"/>
              <w:left w:val="nil"/>
              <w:bottom w:val="single" w:sz="12" w:space="0" w:color="95D600"/>
              <w:right w:val="nil"/>
              <w:tl2br w:val="nil"/>
              <w:tr2bl w:val="nil"/>
            </w:tcBorders>
            <w:shd w:val="clear" w:color="auto" w:fill="555759"/>
            <w:hideMark/>
          </w:tcPr>
          <w:p w14:paraId="2C30215D" w14:textId="77777777" w:rsidR="00E01C42" w:rsidRPr="00D11078" w:rsidRDefault="00E01C42" w:rsidP="008C0AC4">
            <w:pPr>
              <w:spacing w:before="40" w:after="40"/>
              <w:jc w:val="center"/>
              <w:rPr>
                <w:b/>
                <w:color w:val="FFFFFF"/>
              </w:rPr>
            </w:pPr>
            <w:r w:rsidRPr="00D11078">
              <w:rPr>
                <w:b/>
                <w:color w:val="FFFFFF"/>
              </w:rPr>
              <w:t>EUL years</w:t>
            </w:r>
          </w:p>
        </w:tc>
        <w:tc>
          <w:tcPr>
            <w:tcW w:w="2070" w:type="dxa"/>
            <w:gridSpan w:val="2"/>
            <w:tcBorders>
              <w:top w:val="nil"/>
              <w:left w:val="nil"/>
              <w:bottom w:val="single" w:sz="2" w:space="0" w:color="FFFFFF"/>
              <w:right w:val="nil"/>
              <w:tl2br w:val="nil"/>
              <w:tr2bl w:val="nil"/>
            </w:tcBorders>
            <w:shd w:val="clear" w:color="auto" w:fill="555759"/>
            <w:hideMark/>
          </w:tcPr>
          <w:p w14:paraId="4D7CA6B4" w14:textId="77777777" w:rsidR="00E01C42" w:rsidRPr="00D11078" w:rsidRDefault="00E01C42" w:rsidP="008C0AC4">
            <w:pPr>
              <w:spacing w:before="40" w:after="40"/>
              <w:jc w:val="center"/>
              <w:rPr>
                <w:b/>
                <w:color w:val="FFFFFF"/>
              </w:rPr>
            </w:pPr>
            <w:r w:rsidRPr="00D11078">
              <w:rPr>
                <w:b/>
                <w:color w:val="FFFFFF"/>
              </w:rPr>
              <w:t>Savings</w:t>
            </w:r>
          </w:p>
        </w:tc>
        <w:tc>
          <w:tcPr>
            <w:tcW w:w="2066" w:type="dxa"/>
            <w:gridSpan w:val="2"/>
            <w:tcBorders>
              <w:top w:val="nil"/>
              <w:left w:val="nil"/>
              <w:bottom w:val="single" w:sz="2" w:space="0" w:color="FFFFFF"/>
              <w:right w:val="nil"/>
              <w:tl2br w:val="nil"/>
              <w:tr2bl w:val="nil"/>
            </w:tcBorders>
            <w:shd w:val="clear" w:color="auto" w:fill="555759"/>
            <w:hideMark/>
          </w:tcPr>
          <w:p w14:paraId="421430E4" w14:textId="77777777" w:rsidR="00E01C42" w:rsidRPr="00D11078" w:rsidRDefault="00E01C42" w:rsidP="008C0AC4">
            <w:pPr>
              <w:spacing w:before="40" w:after="40"/>
              <w:jc w:val="center"/>
              <w:rPr>
                <w:b/>
                <w:color w:val="FFFFFF"/>
              </w:rPr>
            </w:pPr>
            <w:r w:rsidRPr="00D11078">
              <w:rPr>
                <w:b/>
                <w:color w:val="FFFFFF"/>
              </w:rPr>
              <w:t>Cost</w:t>
            </w:r>
          </w:p>
        </w:tc>
        <w:tc>
          <w:tcPr>
            <w:tcW w:w="1700" w:type="dxa"/>
            <w:vMerge w:val="restart"/>
            <w:tcBorders>
              <w:top w:val="nil"/>
              <w:left w:val="nil"/>
              <w:bottom w:val="single" w:sz="12" w:space="0" w:color="95D600"/>
              <w:right w:val="nil"/>
              <w:tl2br w:val="nil"/>
              <w:tr2bl w:val="nil"/>
            </w:tcBorders>
            <w:shd w:val="clear" w:color="auto" w:fill="555759"/>
            <w:hideMark/>
          </w:tcPr>
          <w:p w14:paraId="1BA46B14" w14:textId="77777777" w:rsidR="00E01C42" w:rsidRPr="00D11078" w:rsidRDefault="00E01C42" w:rsidP="008C0AC4">
            <w:pPr>
              <w:spacing w:before="40" w:after="40"/>
              <w:jc w:val="center"/>
              <w:rPr>
                <w:b/>
                <w:color w:val="FFFFFF"/>
              </w:rPr>
            </w:pPr>
            <w:r w:rsidRPr="00D11078">
              <w:rPr>
                <w:b/>
                <w:color w:val="FFFFFF"/>
              </w:rPr>
              <w:t>kW/kWh Savings Ratio</w:t>
            </w:r>
          </w:p>
        </w:tc>
      </w:tr>
      <w:tr w:rsidR="002544A3" w:rsidRPr="00734722" w14:paraId="43F2A3ED" w14:textId="77777777" w:rsidTr="008C0AC4">
        <w:trPr>
          <w:cantSplit/>
          <w:trHeight w:val="144"/>
          <w:jc w:val="center"/>
        </w:trPr>
        <w:tc>
          <w:tcPr>
            <w:tcW w:w="1120" w:type="dxa"/>
            <w:vMerge/>
            <w:tcBorders>
              <w:bottom w:val="single" w:sz="12" w:space="0" w:color="95D600"/>
            </w:tcBorders>
            <w:shd w:val="clear" w:color="auto" w:fill="auto"/>
            <w:hideMark/>
          </w:tcPr>
          <w:p w14:paraId="33767422" w14:textId="77777777" w:rsidR="00E01C42" w:rsidRPr="00734722" w:rsidRDefault="00E01C42" w:rsidP="008C0AC4">
            <w:pPr>
              <w:spacing w:before="40" w:after="40"/>
              <w:jc w:val="center"/>
            </w:pPr>
          </w:p>
        </w:tc>
        <w:tc>
          <w:tcPr>
            <w:tcW w:w="1524" w:type="dxa"/>
            <w:vMerge/>
            <w:tcBorders>
              <w:bottom w:val="single" w:sz="12" w:space="0" w:color="95D600"/>
            </w:tcBorders>
            <w:shd w:val="clear" w:color="auto" w:fill="auto"/>
            <w:hideMark/>
          </w:tcPr>
          <w:p w14:paraId="625200FC" w14:textId="77777777" w:rsidR="00E01C42" w:rsidRPr="00734722" w:rsidRDefault="00E01C42" w:rsidP="008C0AC4">
            <w:pPr>
              <w:spacing w:before="40" w:after="40"/>
              <w:jc w:val="center"/>
            </w:pPr>
          </w:p>
        </w:tc>
        <w:tc>
          <w:tcPr>
            <w:tcW w:w="1002" w:type="dxa"/>
            <w:vMerge/>
            <w:tcBorders>
              <w:bottom w:val="single" w:sz="12" w:space="0" w:color="95D600"/>
            </w:tcBorders>
            <w:shd w:val="clear" w:color="auto" w:fill="555759"/>
            <w:hideMark/>
          </w:tcPr>
          <w:p w14:paraId="7EFCAC11" w14:textId="77777777" w:rsidR="00E01C42" w:rsidRPr="00734722" w:rsidRDefault="00E01C42" w:rsidP="008C0AC4">
            <w:pPr>
              <w:spacing w:before="40" w:after="40"/>
              <w:jc w:val="center"/>
            </w:pPr>
          </w:p>
        </w:tc>
        <w:tc>
          <w:tcPr>
            <w:tcW w:w="949" w:type="dxa"/>
            <w:tcBorders>
              <w:top w:val="single" w:sz="2" w:space="0" w:color="FFFFFF"/>
              <w:bottom w:val="single" w:sz="12" w:space="0" w:color="95D600"/>
            </w:tcBorders>
            <w:shd w:val="clear" w:color="auto" w:fill="555759"/>
            <w:hideMark/>
          </w:tcPr>
          <w:p w14:paraId="3E62174A" w14:textId="77777777" w:rsidR="00E01C42" w:rsidRPr="00D11078" w:rsidRDefault="00E01C42" w:rsidP="008C0AC4">
            <w:pPr>
              <w:spacing w:before="40" w:after="40"/>
              <w:jc w:val="center"/>
              <w:rPr>
                <w:b/>
                <w:color w:val="FFFFFF"/>
              </w:rPr>
            </w:pPr>
            <w:r w:rsidRPr="00D11078">
              <w:rPr>
                <w:b/>
                <w:color w:val="FFFFFF"/>
              </w:rPr>
              <w:t>kWh</w:t>
            </w:r>
          </w:p>
        </w:tc>
        <w:tc>
          <w:tcPr>
            <w:tcW w:w="1121" w:type="dxa"/>
            <w:tcBorders>
              <w:top w:val="single" w:sz="2" w:space="0" w:color="FFFFFF"/>
              <w:bottom w:val="single" w:sz="12" w:space="0" w:color="95D600"/>
            </w:tcBorders>
            <w:shd w:val="clear" w:color="auto" w:fill="555759"/>
            <w:hideMark/>
          </w:tcPr>
          <w:p w14:paraId="54244953" w14:textId="77777777" w:rsidR="00E01C42" w:rsidRPr="00D11078" w:rsidRDefault="00E01C42" w:rsidP="008C0AC4">
            <w:pPr>
              <w:spacing w:before="40" w:after="40"/>
              <w:jc w:val="center"/>
              <w:rPr>
                <w:b/>
                <w:color w:val="FFFFFF"/>
              </w:rPr>
            </w:pPr>
            <w:r w:rsidRPr="00D11078">
              <w:rPr>
                <w:b/>
                <w:color w:val="FFFFFF"/>
              </w:rPr>
              <w:t>Therm</w:t>
            </w:r>
          </w:p>
        </w:tc>
        <w:tc>
          <w:tcPr>
            <w:tcW w:w="960" w:type="dxa"/>
            <w:tcBorders>
              <w:top w:val="single" w:sz="2" w:space="0" w:color="FFFFFF"/>
              <w:bottom w:val="single" w:sz="12" w:space="0" w:color="95D600"/>
            </w:tcBorders>
            <w:shd w:val="clear" w:color="auto" w:fill="555759"/>
            <w:hideMark/>
          </w:tcPr>
          <w:p w14:paraId="0F1DCE05" w14:textId="77777777" w:rsidR="00E01C42" w:rsidRPr="00D11078" w:rsidRDefault="00E01C42" w:rsidP="008C0AC4">
            <w:pPr>
              <w:spacing w:before="40" w:after="40"/>
              <w:jc w:val="center"/>
              <w:rPr>
                <w:b/>
                <w:color w:val="FFFFFF"/>
              </w:rPr>
            </w:pPr>
            <w:r w:rsidRPr="00D11078">
              <w:rPr>
                <w:b/>
                <w:color w:val="FFFFFF"/>
              </w:rPr>
              <w:t>kWh</w:t>
            </w:r>
          </w:p>
        </w:tc>
        <w:tc>
          <w:tcPr>
            <w:tcW w:w="1106" w:type="dxa"/>
            <w:tcBorders>
              <w:top w:val="single" w:sz="2" w:space="0" w:color="FFFFFF"/>
              <w:bottom w:val="single" w:sz="12" w:space="0" w:color="95D600"/>
            </w:tcBorders>
            <w:shd w:val="clear" w:color="auto" w:fill="555759"/>
            <w:hideMark/>
          </w:tcPr>
          <w:p w14:paraId="057559A1" w14:textId="77777777" w:rsidR="00E01C42" w:rsidRPr="00D11078" w:rsidRDefault="00E01C42" w:rsidP="008C0AC4">
            <w:pPr>
              <w:spacing w:before="40" w:after="40"/>
              <w:jc w:val="center"/>
              <w:rPr>
                <w:b/>
                <w:color w:val="FFFFFF"/>
              </w:rPr>
            </w:pPr>
            <w:r w:rsidRPr="00D11078">
              <w:rPr>
                <w:b/>
                <w:color w:val="FFFFFF"/>
              </w:rPr>
              <w:t>Therm</w:t>
            </w:r>
          </w:p>
        </w:tc>
        <w:tc>
          <w:tcPr>
            <w:tcW w:w="1700" w:type="dxa"/>
            <w:vMerge/>
            <w:tcBorders>
              <w:bottom w:val="single" w:sz="12" w:space="0" w:color="95D600"/>
            </w:tcBorders>
            <w:shd w:val="clear" w:color="auto" w:fill="auto"/>
            <w:hideMark/>
          </w:tcPr>
          <w:p w14:paraId="01FC37BB" w14:textId="77777777" w:rsidR="00E01C42" w:rsidRPr="00734722" w:rsidRDefault="00E01C42" w:rsidP="008C0AC4">
            <w:pPr>
              <w:spacing w:before="40" w:after="40"/>
              <w:jc w:val="center"/>
            </w:pPr>
          </w:p>
        </w:tc>
      </w:tr>
      <w:tr w:rsidR="002544A3" w:rsidRPr="00734722" w14:paraId="19EA6AC0" w14:textId="77777777" w:rsidTr="008C0AC4">
        <w:trPr>
          <w:cantSplit/>
          <w:trHeight w:val="738"/>
          <w:jc w:val="center"/>
        </w:trPr>
        <w:tc>
          <w:tcPr>
            <w:tcW w:w="1120" w:type="dxa"/>
            <w:tcBorders>
              <w:top w:val="single" w:sz="12" w:space="0" w:color="95D600"/>
            </w:tcBorders>
            <w:shd w:val="clear" w:color="auto" w:fill="FFFFFF"/>
            <w:hideMark/>
          </w:tcPr>
          <w:p w14:paraId="4E878E45" w14:textId="77777777" w:rsidR="00E01C42" w:rsidRPr="00734722" w:rsidRDefault="00E01C42" w:rsidP="008C0AC4">
            <w:pPr>
              <w:spacing w:before="40" w:after="40"/>
              <w:jc w:val="center"/>
            </w:pPr>
            <w:r w:rsidRPr="00734722">
              <w:t>RES</w:t>
            </w:r>
          </w:p>
        </w:tc>
        <w:tc>
          <w:tcPr>
            <w:tcW w:w="1524" w:type="dxa"/>
            <w:tcBorders>
              <w:top w:val="single" w:sz="12" w:space="0" w:color="95D600"/>
            </w:tcBorders>
            <w:shd w:val="clear" w:color="auto" w:fill="FFFFFF"/>
            <w:hideMark/>
          </w:tcPr>
          <w:p w14:paraId="4169CF5F" w14:textId="77777777" w:rsidR="00E01C42" w:rsidRPr="00734722" w:rsidRDefault="00E01C42" w:rsidP="008C0AC4">
            <w:pPr>
              <w:spacing w:before="40" w:after="40"/>
              <w:jc w:val="center"/>
            </w:pPr>
            <w:r w:rsidRPr="00734722">
              <w:t>Home Energy Reports (HERs)</w:t>
            </w:r>
          </w:p>
        </w:tc>
        <w:tc>
          <w:tcPr>
            <w:tcW w:w="1002" w:type="dxa"/>
            <w:tcBorders>
              <w:top w:val="single" w:sz="12" w:space="0" w:color="95D600"/>
            </w:tcBorders>
            <w:shd w:val="clear" w:color="auto" w:fill="FFFFFF"/>
            <w:hideMark/>
          </w:tcPr>
          <w:p w14:paraId="13455558" w14:textId="77777777" w:rsidR="00E01C42" w:rsidRPr="00734722" w:rsidRDefault="00E01C42" w:rsidP="008C0AC4">
            <w:pPr>
              <w:spacing w:before="40" w:after="40"/>
              <w:jc w:val="center"/>
            </w:pPr>
            <w:r w:rsidRPr="00734722">
              <w:t>1</w:t>
            </w:r>
          </w:p>
        </w:tc>
        <w:tc>
          <w:tcPr>
            <w:tcW w:w="949" w:type="dxa"/>
            <w:tcBorders>
              <w:top w:val="single" w:sz="12" w:space="0" w:color="95D600"/>
            </w:tcBorders>
            <w:shd w:val="clear" w:color="auto" w:fill="FFFFFF"/>
            <w:hideMark/>
          </w:tcPr>
          <w:p w14:paraId="65E7BEAC" w14:textId="77777777" w:rsidR="00E01C42" w:rsidRPr="00734722" w:rsidRDefault="00E01C42" w:rsidP="008C0AC4">
            <w:pPr>
              <w:spacing w:before="40" w:after="40"/>
              <w:jc w:val="center"/>
            </w:pPr>
            <w:r w:rsidRPr="00734722">
              <w:t>1.0 – 2.3%</w:t>
            </w:r>
          </w:p>
        </w:tc>
        <w:tc>
          <w:tcPr>
            <w:tcW w:w="1121" w:type="dxa"/>
            <w:tcBorders>
              <w:top w:val="single" w:sz="12" w:space="0" w:color="95D600"/>
            </w:tcBorders>
            <w:shd w:val="clear" w:color="auto" w:fill="FFFFFF"/>
            <w:hideMark/>
          </w:tcPr>
          <w:p w14:paraId="068AC50C" w14:textId="77777777" w:rsidR="00E01C42" w:rsidRPr="00734722" w:rsidRDefault="00E01C42" w:rsidP="008C0AC4">
            <w:pPr>
              <w:spacing w:before="40" w:after="40"/>
              <w:jc w:val="center"/>
            </w:pPr>
            <w:r w:rsidRPr="00734722">
              <w:t>0.6% – 1.9%</w:t>
            </w:r>
          </w:p>
        </w:tc>
        <w:tc>
          <w:tcPr>
            <w:tcW w:w="960" w:type="dxa"/>
            <w:tcBorders>
              <w:top w:val="single" w:sz="12" w:space="0" w:color="95D600"/>
            </w:tcBorders>
            <w:shd w:val="clear" w:color="auto" w:fill="FFFFFF"/>
            <w:hideMark/>
          </w:tcPr>
          <w:p w14:paraId="14B61ACE" w14:textId="77777777" w:rsidR="00E01C42" w:rsidRPr="00734722" w:rsidRDefault="00E01C42" w:rsidP="008C0AC4">
            <w:pPr>
              <w:spacing w:before="40" w:after="40"/>
              <w:jc w:val="center"/>
            </w:pPr>
            <w:r w:rsidRPr="00734722">
              <w:t>$0.09</w:t>
            </w:r>
            <w:r w:rsidR="008C0AC4">
              <w:t xml:space="preserve"> - $.29</w:t>
            </w:r>
            <w:r w:rsidRPr="00734722">
              <w:t xml:space="preserve"> </w:t>
            </w:r>
          </w:p>
        </w:tc>
        <w:tc>
          <w:tcPr>
            <w:tcW w:w="1106" w:type="dxa"/>
            <w:tcBorders>
              <w:top w:val="single" w:sz="12" w:space="0" w:color="95D600"/>
            </w:tcBorders>
            <w:shd w:val="clear" w:color="auto" w:fill="FFFFFF"/>
            <w:hideMark/>
          </w:tcPr>
          <w:p w14:paraId="292F0237" w14:textId="77777777" w:rsidR="00E01C42" w:rsidRPr="00734722" w:rsidRDefault="00E01C42" w:rsidP="008C0AC4">
            <w:pPr>
              <w:spacing w:before="40" w:after="40"/>
              <w:jc w:val="center"/>
            </w:pPr>
            <w:r w:rsidRPr="00734722">
              <w:t>$3.06</w:t>
            </w:r>
            <w:r w:rsidR="008C0AC4">
              <w:t xml:space="preserve"> - $4.11</w:t>
            </w:r>
            <w:r w:rsidRPr="00734722">
              <w:t xml:space="preserve"> </w:t>
            </w:r>
          </w:p>
        </w:tc>
        <w:tc>
          <w:tcPr>
            <w:tcW w:w="1700" w:type="dxa"/>
            <w:tcBorders>
              <w:top w:val="single" w:sz="12" w:space="0" w:color="95D600"/>
            </w:tcBorders>
            <w:shd w:val="clear" w:color="auto" w:fill="FFFFFF"/>
            <w:hideMark/>
          </w:tcPr>
          <w:p w14:paraId="0B74C65C" w14:textId="77777777" w:rsidR="00E01C42" w:rsidRPr="00734722" w:rsidRDefault="00E01C42" w:rsidP="008C0AC4">
            <w:pPr>
              <w:spacing w:before="40" w:after="40"/>
              <w:jc w:val="center"/>
            </w:pPr>
            <w:r w:rsidRPr="00734722">
              <w:t>0.00019058</w:t>
            </w:r>
          </w:p>
        </w:tc>
      </w:tr>
    </w:tbl>
    <w:p w14:paraId="510E0B7C" w14:textId="77777777" w:rsidR="00E01C42" w:rsidRDefault="00E01C42" w:rsidP="00E01C42">
      <w:pPr>
        <w:spacing w:line="240" w:lineRule="auto"/>
        <w:rPr>
          <w:b/>
        </w:rPr>
      </w:pPr>
    </w:p>
    <w:p w14:paraId="22DB75AE" w14:textId="77777777" w:rsidR="00E01C42" w:rsidRDefault="00E01C42" w:rsidP="00E01C42">
      <w:pPr>
        <w:rPr>
          <w:b/>
        </w:rPr>
      </w:pPr>
      <w:r w:rsidRPr="00DF089C">
        <w:rPr>
          <w:b/>
        </w:rPr>
        <w:t>Assumptions and Methodology</w:t>
      </w:r>
    </w:p>
    <w:p w14:paraId="583E61B0" w14:textId="77777777" w:rsidR="00E01C42" w:rsidRPr="00DF089C" w:rsidRDefault="00E01C42" w:rsidP="00E01C42">
      <w:pPr>
        <w:rPr>
          <w:b/>
        </w:rPr>
      </w:pPr>
    </w:p>
    <w:p w14:paraId="6C366FBB" w14:textId="77777777" w:rsidR="00E01C42" w:rsidRDefault="00E01C42" w:rsidP="00E01C42">
      <w:pPr>
        <w:rPr>
          <w:b/>
          <w:i/>
          <w:szCs w:val="20"/>
        </w:rPr>
      </w:pPr>
      <w:r w:rsidRPr="00DF089C">
        <w:rPr>
          <w:b/>
          <w:i/>
          <w:szCs w:val="20"/>
        </w:rPr>
        <w:t>Eligibility and Participation</w:t>
      </w:r>
    </w:p>
    <w:p w14:paraId="7F694E1E" w14:textId="77777777" w:rsidR="00E01C42" w:rsidRDefault="00E01C42" w:rsidP="00E01C42">
      <w:pPr>
        <w:rPr>
          <w:szCs w:val="20"/>
        </w:rPr>
      </w:pPr>
      <w:r>
        <w:rPr>
          <w:szCs w:val="20"/>
        </w:rPr>
        <w:t xml:space="preserve">Although all targeted residential households may receive HERs as participants in an opt-out program, in practice, </w:t>
      </w:r>
      <w:r w:rsidR="008C0AC4">
        <w:rPr>
          <w:szCs w:val="20"/>
        </w:rPr>
        <w:t>PG&amp;E found that 0.5</w:t>
      </w:r>
      <w:r>
        <w:rPr>
          <w:szCs w:val="20"/>
        </w:rPr>
        <w:t>% of customers elect to opt out. For this reason, we reduced applicability to 9</w:t>
      </w:r>
      <w:r w:rsidR="008C0AC4">
        <w:rPr>
          <w:szCs w:val="20"/>
        </w:rPr>
        <w:t>9.5</w:t>
      </w:r>
      <w:r>
        <w:rPr>
          <w:szCs w:val="20"/>
        </w:rPr>
        <w:t xml:space="preserve">% for single family homes. Applicability for multi-family homes is further reduced to </w:t>
      </w:r>
      <w:r w:rsidR="008C0AC4">
        <w:rPr>
          <w:szCs w:val="20"/>
        </w:rPr>
        <w:t>89.5</w:t>
      </w:r>
      <w:r>
        <w:rPr>
          <w:szCs w:val="20"/>
        </w:rPr>
        <w:t>%, dropping another 10% in order to account for multifamily homes that do not have individual meters.</w:t>
      </w:r>
      <w:r>
        <w:rPr>
          <w:rStyle w:val="FootnoteReference"/>
          <w:szCs w:val="20"/>
        </w:rPr>
        <w:footnoteReference w:id="99"/>
      </w:r>
      <w:r w:rsidR="008C0AC4">
        <w:rPr>
          <w:szCs w:val="20"/>
        </w:rPr>
        <w:t xml:space="preserve"> SCE provided data indicating that only 0.17% of their multifamily customers are master-metered, so the applicability in their territory remains higher, at 99.33%.</w:t>
      </w:r>
    </w:p>
    <w:p w14:paraId="05E6D867" w14:textId="77777777" w:rsidR="00E01C42" w:rsidRDefault="00E01C42" w:rsidP="00E01C42">
      <w:pPr>
        <w:rPr>
          <w:szCs w:val="20"/>
        </w:rPr>
      </w:pPr>
    </w:p>
    <w:p w14:paraId="04089281" w14:textId="77777777" w:rsidR="00E01C42" w:rsidRDefault="00E01C42" w:rsidP="00E01C42">
      <w:pPr>
        <w:rPr>
          <w:szCs w:val="20"/>
        </w:rPr>
      </w:pPr>
      <w:r w:rsidRPr="00065CEA">
        <w:rPr>
          <w:szCs w:val="20"/>
        </w:rPr>
        <w:lastRenderedPageBreak/>
        <w:t>While participation rates in HER programs fluctuate over time due to program opt-outs, customer moves, and changes in program implementation such as adding new waves, specific forecasts require details beyond those publicly available via</w:t>
      </w:r>
      <w:r>
        <w:rPr>
          <w:szCs w:val="20"/>
        </w:rPr>
        <w:t xml:space="preserve"> 2017</w:t>
      </w:r>
      <w:r w:rsidRPr="00065CEA">
        <w:rPr>
          <w:szCs w:val="20"/>
        </w:rPr>
        <w:t xml:space="preserve"> IOU-filed Rolling Business Plans.</w:t>
      </w:r>
      <w:r w:rsidR="00AA5F34">
        <w:rPr>
          <w:rStyle w:val="FootnoteReference"/>
          <w:szCs w:val="20"/>
        </w:rPr>
        <w:footnoteReference w:id="100"/>
      </w:r>
      <w:r w:rsidRPr="00065CEA">
        <w:rPr>
          <w:szCs w:val="20"/>
        </w:rPr>
        <w:t xml:space="preserve"> For this reason, the team reviewed all formal </w:t>
      </w:r>
      <w:r>
        <w:rPr>
          <w:szCs w:val="20"/>
        </w:rPr>
        <w:t xml:space="preserve">California </w:t>
      </w:r>
      <w:r w:rsidRPr="00065CEA">
        <w:rPr>
          <w:szCs w:val="20"/>
        </w:rPr>
        <w:t xml:space="preserve">IOU evaluations of HERS programs to ascertain historic HER program participation rates and wave sizes and then applied a weighted average of IOU wave sizes to forecast the future </w:t>
      </w:r>
      <w:r w:rsidRPr="003E5284">
        <w:rPr>
          <w:szCs w:val="20"/>
        </w:rPr>
        <w:t>cohort waves according to the number of households within a given service territory.</w:t>
      </w:r>
      <w:r w:rsidRPr="009F0B3E">
        <w:rPr>
          <w:rStyle w:val="FootnoteReference"/>
          <w:szCs w:val="20"/>
        </w:rPr>
        <w:footnoteReference w:id="101"/>
      </w:r>
      <w:r w:rsidRPr="009F0B3E">
        <w:rPr>
          <w:szCs w:val="20"/>
          <w:vertAlign w:val="superscript"/>
        </w:rPr>
        <w:t>,</w:t>
      </w:r>
      <w:r w:rsidRPr="009F0B3E">
        <w:rPr>
          <w:rStyle w:val="FootnoteReference"/>
          <w:szCs w:val="20"/>
        </w:rPr>
        <w:footnoteReference w:id="102"/>
      </w:r>
      <w:r w:rsidRPr="009F0B3E">
        <w:rPr>
          <w:szCs w:val="20"/>
          <w:vertAlign w:val="superscript"/>
        </w:rPr>
        <w:t>,</w:t>
      </w:r>
      <w:r w:rsidRPr="009F0B3E">
        <w:rPr>
          <w:rStyle w:val="FootnoteReference"/>
          <w:szCs w:val="20"/>
        </w:rPr>
        <w:footnoteReference w:id="103"/>
      </w:r>
      <w:r>
        <w:rPr>
          <w:rStyle w:val="FootnoteReference"/>
          <w:szCs w:val="20"/>
        </w:rPr>
        <w:t>,</w:t>
      </w:r>
      <w:r w:rsidRPr="003E5284">
        <w:rPr>
          <w:rStyle w:val="FootnoteReference"/>
          <w:szCs w:val="20"/>
        </w:rPr>
        <w:footnoteReference w:id="104"/>
      </w:r>
      <w:r>
        <w:rPr>
          <w:rStyle w:val="FootnoteReference"/>
          <w:szCs w:val="20"/>
        </w:rPr>
        <w:t>,</w:t>
      </w:r>
      <w:r w:rsidRPr="003E5284">
        <w:rPr>
          <w:rStyle w:val="FootnoteReference"/>
          <w:szCs w:val="20"/>
        </w:rPr>
        <w:footnoteReference w:id="105"/>
      </w:r>
      <w:r>
        <w:rPr>
          <w:rStyle w:val="FootnoteReference"/>
          <w:szCs w:val="20"/>
        </w:rPr>
        <w:t>,</w:t>
      </w:r>
      <w:r w:rsidRPr="003E5284">
        <w:rPr>
          <w:rStyle w:val="FootnoteReference"/>
          <w:szCs w:val="20"/>
        </w:rPr>
        <w:footnoteReference w:id="106"/>
      </w:r>
      <w:r>
        <w:rPr>
          <w:rStyle w:val="FootnoteReference"/>
          <w:szCs w:val="20"/>
        </w:rPr>
        <w:t>,</w:t>
      </w:r>
      <w:r w:rsidRPr="003E5284">
        <w:rPr>
          <w:rStyle w:val="FootnoteReference"/>
          <w:szCs w:val="20"/>
        </w:rPr>
        <w:footnoteReference w:id="107"/>
      </w:r>
      <w:r>
        <w:rPr>
          <w:rStyle w:val="FootnoteReference"/>
          <w:szCs w:val="20"/>
        </w:rPr>
        <w:t>,</w:t>
      </w:r>
      <w:r w:rsidRPr="003E5284">
        <w:rPr>
          <w:rStyle w:val="FootnoteReference"/>
          <w:szCs w:val="20"/>
        </w:rPr>
        <w:footnoteReference w:id="108"/>
      </w:r>
      <w:r>
        <w:rPr>
          <w:rStyle w:val="FootnoteReference"/>
          <w:szCs w:val="20"/>
        </w:rPr>
        <w:t>,</w:t>
      </w:r>
      <w:r w:rsidRPr="003E5284">
        <w:rPr>
          <w:rStyle w:val="FootnoteReference"/>
          <w:szCs w:val="20"/>
        </w:rPr>
        <w:footnoteReference w:id="109"/>
      </w:r>
      <w:r w:rsidRPr="003E5284">
        <w:rPr>
          <w:szCs w:val="20"/>
        </w:rPr>
        <w:t xml:space="preserve"> </w:t>
      </w:r>
      <w:r w:rsidR="00663698">
        <w:rPr>
          <w:szCs w:val="20"/>
        </w:rPr>
        <w:t>Additionally, SCG indicated that they would not deploy a HER program until 2018.</w:t>
      </w:r>
      <w:r w:rsidR="004B6594">
        <w:rPr>
          <w:rStyle w:val="FootnoteReference"/>
          <w:szCs w:val="20"/>
        </w:rPr>
        <w:footnoteReference w:id="110"/>
      </w:r>
      <w:r w:rsidR="00663698">
        <w:rPr>
          <w:szCs w:val="20"/>
        </w:rPr>
        <w:t xml:space="preserve"> </w:t>
      </w:r>
      <w:r w:rsidR="009C1697">
        <w:rPr>
          <w:szCs w:val="20"/>
        </w:rPr>
        <w:t xml:space="preserve">Finally, a cap was placed on the penetration of HERs based on feedback from PG&amp;E that the bottom quartile of energy consumers will not be targeted and an equal number of customers need to be reserved as a comparison group for evaluation purposes. </w:t>
      </w:r>
      <w:r w:rsidRPr="003E5284">
        <w:rPr>
          <w:szCs w:val="20"/>
        </w:rPr>
        <w:t>The</w:t>
      </w:r>
      <w:r w:rsidRPr="00065CEA">
        <w:rPr>
          <w:szCs w:val="20"/>
        </w:rPr>
        <w:t xml:space="preserve"> behavioral model then applies these projected penetration rates to the number of forecasted IOU households, which increase</w:t>
      </w:r>
      <w:r>
        <w:rPr>
          <w:szCs w:val="20"/>
        </w:rPr>
        <w:t>s</w:t>
      </w:r>
      <w:r w:rsidRPr="00065CEA">
        <w:rPr>
          <w:szCs w:val="20"/>
        </w:rPr>
        <w:t xml:space="preserve"> over time from 2016-2030</w:t>
      </w:r>
      <w:r>
        <w:rPr>
          <w:szCs w:val="20"/>
        </w:rPr>
        <w:t>,</w:t>
      </w:r>
      <w:r w:rsidR="00663698">
        <w:rPr>
          <w:szCs w:val="20"/>
        </w:rPr>
        <w:t xml:space="preserve"> </w:t>
      </w:r>
      <w:r>
        <w:rPr>
          <w:szCs w:val="20"/>
        </w:rPr>
        <w:t>resulting in an increase in</w:t>
      </w:r>
      <w:r w:rsidRPr="00065CEA">
        <w:rPr>
          <w:szCs w:val="20"/>
        </w:rPr>
        <w:t xml:space="preserve"> the absolute number of actual HER participants </w:t>
      </w:r>
      <w:r>
        <w:rPr>
          <w:szCs w:val="20"/>
        </w:rPr>
        <w:t>over time.</w:t>
      </w:r>
    </w:p>
    <w:p w14:paraId="57E92359" w14:textId="77777777" w:rsidR="00E01C42" w:rsidRPr="00065CEA" w:rsidRDefault="00E01C42" w:rsidP="00E01C42">
      <w:pPr>
        <w:rPr>
          <w:szCs w:val="20"/>
        </w:rPr>
      </w:pPr>
    </w:p>
    <w:p w14:paraId="25FDE7EC" w14:textId="77777777" w:rsidR="00E01C42" w:rsidRDefault="00E01C42" w:rsidP="00E01C42">
      <w:pPr>
        <w:rPr>
          <w:szCs w:val="20"/>
        </w:rPr>
      </w:pPr>
      <w:r>
        <w:rPr>
          <w:b/>
          <w:i/>
          <w:szCs w:val="20"/>
        </w:rPr>
        <w:t>Savings</w:t>
      </w:r>
    </w:p>
    <w:p w14:paraId="18B7135E" w14:textId="77777777" w:rsidR="00E01C42" w:rsidRDefault="00E01C42" w:rsidP="00E01C42">
      <w:pPr>
        <w:rPr>
          <w:szCs w:val="20"/>
        </w:rPr>
      </w:pPr>
      <w:r w:rsidRPr="001F55DD">
        <w:rPr>
          <w:szCs w:val="20"/>
        </w:rPr>
        <w:t xml:space="preserve">The team </w:t>
      </w:r>
      <w:r w:rsidRPr="00065CEA">
        <w:rPr>
          <w:szCs w:val="20"/>
        </w:rPr>
        <w:t xml:space="preserve">reviewed </w:t>
      </w:r>
      <w:r>
        <w:rPr>
          <w:szCs w:val="20"/>
        </w:rPr>
        <w:t>the above-mentioned evaluations of all IOU HER</w:t>
      </w:r>
      <w:r w:rsidRPr="00065CEA">
        <w:rPr>
          <w:szCs w:val="20"/>
        </w:rPr>
        <w:t xml:space="preserve"> programs to compile </w:t>
      </w:r>
      <w:r w:rsidRPr="001F55DD">
        <w:rPr>
          <w:szCs w:val="20"/>
        </w:rPr>
        <w:t>per-household adjusted savings rates for each</w:t>
      </w:r>
      <w:r w:rsidRPr="00065CEA">
        <w:rPr>
          <w:szCs w:val="20"/>
        </w:rPr>
        <w:t xml:space="preserve"> wave of each year of</w:t>
      </w:r>
      <w:r w:rsidRPr="001F55DD">
        <w:rPr>
          <w:szCs w:val="20"/>
        </w:rPr>
        <w:t xml:space="preserve"> </w:t>
      </w:r>
      <w:r>
        <w:rPr>
          <w:szCs w:val="20"/>
        </w:rPr>
        <w:t>each HER</w:t>
      </w:r>
      <w:r w:rsidRPr="00065CEA">
        <w:rPr>
          <w:szCs w:val="20"/>
        </w:rPr>
        <w:t xml:space="preserve"> program, spanning from 2011-2014</w:t>
      </w:r>
      <w:r>
        <w:rPr>
          <w:szCs w:val="20"/>
        </w:rPr>
        <w:t>,</w:t>
      </w:r>
      <w:r w:rsidRPr="00065CEA">
        <w:rPr>
          <w:szCs w:val="20"/>
        </w:rPr>
        <w:t xml:space="preserve"> </w:t>
      </w:r>
      <w:r w:rsidRPr="00065CEA">
        <w:rPr>
          <w:szCs w:val="20"/>
        </w:rPr>
        <w:lastRenderedPageBreak/>
        <w:t>depending upon each utility’s first year of operation.</w:t>
      </w:r>
      <w:r>
        <w:rPr>
          <w:rStyle w:val="FootnoteReference"/>
          <w:szCs w:val="20"/>
        </w:rPr>
        <w:footnoteReference w:id="111"/>
      </w:r>
      <w:r>
        <w:rPr>
          <w:szCs w:val="20"/>
          <w:vertAlign w:val="superscript"/>
        </w:rPr>
        <w:t>,</w:t>
      </w:r>
      <w:r>
        <w:rPr>
          <w:rStyle w:val="FootnoteReference"/>
          <w:szCs w:val="20"/>
        </w:rPr>
        <w:footnoteReference w:id="112"/>
      </w:r>
      <w:r w:rsidRPr="00065CEA">
        <w:rPr>
          <w:szCs w:val="20"/>
        </w:rPr>
        <w:t xml:space="preserve"> We then calculated </w:t>
      </w:r>
      <w:r w:rsidRPr="001F55DD">
        <w:rPr>
          <w:szCs w:val="20"/>
        </w:rPr>
        <w:t>weighted average</w:t>
      </w:r>
      <w:r w:rsidRPr="00065CEA">
        <w:rPr>
          <w:szCs w:val="20"/>
        </w:rPr>
        <w:t>s</w:t>
      </w:r>
      <w:r w:rsidRPr="001F55DD">
        <w:rPr>
          <w:szCs w:val="20"/>
        </w:rPr>
        <w:t xml:space="preserve"> using each individual wave treatment participation numbers and per househol</w:t>
      </w:r>
      <w:r w:rsidRPr="00065CEA">
        <w:rPr>
          <w:szCs w:val="20"/>
        </w:rPr>
        <w:t xml:space="preserve">d savings percentages to derive singular values for kWh and therm savings </w:t>
      </w:r>
      <w:r w:rsidRPr="001F55DD">
        <w:rPr>
          <w:szCs w:val="20"/>
        </w:rPr>
        <w:t xml:space="preserve">that </w:t>
      </w:r>
      <w:r w:rsidRPr="00065CEA">
        <w:rPr>
          <w:szCs w:val="20"/>
        </w:rPr>
        <w:t>can</w:t>
      </w:r>
      <w:r w:rsidRPr="001F55DD">
        <w:rPr>
          <w:szCs w:val="20"/>
        </w:rPr>
        <w:t xml:space="preserve"> be applied across the full treatment population</w:t>
      </w:r>
      <w:r w:rsidRPr="00065CEA">
        <w:rPr>
          <w:szCs w:val="20"/>
        </w:rPr>
        <w:t xml:space="preserve">s for each utility. </w:t>
      </w:r>
    </w:p>
    <w:p w14:paraId="426EAD54" w14:textId="77777777" w:rsidR="00E01C42" w:rsidRDefault="00E01C42" w:rsidP="00E01C42">
      <w:pPr>
        <w:rPr>
          <w:szCs w:val="20"/>
        </w:rPr>
      </w:pPr>
    </w:p>
    <w:p w14:paraId="2AFC417D" w14:textId="77777777" w:rsidR="00E01C42" w:rsidRDefault="00E01C42" w:rsidP="00E01C42">
      <w:pPr>
        <w:rPr>
          <w:szCs w:val="20"/>
        </w:rPr>
      </w:pPr>
      <w:r>
        <w:rPr>
          <w:szCs w:val="20"/>
        </w:rPr>
        <w:t>The model uses an EUL of one year for HER program participants. That is, while customers may participate in a utility HER program for more than one year, their average adjusted savings is assumed to be the same as for all other participants in that year. While some recent evaluations of HERs programs have found savings persistence of more than one year, reported savings percentages vary, with some sources citing higher later year savings and others showing a degradation of savings over time. For this model, an EUL of one year is assumed, as is standard with traditional persistence calculations for HER programs.</w:t>
      </w:r>
    </w:p>
    <w:p w14:paraId="2A692750" w14:textId="77777777" w:rsidR="00E01C42" w:rsidRPr="00065CEA" w:rsidRDefault="00E01C42" w:rsidP="00E01C42">
      <w:pPr>
        <w:rPr>
          <w:szCs w:val="20"/>
        </w:rPr>
      </w:pPr>
    </w:p>
    <w:p w14:paraId="1F15E5CE" w14:textId="77777777" w:rsidR="00E01C42" w:rsidRDefault="00E01C42" w:rsidP="00E01C42">
      <w:pPr>
        <w:rPr>
          <w:szCs w:val="20"/>
        </w:rPr>
      </w:pPr>
      <w:r>
        <w:rPr>
          <w:szCs w:val="20"/>
        </w:rPr>
        <w:t xml:space="preserve">The ratio of kW to kWh </w:t>
      </w:r>
      <w:r w:rsidRPr="00065CEA">
        <w:rPr>
          <w:szCs w:val="20"/>
        </w:rPr>
        <w:t>savings was developed using a weighted average of adjusted kW and kWh savings as reported in DNV-GL’s 2013 and 2014 evaluation findings for PG&amp;E and SCE. SDG&amp;E</w:t>
      </w:r>
      <w:r>
        <w:rPr>
          <w:szCs w:val="20"/>
        </w:rPr>
        <w:t>’s</w:t>
      </w:r>
      <w:r w:rsidRPr="00065CEA">
        <w:rPr>
          <w:szCs w:val="20"/>
        </w:rPr>
        <w:t xml:space="preserve"> kW demand data was not </w:t>
      </w:r>
      <w:r>
        <w:rPr>
          <w:szCs w:val="20"/>
        </w:rPr>
        <w:t>reported in its formal evaluations</w:t>
      </w:r>
      <w:r w:rsidRPr="00065CEA">
        <w:rPr>
          <w:szCs w:val="20"/>
        </w:rPr>
        <w:t xml:space="preserve"> and thus </w:t>
      </w:r>
      <w:r>
        <w:rPr>
          <w:szCs w:val="20"/>
        </w:rPr>
        <w:t>we have applied</w:t>
      </w:r>
      <w:r w:rsidRPr="00065CEA">
        <w:rPr>
          <w:szCs w:val="20"/>
        </w:rPr>
        <w:t xml:space="preserve"> the same </w:t>
      </w:r>
      <w:r>
        <w:rPr>
          <w:szCs w:val="20"/>
        </w:rPr>
        <w:t>value</w:t>
      </w:r>
      <w:r w:rsidRPr="00065CEA">
        <w:rPr>
          <w:szCs w:val="20"/>
        </w:rPr>
        <w:t xml:space="preserve"> as used for PG&amp;E and SCE.</w:t>
      </w:r>
    </w:p>
    <w:p w14:paraId="261DDD17" w14:textId="77777777" w:rsidR="00E01C42" w:rsidRPr="001F55DD" w:rsidRDefault="00E01C42" w:rsidP="00E01C42">
      <w:pPr>
        <w:rPr>
          <w:szCs w:val="20"/>
        </w:rPr>
      </w:pPr>
    </w:p>
    <w:p w14:paraId="62B7793F" w14:textId="77777777" w:rsidR="00E01C42" w:rsidRDefault="00E01C42" w:rsidP="00E01C42">
      <w:pPr>
        <w:rPr>
          <w:szCs w:val="20"/>
        </w:rPr>
      </w:pPr>
      <w:r w:rsidRPr="00DF089C">
        <w:rPr>
          <w:b/>
          <w:i/>
          <w:szCs w:val="20"/>
        </w:rPr>
        <w:t>Cost</w:t>
      </w:r>
    </w:p>
    <w:p w14:paraId="33B34113" w14:textId="77777777" w:rsidR="00E01C42" w:rsidRPr="00065CEA" w:rsidRDefault="00E01C42" w:rsidP="00E01C42">
      <w:pPr>
        <w:rPr>
          <w:szCs w:val="20"/>
        </w:rPr>
      </w:pPr>
      <w:r w:rsidRPr="00065CEA">
        <w:rPr>
          <w:szCs w:val="20"/>
        </w:rPr>
        <w:t>Cost</w:t>
      </w:r>
      <w:r>
        <w:rPr>
          <w:szCs w:val="20"/>
        </w:rPr>
        <w:t>s</w:t>
      </w:r>
      <w:r w:rsidRPr="00065CEA">
        <w:rPr>
          <w:szCs w:val="20"/>
        </w:rPr>
        <w:t xml:space="preserve"> per unit of kWh and therm savings </w:t>
      </w:r>
      <w:r>
        <w:rPr>
          <w:szCs w:val="20"/>
        </w:rPr>
        <w:t>were</w:t>
      </w:r>
      <w:r w:rsidRPr="00065CEA">
        <w:rPr>
          <w:szCs w:val="20"/>
        </w:rPr>
        <w:t xml:space="preserve"> calculated based on utility-reported HER program costs for 2013 and 2014 as found at </w:t>
      </w:r>
      <w:r w:rsidRPr="000414FF">
        <w:rPr>
          <w:szCs w:val="20"/>
        </w:rPr>
        <w:t>eestats.cpuc.ca.gov</w:t>
      </w:r>
      <w:r w:rsidRPr="00065CEA">
        <w:rPr>
          <w:szCs w:val="20"/>
        </w:rPr>
        <w:t>. These costs were divided by the adjusted kWh and therm s</w:t>
      </w:r>
      <w:r>
        <w:rPr>
          <w:szCs w:val="20"/>
        </w:rPr>
        <w:t>avings as reported in the above-</w:t>
      </w:r>
      <w:r w:rsidRPr="00065CEA">
        <w:rPr>
          <w:szCs w:val="20"/>
        </w:rPr>
        <w:t xml:space="preserve">mentioned 2013 and 2014 DNV-GL evaluation findings for </w:t>
      </w:r>
      <w:r w:rsidR="00663698">
        <w:rPr>
          <w:szCs w:val="20"/>
        </w:rPr>
        <w:t>SCE</w:t>
      </w:r>
      <w:r w:rsidRPr="00065CEA">
        <w:rPr>
          <w:szCs w:val="20"/>
        </w:rPr>
        <w:t xml:space="preserve"> and SDG&amp;E. </w:t>
      </w:r>
      <w:r w:rsidR="00663698">
        <w:rPr>
          <w:szCs w:val="20"/>
        </w:rPr>
        <w:t>PG&amp;E provided their own cost values.</w:t>
      </w:r>
      <w:r w:rsidR="004B6594">
        <w:rPr>
          <w:rStyle w:val="FootnoteReference"/>
          <w:szCs w:val="20"/>
        </w:rPr>
        <w:footnoteReference w:id="113"/>
      </w:r>
      <w:r w:rsidR="00663698">
        <w:rPr>
          <w:szCs w:val="20"/>
        </w:rPr>
        <w:t xml:space="preserve"> </w:t>
      </w:r>
      <w:r w:rsidRPr="00065CEA">
        <w:rPr>
          <w:szCs w:val="20"/>
        </w:rPr>
        <w:t xml:space="preserve">Therm savings for </w:t>
      </w:r>
      <w:r>
        <w:rPr>
          <w:szCs w:val="20"/>
        </w:rPr>
        <w:t xml:space="preserve">multiple years of </w:t>
      </w:r>
      <w:r w:rsidRPr="00065CEA">
        <w:rPr>
          <w:szCs w:val="20"/>
        </w:rPr>
        <w:t xml:space="preserve">SCG </w:t>
      </w:r>
      <w:r>
        <w:rPr>
          <w:szCs w:val="20"/>
        </w:rPr>
        <w:t xml:space="preserve">HER programs </w:t>
      </w:r>
      <w:r w:rsidRPr="00065CEA">
        <w:rPr>
          <w:szCs w:val="20"/>
        </w:rPr>
        <w:t>were obtained from Nexant’s Evaluation of Southern California Gas Company’s 2015</w:t>
      </w:r>
      <w:r w:rsidRPr="00065CEA">
        <w:rPr>
          <w:rFonts w:ascii="Cambria Math" w:hAnsi="Cambria Math" w:cs="Cambria Math"/>
          <w:szCs w:val="20"/>
        </w:rPr>
        <w:t>‐</w:t>
      </w:r>
      <w:r w:rsidRPr="00065CEA">
        <w:rPr>
          <w:szCs w:val="20"/>
        </w:rPr>
        <w:t>2016 Conservation Campaign, August 31, 2016</w:t>
      </w:r>
      <w:r>
        <w:rPr>
          <w:szCs w:val="20"/>
        </w:rPr>
        <w:t>.</w:t>
      </w:r>
    </w:p>
    <w:p w14:paraId="7ED451E9" w14:textId="77777777" w:rsidR="00E01C42" w:rsidRDefault="00E01C42" w:rsidP="00E01C42">
      <w:pPr>
        <w:pStyle w:val="Heading6"/>
        <w:numPr>
          <w:ilvl w:val="5"/>
          <w:numId w:val="8"/>
        </w:numPr>
        <w:ind w:left="0" w:firstLine="0"/>
      </w:pPr>
      <w:bookmarkStart w:id="1025" w:name="_Toc480271807"/>
      <w:bookmarkStart w:id="1026" w:name="_Toc484183064"/>
      <w:bookmarkStart w:id="1027" w:name="_Toc490225830"/>
      <w:r>
        <w:t>Residential - Real-Time Feedback: In Home Displays and Online Portals</w:t>
      </w:r>
      <w:bookmarkEnd w:id="1025"/>
      <w:bookmarkEnd w:id="1026"/>
      <w:bookmarkEnd w:id="1027"/>
    </w:p>
    <w:p w14:paraId="325759F2" w14:textId="77777777" w:rsidR="00E01C42" w:rsidRDefault="00E01C42" w:rsidP="00E01C42">
      <w:pPr>
        <w:rPr>
          <w:b/>
        </w:rPr>
      </w:pPr>
      <w:r w:rsidRPr="00DF089C">
        <w:rPr>
          <w:b/>
        </w:rPr>
        <w:t xml:space="preserve">Summary </w:t>
      </w:r>
    </w:p>
    <w:p w14:paraId="5C226DF5" w14:textId="77777777" w:rsidR="00E01C42" w:rsidRPr="00B11C52" w:rsidRDefault="00E01C42" w:rsidP="00E01C42"/>
    <w:p w14:paraId="2FE13010" w14:textId="77777777" w:rsidR="00E01C42" w:rsidRDefault="00E01C42" w:rsidP="00E01C42">
      <w:pPr>
        <w:autoSpaceDE w:val="0"/>
        <w:autoSpaceDN w:val="0"/>
        <w:adjustRightInd w:val="0"/>
        <w:spacing w:line="240" w:lineRule="auto"/>
        <w:rPr>
          <w:szCs w:val="20"/>
        </w:rPr>
      </w:pPr>
      <w:r w:rsidRPr="00D32D6D">
        <w:rPr>
          <w:szCs w:val="20"/>
        </w:rPr>
        <w:t xml:space="preserve">Unlike HERs that arrive in the mail on a periodic basis, real-time feedback programs </w:t>
      </w:r>
      <w:r>
        <w:rPr>
          <w:szCs w:val="20"/>
        </w:rPr>
        <w:t>change customer behaviors by delivering</w:t>
      </w:r>
      <w:r w:rsidRPr="00D32D6D">
        <w:rPr>
          <w:szCs w:val="20"/>
        </w:rPr>
        <w:t xml:space="preserve"> advanced metering </w:t>
      </w:r>
      <w:r>
        <w:rPr>
          <w:szCs w:val="20"/>
        </w:rPr>
        <w:t xml:space="preserve">data on </w:t>
      </w:r>
      <w:r w:rsidRPr="00D32D6D">
        <w:rPr>
          <w:szCs w:val="20"/>
        </w:rPr>
        <w:t xml:space="preserve">household consumption </w:t>
      </w:r>
      <w:r>
        <w:rPr>
          <w:szCs w:val="20"/>
        </w:rPr>
        <w:t xml:space="preserve">to utility customers via an </w:t>
      </w:r>
      <w:r>
        <w:rPr>
          <w:szCs w:val="20"/>
        </w:rPr>
        <w:br/>
        <w:t>in-</w:t>
      </w:r>
      <w:r w:rsidRPr="00D32D6D">
        <w:rPr>
          <w:szCs w:val="20"/>
        </w:rPr>
        <w:t xml:space="preserve">home display </w:t>
      </w:r>
      <w:r>
        <w:rPr>
          <w:szCs w:val="20"/>
        </w:rPr>
        <w:t xml:space="preserve">(IHD) </w:t>
      </w:r>
      <w:r w:rsidRPr="00D32D6D">
        <w:rPr>
          <w:szCs w:val="20"/>
        </w:rPr>
        <w:t xml:space="preserve">or remotely via an online portal, such as a website or a smart phone application. While some feedback programs only provide information, others </w:t>
      </w:r>
      <w:r>
        <w:rPr>
          <w:szCs w:val="20"/>
        </w:rPr>
        <w:t>provide energy saving tips, rewards, social comparisons, and/or alerts.</w:t>
      </w:r>
    </w:p>
    <w:p w14:paraId="6CFDAA67" w14:textId="77777777" w:rsidR="00E01C42" w:rsidRDefault="00E01C42" w:rsidP="00E01C42">
      <w:pPr>
        <w:autoSpaceDE w:val="0"/>
        <w:autoSpaceDN w:val="0"/>
        <w:adjustRightInd w:val="0"/>
        <w:spacing w:line="240" w:lineRule="auto"/>
        <w:rPr>
          <w:szCs w:val="20"/>
        </w:rPr>
      </w:pPr>
    </w:p>
    <w:p w14:paraId="5A7F3464" w14:textId="77777777" w:rsidR="00E01C42" w:rsidRDefault="00E01C42" w:rsidP="00E01C42">
      <w:pPr>
        <w:autoSpaceDE w:val="0"/>
        <w:autoSpaceDN w:val="0"/>
        <w:adjustRightInd w:val="0"/>
        <w:spacing w:line="240" w:lineRule="auto"/>
        <w:rPr>
          <w:szCs w:val="20"/>
        </w:rPr>
      </w:pPr>
      <w:r>
        <w:rPr>
          <w:szCs w:val="20"/>
        </w:rPr>
        <w:t>Although utility behavior programs utilizing</w:t>
      </w:r>
      <w:r w:rsidRPr="00D32D6D">
        <w:rPr>
          <w:szCs w:val="20"/>
        </w:rPr>
        <w:t xml:space="preserve"> </w:t>
      </w:r>
      <w:r>
        <w:rPr>
          <w:szCs w:val="20"/>
        </w:rPr>
        <w:t>IHD</w:t>
      </w:r>
      <w:r w:rsidRPr="00D32D6D">
        <w:rPr>
          <w:szCs w:val="20"/>
        </w:rPr>
        <w:t xml:space="preserve">s and online portals both afford </w:t>
      </w:r>
      <w:r>
        <w:rPr>
          <w:szCs w:val="20"/>
        </w:rPr>
        <w:t>feedback</w:t>
      </w:r>
      <w:r w:rsidRPr="00D32D6D">
        <w:rPr>
          <w:szCs w:val="20"/>
        </w:rPr>
        <w:t xml:space="preserve"> opportunities</w:t>
      </w:r>
      <w:r>
        <w:rPr>
          <w:szCs w:val="20"/>
        </w:rPr>
        <w:t>,</w:t>
      </w:r>
      <w:r w:rsidRPr="00D32D6D">
        <w:rPr>
          <w:szCs w:val="20"/>
        </w:rPr>
        <w:t xml:space="preserve"> we have separated our modeling inputs for the two categories to better capture</w:t>
      </w:r>
      <w:r>
        <w:rPr>
          <w:szCs w:val="20"/>
        </w:rPr>
        <w:t xml:space="preserve"> differences in adoption, energy savings, and</w:t>
      </w:r>
      <w:r w:rsidRPr="00D32D6D">
        <w:rPr>
          <w:szCs w:val="20"/>
        </w:rPr>
        <w:t xml:space="preserve"> cost</w:t>
      </w:r>
      <w:r>
        <w:rPr>
          <w:szCs w:val="20"/>
        </w:rPr>
        <w:t>s</w:t>
      </w:r>
      <w:r w:rsidRPr="00D32D6D">
        <w:rPr>
          <w:szCs w:val="20"/>
        </w:rPr>
        <w:t xml:space="preserve"> between</w:t>
      </w:r>
      <w:r>
        <w:rPr>
          <w:szCs w:val="20"/>
        </w:rPr>
        <w:t xml:space="preserve"> the two types of</w:t>
      </w:r>
      <w:r w:rsidRPr="00D32D6D">
        <w:rPr>
          <w:szCs w:val="20"/>
        </w:rPr>
        <w:t xml:space="preserve"> programs</w:t>
      </w:r>
      <w:r>
        <w:rPr>
          <w:szCs w:val="20"/>
        </w:rPr>
        <w:t>.</w:t>
      </w:r>
      <w:r w:rsidRPr="00D32D6D">
        <w:rPr>
          <w:szCs w:val="20"/>
        </w:rPr>
        <w:t xml:space="preserve"> </w:t>
      </w:r>
      <w:r>
        <w:rPr>
          <w:szCs w:val="20"/>
        </w:rPr>
        <w:t xml:space="preserve">Of note is the higher cost typically associated with </w:t>
      </w:r>
      <w:r w:rsidRPr="00D32D6D">
        <w:rPr>
          <w:szCs w:val="20"/>
        </w:rPr>
        <w:t xml:space="preserve">offering in-home displays, due to </w:t>
      </w:r>
      <w:r>
        <w:rPr>
          <w:szCs w:val="20"/>
        </w:rPr>
        <w:t xml:space="preserve">the need for the installation of specialized </w:t>
      </w:r>
      <w:r w:rsidRPr="00D32D6D">
        <w:rPr>
          <w:szCs w:val="20"/>
        </w:rPr>
        <w:t>hardware</w:t>
      </w:r>
      <w:r>
        <w:rPr>
          <w:szCs w:val="20"/>
        </w:rPr>
        <w:t xml:space="preserve">, whereas </w:t>
      </w:r>
      <w:r w:rsidRPr="00D32D6D">
        <w:rPr>
          <w:szCs w:val="20"/>
        </w:rPr>
        <w:t xml:space="preserve">online portals </w:t>
      </w:r>
      <w:r>
        <w:rPr>
          <w:szCs w:val="20"/>
        </w:rPr>
        <w:t>typically</w:t>
      </w:r>
      <w:r w:rsidRPr="00D32D6D">
        <w:rPr>
          <w:szCs w:val="20"/>
        </w:rPr>
        <w:t xml:space="preserve"> provide cloud-based information directly to the customer’s smartphone, tablet</w:t>
      </w:r>
      <w:r>
        <w:rPr>
          <w:szCs w:val="20"/>
        </w:rPr>
        <w:t>,</w:t>
      </w:r>
      <w:r w:rsidRPr="00D32D6D">
        <w:rPr>
          <w:szCs w:val="20"/>
        </w:rPr>
        <w:t xml:space="preserve"> or computer. </w:t>
      </w:r>
    </w:p>
    <w:p w14:paraId="5D09CDA6" w14:textId="77777777" w:rsidR="00E01C42" w:rsidRDefault="00E01C42" w:rsidP="00E01C42">
      <w:pPr>
        <w:autoSpaceDE w:val="0"/>
        <w:autoSpaceDN w:val="0"/>
        <w:adjustRightInd w:val="0"/>
        <w:spacing w:line="240" w:lineRule="auto"/>
        <w:rPr>
          <w:szCs w:val="20"/>
        </w:rPr>
      </w:pPr>
    </w:p>
    <w:p w14:paraId="5C2333AB" w14:textId="77777777" w:rsidR="00E01C42" w:rsidRDefault="00E01C42" w:rsidP="00E01C42">
      <w:pPr>
        <w:autoSpaceDE w:val="0"/>
        <w:autoSpaceDN w:val="0"/>
        <w:adjustRightInd w:val="0"/>
        <w:spacing w:line="240" w:lineRule="auto"/>
        <w:rPr>
          <w:szCs w:val="20"/>
        </w:rPr>
      </w:pPr>
      <w:r>
        <w:rPr>
          <w:szCs w:val="20"/>
        </w:rPr>
        <w:lastRenderedPageBreak/>
        <w:t>Real-time feedback programs may also be associated with different customer rates, including time of use plans and more traditional usage based billing.</w:t>
      </w:r>
      <w:r w:rsidRPr="00D32D6D">
        <w:rPr>
          <w:szCs w:val="20"/>
        </w:rPr>
        <w:t xml:space="preserve"> </w:t>
      </w:r>
      <w:r>
        <w:rPr>
          <w:szCs w:val="20"/>
        </w:rPr>
        <w:t xml:space="preserve">Although real-time feedback is a popular behavioral intervention for demand response programs, our analysis focused on programs designed to drive energy efficiency. In all, we reviewed a total of 38 programs, including 20 providing IHDs and 18 offering online portals. Several programs offered both types of feedback. In those cases, we categorized them in the IHD category since they had associated costs for the hardware. </w:t>
      </w:r>
    </w:p>
    <w:p w14:paraId="4D820335" w14:textId="77777777" w:rsidR="00E01C42" w:rsidRDefault="00E01C42" w:rsidP="00E01C42">
      <w:pPr>
        <w:spacing w:line="240" w:lineRule="auto"/>
        <w:rPr>
          <w:b/>
          <w:bCs/>
          <w:color w:val="3F4042"/>
          <w:szCs w:val="20"/>
        </w:rPr>
      </w:pPr>
    </w:p>
    <w:p w14:paraId="0FC1EB2A" w14:textId="77777777" w:rsidR="00E01C42" w:rsidRPr="00B57F57" w:rsidRDefault="004675B4" w:rsidP="00E01C42">
      <w:pPr>
        <w:pStyle w:val="Caption"/>
        <w:rPr>
          <w:b w:val="0"/>
          <w:szCs w:val="24"/>
        </w:rPr>
      </w:pPr>
      <w:bookmarkStart w:id="1028" w:name="_Toc490226029"/>
      <w:r>
        <w:t xml:space="preserve">Table </w:t>
      </w:r>
      <w:fldSimple w:instr=" STYLEREF 5 \s ">
        <w:r w:rsidR="007566B9">
          <w:rPr>
            <w:noProof/>
          </w:rPr>
          <w:t>C</w:t>
        </w:r>
      </w:fldSimple>
      <w:r>
        <w:noBreakHyphen/>
      </w:r>
      <w:fldSimple w:instr=" SEQ Table_Apx \* ARABIC \s 5 ">
        <w:r w:rsidR="007566B9">
          <w:rPr>
            <w:noProof/>
          </w:rPr>
          <w:t>2</w:t>
        </w:r>
      </w:fldSimple>
      <w:r>
        <w:t xml:space="preserve">. </w:t>
      </w:r>
      <w:r w:rsidR="00E01C42">
        <w:t>Real-Time Feedback - Key Assumptions</w:t>
      </w:r>
      <w:bookmarkEnd w:id="1028"/>
    </w:p>
    <w:tbl>
      <w:tblPr>
        <w:tblW w:w="9482" w:type="dxa"/>
        <w:jc w:val="center"/>
        <w:tblBorders>
          <w:bottom w:val="single" w:sz="8" w:space="0" w:color="555759"/>
          <w:insideH w:val="single" w:sz="4" w:space="0" w:color="DCDDDE"/>
        </w:tblBorders>
        <w:tblLook w:val="04A0" w:firstRow="1" w:lastRow="0" w:firstColumn="1" w:lastColumn="0" w:noHBand="0" w:noVBand="1"/>
      </w:tblPr>
      <w:tblGrid>
        <w:gridCol w:w="1109"/>
        <w:gridCol w:w="1506"/>
        <w:gridCol w:w="991"/>
        <w:gridCol w:w="937"/>
        <w:gridCol w:w="1217"/>
        <w:gridCol w:w="950"/>
        <w:gridCol w:w="1094"/>
        <w:gridCol w:w="1678"/>
      </w:tblGrid>
      <w:tr w:rsidR="002544A3" w:rsidRPr="008B4D66" w14:paraId="5805DD12" w14:textId="77777777" w:rsidTr="008C0AC4">
        <w:trPr>
          <w:cantSplit/>
          <w:trHeight w:val="296"/>
          <w:tblHeader/>
          <w:jc w:val="center"/>
        </w:trPr>
        <w:tc>
          <w:tcPr>
            <w:tcW w:w="1109" w:type="dxa"/>
            <w:vMerge w:val="restart"/>
            <w:tcBorders>
              <w:top w:val="nil"/>
              <w:left w:val="nil"/>
              <w:bottom w:val="single" w:sz="12" w:space="0" w:color="95D600"/>
              <w:right w:val="nil"/>
              <w:tl2br w:val="nil"/>
              <w:tr2bl w:val="nil"/>
            </w:tcBorders>
            <w:shd w:val="clear" w:color="auto" w:fill="555759"/>
            <w:hideMark/>
          </w:tcPr>
          <w:p w14:paraId="1D6754BF" w14:textId="77777777" w:rsidR="00E01C42" w:rsidRPr="00D11078" w:rsidRDefault="00E01C42" w:rsidP="008C0AC4">
            <w:pPr>
              <w:spacing w:before="40" w:after="40"/>
              <w:jc w:val="center"/>
              <w:rPr>
                <w:b/>
                <w:color w:val="FFFFFF"/>
              </w:rPr>
            </w:pPr>
            <w:r w:rsidRPr="00D11078">
              <w:rPr>
                <w:b/>
                <w:color w:val="FFFFFF"/>
              </w:rPr>
              <w:t>Sector</w:t>
            </w:r>
          </w:p>
        </w:tc>
        <w:tc>
          <w:tcPr>
            <w:tcW w:w="1506" w:type="dxa"/>
            <w:vMerge w:val="restart"/>
            <w:tcBorders>
              <w:top w:val="nil"/>
              <w:left w:val="nil"/>
              <w:bottom w:val="single" w:sz="12" w:space="0" w:color="95D600"/>
              <w:right w:val="nil"/>
              <w:tl2br w:val="nil"/>
              <w:tr2bl w:val="nil"/>
            </w:tcBorders>
            <w:shd w:val="clear" w:color="auto" w:fill="555759"/>
            <w:hideMark/>
          </w:tcPr>
          <w:p w14:paraId="202AD67D" w14:textId="77777777" w:rsidR="00E01C42" w:rsidRPr="00D11078" w:rsidRDefault="00E01C42" w:rsidP="008C0AC4">
            <w:pPr>
              <w:spacing w:before="40" w:after="40"/>
              <w:jc w:val="center"/>
              <w:rPr>
                <w:b/>
                <w:color w:val="FFFFFF"/>
              </w:rPr>
            </w:pPr>
            <w:r w:rsidRPr="00D11078">
              <w:rPr>
                <w:b/>
                <w:color w:val="FFFFFF"/>
              </w:rPr>
              <w:t>Type</w:t>
            </w:r>
          </w:p>
        </w:tc>
        <w:tc>
          <w:tcPr>
            <w:tcW w:w="991" w:type="dxa"/>
            <w:vMerge w:val="restart"/>
            <w:tcBorders>
              <w:top w:val="nil"/>
              <w:left w:val="nil"/>
              <w:bottom w:val="single" w:sz="12" w:space="0" w:color="95D600"/>
              <w:right w:val="nil"/>
              <w:tl2br w:val="nil"/>
              <w:tr2bl w:val="nil"/>
            </w:tcBorders>
            <w:shd w:val="clear" w:color="auto" w:fill="555759"/>
            <w:hideMark/>
          </w:tcPr>
          <w:p w14:paraId="26734E9B" w14:textId="77777777" w:rsidR="00E01C42" w:rsidRPr="00D11078" w:rsidRDefault="00E01C42" w:rsidP="008C0AC4">
            <w:pPr>
              <w:spacing w:before="40" w:after="40"/>
              <w:jc w:val="center"/>
              <w:rPr>
                <w:b/>
                <w:color w:val="FFFFFF"/>
              </w:rPr>
            </w:pPr>
            <w:r w:rsidRPr="00D11078">
              <w:rPr>
                <w:b/>
                <w:color w:val="FFFFFF"/>
              </w:rPr>
              <w:t>EUL years</w:t>
            </w:r>
          </w:p>
        </w:tc>
        <w:tc>
          <w:tcPr>
            <w:tcW w:w="2154" w:type="dxa"/>
            <w:gridSpan w:val="2"/>
            <w:tcBorders>
              <w:top w:val="nil"/>
              <w:left w:val="nil"/>
              <w:bottom w:val="single" w:sz="2" w:space="0" w:color="FFFFFF"/>
              <w:right w:val="nil"/>
              <w:tl2br w:val="nil"/>
              <w:tr2bl w:val="nil"/>
            </w:tcBorders>
            <w:shd w:val="clear" w:color="auto" w:fill="555759"/>
            <w:hideMark/>
          </w:tcPr>
          <w:p w14:paraId="309B57F1" w14:textId="77777777" w:rsidR="00E01C42" w:rsidRPr="00D11078" w:rsidRDefault="00E01C42" w:rsidP="008C0AC4">
            <w:pPr>
              <w:spacing w:before="40" w:after="40"/>
              <w:jc w:val="center"/>
              <w:rPr>
                <w:b/>
                <w:color w:val="FFFFFF"/>
              </w:rPr>
            </w:pPr>
            <w:r w:rsidRPr="00D11078">
              <w:rPr>
                <w:b/>
                <w:color w:val="FFFFFF"/>
              </w:rPr>
              <w:t>Savings</w:t>
            </w:r>
          </w:p>
        </w:tc>
        <w:tc>
          <w:tcPr>
            <w:tcW w:w="2044" w:type="dxa"/>
            <w:gridSpan w:val="2"/>
            <w:tcBorders>
              <w:top w:val="nil"/>
              <w:left w:val="nil"/>
              <w:bottom w:val="single" w:sz="2" w:space="0" w:color="FFFFFF"/>
              <w:right w:val="nil"/>
              <w:tl2br w:val="nil"/>
              <w:tr2bl w:val="nil"/>
            </w:tcBorders>
            <w:shd w:val="clear" w:color="auto" w:fill="555759"/>
            <w:hideMark/>
          </w:tcPr>
          <w:p w14:paraId="528984E7" w14:textId="77777777" w:rsidR="00E01C42" w:rsidRPr="00D11078" w:rsidRDefault="00E01C42" w:rsidP="008C0AC4">
            <w:pPr>
              <w:spacing w:before="40" w:after="40"/>
              <w:jc w:val="center"/>
              <w:rPr>
                <w:b/>
                <w:color w:val="FFFFFF"/>
              </w:rPr>
            </w:pPr>
            <w:r w:rsidRPr="00D11078">
              <w:rPr>
                <w:b/>
                <w:color w:val="FFFFFF"/>
              </w:rPr>
              <w:t>Cost</w:t>
            </w:r>
          </w:p>
        </w:tc>
        <w:tc>
          <w:tcPr>
            <w:tcW w:w="1678" w:type="dxa"/>
            <w:vMerge w:val="restart"/>
            <w:tcBorders>
              <w:top w:val="nil"/>
              <w:left w:val="nil"/>
              <w:bottom w:val="single" w:sz="12" w:space="0" w:color="95D600"/>
              <w:right w:val="nil"/>
              <w:tl2br w:val="nil"/>
              <w:tr2bl w:val="nil"/>
            </w:tcBorders>
            <w:shd w:val="clear" w:color="auto" w:fill="555759"/>
            <w:hideMark/>
          </w:tcPr>
          <w:p w14:paraId="00BC6F48" w14:textId="77777777" w:rsidR="00E01C42" w:rsidRPr="00D11078" w:rsidRDefault="00E01C42" w:rsidP="008C0AC4">
            <w:pPr>
              <w:spacing w:before="40" w:after="40"/>
              <w:jc w:val="center"/>
              <w:rPr>
                <w:b/>
                <w:color w:val="FFFFFF"/>
              </w:rPr>
            </w:pPr>
            <w:r w:rsidRPr="00D11078">
              <w:rPr>
                <w:b/>
                <w:color w:val="FFFFFF"/>
              </w:rPr>
              <w:t>kW/kWh Savings Ratio</w:t>
            </w:r>
          </w:p>
        </w:tc>
      </w:tr>
      <w:tr w:rsidR="002544A3" w:rsidRPr="008B4D66" w14:paraId="3C3053EE" w14:textId="77777777" w:rsidTr="008C0AC4">
        <w:trPr>
          <w:cantSplit/>
          <w:trHeight w:val="144"/>
          <w:tblHeader/>
          <w:jc w:val="center"/>
        </w:trPr>
        <w:tc>
          <w:tcPr>
            <w:tcW w:w="1109" w:type="dxa"/>
            <w:vMerge/>
            <w:tcBorders>
              <w:bottom w:val="single" w:sz="12" w:space="0" w:color="95D600"/>
            </w:tcBorders>
            <w:shd w:val="clear" w:color="auto" w:fill="auto"/>
            <w:hideMark/>
          </w:tcPr>
          <w:p w14:paraId="73FED30E" w14:textId="77777777" w:rsidR="00E01C42" w:rsidRPr="008B4D66" w:rsidRDefault="00E01C42" w:rsidP="008C0AC4">
            <w:pPr>
              <w:spacing w:before="40" w:after="40"/>
              <w:jc w:val="center"/>
            </w:pPr>
          </w:p>
        </w:tc>
        <w:tc>
          <w:tcPr>
            <w:tcW w:w="1506" w:type="dxa"/>
            <w:vMerge/>
            <w:tcBorders>
              <w:bottom w:val="single" w:sz="12" w:space="0" w:color="95D600"/>
            </w:tcBorders>
            <w:shd w:val="clear" w:color="auto" w:fill="auto"/>
            <w:hideMark/>
          </w:tcPr>
          <w:p w14:paraId="11F3AB63" w14:textId="77777777" w:rsidR="00E01C42" w:rsidRPr="008B4D66" w:rsidRDefault="00E01C42" w:rsidP="008C0AC4">
            <w:pPr>
              <w:spacing w:before="40" w:after="40"/>
              <w:jc w:val="center"/>
            </w:pPr>
          </w:p>
        </w:tc>
        <w:tc>
          <w:tcPr>
            <w:tcW w:w="991" w:type="dxa"/>
            <w:vMerge/>
            <w:tcBorders>
              <w:bottom w:val="single" w:sz="12" w:space="0" w:color="95D600"/>
            </w:tcBorders>
            <w:shd w:val="clear" w:color="auto" w:fill="555759"/>
            <w:hideMark/>
          </w:tcPr>
          <w:p w14:paraId="4C02ACA3" w14:textId="77777777" w:rsidR="00E01C42" w:rsidRPr="008B4D66" w:rsidRDefault="00E01C42" w:rsidP="008C0AC4">
            <w:pPr>
              <w:spacing w:before="40" w:after="40"/>
              <w:jc w:val="center"/>
            </w:pPr>
          </w:p>
        </w:tc>
        <w:tc>
          <w:tcPr>
            <w:tcW w:w="937" w:type="dxa"/>
            <w:tcBorders>
              <w:top w:val="single" w:sz="2" w:space="0" w:color="FFFFFF"/>
              <w:bottom w:val="single" w:sz="12" w:space="0" w:color="95D600"/>
            </w:tcBorders>
            <w:shd w:val="clear" w:color="auto" w:fill="555759"/>
            <w:hideMark/>
          </w:tcPr>
          <w:p w14:paraId="1DA5C17C" w14:textId="77777777" w:rsidR="00E01C42" w:rsidRPr="00D11078" w:rsidRDefault="00E01C42" w:rsidP="008C0AC4">
            <w:pPr>
              <w:spacing w:before="40" w:after="40"/>
              <w:jc w:val="center"/>
              <w:rPr>
                <w:b/>
                <w:color w:val="FFFFFF"/>
              </w:rPr>
            </w:pPr>
            <w:r w:rsidRPr="00D11078">
              <w:rPr>
                <w:b/>
                <w:color w:val="FFFFFF"/>
              </w:rPr>
              <w:t>kWh</w:t>
            </w:r>
          </w:p>
        </w:tc>
        <w:tc>
          <w:tcPr>
            <w:tcW w:w="1217" w:type="dxa"/>
            <w:tcBorders>
              <w:top w:val="single" w:sz="2" w:space="0" w:color="FFFFFF"/>
              <w:bottom w:val="single" w:sz="12" w:space="0" w:color="95D600"/>
            </w:tcBorders>
            <w:shd w:val="clear" w:color="auto" w:fill="555759"/>
            <w:hideMark/>
          </w:tcPr>
          <w:p w14:paraId="7AFC6478" w14:textId="77777777" w:rsidR="00E01C42" w:rsidRPr="00D11078" w:rsidRDefault="00E01C42" w:rsidP="008C0AC4">
            <w:pPr>
              <w:spacing w:before="40" w:after="40"/>
              <w:jc w:val="center"/>
              <w:rPr>
                <w:b/>
                <w:color w:val="FFFFFF"/>
              </w:rPr>
            </w:pPr>
            <w:r w:rsidRPr="00D11078">
              <w:rPr>
                <w:b/>
                <w:color w:val="FFFFFF"/>
              </w:rPr>
              <w:t>Therm</w:t>
            </w:r>
          </w:p>
        </w:tc>
        <w:tc>
          <w:tcPr>
            <w:tcW w:w="950" w:type="dxa"/>
            <w:tcBorders>
              <w:top w:val="single" w:sz="2" w:space="0" w:color="FFFFFF"/>
              <w:bottom w:val="single" w:sz="12" w:space="0" w:color="95D600"/>
            </w:tcBorders>
            <w:shd w:val="clear" w:color="auto" w:fill="555759"/>
            <w:hideMark/>
          </w:tcPr>
          <w:p w14:paraId="3FA7592A" w14:textId="77777777" w:rsidR="00E01C42" w:rsidRPr="00D11078" w:rsidRDefault="00E01C42" w:rsidP="008C0AC4">
            <w:pPr>
              <w:spacing w:before="40" w:after="40"/>
              <w:jc w:val="center"/>
              <w:rPr>
                <w:b/>
                <w:color w:val="FFFFFF"/>
              </w:rPr>
            </w:pPr>
            <w:r w:rsidRPr="00D11078">
              <w:rPr>
                <w:b/>
                <w:color w:val="FFFFFF"/>
              </w:rPr>
              <w:t>kWh</w:t>
            </w:r>
          </w:p>
        </w:tc>
        <w:tc>
          <w:tcPr>
            <w:tcW w:w="1094" w:type="dxa"/>
            <w:tcBorders>
              <w:top w:val="single" w:sz="2" w:space="0" w:color="FFFFFF"/>
              <w:bottom w:val="single" w:sz="12" w:space="0" w:color="95D600"/>
            </w:tcBorders>
            <w:shd w:val="clear" w:color="auto" w:fill="555759"/>
            <w:hideMark/>
          </w:tcPr>
          <w:p w14:paraId="1214669E" w14:textId="77777777" w:rsidR="00E01C42" w:rsidRPr="00D11078" w:rsidRDefault="00E01C42" w:rsidP="008C0AC4">
            <w:pPr>
              <w:spacing w:before="40" w:after="40"/>
              <w:jc w:val="center"/>
              <w:rPr>
                <w:b/>
                <w:color w:val="FFFFFF"/>
              </w:rPr>
            </w:pPr>
            <w:r w:rsidRPr="00D11078">
              <w:rPr>
                <w:b/>
                <w:color w:val="FFFFFF"/>
              </w:rPr>
              <w:t>Therm</w:t>
            </w:r>
          </w:p>
        </w:tc>
        <w:tc>
          <w:tcPr>
            <w:tcW w:w="1678" w:type="dxa"/>
            <w:vMerge/>
            <w:tcBorders>
              <w:bottom w:val="single" w:sz="12" w:space="0" w:color="95D600"/>
            </w:tcBorders>
            <w:shd w:val="clear" w:color="auto" w:fill="auto"/>
            <w:hideMark/>
          </w:tcPr>
          <w:p w14:paraId="33B18461" w14:textId="77777777" w:rsidR="00E01C42" w:rsidRPr="008B4D66" w:rsidRDefault="00E01C42" w:rsidP="008C0AC4">
            <w:pPr>
              <w:spacing w:before="40" w:after="40"/>
              <w:jc w:val="center"/>
            </w:pPr>
          </w:p>
        </w:tc>
      </w:tr>
      <w:tr w:rsidR="002544A3" w:rsidRPr="008B4D66" w14:paraId="5C6CBEEF" w14:textId="77777777" w:rsidTr="008C0AC4">
        <w:trPr>
          <w:cantSplit/>
          <w:trHeight w:val="738"/>
          <w:jc w:val="center"/>
        </w:trPr>
        <w:tc>
          <w:tcPr>
            <w:tcW w:w="1109" w:type="dxa"/>
            <w:tcBorders>
              <w:top w:val="single" w:sz="12" w:space="0" w:color="95D600"/>
              <w:bottom w:val="single" w:sz="4" w:space="0" w:color="DCDDDE"/>
            </w:tcBorders>
            <w:shd w:val="clear" w:color="auto" w:fill="FFFFFF"/>
            <w:hideMark/>
          </w:tcPr>
          <w:p w14:paraId="2510B15F" w14:textId="77777777" w:rsidR="00E01C42" w:rsidRPr="00D11078" w:rsidRDefault="00E01C42" w:rsidP="008C0AC4">
            <w:pPr>
              <w:spacing w:before="40" w:after="40"/>
              <w:jc w:val="center"/>
              <w:rPr>
                <w:color w:val="000000"/>
              </w:rPr>
            </w:pPr>
            <w:r w:rsidRPr="00D11078">
              <w:rPr>
                <w:color w:val="000000"/>
              </w:rPr>
              <w:t>RES</w:t>
            </w:r>
          </w:p>
        </w:tc>
        <w:tc>
          <w:tcPr>
            <w:tcW w:w="1506" w:type="dxa"/>
            <w:tcBorders>
              <w:top w:val="single" w:sz="12" w:space="0" w:color="95D600"/>
              <w:bottom w:val="single" w:sz="4" w:space="0" w:color="DCDDDE"/>
            </w:tcBorders>
            <w:shd w:val="clear" w:color="auto" w:fill="FFFFFF"/>
            <w:hideMark/>
          </w:tcPr>
          <w:p w14:paraId="0C71502C" w14:textId="77777777" w:rsidR="00E01C42" w:rsidRPr="00D11078" w:rsidRDefault="00E01C42" w:rsidP="008C0AC4">
            <w:pPr>
              <w:spacing w:before="40" w:after="40"/>
              <w:jc w:val="center"/>
              <w:rPr>
                <w:color w:val="000000"/>
              </w:rPr>
            </w:pPr>
            <w:r w:rsidRPr="00D11078">
              <w:rPr>
                <w:color w:val="000000"/>
              </w:rPr>
              <w:t>Real-Time Feedback – In Home Display</w:t>
            </w:r>
          </w:p>
        </w:tc>
        <w:tc>
          <w:tcPr>
            <w:tcW w:w="991" w:type="dxa"/>
            <w:tcBorders>
              <w:top w:val="single" w:sz="12" w:space="0" w:color="95D600"/>
              <w:bottom w:val="single" w:sz="4" w:space="0" w:color="DCDDDE"/>
            </w:tcBorders>
            <w:shd w:val="clear" w:color="auto" w:fill="FFFFFF"/>
            <w:hideMark/>
          </w:tcPr>
          <w:p w14:paraId="721D6679" w14:textId="77777777" w:rsidR="00E01C42" w:rsidRPr="00D11078" w:rsidRDefault="00E01C42" w:rsidP="008C0AC4">
            <w:pPr>
              <w:spacing w:before="40" w:after="40"/>
              <w:jc w:val="center"/>
              <w:rPr>
                <w:color w:val="000000"/>
              </w:rPr>
            </w:pPr>
            <w:r w:rsidRPr="00D11078">
              <w:rPr>
                <w:color w:val="000000"/>
              </w:rPr>
              <w:t>1</w:t>
            </w:r>
          </w:p>
        </w:tc>
        <w:tc>
          <w:tcPr>
            <w:tcW w:w="937" w:type="dxa"/>
            <w:tcBorders>
              <w:top w:val="single" w:sz="12" w:space="0" w:color="95D600"/>
              <w:bottom w:val="single" w:sz="4" w:space="0" w:color="DCDDDE"/>
            </w:tcBorders>
            <w:shd w:val="clear" w:color="auto" w:fill="FFFFFF"/>
            <w:hideMark/>
          </w:tcPr>
          <w:p w14:paraId="6CF11C87" w14:textId="77777777" w:rsidR="00E01C42" w:rsidRPr="00D11078" w:rsidRDefault="00E01C42" w:rsidP="008C0AC4">
            <w:pPr>
              <w:spacing w:before="40" w:after="40"/>
              <w:jc w:val="center"/>
              <w:rPr>
                <w:color w:val="000000"/>
              </w:rPr>
            </w:pPr>
            <w:r w:rsidRPr="00D11078">
              <w:rPr>
                <w:color w:val="000000"/>
              </w:rPr>
              <w:t>2.3%</w:t>
            </w:r>
          </w:p>
        </w:tc>
        <w:tc>
          <w:tcPr>
            <w:tcW w:w="1217" w:type="dxa"/>
            <w:tcBorders>
              <w:top w:val="single" w:sz="12" w:space="0" w:color="95D600"/>
              <w:bottom w:val="single" w:sz="4" w:space="0" w:color="DCDDDE"/>
            </w:tcBorders>
            <w:shd w:val="clear" w:color="auto" w:fill="FFFFFF"/>
            <w:hideMark/>
          </w:tcPr>
          <w:p w14:paraId="78E04886" w14:textId="77777777" w:rsidR="00E01C42" w:rsidRPr="00D11078" w:rsidRDefault="00E01C42" w:rsidP="008C0AC4">
            <w:pPr>
              <w:spacing w:before="40" w:after="40"/>
              <w:jc w:val="center"/>
              <w:rPr>
                <w:color w:val="000000"/>
              </w:rPr>
            </w:pPr>
            <w:r>
              <w:rPr>
                <w:color w:val="000000"/>
              </w:rPr>
              <w:t>--</w:t>
            </w:r>
          </w:p>
        </w:tc>
        <w:tc>
          <w:tcPr>
            <w:tcW w:w="950" w:type="dxa"/>
            <w:tcBorders>
              <w:top w:val="single" w:sz="12" w:space="0" w:color="95D600"/>
              <w:bottom w:val="single" w:sz="4" w:space="0" w:color="DCDDDE"/>
            </w:tcBorders>
            <w:shd w:val="clear" w:color="auto" w:fill="FFFFFF"/>
            <w:hideMark/>
          </w:tcPr>
          <w:p w14:paraId="4F4B22A8" w14:textId="77777777" w:rsidR="00E01C42" w:rsidRPr="00D11078" w:rsidRDefault="00663698" w:rsidP="008C0AC4">
            <w:pPr>
              <w:spacing w:before="40" w:after="40"/>
              <w:jc w:val="center"/>
              <w:rPr>
                <w:color w:val="000000"/>
              </w:rPr>
            </w:pPr>
            <w:r>
              <w:rPr>
                <w:color w:val="000000"/>
              </w:rPr>
              <w:t>$0.19</w:t>
            </w:r>
            <w:r w:rsidR="00E01C42" w:rsidRPr="00D11078">
              <w:rPr>
                <w:color w:val="000000"/>
              </w:rPr>
              <w:t xml:space="preserve"> </w:t>
            </w:r>
          </w:p>
        </w:tc>
        <w:tc>
          <w:tcPr>
            <w:tcW w:w="1094" w:type="dxa"/>
            <w:tcBorders>
              <w:top w:val="single" w:sz="12" w:space="0" w:color="95D600"/>
              <w:bottom w:val="single" w:sz="4" w:space="0" w:color="DCDDDE"/>
            </w:tcBorders>
            <w:shd w:val="clear" w:color="auto" w:fill="FFFFFF"/>
            <w:hideMark/>
          </w:tcPr>
          <w:p w14:paraId="107D691E" w14:textId="77777777" w:rsidR="00E01C42" w:rsidRPr="00D11078" w:rsidRDefault="00E01C42" w:rsidP="008C0AC4">
            <w:pPr>
              <w:spacing w:before="40" w:after="40"/>
              <w:jc w:val="center"/>
              <w:rPr>
                <w:color w:val="000000"/>
                <w:highlight w:val="red"/>
              </w:rPr>
            </w:pPr>
            <w:r>
              <w:rPr>
                <w:color w:val="000000"/>
              </w:rPr>
              <w:t>--</w:t>
            </w:r>
          </w:p>
        </w:tc>
        <w:tc>
          <w:tcPr>
            <w:tcW w:w="1678" w:type="dxa"/>
            <w:tcBorders>
              <w:top w:val="single" w:sz="12" w:space="0" w:color="95D600"/>
              <w:bottom w:val="single" w:sz="4" w:space="0" w:color="DCDDDE"/>
            </w:tcBorders>
            <w:shd w:val="clear" w:color="auto" w:fill="FFFFFF"/>
            <w:hideMark/>
          </w:tcPr>
          <w:p w14:paraId="36364E75" w14:textId="77777777" w:rsidR="00E01C42" w:rsidRPr="00D11078" w:rsidRDefault="00E01C42" w:rsidP="008C0AC4">
            <w:pPr>
              <w:spacing w:before="40" w:after="40"/>
              <w:jc w:val="center"/>
              <w:rPr>
                <w:color w:val="000000"/>
              </w:rPr>
            </w:pPr>
            <w:r w:rsidRPr="00D11078">
              <w:rPr>
                <w:color w:val="000000"/>
              </w:rPr>
              <w:t>0.00019058</w:t>
            </w:r>
          </w:p>
        </w:tc>
      </w:tr>
      <w:tr w:rsidR="00E01C42" w:rsidRPr="008B4D66" w14:paraId="75FEE17A" w14:textId="77777777" w:rsidTr="00AF21BE">
        <w:trPr>
          <w:cantSplit/>
          <w:trHeight w:val="738"/>
          <w:jc w:val="center"/>
        </w:trPr>
        <w:tc>
          <w:tcPr>
            <w:tcW w:w="1109" w:type="dxa"/>
            <w:tcBorders>
              <w:top w:val="single" w:sz="4" w:space="0" w:color="DCDDDE"/>
            </w:tcBorders>
            <w:shd w:val="clear" w:color="auto" w:fill="auto"/>
            <w:hideMark/>
          </w:tcPr>
          <w:p w14:paraId="52E5CE42" w14:textId="77777777" w:rsidR="00E01C42" w:rsidRPr="00D11078" w:rsidRDefault="00E01C42" w:rsidP="008C0AC4">
            <w:pPr>
              <w:spacing w:before="40" w:after="40"/>
              <w:jc w:val="center"/>
              <w:rPr>
                <w:color w:val="000000"/>
              </w:rPr>
            </w:pPr>
            <w:r w:rsidRPr="00D11078">
              <w:rPr>
                <w:color w:val="000000"/>
              </w:rPr>
              <w:t>RES</w:t>
            </w:r>
          </w:p>
        </w:tc>
        <w:tc>
          <w:tcPr>
            <w:tcW w:w="1506" w:type="dxa"/>
            <w:tcBorders>
              <w:top w:val="single" w:sz="4" w:space="0" w:color="DCDDDE"/>
            </w:tcBorders>
            <w:shd w:val="clear" w:color="auto" w:fill="auto"/>
            <w:hideMark/>
          </w:tcPr>
          <w:p w14:paraId="5526A858" w14:textId="77777777" w:rsidR="00E01C42" w:rsidRPr="00D11078" w:rsidRDefault="00E01C42" w:rsidP="008C0AC4">
            <w:pPr>
              <w:spacing w:before="40" w:after="40"/>
              <w:jc w:val="center"/>
              <w:rPr>
                <w:color w:val="000000"/>
              </w:rPr>
            </w:pPr>
            <w:r w:rsidRPr="00D11078">
              <w:rPr>
                <w:color w:val="000000"/>
              </w:rPr>
              <w:t>Real-Time Feedback – Online Portal</w:t>
            </w:r>
          </w:p>
        </w:tc>
        <w:tc>
          <w:tcPr>
            <w:tcW w:w="991" w:type="dxa"/>
            <w:tcBorders>
              <w:top w:val="single" w:sz="4" w:space="0" w:color="DCDDDE"/>
            </w:tcBorders>
            <w:shd w:val="clear" w:color="auto" w:fill="auto"/>
            <w:hideMark/>
          </w:tcPr>
          <w:p w14:paraId="4715272A" w14:textId="77777777" w:rsidR="00E01C42" w:rsidRPr="00D11078" w:rsidRDefault="00E01C42" w:rsidP="008C0AC4">
            <w:pPr>
              <w:spacing w:before="40" w:after="40"/>
              <w:jc w:val="center"/>
              <w:rPr>
                <w:color w:val="000000"/>
              </w:rPr>
            </w:pPr>
            <w:r w:rsidRPr="00D11078">
              <w:rPr>
                <w:color w:val="000000"/>
              </w:rPr>
              <w:t>1</w:t>
            </w:r>
          </w:p>
        </w:tc>
        <w:tc>
          <w:tcPr>
            <w:tcW w:w="937" w:type="dxa"/>
            <w:tcBorders>
              <w:top w:val="single" w:sz="4" w:space="0" w:color="DCDDDE"/>
            </w:tcBorders>
            <w:shd w:val="clear" w:color="auto" w:fill="auto"/>
            <w:hideMark/>
          </w:tcPr>
          <w:p w14:paraId="118C3F04" w14:textId="77777777" w:rsidR="00E01C42" w:rsidRPr="00D11078" w:rsidRDefault="00663698" w:rsidP="008C0AC4">
            <w:pPr>
              <w:spacing w:before="40" w:after="40"/>
              <w:jc w:val="center"/>
              <w:rPr>
                <w:color w:val="000000"/>
              </w:rPr>
            </w:pPr>
            <w:r>
              <w:rPr>
                <w:color w:val="000000"/>
              </w:rPr>
              <w:t>2.2</w:t>
            </w:r>
            <w:r w:rsidR="00E01C42" w:rsidRPr="00D11078">
              <w:rPr>
                <w:color w:val="000000"/>
              </w:rPr>
              <w:t>%</w:t>
            </w:r>
          </w:p>
        </w:tc>
        <w:tc>
          <w:tcPr>
            <w:tcW w:w="1217" w:type="dxa"/>
            <w:tcBorders>
              <w:top w:val="single" w:sz="4" w:space="0" w:color="DCDDDE"/>
            </w:tcBorders>
            <w:shd w:val="clear" w:color="auto" w:fill="auto"/>
            <w:hideMark/>
          </w:tcPr>
          <w:p w14:paraId="4C5A3E3D" w14:textId="77777777" w:rsidR="00E01C42" w:rsidRPr="00D11078" w:rsidRDefault="00E01C42" w:rsidP="008C0AC4">
            <w:pPr>
              <w:spacing w:before="40" w:after="40"/>
              <w:jc w:val="center"/>
              <w:rPr>
                <w:color w:val="000000"/>
              </w:rPr>
            </w:pPr>
            <w:r w:rsidRPr="00D11078">
              <w:rPr>
                <w:color w:val="000000"/>
              </w:rPr>
              <w:t>1.3%</w:t>
            </w:r>
          </w:p>
        </w:tc>
        <w:tc>
          <w:tcPr>
            <w:tcW w:w="950" w:type="dxa"/>
            <w:tcBorders>
              <w:top w:val="single" w:sz="4" w:space="0" w:color="DCDDDE"/>
            </w:tcBorders>
            <w:shd w:val="clear" w:color="auto" w:fill="auto"/>
            <w:hideMark/>
          </w:tcPr>
          <w:p w14:paraId="3D12966F" w14:textId="77777777" w:rsidR="00E01C42" w:rsidRPr="00D11078" w:rsidRDefault="00E01C42" w:rsidP="008C0AC4">
            <w:pPr>
              <w:spacing w:before="40" w:after="40"/>
              <w:jc w:val="center"/>
              <w:rPr>
                <w:color w:val="000000"/>
              </w:rPr>
            </w:pPr>
            <w:r w:rsidRPr="00D11078">
              <w:rPr>
                <w:color w:val="000000"/>
              </w:rPr>
              <w:t xml:space="preserve">$0.07 </w:t>
            </w:r>
          </w:p>
        </w:tc>
        <w:tc>
          <w:tcPr>
            <w:tcW w:w="1094" w:type="dxa"/>
            <w:tcBorders>
              <w:top w:val="single" w:sz="4" w:space="0" w:color="DCDDDE"/>
            </w:tcBorders>
            <w:shd w:val="clear" w:color="auto" w:fill="auto"/>
            <w:hideMark/>
          </w:tcPr>
          <w:p w14:paraId="0D21E5DC" w14:textId="77777777" w:rsidR="00E01C42" w:rsidRPr="00D11078" w:rsidRDefault="00E01C42" w:rsidP="008C0AC4">
            <w:pPr>
              <w:spacing w:before="40" w:after="40"/>
              <w:jc w:val="center"/>
              <w:rPr>
                <w:color w:val="000000"/>
                <w:highlight w:val="red"/>
              </w:rPr>
            </w:pPr>
            <w:r>
              <w:rPr>
                <w:color w:val="000000"/>
              </w:rPr>
              <w:t>--</w:t>
            </w:r>
          </w:p>
        </w:tc>
        <w:tc>
          <w:tcPr>
            <w:tcW w:w="1678" w:type="dxa"/>
            <w:tcBorders>
              <w:top w:val="single" w:sz="4" w:space="0" w:color="DCDDDE"/>
            </w:tcBorders>
            <w:shd w:val="clear" w:color="auto" w:fill="auto"/>
            <w:hideMark/>
          </w:tcPr>
          <w:p w14:paraId="687BF1FA" w14:textId="77777777" w:rsidR="00E01C42" w:rsidRPr="00D11078" w:rsidRDefault="00E01C42" w:rsidP="008C0AC4">
            <w:pPr>
              <w:spacing w:before="40" w:after="40"/>
              <w:jc w:val="center"/>
              <w:rPr>
                <w:color w:val="000000"/>
              </w:rPr>
            </w:pPr>
            <w:r w:rsidRPr="00D11078">
              <w:rPr>
                <w:color w:val="000000"/>
              </w:rPr>
              <w:t>0.00019058</w:t>
            </w:r>
          </w:p>
        </w:tc>
      </w:tr>
    </w:tbl>
    <w:p w14:paraId="4E1D0778" w14:textId="77777777" w:rsidR="00E01C42" w:rsidRDefault="00E01C42" w:rsidP="00E01C42">
      <w:pPr>
        <w:spacing w:line="240" w:lineRule="auto"/>
        <w:rPr>
          <w:b/>
        </w:rPr>
      </w:pPr>
    </w:p>
    <w:p w14:paraId="4AB47410" w14:textId="77777777" w:rsidR="00E01C42" w:rsidRDefault="00E01C42" w:rsidP="00E01C42">
      <w:pPr>
        <w:rPr>
          <w:b/>
        </w:rPr>
      </w:pPr>
      <w:r w:rsidRPr="00DF089C">
        <w:rPr>
          <w:b/>
        </w:rPr>
        <w:t>Assumptions and Methodology</w:t>
      </w:r>
    </w:p>
    <w:p w14:paraId="07D5721E" w14:textId="77777777" w:rsidR="00E01C42" w:rsidRPr="00DF089C" w:rsidRDefault="00E01C42" w:rsidP="00E01C42">
      <w:pPr>
        <w:rPr>
          <w:b/>
        </w:rPr>
      </w:pPr>
    </w:p>
    <w:p w14:paraId="22879662" w14:textId="77777777" w:rsidR="00E01C42" w:rsidRDefault="00E01C42" w:rsidP="00E01C42">
      <w:pPr>
        <w:rPr>
          <w:b/>
          <w:i/>
          <w:szCs w:val="20"/>
        </w:rPr>
      </w:pPr>
      <w:r w:rsidRPr="00DF089C">
        <w:rPr>
          <w:b/>
          <w:i/>
          <w:szCs w:val="20"/>
        </w:rPr>
        <w:t>Eligibility and Participation</w:t>
      </w:r>
    </w:p>
    <w:p w14:paraId="46A0EAE5" w14:textId="77777777" w:rsidR="00E01C42" w:rsidRDefault="00E01C42" w:rsidP="00E01C42">
      <w:r>
        <w:t xml:space="preserve">Both web-based and IHD real-time feedback programs are offered on an opt-in basis to customers with smart-meter equipped homes. Although most residential feedback programs are focused on providing information about electricity consumption, some natural gas savings result from these programs which are likely the result of tips and recommendations concerning thermostat settings. For modeling purposes, we assume 100% applicability for electric savings among individually metered homes and 59% applicability for gas. This latter figure is conservative given that </w:t>
      </w:r>
      <w:r w:rsidRPr="00152F4A">
        <w:t xml:space="preserve">59% of California households use natural gas as their main source of space heating </w:t>
      </w:r>
      <w:r>
        <w:t xml:space="preserve">and </w:t>
      </w:r>
      <w:r w:rsidRPr="00152F4A">
        <w:t>84.4% of CA homes use</w:t>
      </w:r>
      <w:r>
        <w:t xml:space="preserve"> natural gas for water heating.</w:t>
      </w:r>
      <w:r>
        <w:rPr>
          <w:rStyle w:val="FootnoteReference"/>
        </w:rPr>
        <w:footnoteReference w:id="114"/>
      </w:r>
    </w:p>
    <w:p w14:paraId="26601CFF" w14:textId="77777777" w:rsidR="00E01C42" w:rsidRDefault="00E01C42" w:rsidP="00E01C42"/>
    <w:p w14:paraId="50453941" w14:textId="77777777" w:rsidR="004675B4" w:rsidRPr="00065CEA" w:rsidRDefault="00AF5AE6" w:rsidP="00ED04DD">
      <w:pPr>
        <w:rPr>
          <w:szCs w:val="20"/>
        </w:rPr>
      </w:pPr>
      <w:r>
        <w:t xml:space="preserve">In-home displays did not pass the cost-effectiveness screen, and so are not included in the reference case. </w:t>
      </w:r>
      <w:r w:rsidR="00FA126E">
        <w:t>SCE indicated they would not deploy these programs until 2019, and they would still only be pilots at that time.</w:t>
      </w:r>
      <w:r w:rsidR="004B6594">
        <w:rPr>
          <w:rStyle w:val="FootnoteReference"/>
        </w:rPr>
        <w:footnoteReference w:id="115"/>
      </w:r>
      <w:r w:rsidR="00FA126E">
        <w:t xml:space="preserve"> This assumption was used for all utilities. </w:t>
      </w:r>
      <w:r w:rsidR="00E01C42">
        <w:t>We assume penetration rates for programs that use online portals to display customer information will be higher than those that rely on in-home displays. For online portals, our reference case assumes an 8% increase in penetration per year, while the aggressive case assumes a 15% annual increase</w:t>
      </w:r>
      <w:r w:rsidR="00FA172B">
        <w:t xml:space="preserve">, </w:t>
      </w:r>
      <w:r w:rsidR="00FA172B" w:rsidRPr="00076CD0">
        <w:t>based on professional judgement.</w:t>
      </w:r>
      <w:r w:rsidR="00E01C42">
        <w:t xml:space="preserve"> </w:t>
      </w:r>
      <w:r w:rsidR="00FA172B">
        <w:t>PG&amp;E provided penetration rate data for IHDs.</w:t>
      </w:r>
      <w:r>
        <w:rPr>
          <w:rStyle w:val="FootnoteReference"/>
        </w:rPr>
        <w:footnoteReference w:id="116"/>
      </w:r>
      <w:r w:rsidR="00FA172B">
        <w:t xml:space="preserve"> </w:t>
      </w:r>
    </w:p>
    <w:p w14:paraId="0AB24B8F" w14:textId="77777777" w:rsidR="004675B4" w:rsidRDefault="004675B4" w:rsidP="00122CD3">
      <w:pPr>
        <w:rPr>
          <w:b/>
          <w:i/>
          <w:szCs w:val="20"/>
        </w:rPr>
      </w:pPr>
    </w:p>
    <w:p w14:paraId="7509515D" w14:textId="77777777" w:rsidR="004675B4" w:rsidRDefault="00E01C42" w:rsidP="006D5808">
      <w:pPr>
        <w:keepNext/>
      </w:pPr>
      <w:r w:rsidRPr="00122CD3">
        <w:rPr>
          <w:b/>
          <w:i/>
        </w:rPr>
        <w:lastRenderedPageBreak/>
        <w:t>Savings</w:t>
      </w:r>
      <w:r w:rsidR="004675B4" w:rsidRPr="00122CD3">
        <w:rPr>
          <w:b/>
          <w:i/>
        </w:rPr>
        <w:t xml:space="preserve"> </w:t>
      </w:r>
    </w:p>
    <w:p w14:paraId="01834145" w14:textId="77777777" w:rsidR="00E01C42" w:rsidRDefault="00E01C42" w:rsidP="00494D48">
      <w:r>
        <w:t>Savings forecasts differ for online portals and IHDs. For online portals, we estimate 1.3% savings for both kWh and therms. For IHDs, we estimate 2.3% savings for kWh and no gas savings. These estimates were developed based on numerous data points for kWh savings.</w:t>
      </w:r>
      <w:r w:rsidRPr="00E32975">
        <w:rPr>
          <w:rStyle w:val="FootnoteReference"/>
        </w:rPr>
        <w:footnoteReference w:id="117"/>
      </w:r>
      <w:r w:rsidRPr="00E32975">
        <w:rPr>
          <w:vertAlign w:val="superscript"/>
        </w:rPr>
        <w:t>,</w:t>
      </w:r>
      <w:r w:rsidRPr="00E32975">
        <w:rPr>
          <w:rStyle w:val="FootnoteReference"/>
        </w:rPr>
        <w:footnoteReference w:id="118"/>
      </w:r>
      <w:r w:rsidRPr="00E32975">
        <w:rPr>
          <w:vertAlign w:val="superscript"/>
        </w:rPr>
        <w:t>,</w:t>
      </w:r>
      <w:r w:rsidRPr="00E32975">
        <w:rPr>
          <w:rStyle w:val="FootnoteReference"/>
        </w:rPr>
        <w:footnoteReference w:id="119"/>
      </w:r>
      <w:r w:rsidRPr="00E32975">
        <w:rPr>
          <w:vertAlign w:val="superscript"/>
        </w:rPr>
        <w:t>,</w:t>
      </w:r>
      <w:r w:rsidRPr="00E32975">
        <w:rPr>
          <w:rStyle w:val="FootnoteReference"/>
        </w:rPr>
        <w:footnoteReference w:id="120"/>
      </w:r>
      <w:r w:rsidRPr="00E32975">
        <w:rPr>
          <w:vertAlign w:val="superscript"/>
        </w:rPr>
        <w:t>,</w:t>
      </w:r>
      <w:r w:rsidRPr="00E32975">
        <w:rPr>
          <w:rStyle w:val="FootnoteReference"/>
        </w:rPr>
        <w:footnoteReference w:id="121"/>
      </w:r>
      <w:r w:rsidRPr="00E32975">
        <w:rPr>
          <w:vertAlign w:val="superscript"/>
        </w:rPr>
        <w:t>,</w:t>
      </w:r>
      <w:r w:rsidRPr="00E32975">
        <w:rPr>
          <w:rStyle w:val="FootnoteReference"/>
        </w:rPr>
        <w:footnoteReference w:id="122"/>
      </w:r>
      <w:r>
        <w:t xml:space="preserve"> </w:t>
      </w:r>
    </w:p>
    <w:p w14:paraId="236B9782" w14:textId="77777777" w:rsidR="00E01C42" w:rsidRDefault="00E01C42" w:rsidP="00494D48"/>
    <w:p w14:paraId="71A02CD8" w14:textId="77777777" w:rsidR="00E01C42" w:rsidRDefault="00E01C42" w:rsidP="006D5808">
      <w:pPr>
        <w:rPr>
          <w:szCs w:val="20"/>
        </w:rPr>
      </w:pPr>
      <w:r w:rsidRPr="00B11C52">
        <w:t xml:space="preserve">The model uses an EUL of one year, the same as we apply for HER program participants. Because </w:t>
      </w:r>
      <w:r>
        <w:t>insufficient</w:t>
      </w:r>
      <w:r w:rsidRPr="00B11C52">
        <w:t xml:space="preserve"> demand savings data was available for </w:t>
      </w:r>
      <w:r>
        <w:t>real time feedback for non-demand response programs</w:t>
      </w:r>
      <w:r w:rsidRPr="00B11C52">
        <w:t xml:space="preserve">, </w:t>
      </w:r>
      <w:r>
        <w:t xml:space="preserve">for </w:t>
      </w:r>
      <w:r w:rsidRPr="00065CEA">
        <w:rPr>
          <w:szCs w:val="20"/>
        </w:rPr>
        <w:t>ratio of kW to kWh to savings</w:t>
      </w:r>
      <w:r>
        <w:rPr>
          <w:szCs w:val="20"/>
        </w:rPr>
        <w:t>,</w:t>
      </w:r>
      <w:r w:rsidRPr="00B11C52">
        <w:t xml:space="preserve"> we </w:t>
      </w:r>
      <w:r>
        <w:t xml:space="preserve">applied 0.00019058, </w:t>
      </w:r>
      <w:r w:rsidRPr="00B11C52">
        <w:t>which is the figure used for</w:t>
      </w:r>
      <w:r>
        <w:t xml:space="preserve"> HERs</w:t>
      </w:r>
      <w:r w:rsidRPr="00B11C52">
        <w:t xml:space="preserve"> </w:t>
      </w:r>
      <w:r>
        <w:t xml:space="preserve">for </w:t>
      </w:r>
      <w:r w:rsidRPr="00B11C52">
        <w:t>all</w:t>
      </w:r>
      <w:r>
        <w:t xml:space="preserve"> three electric utilities.</w:t>
      </w:r>
    </w:p>
    <w:p w14:paraId="28E53EE9" w14:textId="77777777" w:rsidR="00E01C42" w:rsidRPr="001F55DD" w:rsidRDefault="00E01C42" w:rsidP="004B6594">
      <w:pPr>
        <w:rPr>
          <w:szCs w:val="20"/>
        </w:rPr>
      </w:pPr>
    </w:p>
    <w:p w14:paraId="7DAB4A2E" w14:textId="77777777" w:rsidR="00E01C42" w:rsidRDefault="00E01C42" w:rsidP="004B6594">
      <w:pPr>
        <w:rPr>
          <w:szCs w:val="20"/>
        </w:rPr>
      </w:pPr>
      <w:r w:rsidRPr="00DF089C">
        <w:rPr>
          <w:b/>
          <w:i/>
          <w:szCs w:val="20"/>
        </w:rPr>
        <w:t>Cost</w:t>
      </w:r>
    </w:p>
    <w:p w14:paraId="2F49C93D" w14:textId="77777777" w:rsidR="00E01C42" w:rsidRDefault="00E01C42" w:rsidP="004B6594">
      <w:r>
        <w:t>Hardware acquisition and installation constitute the primary cost associated with IHD programs, and they are accrued during the first year of customer participation. Sometimes these costs are paid by the utility, and other times by the customer. For modeling purposes, we assumed that the utilities will provide the hardware and</w:t>
      </w:r>
      <w:r w:rsidR="00FA172B">
        <w:t xml:space="preserve"> that IHDs cost $1</w:t>
      </w:r>
      <w:r>
        <w:t>00</w:t>
      </w:r>
      <w:r w:rsidR="00FA172B">
        <w:t>, annualized over 5 years – similar to the life of other consumer electronics</w:t>
      </w:r>
      <w:r>
        <w:t>.</w:t>
      </w:r>
      <w:r w:rsidR="00FA172B">
        <w:rPr>
          <w:rStyle w:val="FootnoteReference"/>
        </w:rPr>
        <w:footnoteReference w:id="123"/>
      </w:r>
      <w:r>
        <w:t xml:space="preserve"> </w:t>
      </w:r>
    </w:p>
    <w:p w14:paraId="3CB9ECD2" w14:textId="77777777" w:rsidR="00E01C42" w:rsidRDefault="00E01C42" w:rsidP="004B6594"/>
    <w:p w14:paraId="43BF0EF4" w14:textId="77777777" w:rsidR="00E01C42" w:rsidRPr="00892C92" w:rsidRDefault="00E01C42" w:rsidP="00AF5AE6">
      <w:r>
        <w:t xml:space="preserve">To calculate the cost, we began with a 2014 report by the Alberta Energy Efficiency Alliance for the City of Calgary that notes the cost for a real-time direct feedback program are estimated to be about $0.07 per kWh saved </w:t>
      </w:r>
      <w:r w:rsidR="00892C92">
        <w:t>not including the hardware</w:t>
      </w:r>
      <w:r>
        <w:t>.</w:t>
      </w:r>
      <w:r>
        <w:rPr>
          <w:rStyle w:val="FootnoteReference"/>
        </w:rPr>
        <w:footnoteReference w:id="124"/>
      </w:r>
      <w:r>
        <w:t xml:space="preserve"> </w:t>
      </w:r>
      <w:r w:rsidR="00892C92">
        <w:t>For IHDs</w:t>
      </w:r>
      <w:r w:rsidR="00FA172B">
        <w:t xml:space="preserve">, we </w:t>
      </w:r>
      <w:r w:rsidR="00892C92">
        <w:t xml:space="preserve">add in the annualized </w:t>
      </w:r>
      <w:r w:rsidR="00FA172B">
        <w:t>$1</w:t>
      </w:r>
      <w:r>
        <w:t>00 hardware acquisition and installation costs</w:t>
      </w:r>
      <w:r w:rsidR="00892C92">
        <w:t xml:space="preserve">, resulting in </w:t>
      </w:r>
      <w:r>
        <w:t>$0.</w:t>
      </w:r>
      <w:r w:rsidR="00892C92">
        <w:t>19</w:t>
      </w:r>
      <w:r w:rsidRPr="00EF0BA2">
        <w:t xml:space="preserve"> per kwh of savings (assuming 7,000 kwh pe</w:t>
      </w:r>
      <w:r>
        <w:t xml:space="preserve">r household). </w:t>
      </w:r>
    </w:p>
    <w:p w14:paraId="13AD783E" w14:textId="77777777" w:rsidR="00E01C42" w:rsidRDefault="00E01C42" w:rsidP="00E01C42">
      <w:pPr>
        <w:pStyle w:val="Heading6"/>
        <w:numPr>
          <w:ilvl w:val="5"/>
          <w:numId w:val="8"/>
        </w:numPr>
        <w:ind w:left="0" w:firstLine="0"/>
      </w:pPr>
      <w:bookmarkStart w:id="1029" w:name="_Toc480271808"/>
      <w:bookmarkStart w:id="1030" w:name="_Toc484183065"/>
      <w:bookmarkStart w:id="1031" w:name="_Toc490225831"/>
      <w:r>
        <w:t>Residential - Competitions: Large and Small</w:t>
      </w:r>
      <w:bookmarkEnd w:id="1029"/>
      <w:bookmarkEnd w:id="1030"/>
      <w:bookmarkEnd w:id="1031"/>
    </w:p>
    <w:p w14:paraId="00EA8E96" w14:textId="77777777" w:rsidR="00E01C42" w:rsidRDefault="00E01C42" w:rsidP="00E01C42">
      <w:pPr>
        <w:rPr>
          <w:b/>
        </w:rPr>
      </w:pPr>
      <w:r w:rsidRPr="00DF089C">
        <w:rPr>
          <w:b/>
        </w:rPr>
        <w:t xml:space="preserve">Summary </w:t>
      </w:r>
    </w:p>
    <w:p w14:paraId="416CBC7A" w14:textId="77777777" w:rsidR="00E01C42" w:rsidRPr="00B11C52" w:rsidRDefault="00E01C42" w:rsidP="00E01C42"/>
    <w:p w14:paraId="03875FB4" w14:textId="77777777" w:rsidR="00E01C42" w:rsidRPr="00010B1C" w:rsidRDefault="00E01C42" w:rsidP="00E01C42">
      <w:pPr>
        <w:autoSpaceDE w:val="0"/>
        <w:autoSpaceDN w:val="0"/>
        <w:adjustRightInd w:val="0"/>
        <w:spacing w:line="240" w:lineRule="auto"/>
        <w:rPr>
          <w:szCs w:val="20"/>
        </w:rPr>
      </w:pPr>
      <w:r w:rsidRPr="00010B1C">
        <w:rPr>
          <w:szCs w:val="20"/>
        </w:rPr>
        <w:t xml:space="preserve">Residential competitions are a behavioral intervention approach in which participants compete in </w:t>
      </w:r>
      <w:r>
        <w:rPr>
          <w:szCs w:val="20"/>
        </w:rPr>
        <w:t xml:space="preserve">energy- related challenges, </w:t>
      </w:r>
      <w:r w:rsidRPr="00010B1C">
        <w:rPr>
          <w:szCs w:val="20"/>
        </w:rPr>
        <w:t xml:space="preserve">events, </w:t>
      </w:r>
      <w:r>
        <w:rPr>
          <w:szCs w:val="20"/>
        </w:rPr>
        <w:t xml:space="preserve">or </w:t>
      </w:r>
      <w:r w:rsidRPr="00010B1C">
        <w:rPr>
          <w:szCs w:val="20"/>
        </w:rPr>
        <w:t>contests</w:t>
      </w:r>
      <w:r>
        <w:rPr>
          <w:szCs w:val="20"/>
        </w:rPr>
        <w:t>. The goal of such challenges is generally to reduce energy consumption either directly or by raising awareness, increasing knowledge, or encouraging one or more types of action</w:t>
      </w:r>
      <w:r w:rsidRPr="00010B1C">
        <w:rPr>
          <w:szCs w:val="20"/>
        </w:rPr>
        <w:t xml:space="preserve">. Competitions </w:t>
      </w:r>
      <w:r>
        <w:rPr>
          <w:szCs w:val="20"/>
        </w:rPr>
        <w:t>can run for different lengths of time, ranging from a single month to multiple years. They</w:t>
      </w:r>
      <w:r w:rsidRPr="00010B1C">
        <w:rPr>
          <w:szCs w:val="20"/>
        </w:rPr>
        <w:t xml:space="preserve"> can </w:t>
      </w:r>
      <w:r>
        <w:rPr>
          <w:szCs w:val="20"/>
        </w:rPr>
        <w:t xml:space="preserve">also </w:t>
      </w:r>
      <w:r w:rsidRPr="00010B1C">
        <w:rPr>
          <w:szCs w:val="20"/>
        </w:rPr>
        <w:t xml:space="preserve">include a mix of behavioral strategies, including goal-setting, commitments, games, </w:t>
      </w:r>
      <w:r w:rsidRPr="00010B1C">
        <w:rPr>
          <w:szCs w:val="20"/>
        </w:rPr>
        <w:lastRenderedPageBreak/>
        <w:t>social norms, and feedback.</w:t>
      </w:r>
      <w:r>
        <w:rPr>
          <w:szCs w:val="20"/>
        </w:rPr>
        <w:t xml:space="preserve"> Our analysis does not include competitions and challenges that focus on the use of equipment upgrades as a means of generating energy savings</w:t>
      </w:r>
      <w:r w:rsidRPr="009F4E52">
        <w:rPr>
          <w:szCs w:val="20"/>
        </w:rPr>
        <w:t>.</w:t>
      </w:r>
    </w:p>
    <w:p w14:paraId="7B6F30FD" w14:textId="77777777" w:rsidR="00E01C42" w:rsidRDefault="00E01C42" w:rsidP="00E01C42">
      <w:pPr>
        <w:autoSpaceDE w:val="0"/>
        <w:autoSpaceDN w:val="0"/>
        <w:adjustRightInd w:val="0"/>
        <w:spacing w:line="240" w:lineRule="auto"/>
        <w:rPr>
          <w:szCs w:val="20"/>
        </w:rPr>
      </w:pPr>
    </w:p>
    <w:p w14:paraId="73B74761" w14:textId="77777777" w:rsidR="00E01C42" w:rsidRPr="00B60FE1" w:rsidRDefault="00E01C42" w:rsidP="00E01C42">
      <w:pPr>
        <w:autoSpaceDE w:val="0"/>
        <w:autoSpaceDN w:val="0"/>
        <w:adjustRightInd w:val="0"/>
        <w:spacing w:line="240" w:lineRule="auto"/>
        <w:rPr>
          <w:szCs w:val="20"/>
        </w:rPr>
      </w:pPr>
      <w:r>
        <w:rPr>
          <w:szCs w:val="20"/>
        </w:rPr>
        <w:t>It is also important to note that the way in which co</w:t>
      </w:r>
      <w:r w:rsidRPr="00B60FE1">
        <w:rPr>
          <w:szCs w:val="20"/>
        </w:rPr>
        <w:t xml:space="preserve">mpetitions </w:t>
      </w:r>
      <w:r>
        <w:rPr>
          <w:szCs w:val="20"/>
        </w:rPr>
        <w:t xml:space="preserve">are </w:t>
      </w:r>
      <w:r w:rsidRPr="00B60FE1">
        <w:rPr>
          <w:szCs w:val="20"/>
        </w:rPr>
        <w:t xml:space="preserve">designed </w:t>
      </w:r>
      <w:r>
        <w:rPr>
          <w:szCs w:val="20"/>
        </w:rPr>
        <w:t>can vary</w:t>
      </w:r>
      <w:r w:rsidRPr="00B60FE1">
        <w:rPr>
          <w:szCs w:val="20"/>
        </w:rPr>
        <w:t xml:space="preserve"> depending upon the size of the targeted participant group. Small</w:t>
      </w:r>
      <w:r>
        <w:rPr>
          <w:szCs w:val="20"/>
        </w:rPr>
        <w:t>-</w:t>
      </w:r>
      <w:r w:rsidRPr="00B60FE1">
        <w:rPr>
          <w:szCs w:val="20"/>
        </w:rPr>
        <w:t xml:space="preserve">scale competitions are </w:t>
      </w:r>
      <w:r>
        <w:rPr>
          <w:szCs w:val="20"/>
        </w:rPr>
        <w:t xml:space="preserve">typically </w:t>
      </w:r>
      <w:r w:rsidRPr="00B60FE1">
        <w:rPr>
          <w:szCs w:val="20"/>
        </w:rPr>
        <w:t xml:space="preserve">designed to engage </w:t>
      </w:r>
      <w:r>
        <w:rPr>
          <w:szCs w:val="20"/>
        </w:rPr>
        <w:t>participants</w:t>
      </w:r>
      <w:r w:rsidRPr="00B60FE1">
        <w:rPr>
          <w:szCs w:val="20"/>
        </w:rPr>
        <w:t xml:space="preserve"> </w:t>
      </w:r>
      <w:r>
        <w:rPr>
          <w:szCs w:val="20"/>
        </w:rPr>
        <w:t>more deeply,</w:t>
      </w:r>
      <w:r w:rsidRPr="00B60FE1">
        <w:rPr>
          <w:szCs w:val="20"/>
        </w:rPr>
        <w:t xml:space="preserve"> with a higher </w:t>
      </w:r>
      <w:r>
        <w:rPr>
          <w:szCs w:val="20"/>
        </w:rPr>
        <w:t xml:space="preserve">number </w:t>
      </w:r>
      <w:r w:rsidRPr="00B60FE1">
        <w:rPr>
          <w:szCs w:val="20"/>
        </w:rPr>
        <w:t xml:space="preserve">of touches and a broad spectrum of </w:t>
      </w:r>
      <w:r w:rsidR="00685B60">
        <w:rPr>
          <w:szCs w:val="20"/>
        </w:rPr>
        <w:t xml:space="preserve">targeted </w:t>
      </w:r>
      <w:r w:rsidRPr="00B60FE1">
        <w:rPr>
          <w:szCs w:val="20"/>
        </w:rPr>
        <w:t>behaviors that generate higher savings and serve as a model to get the larger population engaged. Large</w:t>
      </w:r>
      <w:r>
        <w:rPr>
          <w:szCs w:val="20"/>
        </w:rPr>
        <w:t>-</w:t>
      </w:r>
      <w:r w:rsidRPr="00B60FE1">
        <w:rPr>
          <w:szCs w:val="20"/>
        </w:rPr>
        <w:t xml:space="preserve">scale competitions engage greater numbers of people in a more superficial way and encourage a limited number of behaviors. For this reason, we separate our </w:t>
      </w:r>
      <w:r>
        <w:rPr>
          <w:szCs w:val="20"/>
        </w:rPr>
        <w:t xml:space="preserve">modeling </w:t>
      </w:r>
      <w:r w:rsidRPr="00B60FE1">
        <w:rPr>
          <w:szCs w:val="20"/>
        </w:rPr>
        <w:t xml:space="preserve">calculations </w:t>
      </w:r>
      <w:r>
        <w:rPr>
          <w:szCs w:val="20"/>
        </w:rPr>
        <w:t>to estimate the savings for the two types of competitions separately</w:t>
      </w:r>
      <w:r w:rsidRPr="00B60FE1">
        <w:rPr>
          <w:szCs w:val="20"/>
        </w:rPr>
        <w:t>.</w:t>
      </w:r>
    </w:p>
    <w:p w14:paraId="593A3C9D" w14:textId="77777777" w:rsidR="00E01C42" w:rsidRPr="00B60FE1" w:rsidRDefault="00E01C42" w:rsidP="00E01C42">
      <w:pPr>
        <w:autoSpaceDE w:val="0"/>
        <w:autoSpaceDN w:val="0"/>
        <w:adjustRightInd w:val="0"/>
        <w:spacing w:line="240" w:lineRule="auto"/>
        <w:rPr>
          <w:szCs w:val="20"/>
        </w:rPr>
      </w:pPr>
    </w:p>
    <w:p w14:paraId="2A342DED" w14:textId="77777777" w:rsidR="00E01C42" w:rsidRDefault="00E01C42" w:rsidP="00E01C42">
      <w:pPr>
        <w:autoSpaceDE w:val="0"/>
        <w:autoSpaceDN w:val="0"/>
        <w:adjustRightInd w:val="0"/>
        <w:spacing w:line="240" w:lineRule="auto"/>
        <w:rPr>
          <w:szCs w:val="20"/>
        </w:rPr>
      </w:pPr>
      <w:r w:rsidRPr="00B60FE1">
        <w:rPr>
          <w:szCs w:val="20"/>
        </w:rPr>
        <w:t>We define small competitions as having less than 10,000 participants</w:t>
      </w:r>
      <w:r>
        <w:rPr>
          <w:szCs w:val="20"/>
        </w:rPr>
        <w:t xml:space="preserve"> per year and large</w:t>
      </w:r>
      <w:r w:rsidRPr="00B60FE1">
        <w:rPr>
          <w:szCs w:val="20"/>
        </w:rPr>
        <w:t xml:space="preserve"> competitions </w:t>
      </w:r>
      <w:r>
        <w:rPr>
          <w:szCs w:val="20"/>
        </w:rPr>
        <w:t xml:space="preserve">as </w:t>
      </w:r>
      <w:r w:rsidRPr="00B60FE1">
        <w:rPr>
          <w:szCs w:val="20"/>
        </w:rPr>
        <w:t>having more than 10,000</w:t>
      </w:r>
      <w:r>
        <w:rPr>
          <w:szCs w:val="20"/>
        </w:rPr>
        <w:t xml:space="preserve"> participants per year</w:t>
      </w:r>
      <w:r w:rsidRPr="00B60FE1">
        <w:rPr>
          <w:szCs w:val="20"/>
        </w:rPr>
        <w:t>. In total</w:t>
      </w:r>
      <w:r>
        <w:rPr>
          <w:szCs w:val="20"/>
        </w:rPr>
        <w:t>,</w:t>
      </w:r>
      <w:r w:rsidRPr="00B60FE1">
        <w:rPr>
          <w:szCs w:val="20"/>
        </w:rPr>
        <w:t xml:space="preserve"> we reviewed 18 small competitions </w:t>
      </w:r>
      <w:r>
        <w:rPr>
          <w:szCs w:val="20"/>
        </w:rPr>
        <w:t xml:space="preserve">and </w:t>
      </w:r>
      <w:r w:rsidRPr="00B60FE1">
        <w:rPr>
          <w:szCs w:val="20"/>
        </w:rPr>
        <w:t xml:space="preserve">5 large competitions. </w:t>
      </w:r>
      <w:r>
        <w:rPr>
          <w:szCs w:val="20"/>
        </w:rPr>
        <w:t>Data availability varied across programs.</w:t>
      </w:r>
    </w:p>
    <w:p w14:paraId="2ED29D3D" w14:textId="77777777" w:rsidR="00E01C42" w:rsidRDefault="00E01C42" w:rsidP="00E01C42">
      <w:pPr>
        <w:autoSpaceDE w:val="0"/>
        <w:autoSpaceDN w:val="0"/>
        <w:adjustRightInd w:val="0"/>
        <w:spacing w:line="240" w:lineRule="auto"/>
        <w:rPr>
          <w:szCs w:val="20"/>
        </w:rPr>
      </w:pPr>
    </w:p>
    <w:p w14:paraId="60E6F337" w14:textId="77777777" w:rsidR="00E01C42" w:rsidRPr="00B57F57" w:rsidRDefault="004675B4" w:rsidP="00E01C42">
      <w:pPr>
        <w:pStyle w:val="Caption"/>
        <w:rPr>
          <w:b w:val="0"/>
          <w:szCs w:val="24"/>
        </w:rPr>
      </w:pPr>
      <w:bookmarkStart w:id="1032" w:name="_Toc490226030"/>
      <w:r>
        <w:t xml:space="preserve">Table </w:t>
      </w:r>
      <w:fldSimple w:instr=" STYLEREF 5 \s ">
        <w:r w:rsidR="007566B9">
          <w:rPr>
            <w:noProof/>
          </w:rPr>
          <w:t>C</w:t>
        </w:r>
      </w:fldSimple>
      <w:r>
        <w:noBreakHyphen/>
      </w:r>
      <w:fldSimple w:instr=" SEQ Table_Apx \* ARABIC \s 5 ">
        <w:r w:rsidR="007566B9">
          <w:rPr>
            <w:noProof/>
          </w:rPr>
          <w:t>3</w:t>
        </w:r>
      </w:fldSimple>
      <w:r>
        <w:t xml:space="preserve">. </w:t>
      </w:r>
      <w:r w:rsidR="00E01C42">
        <w:t>Residential Competitions - Key Assumptions</w:t>
      </w:r>
      <w:bookmarkEnd w:id="1032"/>
    </w:p>
    <w:tbl>
      <w:tblPr>
        <w:tblW w:w="9482" w:type="dxa"/>
        <w:jc w:val="center"/>
        <w:tblBorders>
          <w:bottom w:val="single" w:sz="8" w:space="0" w:color="555759"/>
          <w:insideH w:val="single" w:sz="4" w:space="0" w:color="DCDDDE"/>
        </w:tblBorders>
        <w:tblLook w:val="04A0" w:firstRow="1" w:lastRow="0" w:firstColumn="1" w:lastColumn="0" w:noHBand="0" w:noVBand="1"/>
      </w:tblPr>
      <w:tblGrid>
        <w:gridCol w:w="1109"/>
        <w:gridCol w:w="1506"/>
        <w:gridCol w:w="991"/>
        <w:gridCol w:w="937"/>
        <w:gridCol w:w="1217"/>
        <w:gridCol w:w="950"/>
        <w:gridCol w:w="1094"/>
        <w:gridCol w:w="1678"/>
      </w:tblGrid>
      <w:tr w:rsidR="002544A3" w:rsidRPr="00FB7D79" w14:paraId="2FE26CB5" w14:textId="77777777" w:rsidTr="008C0AC4">
        <w:trPr>
          <w:cantSplit/>
          <w:trHeight w:val="296"/>
          <w:tblHeader/>
          <w:jc w:val="center"/>
        </w:trPr>
        <w:tc>
          <w:tcPr>
            <w:tcW w:w="1109" w:type="dxa"/>
            <w:vMerge w:val="restart"/>
            <w:tcBorders>
              <w:top w:val="nil"/>
              <w:left w:val="nil"/>
              <w:bottom w:val="nil"/>
              <w:right w:val="nil"/>
              <w:tl2br w:val="nil"/>
              <w:tr2bl w:val="nil"/>
            </w:tcBorders>
            <w:shd w:val="clear" w:color="auto" w:fill="555759"/>
            <w:hideMark/>
          </w:tcPr>
          <w:p w14:paraId="170D7ED1" w14:textId="77777777" w:rsidR="00E01C42" w:rsidRPr="00D11078" w:rsidRDefault="00E01C42" w:rsidP="008C0AC4">
            <w:pPr>
              <w:spacing w:before="40" w:after="40"/>
              <w:jc w:val="center"/>
              <w:rPr>
                <w:b/>
                <w:color w:val="FFFFFF"/>
              </w:rPr>
            </w:pPr>
            <w:r w:rsidRPr="00D11078">
              <w:rPr>
                <w:b/>
                <w:color w:val="FFFFFF"/>
              </w:rPr>
              <w:t>Sector</w:t>
            </w:r>
          </w:p>
        </w:tc>
        <w:tc>
          <w:tcPr>
            <w:tcW w:w="1506" w:type="dxa"/>
            <w:vMerge w:val="restart"/>
            <w:tcBorders>
              <w:top w:val="nil"/>
              <w:left w:val="nil"/>
              <w:bottom w:val="nil"/>
              <w:right w:val="nil"/>
              <w:tl2br w:val="nil"/>
              <w:tr2bl w:val="nil"/>
            </w:tcBorders>
            <w:shd w:val="clear" w:color="auto" w:fill="555759"/>
            <w:hideMark/>
          </w:tcPr>
          <w:p w14:paraId="7BC6D8BC" w14:textId="77777777" w:rsidR="00E01C42" w:rsidRPr="00D11078" w:rsidRDefault="00E01C42" w:rsidP="008C0AC4">
            <w:pPr>
              <w:spacing w:before="40" w:after="40"/>
              <w:jc w:val="center"/>
              <w:rPr>
                <w:b/>
                <w:color w:val="FFFFFF"/>
              </w:rPr>
            </w:pPr>
            <w:r w:rsidRPr="00D11078">
              <w:rPr>
                <w:b/>
                <w:color w:val="FFFFFF"/>
              </w:rPr>
              <w:t>Type</w:t>
            </w:r>
          </w:p>
        </w:tc>
        <w:tc>
          <w:tcPr>
            <w:tcW w:w="991" w:type="dxa"/>
            <w:vMerge w:val="restart"/>
            <w:tcBorders>
              <w:top w:val="nil"/>
              <w:left w:val="nil"/>
              <w:bottom w:val="nil"/>
              <w:right w:val="nil"/>
              <w:tl2br w:val="nil"/>
              <w:tr2bl w:val="nil"/>
            </w:tcBorders>
            <w:shd w:val="clear" w:color="auto" w:fill="555759"/>
            <w:hideMark/>
          </w:tcPr>
          <w:p w14:paraId="1675A913" w14:textId="77777777" w:rsidR="00E01C42" w:rsidRPr="00D11078" w:rsidRDefault="00E01C42" w:rsidP="008C0AC4">
            <w:pPr>
              <w:spacing w:before="40" w:after="40"/>
              <w:jc w:val="center"/>
              <w:rPr>
                <w:b/>
                <w:color w:val="FFFFFF"/>
              </w:rPr>
            </w:pPr>
            <w:r w:rsidRPr="00D11078">
              <w:rPr>
                <w:b/>
                <w:color w:val="FFFFFF"/>
              </w:rPr>
              <w:t>EUL years</w:t>
            </w:r>
          </w:p>
        </w:tc>
        <w:tc>
          <w:tcPr>
            <w:tcW w:w="2154" w:type="dxa"/>
            <w:gridSpan w:val="2"/>
            <w:tcBorders>
              <w:top w:val="nil"/>
              <w:left w:val="nil"/>
              <w:bottom w:val="single" w:sz="2" w:space="0" w:color="FFFFFF"/>
              <w:right w:val="nil"/>
              <w:tl2br w:val="nil"/>
              <w:tr2bl w:val="nil"/>
            </w:tcBorders>
            <w:shd w:val="clear" w:color="auto" w:fill="555759"/>
            <w:hideMark/>
          </w:tcPr>
          <w:p w14:paraId="3AE3EC49" w14:textId="77777777" w:rsidR="00E01C42" w:rsidRPr="00D11078" w:rsidRDefault="00E01C42" w:rsidP="008C0AC4">
            <w:pPr>
              <w:spacing w:before="40" w:after="40"/>
              <w:jc w:val="center"/>
              <w:rPr>
                <w:b/>
                <w:color w:val="FFFFFF"/>
              </w:rPr>
            </w:pPr>
            <w:r>
              <w:rPr>
                <w:b/>
                <w:color w:val="FFFFFF"/>
              </w:rPr>
              <w:t>Savings</w:t>
            </w:r>
          </w:p>
        </w:tc>
        <w:tc>
          <w:tcPr>
            <w:tcW w:w="2044" w:type="dxa"/>
            <w:gridSpan w:val="2"/>
            <w:tcBorders>
              <w:top w:val="nil"/>
              <w:left w:val="nil"/>
              <w:bottom w:val="single" w:sz="2" w:space="0" w:color="FFFFFF"/>
              <w:right w:val="nil"/>
              <w:tl2br w:val="nil"/>
              <w:tr2bl w:val="nil"/>
            </w:tcBorders>
            <w:shd w:val="clear" w:color="auto" w:fill="555759"/>
            <w:hideMark/>
          </w:tcPr>
          <w:p w14:paraId="54EC70B4" w14:textId="77777777" w:rsidR="00E01C42" w:rsidRPr="00D11078" w:rsidRDefault="00E01C42" w:rsidP="008C0AC4">
            <w:pPr>
              <w:spacing w:before="40" w:after="40"/>
              <w:jc w:val="center"/>
              <w:rPr>
                <w:b/>
                <w:color w:val="FFFFFF"/>
              </w:rPr>
            </w:pPr>
            <w:r w:rsidRPr="00D11078">
              <w:rPr>
                <w:b/>
                <w:color w:val="FFFFFF"/>
              </w:rPr>
              <w:t>Cost</w:t>
            </w:r>
          </w:p>
        </w:tc>
        <w:tc>
          <w:tcPr>
            <w:tcW w:w="1678" w:type="dxa"/>
            <w:vMerge w:val="restart"/>
            <w:tcBorders>
              <w:top w:val="nil"/>
              <w:left w:val="nil"/>
              <w:bottom w:val="nil"/>
              <w:right w:val="nil"/>
              <w:tl2br w:val="nil"/>
              <w:tr2bl w:val="nil"/>
            </w:tcBorders>
            <w:shd w:val="clear" w:color="auto" w:fill="555759"/>
            <w:hideMark/>
          </w:tcPr>
          <w:p w14:paraId="0DAC8E79" w14:textId="77777777" w:rsidR="00E01C42" w:rsidRPr="00D11078" w:rsidRDefault="00E01C42" w:rsidP="008C0AC4">
            <w:pPr>
              <w:spacing w:before="40" w:after="40"/>
              <w:jc w:val="center"/>
              <w:rPr>
                <w:b/>
                <w:color w:val="FFFFFF"/>
              </w:rPr>
            </w:pPr>
            <w:r w:rsidRPr="00D11078">
              <w:rPr>
                <w:b/>
                <w:color w:val="FFFFFF"/>
              </w:rPr>
              <w:t>kW/kWh Savings Ratio</w:t>
            </w:r>
          </w:p>
        </w:tc>
      </w:tr>
      <w:tr w:rsidR="002544A3" w:rsidRPr="00FB7D79" w14:paraId="25A119BE" w14:textId="77777777" w:rsidTr="008C0AC4">
        <w:trPr>
          <w:cantSplit/>
          <w:trHeight w:val="144"/>
          <w:tblHeader/>
          <w:jc w:val="center"/>
        </w:trPr>
        <w:tc>
          <w:tcPr>
            <w:tcW w:w="1109" w:type="dxa"/>
            <w:vMerge/>
            <w:tcBorders>
              <w:top w:val="nil"/>
              <w:left w:val="nil"/>
              <w:bottom w:val="single" w:sz="12" w:space="0" w:color="95D600"/>
              <w:right w:val="nil"/>
              <w:tl2br w:val="nil"/>
              <w:tr2bl w:val="nil"/>
            </w:tcBorders>
            <w:shd w:val="clear" w:color="auto" w:fill="555759"/>
            <w:hideMark/>
          </w:tcPr>
          <w:p w14:paraId="1C7130CD" w14:textId="77777777" w:rsidR="00E01C42" w:rsidRPr="00D11078" w:rsidRDefault="00E01C42" w:rsidP="008C0AC4">
            <w:pPr>
              <w:spacing w:before="40" w:after="40"/>
              <w:jc w:val="center"/>
              <w:rPr>
                <w:b/>
                <w:color w:val="FFFFFF"/>
              </w:rPr>
            </w:pPr>
          </w:p>
        </w:tc>
        <w:tc>
          <w:tcPr>
            <w:tcW w:w="1506" w:type="dxa"/>
            <w:vMerge/>
            <w:tcBorders>
              <w:top w:val="nil"/>
              <w:left w:val="nil"/>
              <w:bottom w:val="single" w:sz="12" w:space="0" w:color="95D600"/>
              <w:right w:val="nil"/>
              <w:tl2br w:val="nil"/>
              <w:tr2bl w:val="nil"/>
            </w:tcBorders>
            <w:shd w:val="clear" w:color="auto" w:fill="555759"/>
            <w:hideMark/>
          </w:tcPr>
          <w:p w14:paraId="3D69E22B" w14:textId="77777777" w:rsidR="00E01C42" w:rsidRPr="00D11078" w:rsidRDefault="00E01C42" w:rsidP="008C0AC4">
            <w:pPr>
              <w:spacing w:before="40" w:after="40"/>
              <w:jc w:val="center"/>
              <w:rPr>
                <w:b/>
                <w:color w:val="FFFFFF"/>
              </w:rPr>
            </w:pPr>
          </w:p>
        </w:tc>
        <w:tc>
          <w:tcPr>
            <w:tcW w:w="991" w:type="dxa"/>
            <w:vMerge/>
            <w:tcBorders>
              <w:top w:val="nil"/>
              <w:left w:val="nil"/>
              <w:bottom w:val="single" w:sz="12" w:space="0" w:color="95D600"/>
              <w:right w:val="nil"/>
              <w:tl2br w:val="nil"/>
              <w:tr2bl w:val="nil"/>
            </w:tcBorders>
            <w:shd w:val="clear" w:color="auto" w:fill="555759"/>
            <w:hideMark/>
          </w:tcPr>
          <w:p w14:paraId="22166038" w14:textId="77777777" w:rsidR="00E01C42" w:rsidRPr="00D11078" w:rsidRDefault="00E01C42" w:rsidP="008C0AC4">
            <w:pPr>
              <w:spacing w:before="40" w:after="40"/>
              <w:jc w:val="center"/>
              <w:rPr>
                <w:b/>
                <w:color w:val="FFFFFF"/>
              </w:rPr>
            </w:pPr>
          </w:p>
        </w:tc>
        <w:tc>
          <w:tcPr>
            <w:tcW w:w="937" w:type="dxa"/>
            <w:tcBorders>
              <w:top w:val="single" w:sz="2" w:space="0" w:color="FFFFFF"/>
              <w:left w:val="nil"/>
              <w:bottom w:val="single" w:sz="12" w:space="0" w:color="95D600"/>
              <w:right w:val="nil"/>
              <w:tl2br w:val="nil"/>
              <w:tr2bl w:val="nil"/>
            </w:tcBorders>
            <w:shd w:val="clear" w:color="auto" w:fill="555759"/>
            <w:hideMark/>
          </w:tcPr>
          <w:p w14:paraId="4F75FA97" w14:textId="77777777" w:rsidR="00E01C42" w:rsidRPr="00D11078" w:rsidRDefault="00E01C42" w:rsidP="008C0AC4">
            <w:pPr>
              <w:spacing w:before="40" w:after="40"/>
              <w:jc w:val="center"/>
              <w:rPr>
                <w:b/>
                <w:color w:val="FFFFFF"/>
              </w:rPr>
            </w:pPr>
            <w:r w:rsidRPr="00D11078">
              <w:rPr>
                <w:b/>
                <w:color w:val="FFFFFF"/>
              </w:rPr>
              <w:t>kWh</w:t>
            </w:r>
          </w:p>
        </w:tc>
        <w:tc>
          <w:tcPr>
            <w:tcW w:w="1217" w:type="dxa"/>
            <w:tcBorders>
              <w:top w:val="single" w:sz="2" w:space="0" w:color="FFFFFF"/>
              <w:left w:val="nil"/>
              <w:bottom w:val="single" w:sz="12" w:space="0" w:color="95D600"/>
              <w:right w:val="nil"/>
              <w:tl2br w:val="nil"/>
              <w:tr2bl w:val="nil"/>
            </w:tcBorders>
            <w:shd w:val="clear" w:color="auto" w:fill="555759"/>
            <w:hideMark/>
          </w:tcPr>
          <w:p w14:paraId="7C1B602C" w14:textId="77777777" w:rsidR="00E01C42" w:rsidRPr="00D11078" w:rsidRDefault="00E01C42" w:rsidP="008C0AC4">
            <w:pPr>
              <w:spacing w:before="40" w:after="40"/>
              <w:jc w:val="center"/>
              <w:rPr>
                <w:b/>
                <w:color w:val="FFFFFF"/>
              </w:rPr>
            </w:pPr>
            <w:r w:rsidRPr="00D11078">
              <w:rPr>
                <w:b/>
                <w:color w:val="FFFFFF"/>
              </w:rPr>
              <w:t>Therm</w:t>
            </w:r>
          </w:p>
        </w:tc>
        <w:tc>
          <w:tcPr>
            <w:tcW w:w="950" w:type="dxa"/>
            <w:tcBorders>
              <w:top w:val="single" w:sz="2" w:space="0" w:color="FFFFFF"/>
              <w:left w:val="nil"/>
              <w:bottom w:val="single" w:sz="12" w:space="0" w:color="95D600"/>
              <w:right w:val="nil"/>
              <w:tl2br w:val="nil"/>
              <w:tr2bl w:val="nil"/>
            </w:tcBorders>
            <w:shd w:val="clear" w:color="auto" w:fill="555759"/>
            <w:hideMark/>
          </w:tcPr>
          <w:p w14:paraId="414578B6" w14:textId="77777777" w:rsidR="00E01C42" w:rsidRPr="00D11078" w:rsidRDefault="00E01C42" w:rsidP="008C0AC4">
            <w:pPr>
              <w:spacing w:before="40" w:after="40"/>
              <w:jc w:val="center"/>
              <w:rPr>
                <w:b/>
                <w:color w:val="FFFFFF"/>
              </w:rPr>
            </w:pPr>
            <w:r w:rsidRPr="00D11078">
              <w:rPr>
                <w:b/>
                <w:color w:val="FFFFFF"/>
              </w:rPr>
              <w:t>kWh</w:t>
            </w:r>
          </w:p>
        </w:tc>
        <w:tc>
          <w:tcPr>
            <w:tcW w:w="1094" w:type="dxa"/>
            <w:tcBorders>
              <w:top w:val="single" w:sz="2" w:space="0" w:color="FFFFFF"/>
              <w:left w:val="nil"/>
              <w:bottom w:val="single" w:sz="12" w:space="0" w:color="95D600"/>
              <w:right w:val="nil"/>
              <w:tl2br w:val="nil"/>
              <w:tr2bl w:val="nil"/>
            </w:tcBorders>
            <w:shd w:val="clear" w:color="auto" w:fill="555759"/>
            <w:hideMark/>
          </w:tcPr>
          <w:p w14:paraId="2134BA5B" w14:textId="77777777" w:rsidR="00E01C42" w:rsidRPr="00D11078" w:rsidRDefault="00E01C42" w:rsidP="008C0AC4">
            <w:pPr>
              <w:spacing w:before="40" w:after="40"/>
              <w:jc w:val="center"/>
              <w:rPr>
                <w:b/>
                <w:color w:val="FFFFFF"/>
              </w:rPr>
            </w:pPr>
            <w:r w:rsidRPr="00D11078">
              <w:rPr>
                <w:b/>
                <w:color w:val="FFFFFF"/>
              </w:rPr>
              <w:t>Therm</w:t>
            </w:r>
          </w:p>
        </w:tc>
        <w:tc>
          <w:tcPr>
            <w:tcW w:w="1678" w:type="dxa"/>
            <w:vMerge/>
            <w:tcBorders>
              <w:top w:val="nil"/>
              <w:left w:val="nil"/>
              <w:bottom w:val="single" w:sz="12" w:space="0" w:color="95D600"/>
              <w:right w:val="nil"/>
              <w:tl2br w:val="nil"/>
              <w:tr2bl w:val="nil"/>
            </w:tcBorders>
            <w:shd w:val="clear" w:color="auto" w:fill="555759"/>
            <w:hideMark/>
          </w:tcPr>
          <w:p w14:paraId="7EDDFF89" w14:textId="77777777" w:rsidR="00E01C42" w:rsidRPr="00D11078" w:rsidRDefault="00E01C42" w:rsidP="008C0AC4">
            <w:pPr>
              <w:spacing w:before="40" w:after="40"/>
              <w:jc w:val="center"/>
              <w:rPr>
                <w:b/>
                <w:color w:val="FFFFFF"/>
              </w:rPr>
            </w:pPr>
          </w:p>
        </w:tc>
      </w:tr>
      <w:tr w:rsidR="002544A3" w:rsidRPr="00FB7D79" w14:paraId="163D12CF" w14:textId="77777777" w:rsidTr="008C0AC4">
        <w:trPr>
          <w:cantSplit/>
          <w:trHeight w:val="738"/>
          <w:jc w:val="center"/>
        </w:trPr>
        <w:tc>
          <w:tcPr>
            <w:tcW w:w="1109" w:type="dxa"/>
            <w:tcBorders>
              <w:top w:val="single" w:sz="12" w:space="0" w:color="95D600"/>
              <w:bottom w:val="single" w:sz="4" w:space="0" w:color="DCDDDE"/>
            </w:tcBorders>
            <w:shd w:val="clear" w:color="auto" w:fill="auto"/>
            <w:hideMark/>
          </w:tcPr>
          <w:p w14:paraId="306541F3" w14:textId="77777777" w:rsidR="00E01C42" w:rsidRPr="00FB7D79" w:rsidRDefault="00E01C42" w:rsidP="008C0AC4">
            <w:pPr>
              <w:spacing w:before="40" w:after="40"/>
              <w:jc w:val="center"/>
            </w:pPr>
            <w:r w:rsidRPr="00FB7D79">
              <w:t>RES</w:t>
            </w:r>
          </w:p>
        </w:tc>
        <w:tc>
          <w:tcPr>
            <w:tcW w:w="1506" w:type="dxa"/>
            <w:tcBorders>
              <w:top w:val="single" w:sz="12" w:space="0" w:color="95D600"/>
              <w:bottom w:val="single" w:sz="4" w:space="0" w:color="DCDDDE"/>
            </w:tcBorders>
            <w:shd w:val="clear" w:color="auto" w:fill="auto"/>
            <w:hideMark/>
          </w:tcPr>
          <w:p w14:paraId="379FDC66" w14:textId="77777777" w:rsidR="00E01C42" w:rsidRPr="00FB7D79" w:rsidRDefault="00E01C42" w:rsidP="008C0AC4">
            <w:pPr>
              <w:spacing w:before="40" w:after="40"/>
              <w:jc w:val="center"/>
            </w:pPr>
            <w:r w:rsidRPr="00FB7D79">
              <w:t>Small Competitions (&lt;10,000 ppl)</w:t>
            </w:r>
          </w:p>
        </w:tc>
        <w:tc>
          <w:tcPr>
            <w:tcW w:w="991" w:type="dxa"/>
            <w:tcBorders>
              <w:top w:val="single" w:sz="12" w:space="0" w:color="95D600"/>
              <w:bottom w:val="single" w:sz="4" w:space="0" w:color="DCDDDE"/>
            </w:tcBorders>
            <w:shd w:val="clear" w:color="auto" w:fill="auto"/>
            <w:hideMark/>
          </w:tcPr>
          <w:p w14:paraId="0AD6F5B9" w14:textId="77777777" w:rsidR="00E01C42" w:rsidRPr="00FB7D79" w:rsidRDefault="00E01C42" w:rsidP="008C0AC4">
            <w:pPr>
              <w:spacing w:before="40" w:after="40"/>
              <w:jc w:val="center"/>
            </w:pPr>
            <w:r w:rsidRPr="00FB7D79">
              <w:t>1</w:t>
            </w:r>
          </w:p>
        </w:tc>
        <w:tc>
          <w:tcPr>
            <w:tcW w:w="937" w:type="dxa"/>
            <w:tcBorders>
              <w:top w:val="single" w:sz="12" w:space="0" w:color="95D600"/>
              <w:bottom w:val="single" w:sz="4" w:space="0" w:color="DCDDDE"/>
            </w:tcBorders>
            <w:shd w:val="clear" w:color="auto" w:fill="auto"/>
            <w:hideMark/>
          </w:tcPr>
          <w:p w14:paraId="739D6450" w14:textId="77777777" w:rsidR="00E01C42" w:rsidRPr="00FB7D79" w:rsidRDefault="00E01C42" w:rsidP="008C0AC4">
            <w:pPr>
              <w:spacing w:before="40" w:after="40"/>
              <w:jc w:val="center"/>
            </w:pPr>
            <w:r w:rsidRPr="00FB7D79">
              <w:t>8.1%</w:t>
            </w:r>
          </w:p>
        </w:tc>
        <w:tc>
          <w:tcPr>
            <w:tcW w:w="1217" w:type="dxa"/>
            <w:tcBorders>
              <w:top w:val="single" w:sz="12" w:space="0" w:color="95D600"/>
              <w:bottom w:val="single" w:sz="4" w:space="0" w:color="DCDDDE"/>
            </w:tcBorders>
            <w:shd w:val="clear" w:color="auto" w:fill="auto"/>
            <w:hideMark/>
          </w:tcPr>
          <w:p w14:paraId="781E5469" w14:textId="77777777" w:rsidR="00E01C42" w:rsidRPr="00FB7D79" w:rsidRDefault="00E01C42" w:rsidP="008C0AC4">
            <w:pPr>
              <w:spacing w:before="40" w:after="40"/>
              <w:jc w:val="center"/>
            </w:pPr>
            <w:r w:rsidRPr="00FB7D79">
              <w:t>5.2%</w:t>
            </w:r>
          </w:p>
        </w:tc>
        <w:tc>
          <w:tcPr>
            <w:tcW w:w="950" w:type="dxa"/>
            <w:tcBorders>
              <w:top w:val="single" w:sz="12" w:space="0" w:color="95D600"/>
              <w:bottom w:val="single" w:sz="4" w:space="0" w:color="DCDDDE"/>
            </w:tcBorders>
            <w:shd w:val="clear" w:color="auto" w:fill="auto"/>
            <w:hideMark/>
          </w:tcPr>
          <w:p w14:paraId="3E992A05" w14:textId="77777777" w:rsidR="00E01C42" w:rsidRPr="00FB7D79" w:rsidRDefault="00E01C42" w:rsidP="008C0AC4">
            <w:pPr>
              <w:spacing w:before="40" w:after="40"/>
              <w:jc w:val="center"/>
            </w:pPr>
            <w:r>
              <w:t>$0.050</w:t>
            </w:r>
            <w:r w:rsidRPr="00FB7D79">
              <w:t xml:space="preserve"> </w:t>
            </w:r>
          </w:p>
        </w:tc>
        <w:tc>
          <w:tcPr>
            <w:tcW w:w="1094" w:type="dxa"/>
            <w:tcBorders>
              <w:top w:val="single" w:sz="12" w:space="0" w:color="95D600"/>
              <w:bottom w:val="single" w:sz="4" w:space="0" w:color="DCDDDE"/>
            </w:tcBorders>
            <w:shd w:val="clear" w:color="auto" w:fill="auto"/>
            <w:hideMark/>
          </w:tcPr>
          <w:p w14:paraId="14EDCE9F" w14:textId="77777777" w:rsidR="00E01C42" w:rsidRPr="00D11078" w:rsidRDefault="00E01C42" w:rsidP="008C0AC4">
            <w:pPr>
              <w:spacing w:before="40" w:after="40"/>
              <w:jc w:val="center"/>
              <w:rPr>
                <w:highlight w:val="red"/>
              </w:rPr>
            </w:pPr>
            <w:r w:rsidRPr="00FB7D79">
              <w:t>$</w:t>
            </w:r>
            <w:r>
              <w:t>1.344</w:t>
            </w:r>
          </w:p>
        </w:tc>
        <w:tc>
          <w:tcPr>
            <w:tcW w:w="1678" w:type="dxa"/>
            <w:tcBorders>
              <w:top w:val="single" w:sz="12" w:space="0" w:color="95D600"/>
              <w:bottom w:val="single" w:sz="4" w:space="0" w:color="DCDDDE"/>
            </w:tcBorders>
            <w:shd w:val="clear" w:color="auto" w:fill="auto"/>
            <w:hideMark/>
          </w:tcPr>
          <w:p w14:paraId="021C6436" w14:textId="77777777" w:rsidR="00E01C42" w:rsidRPr="00FB7D79" w:rsidRDefault="00E01C42" w:rsidP="008C0AC4">
            <w:pPr>
              <w:spacing w:before="40" w:after="40"/>
              <w:jc w:val="center"/>
            </w:pPr>
            <w:r w:rsidRPr="00FB7D79">
              <w:t>0.00019058</w:t>
            </w:r>
          </w:p>
        </w:tc>
      </w:tr>
      <w:tr w:rsidR="002544A3" w:rsidRPr="00FB7D79" w14:paraId="27D867BA" w14:textId="77777777" w:rsidTr="008C0AC4">
        <w:trPr>
          <w:cantSplit/>
          <w:trHeight w:val="738"/>
          <w:jc w:val="center"/>
        </w:trPr>
        <w:tc>
          <w:tcPr>
            <w:tcW w:w="1109" w:type="dxa"/>
            <w:tcBorders>
              <w:top w:val="single" w:sz="4" w:space="0" w:color="DCDDDE"/>
            </w:tcBorders>
            <w:shd w:val="clear" w:color="auto" w:fill="FFFFFF"/>
            <w:hideMark/>
          </w:tcPr>
          <w:p w14:paraId="4007429A" w14:textId="77777777" w:rsidR="00E01C42" w:rsidRPr="00FB7D79" w:rsidRDefault="00E01C42" w:rsidP="008C0AC4">
            <w:pPr>
              <w:spacing w:before="40" w:after="40"/>
              <w:jc w:val="center"/>
            </w:pPr>
            <w:r w:rsidRPr="00FB7D79">
              <w:t>RES</w:t>
            </w:r>
          </w:p>
        </w:tc>
        <w:tc>
          <w:tcPr>
            <w:tcW w:w="1506" w:type="dxa"/>
            <w:tcBorders>
              <w:top w:val="single" w:sz="4" w:space="0" w:color="DCDDDE"/>
            </w:tcBorders>
            <w:shd w:val="clear" w:color="auto" w:fill="FFFFFF"/>
            <w:hideMark/>
          </w:tcPr>
          <w:p w14:paraId="7192EFA6" w14:textId="77777777" w:rsidR="00E01C42" w:rsidRPr="00FB7D79" w:rsidRDefault="00E01C42" w:rsidP="008C0AC4">
            <w:pPr>
              <w:spacing w:before="40" w:after="40"/>
              <w:jc w:val="center"/>
            </w:pPr>
            <w:r w:rsidRPr="00FB7D79">
              <w:t>Large Competitions (&gt;10,000 ppl)</w:t>
            </w:r>
          </w:p>
        </w:tc>
        <w:tc>
          <w:tcPr>
            <w:tcW w:w="991" w:type="dxa"/>
            <w:tcBorders>
              <w:top w:val="single" w:sz="4" w:space="0" w:color="DCDDDE"/>
            </w:tcBorders>
            <w:shd w:val="clear" w:color="auto" w:fill="FFFFFF"/>
            <w:hideMark/>
          </w:tcPr>
          <w:p w14:paraId="2D00AE1D" w14:textId="77777777" w:rsidR="00E01C42" w:rsidRPr="00FB7D79" w:rsidRDefault="00E01C42" w:rsidP="008C0AC4">
            <w:pPr>
              <w:spacing w:before="40" w:after="40"/>
              <w:jc w:val="center"/>
            </w:pPr>
            <w:r w:rsidRPr="00FB7D79">
              <w:t>1</w:t>
            </w:r>
          </w:p>
        </w:tc>
        <w:tc>
          <w:tcPr>
            <w:tcW w:w="937" w:type="dxa"/>
            <w:tcBorders>
              <w:top w:val="single" w:sz="4" w:space="0" w:color="DCDDDE"/>
            </w:tcBorders>
            <w:shd w:val="clear" w:color="auto" w:fill="FFFFFF"/>
            <w:hideMark/>
          </w:tcPr>
          <w:p w14:paraId="0E245D4A" w14:textId="77777777" w:rsidR="00E01C42" w:rsidRPr="00FB7D79" w:rsidRDefault="00F944B0" w:rsidP="008C0AC4">
            <w:pPr>
              <w:spacing w:before="40" w:after="40"/>
              <w:jc w:val="center"/>
            </w:pPr>
            <w:r>
              <w:t>1</w:t>
            </w:r>
            <w:r w:rsidR="00E01C42" w:rsidRPr="00FB7D79">
              <w:t>4%</w:t>
            </w:r>
          </w:p>
        </w:tc>
        <w:tc>
          <w:tcPr>
            <w:tcW w:w="1217" w:type="dxa"/>
            <w:tcBorders>
              <w:top w:val="single" w:sz="4" w:space="0" w:color="DCDDDE"/>
            </w:tcBorders>
            <w:shd w:val="clear" w:color="auto" w:fill="FFFFFF"/>
            <w:hideMark/>
          </w:tcPr>
          <w:p w14:paraId="241B8FB0" w14:textId="77777777" w:rsidR="00E01C42" w:rsidRPr="00FB7D79" w:rsidRDefault="00E01C42" w:rsidP="008C0AC4">
            <w:pPr>
              <w:spacing w:before="40" w:after="40"/>
              <w:jc w:val="center"/>
            </w:pPr>
            <w:r w:rsidRPr="00FB7D79">
              <w:t>5.2%</w:t>
            </w:r>
          </w:p>
        </w:tc>
        <w:tc>
          <w:tcPr>
            <w:tcW w:w="950" w:type="dxa"/>
            <w:tcBorders>
              <w:top w:val="single" w:sz="4" w:space="0" w:color="DCDDDE"/>
            </w:tcBorders>
            <w:shd w:val="clear" w:color="auto" w:fill="FFFFFF"/>
            <w:hideMark/>
          </w:tcPr>
          <w:p w14:paraId="5064286E" w14:textId="77777777" w:rsidR="00E01C42" w:rsidRPr="00FB7D79" w:rsidRDefault="00E01C42" w:rsidP="008C0AC4">
            <w:pPr>
              <w:spacing w:before="40" w:after="40"/>
              <w:jc w:val="center"/>
            </w:pPr>
            <w:r>
              <w:t>$0.00</w:t>
            </w:r>
            <w:r w:rsidR="00F944B0">
              <w:t>2</w:t>
            </w:r>
          </w:p>
        </w:tc>
        <w:tc>
          <w:tcPr>
            <w:tcW w:w="1094" w:type="dxa"/>
            <w:tcBorders>
              <w:top w:val="single" w:sz="4" w:space="0" w:color="DCDDDE"/>
            </w:tcBorders>
            <w:shd w:val="clear" w:color="auto" w:fill="FFFFFF"/>
            <w:hideMark/>
          </w:tcPr>
          <w:p w14:paraId="2D6FE778" w14:textId="77777777" w:rsidR="00E01C42" w:rsidRPr="00D11078" w:rsidRDefault="00E01C42" w:rsidP="008C0AC4">
            <w:pPr>
              <w:spacing w:before="40" w:after="40"/>
              <w:jc w:val="center"/>
              <w:rPr>
                <w:highlight w:val="red"/>
              </w:rPr>
            </w:pPr>
            <w:r>
              <w:t>$0.101</w:t>
            </w:r>
          </w:p>
        </w:tc>
        <w:tc>
          <w:tcPr>
            <w:tcW w:w="1678" w:type="dxa"/>
            <w:tcBorders>
              <w:top w:val="single" w:sz="4" w:space="0" w:color="DCDDDE"/>
            </w:tcBorders>
            <w:shd w:val="clear" w:color="auto" w:fill="FFFFFF"/>
            <w:hideMark/>
          </w:tcPr>
          <w:p w14:paraId="390FA276" w14:textId="77777777" w:rsidR="00E01C42" w:rsidRPr="00FB7D79" w:rsidRDefault="00E01C42" w:rsidP="008C0AC4">
            <w:pPr>
              <w:spacing w:before="40" w:after="40"/>
              <w:jc w:val="center"/>
            </w:pPr>
            <w:r w:rsidRPr="00FB7D79">
              <w:t>0.00019058</w:t>
            </w:r>
          </w:p>
        </w:tc>
      </w:tr>
    </w:tbl>
    <w:p w14:paraId="341022C3" w14:textId="77777777" w:rsidR="00E01C42" w:rsidRDefault="00E01C42" w:rsidP="00E01C42">
      <w:pPr>
        <w:spacing w:line="240" w:lineRule="auto"/>
        <w:rPr>
          <w:b/>
        </w:rPr>
      </w:pPr>
    </w:p>
    <w:p w14:paraId="6A1264A9" w14:textId="77777777" w:rsidR="00E01C42" w:rsidRDefault="00E01C42" w:rsidP="00E01C42">
      <w:pPr>
        <w:rPr>
          <w:b/>
        </w:rPr>
      </w:pPr>
      <w:r w:rsidRPr="00DF089C">
        <w:rPr>
          <w:b/>
        </w:rPr>
        <w:t>Assumptions and Methodology</w:t>
      </w:r>
    </w:p>
    <w:p w14:paraId="5EAC8EB8" w14:textId="77777777" w:rsidR="00E01C42" w:rsidRPr="00DF089C" w:rsidRDefault="00E01C42" w:rsidP="00E01C42">
      <w:pPr>
        <w:rPr>
          <w:b/>
        </w:rPr>
      </w:pPr>
    </w:p>
    <w:p w14:paraId="1CEC1531" w14:textId="77777777" w:rsidR="00E01C42" w:rsidRDefault="00E01C42" w:rsidP="00E01C42">
      <w:pPr>
        <w:rPr>
          <w:b/>
          <w:i/>
          <w:szCs w:val="20"/>
        </w:rPr>
      </w:pPr>
      <w:r w:rsidRPr="005033D7">
        <w:rPr>
          <w:b/>
          <w:i/>
          <w:szCs w:val="20"/>
        </w:rPr>
        <w:t>Eligibility and Participation</w:t>
      </w:r>
    </w:p>
    <w:p w14:paraId="27F5C54E" w14:textId="77777777" w:rsidR="00E01C42" w:rsidRPr="00163486" w:rsidRDefault="00E01C42" w:rsidP="00E01C42">
      <w:pPr>
        <w:rPr>
          <w:szCs w:val="20"/>
        </w:rPr>
      </w:pPr>
      <w:r>
        <w:t>All residential customers are considered eligible t</w:t>
      </w:r>
      <w:r w:rsidR="00F944B0">
        <w:t>o participate in competitions. The e</w:t>
      </w:r>
      <w:r>
        <w:t>stimated participation rate</w:t>
      </w:r>
      <w:r w:rsidR="00F944B0">
        <w:t xml:space="preserve"> of 6.5%</w:t>
      </w:r>
      <w:r>
        <w:t xml:space="preserve"> </w:t>
      </w:r>
      <w:r w:rsidR="00F944B0">
        <w:t xml:space="preserve">for small competitions </w:t>
      </w:r>
      <w:r>
        <w:t>w</w:t>
      </w:r>
      <w:r w:rsidR="00F944B0">
        <w:t>as</w:t>
      </w:r>
      <w:r>
        <w:t xml:space="preserve"> determined by averaging available reported participation rates. Participation data for small-scale competitions was derived from SDG&amp;E’s “Biggest Energy Saver” program, </w:t>
      </w:r>
      <w:r w:rsidRPr="00E70969">
        <w:t>SMECO</w:t>
      </w:r>
      <w:r>
        <w:t>’s</w:t>
      </w:r>
      <w:r w:rsidRPr="00E70969">
        <w:t xml:space="preserve"> </w:t>
      </w:r>
      <w:r>
        <w:t>“</w:t>
      </w:r>
      <w:r w:rsidRPr="00E70969">
        <w:t>Energy Savings Challenge</w:t>
      </w:r>
      <w:r>
        <w:t xml:space="preserve">”, and </w:t>
      </w:r>
      <w:r w:rsidRPr="00E70969">
        <w:t>Minnesota Valley Electric Cooperative</w:t>
      </w:r>
      <w:r>
        <w:t>’s “</w:t>
      </w:r>
      <w:r w:rsidRPr="00E70969">
        <w:t>Beat The Peak</w:t>
      </w:r>
      <w:r>
        <w:t>” program.</w:t>
      </w:r>
      <w:r w:rsidR="00685B60">
        <w:rPr>
          <w:rStyle w:val="FootnoteReference"/>
        </w:rPr>
        <w:footnoteReference w:id="125"/>
      </w:r>
      <w:r>
        <w:t xml:space="preserve"> </w:t>
      </w:r>
      <w:r w:rsidR="00B76510">
        <w:rPr>
          <w:szCs w:val="20"/>
        </w:rPr>
        <w:t>CoolChallenge California</w:t>
      </w:r>
      <w:r w:rsidR="00B76510">
        <w:rPr>
          <w:rStyle w:val="FootnoteReference"/>
          <w:szCs w:val="20"/>
        </w:rPr>
        <w:footnoteReference w:id="126"/>
      </w:r>
      <w:r w:rsidR="00B76510">
        <w:rPr>
          <w:szCs w:val="20"/>
        </w:rPr>
        <w:t xml:space="preserve"> provided a participation rate of 0.1% for large competitions. </w:t>
      </w:r>
      <w:r>
        <w:t xml:space="preserve">This information was supplemented with findings from program reviews conducted by the </w:t>
      </w:r>
      <w:r>
        <w:lastRenderedPageBreak/>
        <w:t>Consortium for Energy Efficiency,</w:t>
      </w:r>
      <w:r w:rsidRPr="00047EF3">
        <w:rPr>
          <w:rStyle w:val="FootnoteReference"/>
        </w:rPr>
        <w:footnoteReference w:id="127"/>
      </w:r>
      <w:r>
        <w:t xml:space="preserve"> </w:t>
      </w:r>
      <w:r w:rsidRPr="005033D7">
        <w:rPr>
          <w:szCs w:val="20"/>
        </w:rPr>
        <w:t>American Council for an Energy-Efficient Economy</w:t>
      </w:r>
      <w:r>
        <w:rPr>
          <w:szCs w:val="20"/>
        </w:rPr>
        <w:t>,</w:t>
      </w:r>
      <w:r w:rsidRPr="00047EF3">
        <w:rPr>
          <w:rStyle w:val="FootnoteReference"/>
          <w:szCs w:val="20"/>
        </w:rPr>
        <w:footnoteReference w:id="128"/>
      </w:r>
      <w:r>
        <w:rPr>
          <w:szCs w:val="20"/>
        </w:rPr>
        <w:t xml:space="preserve"> and </w:t>
      </w:r>
      <w:r w:rsidRPr="00163486">
        <w:rPr>
          <w:szCs w:val="20"/>
        </w:rPr>
        <w:t>Illume Advising</w:t>
      </w:r>
      <w:r>
        <w:rPr>
          <w:szCs w:val="20"/>
        </w:rPr>
        <w:t>.</w:t>
      </w:r>
      <w:r w:rsidRPr="00047EF3">
        <w:rPr>
          <w:rStyle w:val="FootnoteReference"/>
        </w:rPr>
        <w:footnoteReference w:id="129"/>
      </w:r>
      <w:r w:rsidR="00F944B0">
        <w:rPr>
          <w:szCs w:val="20"/>
        </w:rPr>
        <w:t xml:space="preserve"> </w:t>
      </w:r>
    </w:p>
    <w:p w14:paraId="1A9F0646" w14:textId="77777777" w:rsidR="00E01C42" w:rsidRPr="005033D7" w:rsidRDefault="00E01C42" w:rsidP="00E01C42">
      <w:pPr>
        <w:rPr>
          <w:szCs w:val="20"/>
        </w:rPr>
      </w:pPr>
    </w:p>
    <w:p w14:paraId="61C0631A" w14:textId="77777777" w:rsidR="00E01C42" w:rsidRDefault="00E01C42" w:rsidP="00E01C42">
      <w:r>
        <w:t>Penetration rates for the</w:t>
      </w:r>
      <w:r w:rsidRPr="009F4E52">
        <w:t xml:space="preserve"> reference case assume that small competitions are </w:t>
      </w:r>
      <w:r>
        <w:t>conducted</w:t>
      </w:r>
      <w:r w:rsidRPr="009F4E52">
        <w:t xml:space="preserve"> </w:t>
      </w:r>
      <w:r>
        <w:t xml:space="preserve">by each utility </w:t>
      </w:r>
      <w:r w:rsidRPr="009F4E52">
        <w:t xml:space="preserve">with a </w:t>
      </w:r>
      <w:r>
        <w:t xml:space="preserve">consistent </w:t>
      </w:r>
      <w:r w:rsidRPr="009F4E52">
        <w:t>target population of 10,000 households per year each year</w:t>
      </w:r>
      <w:r>
        <w:t xml:space="preserve"> between 2019 and 2030. Starting saturation level is determined by dividing 10,000 by the number of residential households per utility and multiplying by the 6.5% participation rate. </w:t>
      </w:r>
      <w:r w:rsidRPr="009F4E52">
        <w:t xml:space="preserve">The aggressive case </w:t>
      </w:r>
      <w:r>
        <w:t xml:space="preserve">also starts in 2019. It </w:t>
      </w:r>
      <w:r w:rsidRPr="009F4E52">
        <w:t xml:space="preserve">assumes that years </w:t>
      </w:r>
      <w:r w:rsidR="003F0C84">
        <w:t>2019-2021</w:t>
      </w:r>
      <w:r w:rsidRPr="009F4E52">
        <w:t xml:space="preserve"> are limited to two target groups of 10,000</w:t>
      </w:r>
      <w:r>
        <w:t>,</w:t>
      </w:r>
      <w:r w:rsidRPr="009F4E52">
        <w:t xml:space="preserve"> but then increased to 5 target groups of 1</w:t>
      </w:r>
      <w:r>
        <w:t>0,000 each in subsequent year.</w:t>
      </w:r>
      <w:r w:rsidRPr="009F4E52">
        <w:t xml:space="preserve"> </w:t>
      </w:r>
      <w:r>
        <w:t>These groups may be small towns,</w:t>
      </w:r>
      <w:r w:rsidRPr="009F4E52">
        <w:t xml:space="preserve"> </w:t>
      </w:r>
      <w:r>
        <w:t>neighborhoods within larger cities</w:t>
      </w:r>
      <w:r w:rsidRPr="009F4E52">
        <w:t xml:space="preserve">, </w:t>
      </w:r>
      <w:r>
        <w:t>or similar</w:t>
      </w:r>
      <w:r w:rsidRPr="009F4E52">
        <w:t xml:space="preserve">. </w:t>
      </w:r>
    </w:p>
    <w:p w14:paraId="2CA6B4B6" w14:textId="77777777" w:rsidR="00E01C42" w:rsidRDefault="00E01C42" w:rsidP="00E01C42"/>
    <w:p w14:paraId="126F82E9" w14:textId="77777777" w:rsidR="00E01C42" w:rsidRDefault="00E01C42" w:rsidP="00E01C42">
      <w:r>
        <w:t xml:space="preserve">Penetration rates for large competitions are based upon </w:t>
      </w:r>
      <w:r w:rsidR="00F944B0">
        <w:t xml:space="preserve">the </w:t>
      </w:r>
      <w:r>
        <w:t xml:space="preserve">participation rate and a </w:t>
      </w:r>
      <w:r w:rsidR="00F944B0">
        <w:t xml:space="preserve">targeted </w:t>
      </w:r>
      <w:r>
        <w:t>percentage of utility households. The reference case for large competitions assumes that each utility targets 10% of its residential customers between 2019 and 2021; then rises to 15% of customers from 2022 to 2024 before increasing to 20% in 2025 and rising to 25% of customers in 2028. The aggressive case uses the same time intervals, but it starts at 20% of customers and rises in increments of 10% rather than the 5% of the reference scenario.</w:t>
      </w:r>
    </w:p>
    <w:p w14:paraId="5AFDE17C" w14:textId="77777777" w:rsidR="00E01C42" w:rsidRPr="00065CEA" w:rsidRDefault="00E01C42" w:rsidP="00E01C42">
      <w:pPr>
        <w:rPr>
          <w:szCs w:val="20"/>
        </w:rPr>
      </w:pPr>
    </w:p>
    <w:p w14:paraId="58C03EC4" w14:textId="77777777" w:rsidR="00E01C42" w:rsidRDefault="00E01C42" w:rsidP="00E01C42">
      <w:pPr>
        <w:keepNext/>
        <w:rPr>
          <w:szCs w:val="20"/>
        </w:rPr>
      </w:pPr>
      <w:r>
        <w:rPr>
          <w:b/>
          <w:i/>
          <w:szCs w:val="20"/>
        </w:rPr>
        <w:t>Savings</w:t>
      </w:r>
    </w:p>
    <w:p w14:paraId="6234D48B" w14:textId="77777777" w:rsidR="00E01C42" w:rsidRDefault="00B76510" w:rsidP="00E01C42">
      <w:r>
        <w:t>We</w:t>
      </w:r>
      <w:r w:rsidR="00E01C42" w:rsidRPr="00106F82">
        <w:t xml:space="preserve"> averaged the percentage of kWh savings reported</w:t>
      </w:r>
      <w:r w:rsidR="00E01C42">
        <w:t xml:space="preserve"> to arrive at 8.1% for small competitions and </w:t>
      </w:r>
      <w:r>
        <w:t>CoolCalifornia Challenge reported 14</w:t>
      </w:r>
      <w:r w:rsidR="00E01C42">
        <w:t>% for large competitions</w:t>
      </w:r>
      <w:r w:rsidR="00E01C42" w:rsidRPr="00106F82">
        <w:t>.</w:t>
      </w:r>
      <w:r w:rsidR="00114524">
        <w:rPr>
          <w:rStyle w:val="FootnoteReference"/>
        </w:rPr>
        <w:footnoteReference w:id="130"/>
      </w:r>
      <w:r w:rsidR="00E01C42" w:rsidRPr="00106F82">
        <w:t xml:space="preserve"> </w:t>
      </w:r>
      <w:r w:rsidR="00E01C42">
        <w:t>Gas</w:t>
      </w:r>
      <w:r w:rsidR="00E01C42" w:rsidRPr="00106F82">
        <w:t xml:space="preserve"> savings of 5.3% are </w:t>
      </w:r>
      <w:r w:rsidR="00E01C42">
        <w:t xml:space="preserve">used for both small and large competitions and are </w:t>
      </w:r>
      <w:r w:rsidR="00E01C42" w:rsidRPr="00106F82">
        <w:t>based on an average of an</w:t>
      </w:r>
      <w:r w:rsidR="00E01C42">
        <w:t xml:space="preserve"> ACEEE review of three programs that report</w:t>
      </w:r>
      <w:r w:rsidR="00E01C42" w:rsidRPr="00106F82">
        <w:t xml:space="preserve"> gas savings between 0.4</w:t>
      </w:r>
      <w:r w:rsidR="00E01C42">
        <w:t xml:space="preserve">% and </w:t>
      </w:r>
      <w:r w:rsidR="00E01C42" w:rsidRPr="00106F82">
        <w:t>10%.</w:t>
      </w:r>
      <w:r w:rsidR="00E01C42">
        <w:rPr>
          <w:rStyle w:val="FootnoteReference"/>
        </w:rPr>
        <w:footnoteReference w:id="131"/>
      </w:r>
      <w:r w:rsidR="00E01C42" w:rsidRPr="00106F82">
        <w:t xml:space="preserve"> </w:t>
      </w:r>
    </w:p>
    <w:p w14:paraId="1FCAD58E" w14:textId="77777777" w:rsidR="00E01C42" w:rsidRDefault="00E01C42" w:rsidP="00E01C42"/>
    <w:p w14:paraId="436F6222" w14:textId="77777777" w:rsidR="00E01C42" w:rsidRDefault="00E01C42" w:rsidP="00E01C42">
      <w:pPr>
        <w:rPr>
          <w:szCs w:val="20"/>
        </w:rPr>
      </w:pPr>
      <w:r>
        <w:t>Because competitions can be run for different lengths of time, lasting from a few months to multiple years, we have standardized the model on a</w:t>
      </w:r>
      <w:r w:rsidRPr="00B11C52">
        <w:t>n EUL of one year</w:t>
      </w:r>
      <w:r>
        <w:t>.</w:t>
      </w:r>
      <w:r w:rsidRPr="00B11C52">
        <w:t xml:space="preserve"> </w:t>
      </w:r>
      <w:r>
        <w:t xml:space="preserve">(This is </w:t>
      </w:r>
      <w:r w:rsidRPr="00B11C52">
        <w:t xml:space="preserve">the same </w:t>
      </w:r>
      <w:r>
        <w:t>EUL that we</w:t>
      </w:r>
      <w:r w:rsidRPr="00B11C52">
        <w:t xml:space="preserve"> apply for </w:t>
      </w:r>
      <w:r>
        <w:t>other residential interventions.)</w:t>
      </w:r>
      <w:r w:rsidRPr="00B11C52">
        <w:t xml:space="preserve"> Because </w:t>
      </w:r>
      <w:r>
        <w:t>insufficient</w:t>
      </w:r>
      <w:r w:rsidRPr="00B11C52">
        <w:t xml:space="preserve"> demand savings data was available for </w:t>
      </w:r>
      <w:r>
        <w:t xml:space="preserve">residential competitions, we applied a </w:t>
      </w:r>
      <w:r w:rsidRPr="00065CEA">
        <w:rPr>
          <w:szCs w:val="20"/>
        </w:rPr>
        <w:t xml:space="preserve">ratio of </w:t>
      </w:r>
      <w:r>
        <w:t xml:space="preserve">0.00019058 </w:t>
      </w:r>
      <w:r w:rsidRPr="00065CEA">
        <w:rPr>
          <w:szCs w:val="20"/>
        </w:rPr>
        <w:t>kW to kWh to savings</w:t>
      </w:r>
      <w:r>
        <w:t xml:space="preserve">, </w:t>
      </w:r>
      <w:r w:rsidRPr="00B11C52">
        <w:t>which is the figure used for</w:t>
      </w:r>
      <w:r>
        <w:t xml:space="preserve"> HERs</w:t>
      </w:r>
      <w:r w:rsidRPr="00B11C52">
        <w:t xml:space="preserve"> </w:t>
      </w:r>
      <w:r>
        <w:t xml:space="preserve">for </w:t>
      </w:r>
      <w:r w:rsidRPr="00B11C52">
        <w:t>all</w:t>
      </w:r>
      <w:r>
        <w:t xml:space="preserve"> three electric utilities.</w:t>
      </w:r>
    </w:p>
    <w:p w14:paraId="23147903" w14:textId="77777777" w:rsidR="00E01C42" w:rsidRPr="001F55DD" w:rsidRDefault="00E01C42" w:rsidP="00E01C42">
      <w:pPr>
        <w:rPr>
          <w:szCs w:val="20"/>
        </w:rPr>
      </w:pPr>
    </w:p>
    <w:p w14:paraId="63732694" w14:textId="77777777" w:rsidR="00E01C42" w:rsidRDefault="00E01C42" w:rsidP="00E01C42">
      <w:pPr>
        <w:rPr>
          <w:szCs w:val="20"/>
        </w:rPr>
      </w:pPr>
      <w:r w:rsidRPr="00DF089C">
        <w:rPr>
          <w:b/>
          <w:i/>
          <w:szCs w:val="20"/>
        </w:rPr>
        <w:t>Cost</w:t>
      </w:r>
    </w:p>
    <w:p w14:paraId="539BE856" w14:textId="77777777" w:rsidR="00E01C42" w:rsidRDefault="00E01C42" w:rsidP="00E01C42">
      <w:r>
        <w:t xml:space="preserve">Costs associated with competitions are largely associated with program administration and game-related prizes. We used data gathered from the 2015 ACEEE’s report on energy efficiency and gamification and information from the CEE database of behavioral programs to create cost estimates for both small and large behavior-based competitions. We approached the calculations for both small and large competitions </w:t>
      </w:r>
      <w:r>
        <w:lastRenderedPageBreak/>
        <w:t xml:space="preserve">in the same way. We began by estimating total program costs and total program savings and then divided total program costs by total program savings to get average cost per kWh. We estimated total program savings by multiplying the average number of participants per competition by the cost per participant. We estimated total program savings by multiplying average household electricity consumption by the average number of participants and the average savings rate per participant. </w:t>
      </w:r>
    </w:p>
    <w:p w14:paraId="1F2D0CA7" w14:textId="77777777" w:rsidR="00E01C42" w:rsidRDefault="00E01C42" w:rsidP="00E01C42"/>
    <w:p w14:paraId="1E4B1B3E" w14:textId="77777777" w:rsidR="00E01C42" w:rsidRDefault="00114524" w:rsidP="00E01C42">
      <w:r>
        <w:t>W</w:t>
      </w:r>
      <w:r w:rsidR="00E01C42">
        <w:t>e assume that prizes account for 50% of program costs. We estimated the cost per kWh at $0.007 for large competitions, based on the prizes and participation reported for SDG&amp;E’s “</w:t>
      </w:r>
      <w:r w:rsidR="00E01C42" w:rsidRPr="00E70969">
        <w:t>San Diego Energy Challenge</w:t>
      </w:r>
      <w:r w:rsidR="00E01C42">
        <w:t xml:space="preserve">” and Puget Sound Energy’s “Rock the Bulb” program. We estimated the cost per kWh at $0.050 for small competitions based on the prizes and participation reported for </w:t>
      </w:r>
      <w:r w:rsidR="00E01C42" w:rsidRPr="00E70969">
        <w:t>SMECO</w:t>
      </w:r>
      <w:r w:rsidR="00E01C42">
        <w:t>’s</w:t>
      </w:r>
      <w:r w:rsidR="00E01C42" w:rsidRPr="00E70969">
        <w:t xml:space="preserve"> </w:t>
      </w:r>
      <w:r w:rsidR="00E01C42">
        <w:t>“</w:t>
      </w:r>
      <w:r w:rsidR="00E01C42" w:rsidRPr="00E70969">
        <w:t>Energy Savings Challenge</w:t>
      </w:r>
      <w:r w:rsidR="00E01C42">
        <w:t xml:space="preserve">” and </w:t>
      </w:r>
      <w:r w:rsidR="00E01C42" w:rsidRPr="00E70969">
        <w:t>Minnesota Valley Electric Cooperative</w:t>
      </w:r>
      <w:r w:rsidR="00E01C42">
        <w:t>’s “</w:t>
      </w:r>
      <w:r w:rsidR="00E01C42" w:rsidRPr="00E70969">
        <w:t>Beat The Peak</w:t>
      </w:r>
      <w:r w:rsidR="00E01C42">
        <w:t>” program.</w:t>
      </w:r>
      <w:r w:rsidR="00E01C42">
        <w:rPr>
          <w:rStyle w:val="FootnoteReference"/>
        </w:rPr>
        <w:footnoteReference w:id="132"/>
      </w:r>
      <w:r w:rsidR="00E01C42">
        <w:t xml:space="preserve"> </w:t>
      </w:r>
    </w:p>
    <w:p w14:paraId="4260D252" w14:textId="77777777" w:rsidR="00E01C42" w:rsidRDefault="00E01C42" w:rsidP="00E01C42">
      <w:pPr>
        <w:pStyle w:val="Heading6"/>
        <w:numPr>
          <w:ilvl w:val="5"/>
          <w:numId w:val="8"/>
        </w:numPr>
        <w:ind w:left="0" w:firstLine="0"/>
      </w:pPr>
      <w:bookmarkStart w:id="1033" w:name="_Toc480271809"/>
      <w:bookmarkStart w:id="1034" w:name="_Toc484183066"/>
      <w:bookmarkStart w:id="1035" w:name="_Toc490225832"/>
      <w:r>
        <w:t>Commercial - Strategic Energy Management</w:t>
      </w:r>
      <w:bookmarkEnd w:id="1033"/>
      <w:bookmarkEnd w:id="1034"/>
      <w:bookmarkEnd w:id="1035"/>
    </w:p>
    <w:p w14:paraId="1771617E" w14:textId="77777777" w:rsidR="00E01C42" w:rsidRPr="008261F5" w:rsidRDefault="00E01C42" w:rsidP="00E01C42">
      <w:pPr>
        <w:rPr>
          <w:b/>
        </w:rPr>
      </w:pPr>
      <w:r w:rsidRPr="008261F5">
        <w:rPr>
          <w:b/>
        </w:rPr>
        <w:t xml:space="preserve">Summary </w:t>
      </w:r>
    </w:p>
    <w:p w14:paraId="73B5E01C" w14:textId="77777777" w:rsidR="00E01C42" w:rsidRPr="008261F5" w:rsidRDefault="00E01C42" w:rsidP="00E01C42"/>
    <w:p w14:paraId="23637B00" w14:textId="77777777" w:rsidR="00E01C42" w:rsidRPr="008261F5" w:rsidRDefault="00E01C42" w:rsidP="00E01C42">
      <w:r w:rsidRPr="008261F5">
        <w:t>Strategic Energy</w:t>
      </w:r>
      <w:r>
        <w:t xml:space="preserve"> Management (SEM) is a process for</w:t>
      </w:r>
      <w:r w:rsidRPr="008261F5">
        <w:t xml:space="preserve"> evaluating and implementing opportunities to optimize energy use</w:t>
      </w:r>
      <w:r>
        <w:t xml:space="preserve"> in the commercial and industrial sectors. </w:t>
      </w:r>
      <w:r w:rsidRPr="008261F5">
        <w:t>SEM is a continuous improvement approach that focuses on changing business practices to enable companies to</w:t>
      </w:r>
      <w:r>
        <w:t xml:space="preserve"> save money by</w:t>
      </w:r>
      <w:r w:rsidRPr="008261F5">
        <w:t xml:space="preserve"> reduc</w:t>
      </w:r>
      <w:r>
        <w:t>ing</w:t>
      </w:r>
      <w:r w:rsidRPr="008261F5">
        <w:t xml:space="preserve"> energy consumption and waste. In California, </w:t>
      </w:r>
      <w:r>
        <w:t xml:space="preserve">pilot SEM programs are currently being administered in </w:t>
      </w:r>
      <w:r w:rsidRPr="008261F5">
        <w:t>the industrial sectors.</w:t>
      </w:r>
      <w:r>
        <w:t xml:space="preserve"> </w:t>
      </w:r>
      <w:r w:rsidRPr="008261F5">
        <w:t>Customers that benefit the most from SEM</w:t>
      </w:r>
      <w:r>
        <w:t>,</w:t>
      </w:r>
      <w:r w:rsidRPr="008261F5">
        <w:t xml:space="preserve"> typically </w:t>
      </w:r>
      <w:r>
        <w:t>fall under one of the following categories</w:t>
      </w:r>
      <w:r w:rsidRPr="008261F5">
        <w:t>:</w:t>
      </w:r>
    </w:p>
    <w:p w14:paraId="3A7266F9" w14:textId="77777777" w:rsidR="00E01C42" w:rsidRPr="008261F5" w:rsidRDefault="00E01C42" w:rsidP="004E4E36">
      <w:pPr>
        <w:pStyle w:val="ListParagraph"/>
        <w:numPr>
          <w:ilvl w:val="0"/>
          <w:numId w:val="61"/>
        </w:numPr>
      </w:pPr>
      <w:r w:rsidRPr="008261F5">
        <w:t>Campuses with multiple buildings and building types</w:t>
      </w:r>
    </w:p>
    <w:p w14:paraId="51E52C3B" w14:textId="77777777" w:rsidR="00E01C42" w:rsidRPr="008261F5" w:rsidRDefault="00E01C42" w:rsidP="004E4E36">
      <w:pPr>
        <w:pStyle w:val="ListParagraph"/>
        <w:numPr>
          <w:ilvl w:val="0"/>
          <w:numId w:val="61"/>
        </w:numPr>
      </w:pPr>
      <w:r w:rsidRPr="008261F5">
        <w:t>Customers with a large portfolio of buildings and a range of building types</w:t>
      </w:r>
    </w:p>
    <w:p w14:paraId="5FDEC21A" w14:textId="77777777" w:rsidR="00E01C42" w:rsidRPr="008261F5" w:rsidRDefault="00E01C42" w:rsidP="004E4E36">
      <w:pPr>
        <w:pStyle w:val="ListParagraph"/>
        <w:numPr>
          <w:ilvl w:val="0"/>
          <w:numId w:val="61"/>
        </w:numPr>
      </w:pPr>
      <w:r w:rsidRPr="008261F5">
        <w:t>Buildings with complex energy systems</w:t>
      </w:r>
    </w:p>
    <w:p w14:paraId="7FC94425" w14:textId="77777777" w:rsidR="00E01C42" w:rsidRPr="008261F5" w:rsidRDefault="00E01C42" w:rsidP="00E01C42"/>
    <w:p w14:paraId="67484470" w14:textId="77777777" w:rsidR="00E01C42" w:rsidRPr="008261F5" w:rsidRDefault="00E01C42" w:rsidP="00E01C42">
      <w:r w:rsidRPr="008261F5">
        <w:t>SEM allows for continuous energy performance improvement by providing the processes and systems needed to incorporate energy considerations and energy management into daily operations. While SEM applications vary depending on customer specific needs, program participants generally implement the fol</w:t>
      </w:r>
      <w:r>
        <w:t>lowing policies and activities:</w:t>
      </w:r>
    </w:p>
    <w:p w14:paraId="5A766669" w14:textId="77777777" w:rsidR="00E01C42" w:rsidRPr="008261F5" w:rsidRDefault="00E01C42" w:rsidP="004E4E36">
      <w:pPr>
        <w:pStyle w:val="ListParagraph"/>
        <w:numPr>
          <w:ilvl w:val="0"/>
          <w:numId w:val="60"/>
        </w:numPr>
      </w:pPr>
      <w:r w:rsidRPr="008261F5">
        <w:t>Measure and track energy use to help inform strategic business decisions</w:t>
      </w:r>
    </w:p>
    <w:p w14:paraId="0B43AF4D" w14:textId="77777777" w:rsidR="00E01C42" w:rsidRPr="008261F5" w:rsidRDefault="00E01C42" w:rsidP="004E4E36">
      <w:pPr>
        <w:pStyle w:val="ListParagraph"/>
        <w:numPr>
          <w:ilvl w:val="0"/>
          <w:numId w:val="60"/>
        </w:numPr>
      </w:pPr>
      <w:r w:rsidRPr="008261F5">
        <w:t>Drive managerial and corporate behavioral changes around energy</w:t>
      </w:r>
    </w:p>
    <w:p w14:paraId="3EA8D8B1" w14:textId="77777777" w:rsidR="00E01C42" w:rsidRPr="008261F5" w:rsidRDefault="00E01C42" w:rsidP="004E4E36">
      <w:pPr>
        <w:pStyle w:val="ListParagraph"/>
        <w:numPr>
          <w:ilvl w:val="0"/>
          <w:numId w:val="60"/>
        </w:numPr>
      </w:pPr>
      <w:r w:rsidRPr="008261F5">
        <w:t>Develop the mechanisms to track and evaluate energy optimization efforts</w:t>
      </w:r>
    </w:p>
    <w:p w14:paraId="6E8DCF39" w14:textId="77777777" w:rsidR="00E01C42" w:rsidRPr="008261F5" w:rsidRDefault="00E01C42" w:rsidP="004E4E36">
      <w:pPr>
        <w:pStyle w:val="ListParagraph"/>
        <w:numPr>
          <w:ilvl w:val="0"/>
          <w:numId w:val="60"/>
        </w:numPr>
      </w:pPr>
      <w:r w:rsidRPr="008261F5">
        <w:t>Implement ongoing operations and maintenance practices</w:t>
      </w:r>
    </w:p>
    <w:p w14:paraId="51539E24" w14:textId="77777777" w:rsidR="00E01C42" w:rsidRPr="008261F5" w:rsidRDefault="00E01C42" w:rsidP="004E4E36">
      <w:pPr>
        <w:pStyle w:val="ListParagraph"/>
        <w:numPr>
          <w:ilvl w:val="0"/>
          <w:numId w:val="60"/>
        </w:numPr>
      </w:pPr>
      <w:r w:rsidRPr="008261F5">
        <w:t xml:space="preserve">Reduce total annual energy costs between </w:t>
      </w:r>
      <w:r>
        <w:t>5% and 10%</w:t>
      </w:r>
    </w:p>
    <w:p w14:paraId="0FE69C3B" w14:textId="77777777" w:rsidR="00E01C42" w:rsidRPr="008261F5" w:rsidRDefault="00E01C42" w:rsidP="004E4E36">
      <w:pPr>
        <w:pStyle w:val="ListParagraph"/>
        <w:numPr>
          <w:ilvl w:val="0"/>
          <w:numId w:val="60"/>
        </w:numPr>
      </w:pPr>
      <w:r w:rsidRPr="008261F5">
        <w:t>Identify and prioritize capital improvements or process changes that lead to more savings</w:t>
      </w:r>
    </w:p>
    <w:p w14:paraId="1D042C0C" w14:textId="77777777" w:rsidR="00E01C42" w:rsidRPr="008261F5" w:rsidRDefault="00E01C42" w:rsidP="004E4E36">
      <w:pPr>
        <w:pStyle w:val="ListParagraph"/>
        <w:numPr>
          <w:ilvl w:val="0"/>
          <w:numId w:val="60"/>
        </w:numPr>
      </w:pPr>
      <w:r w:rsidRPr="008261F5">
        <w:t>Justify additional resources to energy management as a result of demonstrated success</w:t>
      </w:r>
    </w:p>
    <w:p w14:paraId="441A8D12" w14:textId="77777777" w:rsidR="00E01C42" w:rsidRPr="008261F5" w:rsidRDefault="00E01C42" w:rsidP="004E4E36">
      <w:pPr>
        <w:pStyle w:val="ListParagraph"/>
        <w:numPr>
          <w:ilvl w:val="0"/>
          <w:numId w:val="60"/>
        </w:numPr>
      </w:pPr>
      <w:r w:rsidRPr="008261F5">
        <w:t>Overcome barriers to efficiency</w:t>
      </w:r>
    </w:p>
    <w:p w14:paraId="49A2B4AB" w14:textId="77777777" w:rsidR="00E01C42" w:rsidRPr="008261F5" w:rsidRDefault="00E01C42" w:rsidP="004E4E36">
      <w:pPr>
        <w:pStyle w:val="ListParagraph"/>
        <w:numPr>
          <w:ilvl w:val="0"/>
          <w:numId w:val="60"/>
        </w:numPr>
      </w:pPr>
      <w:r w:rsidRPr="008261F5">
        <w:t>Boost employee engagement to contribute to sustainability goals</w:t>
      </w:r>
    </w:p>
    <w:p w14:paraId="01F9E8C1" w14:textId="77777777" w:rsidR="00E01C42" w:rsidRPr="008261F5" w:rsidRDefault="00E01C42" w:rsidP="004E4E36">
      <w:pPr>
        <w:pStyle w:val="ListParagraph"/>
        <w:numPr>
          <w:ilvl w:val="0"/>
          <w:numId w:val="60"/>
        </w:numPr>
      </w:pPr>
      <w:r w:rsidRPr="008261F5">
        <w:lastRenderedPageBreak/>
        <w:t>Embed SEM principles in</w:t>
      </w:r>
      <w:r>
        <w:t>to</w:t>
      </w:r>
      <w:r w:rsidRPr="008261F5">
        <w:t xml:space="preserve"> </w:t>
      </w:r>
      <w:r>
        <w:t xml:space="preserve">a </w:t>
      </w:r>
      <w:r w:rsidRPr="008261F5">
        <w:t xml:space="preserve">company’s operations. </w:t>
      </w:r>
    </w:p>
    <w:p w14:paraId="6B62E56A" w14:textId="77777777" w:rsidR="00E01C42" w:rsidRPr="008261F5" w:rsidRDefault="00E01C42" w:rsidP="00E01C42"/>
    <w:p w14:paraId="4C080148" w14:textId="77777777" w:rsidR="00E01C42" w:rsidRDefault="00E01C42" w:rsidP="00E01C42">
      <w:r w:rsidRPr="008261F5">
        <w:t xml:space="preserve">The model inputs for electric and natural gas shown in </w:t>
      </w:r>
      <w:r>
        <w:fldChar w:fldCharType="begin"/>
      </w:r>
      <w:r>
        <w:instrText xml:space="preserve"> REF _Ref479842671 \h </w:instrText>
      </w:r>
      <w:r>
        <w:fldChar w:fldCharType="separate"/>
      </w:r>
      <w:r w:rsidR="007566B9">
        <w:t xml:space="preserve">Table </w:t>
      </w:r>
      <w:r w:rsidR="007566B9">
        <w:rPr>
          <w:noProof/>
        </w:rPr>
        <w:t>C</w:t>
      </w:r>
      <w:r w:rsidR="007566B9">
        <w:noBreakHyphen/>
      </w:r>
      <w:r w:rsidR="007566B9">
        <w:rPr>
          <w:noProof/>
        </w:rPr>
        <w:t>4</w:t>
      </w:r>
      <w:r>
        <w:fldChar w:fldCharType="end"/>
      </w:r>
      <w:r w:rsidRPr="008261F5">
        <w:t xml:space="preserve"> represent savings associated with operation</w:t>
      </w:r>
      <w:r>
        <w:t>al</w:t>
      </w:r>
      <w:r w:rsidRPr="008261F5">
        <w:t xml:space="preserve"> and behavior</w:t>
      </w:r>
      <w:r>
        <w:t>al changes. Savings</w:t>
      </w:r>
      <w:r w:rsidRPr="008261F5">
        <w:t xml:space="preserve"> are estimated at 3% of customer segment consumption (</w:t>
      </w:r>
      <w:r>
        <w:t>kWh or therms per</w:t>
      </w:r>
      <w:r w:rsidRPr="008261F5">
        <w:t xml:space="preserve"> year) and are applied consistently by building and fuel type across utilities.</w:t>
      </w:r>
      <w:r>
        <w:t xml:space="preserve"> </w:t>
      </w:r>
      <w:r w:rsidRPr="008261F5">
        <w:t xml:space="preserve">Costs for electricity and natural gas </w:t>
      </w:r>
      <w:r>
        <w:t xml:space="preserve">are </w:t>
      </w:r>
      <w:r w:rsidRPr="008261F5">
        <w:t>$0.2</w:t>
      </w:r>
      <w:r w:rsidR="00C55592">
        <w:t>7</w:t>
      </w:r>
      <w:r w:rsidRPr="008261F5">
        <w:t xml:space="preserve"> </w:t>
      </w:r>
      <w:r>
        <w:t xml:space="preserve">per </w:t>
      </w:r>
      <w:r w:rsidRPr="008261F5">
        <w:t>kWh and $3.65</w:t>
      </w:r>
      <w:r>
        <w:t xml:space="preserve"> per </w:t>
      </w:r>
      <w:r w:rsidRPr="008261F5">
        <w:t>therm, and are also applied consistently by building type across utilities.</w:t>
      </w:r>
      <w:bookmarkStart w:id="1036" w:name="_Ref478638705"/>
      <w:bookmarkEnd w:id="1036"/>
    </w:p>
    <w:p w14:paraId="6A25F59B" w14:textId="77777777" w:rsidR="00E01C42" w:rsidRPr="00933AE3" w:rsidRDefault="00E01C42" w:rsidP="00E01C42"/>
    <w:p w14:paraId="4D4C1BF7" w14:textId="77777777" w:rsidR="00E01C42" w:rsidRDefault="00FF2151" w:rsidP="00E01C42">
      <w:pPr>
        <w:pStyle w:val="Caption"/>
      </w:pPr>
      <w:bookmarkStart w:id="1037" w:name="_Ref479842671"/>
      <w:bookmarkStart w:id="1038" w:name="_Toc490226031"/>
      <w:r>
        <w:t xml:space="preserve">Table </w:t>
      </w:r>
      <w:fldSimple w:instr=" STYLEREF 5 \s ">
        <w:r w:rsidR="007566B9">
          <w:rPr>
            <w:noProof/>
          </w:rPr>
          <w:t>C</w:t>
        </w:r>
      </w:fldSimple>
      <w:r>
        <w:noBreakHyphen/>
      </w:r>
      <w:fldSimple w:instr=" SEQ Table_Apx \* ARABIC \s 5 ">
        <w:r w:rsidR="007566B9">
          <w:rPr>
            <w:noProof/>
          </w:rPr>
          <w:t>4</w:t>
        </w:r>
      </w:fldSimple>
      <w:bookmarkEnd w:id="1037"/>
      <w:r>
        <w:t xml:space="preserve">. </w:t>
      </w:r>
      <w:r w:rsidR="00E01C42" w:rsidRPr="00104F00">
        <w:t>Commercial Strategic Energy Management - Key Assumptions</w:t>
      </w:r>
      <w:bookmarkEnd w:id="1038"/>
    </w:p>
    <w:tbl>
      <w:tblPr>
        <w:tblW w:w="9482" w:type="dxa"/>
        <w:jc w:val="center"/>
        <w:tblBorders>
          <w:bottom w:val="single" w:sz="8" w:space="0" w:color="555759"/>
          <w:insideH w:val="single" w:sz="4" w:space="0" w:color="DCDDDE"/>
        </w:tblBorders>
        <w:tblLook w:val="04A0" w:firstRow="1" w:lastRow="0" w:firstColumn="1" w:lastColumn="0" w:noHBand="0" w:noVBand="1"/>
      </w:tblPr>
      <w:tblGrid>
        <w:gridCol w:w="947"/>
        <w:gridCol w:w="1433"/>
        <w:gridCol w:w="840"/>
        <w:gridCol w:w="779"/>
        <w:gridCol w:w="1846"/>
        <w:gridCol w:w="811"/>
        <w:gridCol w:w="1390"/>
        <w:gridCol w:w="1436"/>
      </w:tblGrid>
      <w:tr w:rsidR="002544A3" w:rsidRPr="005A6B9F" w14:paraId="0349FB66" w14:textId="77777777" w:rsidTr="00C55592">
        <w:trPr>
          <w:cantSplit/>
          <w:trHeight w:val="296"/>
          <w:tblHeader/>
          <w:jc w:val="center"/>
        </w:trPr>
        <w:tc>
          <w:tcPr>
            <w:tcW w:w="947" w:type="dxa"/>
            <w:vMerge w:val="restart"/>
            <w:tcBorders>
              <w:top w:val="nil"/>
              <w:left w:val="nil"/>
              <w:bottom w:val="single" w:sz="12" w:space="0" w:color="95D600"/>
              <w:right w:val="nil"/>
              <w:tl2br w:val="nil"/>
              <w:tr2bl w:val="nil"/>
            </w:tcBorders>
            <w:shd w:val="clear" w:color="auto" w:fill="555759"/>
            <w:hideMark/>
          </w:tcPr>
          <w:p w14:paraId="7BD9B8B4" w14:textId="77777777" w:rsidR="00E01C42" w:rsidRPr="00D11078" w:rsidRDefault="00E01C42" w:rsidP="00C55592">
            <w:pPr>
              <w:keepNext/>
              <w:spacing w:before="40" w:after="40"/>
              <w:jc w:val="center"/>
              <w:rPr>
                <w:b/>
                <w:color w:val="FFFFFF"/>
              </w:rPr>
            </w:pPr>
            <w:r w:rsidRPr="00D11078">
              <w:rPr>
                <w:b/>
                <w:color w:val="FFFFFF"/>
              </w:rPr>
              <w:t>Sector</w:t>
            </w:r>
          </w:p>
        </w:tc>
        <w:tc>
          <w:tcPr>
            <w:tcW w:w="1433" w:type="dxa"/>
            <w:vMerge w:val="restart"/>
            <w:tcBorders>
              <w:top w:val="nil"/>
              <w:left w:val="nil"/>
              <w:bottom w:val="single" w:sz="12" w:space="0" w:color="95D600"/>
              <w:right w:val="nil"/>
              <w:tl2br w:val="nil"/>
              <w:tr2bl w:val="nil"/>
            </w:tcBorders>
            <w:shd w:val="clear" w:color="auto" w:fill="555759"/>
            <w:hideMark/>
          </w:tcPr>
          <w:p w14:paraId="6A8FD9C2" w14:textId="77777777" w:rsidR="00E01C42" w:rsidRPr="00D11078" w:rsidRDefault="00E01C42" w:rsidP="008C0AC4">
            <w:pPr>
              <w:spacing w:before="40" w:after="40"/>
              <w:jc w:val="center"/>
              <w:rPr>
                <w:b/>
                <w:color w:val="FFFFFF"/>
              </w:rPr>
            </w:pPr>
            <w:r w:rsidRPr="00D11078">
              <w:rPr>
                <w:b/>
                <w:color w:val="FFFFFF"/>
              </w:rPr>
              <w:t>Type</w:t>
            </w:r>
          </w:p>
        </w:tc>
        <w:tc>
          <w:tcPr>
            <w:tcW w:w="840" w:type="dxa"/>
            <w:vMerge w:val="restart"/>
            <w:tcBorders>
              <w:top w:val="nil"/>
              <w:left w:val="nil"/>
              <w:bottom w:val="single" w:sz="12" w:space="0" w:color="95D600"/>
              <w:right w:val="nil"/>
              <w:tl2br w:val="nil"/>
              <w:tr2bl w:val="nil"/>
            </w:tcBorders>
            <w:shd w:val="clear" w:color="auto" w:fill="555759"/>
            <w:hideMark/>
          </w:tcPr>
          <w:p w14:paraId="2BA1D7CC" w14:textId="77777777" w:rsidR="00E01C42" w:rsidRPr="00D11078" w:rsidRDefault="00E01C42" w:rsidP="008C0AC4">
            <w:pPr>
              <w:spacing w:before="40" w:after="40"/>
              <w:jc w:val="center"/>
              <w:rPr>
                <w:b/>
                <w:color w:val="FFFFFF"/>
              </w:rPr>
            </w:pPr>
            <w:r w:rsidRPr="00D11078">
              <w:rPr>
                <w:b/>
                <w:color w:val="FFFFFF"/>
              </w:rPr>
              <w:t>EUL years</w:t>
            </w:r>
          </w:p>
        </w:tc>
        <w:tc>
          <w:tcPr>
            <w:tcW w:w="2625" w:type="dxa"/>
            <w:gridSpan w:val="2"/>
            <w:tcBorders>
              <w:top w:val="nil"/>
              <w:left w:val="nil"/>
              <w:bottom w:val="single" w:sz="2" w:space="0" w:color="FFFFFF"/>
              <w:right w:val="nil"/>
              <w:tl2br w:val="nil"/>
              <w:tr2bl w:val="nil"/>
            </w:tcBorders>
            <w:shd w:val="clear" w:color="auto" w:fill="555759"/>
            <w:hideMark/>
          </w:tcPr>
          <w:p w14:paraId="7AE06B4C" w14:textId="77777777" w:rsidR="00E01C42" w:rsidRPr="00D11078" w:rsidRDefault="00E01C42" w:rsidP="008C0AC4">
            <w:pPr>
              <w:spacing w:before="40" w:after="40"/>
              <w:jc w:val="center"/>
              <w:rPr>
                <w:b/>
                <w:color w:val="FFFFFF"/>
              </w:rPr>
            </w:pPr>
            <w:r w:rsidRPr="00D11078">
              <w:rPr>
                <w:b/>
                <w:color w:val="FFFFFF"/>
              </w:rPr>
              <w:t>Savings</w:t>
            </w:r>
          </w:p>
        </w:tc>
        <w:tc>
          <w:tcPr>
            <w:tcW w:w="2201" w:type="dxa"/>
            <w:gridSpan w:val="2"/>
            <w:tcBorders>
              <w:top w:val="nil"/>
              <w:left w:val="nil"/>
              <w:bottom w:val="single" w:sz="2" w:space="0" w:color="FFFFFF"/>
              <w:right w:val="nil"/>
              <w:tl2br w:val="nil"/>
              <w:tr2bl w:val="nil"/>
            </w:tcBorders>
            <w:shd w:val="clear" w:color="auto" w:fill="555759"/>
            <w:hideMark/>
          </w:tcPr>
          <w:p w14:paraId="0E8139AC" w14:textId="77777777" w:rsidR="00E01C42" w:rsidRPr="00D11078" w:rsidRDefault="00E01C42" w:rsidP="008C0AC4">
            <w:pPr>
              <w:spacing w:before="40" w:after="40"/>
              <w:jc w:val="center"/>
              <w:rPr>
                <w:b/>
                <w:color w:val="FFFFFF"/>
              </w:rPr>
            </w:pPr>
            <w:r w:rsidRPr="00D11078">
              <w:rPr>
                <w:b/>
                <w:color w:val="FFFFFF"/>
              </w:rPr>
              <w:t>Cost</w:t>
            </w:r>
          </w:p>
        </w:tc>
        <w:tc>
          <w:tcPr>
            <w:tcW w:w="1436" w:type="dxa"/>
            <w:vMerge w:val="restart"/>
            <w:tcBorders>
              <w:top w:val="nil"/>
              <w:left w:val="nil"/>
              <w:bottom w:val="single" w:sz="12" w:space="0" w:color="95D600"/>
              <w:right w:val="nil"/>
              <w:tl2br w:val="nil"/>
              <w:tr2bl w:val="nil"/>
            </w:tcBorders>
            <w:shd w:val="clear" w:color="auto" w:fill="555759"/>
            <w:hideMark/>
          </w:tcPr>
          <w:p w14:paraId="0E8E4717" w14:textId="77777777" w:rsidR="00E01C42" w:rsidRPr="00D11078" w:rsidRDefault="00E01C42" w:rsidP="008C0AC4">
            <w:pPr>
              <w:spacing w:before="40" w:after="40"/>
              <w:jc w:val="center"/>
              <w:rPr>
                <w:b/>
                <w:color w:val="FFFFFF"/>
              </w:rPr>
            </w:pPr>
            <w:r w:rsidRPr="00D11078">
              <w:rPr>
                <w:b/>
                <w:color w:val="FFFFFF"/>
              </w:rPr>
              <w:t>kW/kWh Savings Ratio</w:t>
            </w:r>
          </w:p>
        </w:tc>
      </w:tr>
      <w:tr w:rsidR="002544A3" w:rsidRPr="005A6B9F" w14:paraId="76B14A7F" w14:textId="77777777" w:rsidTr="00C55592">
        <w:trPr>
          <w:cantSplit/>
          <w:trHeight w:val="144"/>
          <w:tblHeader/>
          <w:jc w:val="center"/>
        </w:trPr>
        <w:tc>
          <w:tcPr>
            <w:tcW w:w="947" w:type="dxa"/>
            <w:vMerge/>
            <w:tcBorders>
              <w:bottom w:val="single" w:sz="12" w:space="0" w:color="95D600"/>
            </w:tcBorders>
            <w:shd w:val="clear" w:color="auto" w:fill="auto"/>
            <w:hideMark/>
          </w:tcPr>
          <w:p w14:paraId="483E3AD1" w14:textId="77777777" w:rsidR="00E01C42" w:rsidRPr="005A6B9F" w:rsidRDefault="00E01C42" w:rsidP="008C0AC4">
            <w:pPr>
              <w:spacing w:before="40" w:after="40"/>
              <w:jc w:val="center"/>
            </w:pPr>
          </w:p>
        </w:tc>
        <w:tc>
          <w:tcPr>
            <w:tcW w:w="1433" w:type="dxa"/>
            <w:vMerge/>
            <w:tcBorders>
              <w:bottom w:val="single" w:sz="12" w:space="0" w:color="95D600"/>
            </w:tcBorders>
            <w:shd w:val="clear" w:color="auto" w:fill="auto"/>
            <w:hideMark/>
          </w:tcPr>
          <w:p w14:paraId="166337B3" w14:textId="77777777" w:rsidR="00E01C42" w:rsidRPr="005A6B9F" w:rsidRDefault="00E01C42" w:rsidP="008C0AC4">
            <w:pPr>
              <w:spacing w:before="40" w:after="40"/>
              <w:jc w:val="center"/>
            </w:pPr>
          </w:p>
        </w:tc>
        <w:tc>
          <w:tcPr>
            <w:tcW w:w="840" w:type="dxa"/>
            <w:vMerge/>
            <w:tcBorders>
              <w:bottom w:val="single" w:sz="12" w:space="0" w:color="95D600"/>
            </w:tcBorders>
            <w:shd w:val="clear" w:color="auto" w:fill="555759"/>
            <w:hideMark/>
          </w:tcPr>
          <w:p w14:paraId="775C9B5A" w14:textId="77777777" w:rsidR="00E01C42" w:rsidRPr="005A6B9F" w:rsidRDefault="00E01C42" w:rsidP="008C0AC4">
            <w:pPr>
              <w:spacing w:before="40" w:after="40"/>
              <w:jc w:val="center"/>
            </w:pPr>
          </w:p>
        </w:tc>
        <w:tc>
          <w:tcPr>
            <w:tcW w:w="779" w:type="dxa"/>
            <w:tcBorders>
              <w:top w:val="single" w:sz="2" w:space="0" w:color="FFFFFF"/>
              <w:bottom w:val="single" w:sz="12" w:space="0" w:color="95D600"/>
            </w:tcBorders>
            <w:shd w:val="clear" w:color="auto" w:fill="555759"/>
            <w:hideMark/>
          </w:tcPr>
          <w:p w14:paraId="36C0B6EB" w14:textId="77777777" w:rsidR="00E01C42" w:rsidRPr="00D11078" w:rsidRDefault="00E01C42" w:rsidP="00C55592">
            <w:pPr>
              <w:keepNext/>
              <w:spacing w:before="40" w:after="40"/>
              <w:jc w:val="center"/>
              <w:rPr>
                <w:b/>
                <w:color w:val="FFFFFF"/>
              </w:rPr>
            </w:pPr>
            <w:r w:rsidRPr="00D11078">
              <w:rPr>
                <w:b/>
                <w:color w:val="FFFFFF"/>
              </w:rPr>
              <w:t>kWh</w:t>
            </w:r>
          </w:p>
        </w:tc>
        <w:tc>
          <w:tcPr>
            <w:tcW w:w="1846" w:type="dxa"/>
            <w:tcBorders>
              <w:top w:val="single" w:sz="2" w:space="0" w:color="FFFFFF"/>
              <w:bottom w:val="single" w:sz="12" w:space="0" w:color="95D600"/>
            </w:tcBorders>
            <w:shd w:val="clear" w:color="auto" w:fill="555759"/>
            <w:hideMark/>
          </w:tcPr>
          <w:p w14:paraId="1A362C84" w14:textId="77777777" w:rsidR="00E01C42" w:rsidRPr="00D11078" w:rsidRDefault="00E01C42" w:rsidP="008C0AC4">
            <w:pPr>
              <w:spacing w:before="40" w:after="40"/>
              <w:jc w:val="center"/>
              <w:rPr>
                <w:b/>
                <w:color w:val="FFFFFF"/>
              </w:rPr>
            </w:pPr>
            <w:r w:rsidRPr="00D11078">
              <w:rPr>
                <w:b/>
                <w:color w:val="FFFFFF"/>
              </w:rPr>
              <w:t>Therm</w:t>
            </w:r>
          </w:p>
        </w:tc>
        <w:tc>
          <w:tcPr>
            <w:tcW w:w="811" w:type="dxa"/>
            <w:tcBorders>
              <w:top w:val="single" w:sz="2" w:space="0" w:color="FFFFFF"/>
              <w:bottom w:val="single" w:sz="12" w:space="0" w:color="95D600"/>
            </w:tcBorders>
            <w:shd w:val="clear" w:color="auto" w:fill="555759"/>
            <w:hideMark/>
          </w:tcPr>
          <w:p w14:paraId="2B5680F2" w14:textId="77777777" w:rsidR="00E01C42" w:rsidRPr="00D11078" w:rsidRDefault="00E01C42" w:rsidP="008C0AC4">
            <w:pPr>
              <w:spacing w:before="40" w:after="40"/>
              <w:jc w:val="center"/>
              <w:rPr>
                <w:b/>
                <w:color w:val="FFFFFF"/>
              </w:rPr>
            </w:pPr>
            <w:r w:rsidRPr="00D11078">
              <w:rPr>
                <w:b/>
                <w:color w:val="FFFFFF"/>
              </w:rPr>
              <w:t>kWh</w:t>
            </w:r>
          </w:p>
        </w:tc>
        <w:tc>
          <w:tcPr>
            <w:tcW w:w="1390" w:type="dxa"/>
            <w:tcBorders>
              <w:top w:val="single" w:sz="2" w:space="0" w:color="FFFFFF"/>
              <w:bottom w:val="single" w:sz="12" w:space="0" w:color="95D600"/>
            </w:tcBorders>
            <w:shd w:val="clear" w:color="auto" w:fill="555759"/>
            <w:hideMark/>
          </w:tcPr>
          <w:p w14:paraId="309D9836" w14:textId="77777777" w:rsidR="00E01C42" w:rsidRPr="00D11078" w:rsidRDefault="00E01C42" w:rsidP="008C0AC4">
            <w:pPr>
              <w:spacing w:before="40" w:after="40"/>
              <w:jc w:val="center"/>
              <w:rPr>
                <w:b/>
                <w:color w:val="FFFFFF"/>
              </w:rPr>
            </w:pPr>
            <w:r w:rsidRPr="00D11078">
              <w:rPr>
                <w:b/>
                <w:color w:val="FFFFFF"/>
              </w:rPr>
              <w:t>Therm</w:t>
            </w:r>
          </w:p>
        </w:tc>
        <w:tc>
          <w:tcPr>
            <w:tcW w:w="1436" w:type="dxa"/>
            <w:vMerge/>
            <w:tcBorders>
              <w:bottom w:val="single" w:sz="12" w:space="0" w:color="95D600"/>
            </w:tcBorders>
            <w:shd w:val="clear" w:color="auto" w:fill="auto"/>
            <w:hideMark/>
          </w:tcPr>
          <w:p w14:paraId="28E5105B" w14:textId="77777777" w:rsidR="00E01C42" w:rsidRPr="005A6B9F" w:rsidRDefault="00E01C42" w:rsidP="008C0AC4">
            <w:pPr>
              <w:spacing w:before="40" w:after="40"/>
              <w:jc w:val="center"/>
            </w:pPr>
          </w:p>
        </w:tc>
      </w:tr>
      <w:tr w:rsidR="002544A3" w:rsidRPr="00775E71" w14:paraId="36C3A1CF" w14:textId="77777777" w:rsidTr="008C0AC4">
        <w:trPr>
          <w:cantSplit/>
          <w:trHeight w:val="738"/>
          <w:jc w:val="center"/>
        </w:trPr>
        <w:tc>
          <w:tcPr>
            <w:tcW w:w="947" w:type="dxa"/>
            <w:tcBorders>
              <w:top w:val="single" w:sz="12" w:space="0" w:color="95D600"/>
            </w:tcBorders>
            <w:shd w:val="clear" w:color="auto" w:fill="FFFFFF"/>
            <w:hideMark/>
          </w:tcPr>
          <w:p w14:paraId="0A83E95E" w14:textId="77777777" w:rsidR="00E01C42" w:rsidRPr="00775E71" w:rsidRDefault="00E01C42" w:rsidP="008C0AC4">
            <w:pPr>
              <w:spacing w:before="40" w:after="40"/>
              <w:jc w:val="center"/>
            </w:pPr>
            <w:r w:rsidRPr="00775E71">
              <w:t>COM</w:t>
            </w:r>
          </w:p>
        </w:tc>
        <w:tc>
          <w:tcPr>
            <w:tcW w:w="1433" w:type="dxa"/>
            <w:tcBorders>
              <w:top w:val="single" w:sz="12" w:space="0" w:color="95D600"/>
            </w:tcBorders>
            <w:shd w:val="clear" w:color="auto" w:fill="FFFFFF"/>
            <w:hideMark/>
          </w:tcPr>
          <w:p w14:paraId="019C7F1D" w14:textId="77777777" w:rsidR="00E01C42" w:rsidRPr="00775E71" w:rsidRDefault="00E01C42" w:rsidP="008C0AC4">
            <w:pPr>
              <w:spacing w:before="40" w:after="40"/>
              <w:jc w:val="center"/>
            </w:pPr>
            <w:r w:rsidRPr="00775E71">
              <w:t>Strategic Energy Management</w:t>
            </w:r>
          </w:p>
        </w:tc>
        <w:tc>
          <w:tcPr>
            <w:tcW w:w="840" w:type="dxa"/>
            <w:tcBorders>
              <w:top w:val="single" w:sz="12" w:space="0" w:color="95D600"/>
            </w:tcBorders>
            <w:shd w:val="clear" w:color="auto" w:fill="FFFFFF"/>
            <w:hideMark/>
          </w:tcPr>
          <w:p w14:paraId="6BC52558" w14:textId="77777777" w:rsidR="00E01C42" w:rsidRPr="00775E71" w:rsidRDefault="00E01C42" w:rsidP="008C0AC4">
            <w:pPr>
              <w:spacing w:before="40" w:after="40"/>
              <w:jc w:val="center"/>
            </w:pPr>
            <w:r w:rsidRPr="00775E71">
              <w:t>5</w:t>
            </w:r>
          </w:p>
        </w:tc>
        <w:tc>
          <w:tcPr>
            <w:tcW w:w="779" w:type="dxa"/>
            <w:tcBorders>
              <w:top w:val="single" w:sz="12" w:space="0" w:color="95D600"/>
            </w:tcBorders>
            <w:shd w:val="clear" w:color="auto" w:fill="FFFFFF"/>
            <w:hideMark/>
          </w:tcPr>
          <w:p w14:paraId="05368873" w14:textId="77777777" w:rsidR="00E01C42" w:rsidRPr="00775E71" w:rsidRDefault="00E01C42" w:rsidP="008C0AC4">
            <w:pPr>
              <w:spacing w:before="40" w:after="40"/>
              <w:jc w:val="center"/>
            </w:pPr>
            <w:r w:rsidRPr="00775E71">
              <w:t>3.0%</w:t>
            </w:r>
          </w:p>
        </w:tc>
        <w:tc>
          <w:tcPr>
            <w:tcW w:w="1846" w:type="dxa"/>
            <w:tcBorders>
              <w:top w:val="single" w:sz="12" w:space="0" w:color="95D600"/>
            </w:tcBorders>
            <w:shd w:val="clear" w:color="auto" w:fill="FFFFFF"/>
            <w:hideMark/>
          </w:tcPr>
          <w:p w14:paraId="181D5CF3" w14:textId="77777777" w:rsidR="00E01C42" w:rsidRPr="00775E71" w:rsidRDefault="00E01C42" w:rsidP="008C0AC4">
            <w:pPr>
              <w:spacing w:before="40" w:after="40"/>
              <w:jc w:val="center"/>
            </w:pPr>
            <w:r w:rsidRPr="00775E71">
              <w:t>3.0%</w:t>
            </w:r>
          </w:p>
        </w:tc>
        <w:tc>
          <w:tcPr>
            <w:tcW w:w="811" w:type="dxa"/>
            <w:tcBorders>
              <w:top w:val="single" w:sz="12" w:space="0" w:color="95D600"/>
            </w:tcBorders>
            <w:shd w:val="clear" w:color="auto" w:fill="FFFFFF"/>
            <w:hideMark/>
          </w:tcPr>
          <w:p w14:paraId="3983A075" w14:textId="77777777" w:rsidR="00E01C42" w:rsidRPr="00775E71" w:rsidRDefault="00E01C42" w:rsidP="008C0AC4">
            <w:pPr>
              <w:spacing w:before="40" w:after="40"/>
              <w:jc w:val="center"/>
            </w:pPr>
            <w:r w:rsidRPr="00775E71">
              <w:t>$0.2</w:t>
            </w:r>
            <w:r w:rsidR="00C55592">
              <w:t>7</w:t>
            </w:r>
            <w:r w:rsidRPr="00775E71">
              <w:t xml:space="preserve"> </w:t>
            </w:r>
          </w:p>
        </w:tc>
        <w:tc>
          <w:tcPr>
            <w:tcW w:w="1390" w:type="dxa"/>
            <w:tcBorders>
              <w:top w:val="single" w:sz="12" w:space="0" w:color="95D600"/>
            </w:tcBorders>
            <w:shd w:val="clear" w:color="auto" w:fill="FFFFFF"/>
            <w:hideMark/>
          </w:tcPr>
          <w:p w14:paraId="09AF7B9A" w14:textId="77777777" w:rsidR="00E01C42" w:rsidRPr="00775E71" w:rsidRDefault="00E01C42" w:rsidP="008C0AC4">
            <w:pPr>
              <w:spacing w:before="40" w:after="40"/>
              <w:jc w:val="center"/>
              <w:rPr>
                <w:highlight w:val="red"/>
              </w:rPr>
            </w:pPr>
            <w:r w:rsidRPr="00775E71">
              <w:t>$3.65</w:t>
            </w:r>
          </w:p>
        </w:tc>
        <w:tc>
          <w:tcPr>
            <w:tcW w:w="1436" w:type="dxa"/>
            <w:tcBorders>
              <w:top w:val="single" w:sz="12" w:space="0" w:color="95D600"/>
            </w:tcBorders>
            <w:shd w:val="clear" w:color="auto" w:fill="FFFFFF"/>
            <w:hideMark/>
          </w:tcPr>
          <w:p w14:paraId="2C258748" w14:textId="77777777" w:rsidR="00E01C42" w:rsidRPr="00775E71" w:rsidRDefault="00E01C42" w:rsidP="008C0AC4">
            <w:pPr>
              <w:spacing w:before="40" w:after="40"/>
              <w:jc w:val="center"/>
            </w:pPr>
            <w:r w:rsidRPr="00775E71">
              <w:t>0.0001</w:t>
            </w:r>
            <w:r w:rsidR="00C55592">
              <w:t>26</w:t>
            </w:r>
          </w:p>
        </w:tc>
      </w:tr>
    </w:tbl>
    <w:p w14:paraId="0A235513" w14:textId="77777777" w:rsidR="00E01C42" w:rsidRDefault="00E01C42" w:rsidP="00E01C42">
      <w:pPr>
        <w:spacing w:line="240" w:lineRule="auto"/>
        <w:rPr>
          <w:b/>
        </w:rPr>
      </w:pPr>
    </w:p>
    <w:p w14:paraId="08836956" w14:textId="77777777" w:rsidR="00E01C42" w:rsidRPr="008261F5" w:rsidRDefault="00E01C42" w:rsidP="00E01C42">
      <w:pPr>
        <w:rPr>
          <w:b/>
        </w:rPr>
      </w:pPr>
      <w:r w:rsidRPr="008261F5">
        <w:rPr>
          <w:b/>
        </w:rPr>
        <w:t>Assumptions and Methodology</w:t>
      </w:r>
    </w:p>
    <w:p w14:paraId="346CBAE5" w14:textId="77777777" w:rsidR="00E01C42" w:rsidRPr="008261F5" w:rsidRDefault="00E01C42" w:rsidP="00E01C42">
      <w:pPr>
        <w:rPr>
          <w:b/>
        </w:rPr>
      </w:pPr>
    </w:p>
    <w:p w14:paraId="4A4AB4F0" w14:textId="77777777" w:rsidR="00E01C42" w:rsidRPr="008261F5" w:rsidRDefault="00E01C42" w:rsidP="00E01C42">
      <w:pPr>
        <w:rPr>
          <w:b/>
          <w:i/>
          <w:szCs w:val="20"/>
        </w:rPr>
      </w:pPr>
      <w:r w:rsidRPr="008261F5">
        <w:rPr>
          <w:b/>
          <w:i/>
          <w:szCs w:val="20"/>
        </w:rPr>
        <w:t>Eligibility and Participation</w:t>
      </w:r>
    </w:p>
    <w:p w14:paraId="2F0C3B8C" w14:textId="77777777" w:rsidR="00E01C42" w:rsidRPr="008261F5" w:rsidRDefault="00E01C42" w:rsidP="00E01C42">
      <w:r w:rsidRPr="008261F5">
        <w:t xml:space="preserve">Segments of the commercial market </w:t>
      </w:r>
      <w:r>
        <w:t>are</w:t>
      </w:r>
      <w:r w:rsidRPr="008261F5">
        <w:t xml:space="preserve"> considered suitable for SEM type program approaches</w:t>
      </w:r>
      <w:r>
        <w:t xml:space="preserve">. </w:t>
      </w:r>
      <w:r w:rsidRPr="008261F5">
        <w:t>Customers that benefit the most from SEM typically operate portfolios or campuses with multiple buildings</w:t>
      </w:r>
      <w:r>
        <w:t xml:space="preserve">, </w:t>
      </w:r>
      <w:r w:rsidRPr="008261F5">
        <w:t>building types</w:t>
      </w:r>
      <w:r>
        <w:t>, and a variety of complex energy systems, each with its own unique set of</w:t>
      </w:r>
      <w:r w:rsidRPr="008261F5">
        <w:t xml:space="preserve"> energy management requirements.</w:t>
      </w:r>
      <w:r>
        <w:t xml:space="preserve"> The market defined for the PG BROS Model </w:t>
      </w:r>
      <w:r w:rsidRPr="008261F5">
        <w:t>therefore includes the following segments:</w:t>
      </w:r>
    </w:p>
    <w:p w14:paraId="035533F8" w14:textId="77777777" w:rsidR="00E01C42" w:rsidRPr="008261F5" w:rsidRDefault="00E01C42" w:rsidP="004E4E36">
      <w:pPr>
        <w:pStyle w:val="ListParagraph"/>
        <w:numPr>
          <w:ilvl w:val="0"/>
          <w:numId w:val="62"/>
        </w:numPr>
      </w:pPr>
      <w:r w:rsidRPr="008261F5">
        <w:t>Schools</w:t>
      </w:r>
    </w:p>
    <w:p w14:paraId="76B756DB" w14:textId="77777777" w:rsidR="00E01C42" w:rsidRPr="008261F5" w:rsidRDefault="00E01C42" w:rsidP="004E4E36">
      <w:pPr>
        <w:pStyle w:val="ListParagraph"/>
        <w:numPr>
          <w:ilvl w:val="0"/>
          <w:numId w:val="62"/>
        </w:numPr>
      </w:pPr>
      <w:r w:rsidRPr="008261F5">
        <w:t>Colleges</w:t>
      </w:r>
    </w:p>
    <w:p w14:paraId="728BFE61" w14:textId="77777777" w:rsidR="00E01C42" w:rsidRPr="008261F5" w:rsidRDefault="00E01C42" w:rsidP="004E4E36">
      <w:pPr>
        <w:pStyle w:val="ListParagraph"/>
        <w:numPr>
          <w:ilvl w:val="0"/>
          <w:numId w:val="62"/>
        </w:numPr>
      </w:pPr>
      <w:r w:rsidRPr="008261F5">
        <w:t>Healthcare</w:t>
      </w:r>
    </w:p>
    <w:p w14:paraId="7FAAB284" w14:textId="77777777" w:rsidR="00E01C42" w:rsidRPr="008261F5" w:rsidRDefault="00E01C42" w:rsidP="004E4E36">
      <w:pPr>
        <w:pStyle w:val="ListParagraph"/>
        <w:numPr>
          <w:ilvl w:val="0"/>
          <w:numId w:val="62"/>
        </w:numPr>
      </w:pPr>
      <w:r w:rsidRPr="008261F5">
        <w:t>Large Office Buildings</w:t>
      </w:r>
    </w:p>
    <w:p w14:paraId="528F65B7" w14:textId="77777777" w:rsidR="00E01C42" w:rsidRDefault="00E01C42" w:rsidP="00E01C42"/>
    <w:p w14:paraId="623E0FBF" w14:textId="77777777" w:rsidR="00E01C42" w:rsidRPr="008261F5" w:rsidRDefault="00E01C42" w:rsidP="00E01C42">
      <w:r>
        <w:t xml:space="preserve">Depending on the segment, the model assumes that </w:t>
      </w:r>
      <w:r w:rsidRPr="00F2437B">
        <w:t>between</w:t>
      </w:r>
      <w:r>
        <w:t xml:space="preserve"> </w:t>
      </w:r>
      <w:r w:rsidRPr="00F2437B">
        <w:t>1</w:t>
      </w:r>
      <w:r>
        <w:t>0</w:t>
      </w:r>
      <w:r w:rsidRPr="00F2437B">
        <w:t>% and 55% of buildings have already implement</w:t>
      </w:r>
      <w:r>
        <w:t>ed</w:t>
      </w:r>
      <w:r w:rsidRPr="00F2437B">
        <w:t xml:space="preserve"> SEM,</w:t>
      </w:r>
      <w:r w:rsidRPr="008261F5">
        <w:rPr>
          <w:rStyle w:val="FootnoteReference"/>
          <w:szCs w:val="20"/>
        </w:rPr>
        <w:footnoteReference w:id="133"/>
      </w:r>
      <w:r w:rsidRPr="00F2437B">
        <w:t xml:space="preserve"> resulting in reduced </w:t>
      </w:r>
      <w:r>
        <w:t xml:space="preserve">applicability of any commercial </w:t>
      </w:r>
      <w:r w:rsidRPr="00F2437B">
        <w:t xml:space="preserve">SEM program. </w:t>
      </w:r>
      <w:r>
        <w:t xml:space="preserve">After accounting for the estimate of customers that have already implemented SEM outside of any program intervention, the PG BROS model applies an applicability factor of between 45% and 90%. </w:t>
      </w:r>
      <w:r w:rsidRPr="00F2437B">
        <w:t>A compound annual growth rate (CAGR) was used to forecast growth in participation over time</w:t>
      </w:r>
      <w:r w:rsidR="00C55592">
        <w:t>, starting in 2020</w:t>
      </w:r>
      <w:r w:rsidRPr="00F2437B">
        <w:t>.</w:t>
      </w:r>
      <w:r w:rsidR="00114524">
        <w:rPr>
          <w:rStyle w:val="FootnoteReference"/>
        </w:rPr>
        <w:footnoteReference w:id="134"/>
      </w:r>
      <w:r w:rsidRPr="00F2437B">
        <w:t xml:space="preserve"> A 2% CAGR was used in the reference</w:t>
      </w:r>
      <w:r w:rsidRPr="008261F5">
        <w:t xml:space="preserve"> case, while the aggressive case used a 4% CAGR. </w:t>
      </w:r>
    </w:p>
    <w:p w14:paraId="01EEEC4E" w14:textId="77777777" w:rsidR="00E01C42" w:rsidRPr="008261F5" w:rsidRDefault="00E01C42" w:rsidP="00E01C42">
      <w:pPr>
        <w:rPr>
          <w:szCs w:val="20"/>
        </w:rPr>
      </w:pPr>
    </w:p>
    <w:p w14:paraId="45EC1E9D" w14:textId="77777777" w:rsidR="00E01C42" w:rsidRPr="008261F5" w:rsidRDefault="00E01C42" w:rsidP="00122CD3">
      <w:pPr>
        <w:keepNext/>
        <w:rPr>
          <w:szCs w:val="20"/>
        </w:rPr>
      </w:pPr>
      <w:r w:rsidRPr="008261F5">
        <w:rPr>
          <w:b/>
          <w:i/>
          <w:szCs w:val="20"/>
        </w:rPr>
        <w:lastRenderedPageBreak/>
        <w:t>Savings</w:t>
      </w:r>
    </w:p>
    <w:p w14:paraId="0E5F424F" w14:textId="77777777" w:rsidR="00E01C42" w:rsidRPr="008261F5" w:rsidRDefault="00E01C42" w:rsidP="00122CD3">
      <w:pPr>
        <w:keepLines/>
        <w:rPr>
          <w:szCs w:val="20"/>
        </w:rPr>
      </w:pPr>
      <w:r w:rsidRPr="008261F5">
        <w:rPr>
          <w:szCs w:val="20"/>
        </w:rPr>
        <w:t xml:space="preserve">Estimated electric savings for all </w:t>
      </w:r>
      <w:r>
        <w:rPr>
          <w:szCs w:val="20"/>
        </w:rPr>
        <w:t>activities</w:t>
      </w:r>
      <w:r w:rsidRPr="008261F5">
        <w:rPr>
          <w:szCs w:val="20"/>
        </w:rPr>
        <w:t xml:space="preserve"> associated with SEM range from 5% to 10% of customer segment consum</w:t>
      </w:r>
      <w:r>
        <w:rPr>
          <w:szCs w:val="20"/>
        </w:rPr>
        <w:t>ption for electricity and gas (</w:t>
      </w:r>
      <w:r w:rsidRPr="008261F5">
        <w:rPr>
          <w:szCs w:val="20"/>
        </w:rPr>
        <w:t xml:space="preserve">kWh </w:t>
      </w:r>
      <w:r>
        <w:rPr>
          <w:szCs w:val="20"/>
        </w:rPr>
        <w:t>or therms per</w:t>
      </w:r>
      <w:r w:rsidRPr="008261F5">
        <w:rPr>
          <w:szCs w:val="20"/>
        </w:rPr>
        <w:t xml:space="preserve"> year).</w:t>
      </w:r>
      <w:r>
        <w:rPr>
          <w:szCs w:val="20"/>
        </w:rPr>
        <w:t xml:space="preserve"> </w:t>
      </w:r>
      <w:r w:rsidRPr="008261F5">
        <w:rPr>
          <w:szCs w:val="20"/>
        </w:rPr>
        <w:t>These savings estimates include a mix of operational savings and savings associated with capital investments (i.e.</w:t>
      </w:r>
      <w:r>
        <w:rPr>
          <w:szCs w:val="20"/>
        </w:rPr>
        <w:t>,</w:t>
      </w:r>
      <w:r w:rsidRPr="008261F5">
        <w:rPr>
          <w:szCs w:val="20"/>
        </w:rPr>
        <w:t xml:space="preserve"> equipment retrofit and replacement projects).</w:t>
      </w:r>
      <w:r>
        <w:rPr>
          <w:szCs w:val="20"/>
        </w:rPr>
        <w:t xml:space="preserve"> </w:t>
      </w:r>
      <w:r w:rsidRPr="008261F5">
        <w:rPr>
          <w:szCs w:val="20"/>
        </w:rPr>
        <w:t>Because savings from capital investments are addressed in other components of the potential model, the SEM savings associated with BROS activities are constrained to estimates of operational savings.</w:t>
      </w:r>
      <w:r>
        <w:rPr>
          <w:szCs w:val="20"/>
        </w:rPr>
        <w:t xml:space="preserve"> </w:t>
      </w:r>
      <w:r w:rsidRPr="008261F5">
        <w:rPr>
          <w:szCs w:val="20"/>
        </w:rPr>
        <w:t>Based on</w:t>
      </w:r>
      <w:r>
        <w:rPr>
          <w:szCs w:val="20"/>
        </w:rPr>
        <w:t xml:space="preserve"> a</w:t>
      </w:r>
      <w:r w:rsidRPr="008261F5">
        <w:rPr>
          <w:szCs w:val="20"/>
        </w:rPr>
        <w:t xml:space="preserve"> literature review of 16 institutional SEM plans, such as the</w:t>
      </w:r>
      <w:r>
        <w:rPr>
          <w:szCs w:val="20"/>
        </w:rPr>
        <w:t xml:space="preserve"> </w:t>
      </w:r>
      <w:r w:rsidRPr="008261F5">
        <w:rPr>
          <w:szCs w:val="20"/>
        </w:rPr>
        <w:t>LW Hospitals Alliance 2014 plan,</w:t>
      </w:r>
      <w:r w:rsidRPr="008261F5">
        <w:rPr>
          <w:rStyle w:val="FootnoteReference"/>
          <w:szCs w:val="20"/>
        </w:rPr>
        <w:footnoteReference w:id="135"/>
      </w:r>
      <w:r w:rsidRPr="008261F5">
        <w:rPr>
          <w:szCs w:val="20"/>
        </w:rPr>
        <w:t xml:space="preserve"> and market studies such as the Northwest Energy Efficiency Alliance</w:t>
      </w:r>
      <w:r w:rsidRPr="008261F5">
        <w:rPr>
          <w:rStyle w:val="FootnoteReference"/>
          <w:szCs w:val="20"/>
        </w:rPr>
        <w:t xml:space="preserve"> </w:t>
      </w:r>
      <w:r w:rsidRPr="008261F5">
        <w:rPr>
          <w:szCs w:val="20"/>
        </w:rPr>
        <w:t xml:space="preserve">(NEEA) </w:t>
      </w:r>
      <w:r w:rsidRPr="008261F5">
        <w:t>Market Progress Evaluation Report,</w:t>
      </w:r>
      <w:r w:rsidRPr="008261F5">
        <w:rPr>
          <w:rStyle w:val="FootnoteReference"/>
          <w:szCs w:val="20"/>
        </w:rPr>
        <w:footnoteReference w:id="136"/>
      </w:r>
      <w:r>
        <w:rPr>
          <w:szCs w:val="20"/>
        </w:rPr>
        <w:t xml:space="preserve"> operations and maintenance</w:t>
      </w:r>
      <w:r w:rsidRPr="008261F5">
        <w:rPr>
          <w:szCs w:val="20"/>
        </w:rPr>
        <w:t xml:space="preserve"> savings are estimated to </w:t>
      </w:r>
      <w:r>
        <w:rPr>
          <w:szCs w:val="20"/>
        </w:rPr>
        <w:t xml:space="preserve">be </w:t>
      </w:r>
      <w:r w:rsidRPr="008261F5">
        <w:rPr>
          <w:szCs w:val="20"/>
        </w:rPr>
        <w:t xml:space="preserve">3% applied consistently by building and fuel type across all utilities for the market segments considered. </w:t>
      </w:r>
    </w:p>
    <w:p w14:paraId="777F8FF0" w14:textId="77777777" w:rsidR="00E01C42" w:rsidRPr="008261F5" w:rsidRDefault="00E01C42" w:rsidP="00E01C42"/>
    <w:p w14:paraId="73C1CFB6" w14:textId="77777777" w:rsidR="00E01C42" w:rsidRPr="008261F5" w:rsidRDefault="00E01C42" w:rsidP="00E01C42">
      <w:pPr>
        <w:rPr>
          <w:szCs w:val="20"/>
        </w:rPr>
      </w:pPr>
      <w:r w:rsidRPr="008261F5">
        <w:t xml:space="preserve">The model uses an EUL of five </w:t>
      </w:r>
      <w:r w:rsidR="00114524">
        <w:t>years</w:t>
      </w:r>
      <w:r w:rsidRPr="008261F5">
        <w:t>.</w:t>
      </w:r>
      <w:r w:rsidR="00114524">
        <w:rPr>
          <w:rStyle w:val="FootnoteReference"/>
        </w:rPr>
        <w:footnoteReference w:id="137"/>
      </w:r>
      <w:r w:rsidRPr="008261F5">
        <w:t xml:space="preserve"> A </w:t>
      </w:r>
      <w:r w:rsidRPr="008261F5">
        <w:rPr>
          <w:szCs w:val="20"/>
        </w:rPr>
        <w:t xml:space="preserve">ratio of kW to kWh </w:t>
      </w:r>
      <w:r>
        <w:rPr>
          <w:szCs w:val="20"/>
        </w:rPr>
        <w:t xml:space="preserve">of </w:t>
      </w:r>
      <w:r w:rsidR="00C55592">
        <w:t>0.000126</w:t>
      </w:r>
      <w:r w:rsidRPr="008261F5">
        <w:t xml:space="preserve"> </w:t>
      </w:r>
      <w:r>
        <w:t>was applied to all three electric utilities</w:t>
      </w:r>
      <w:r w:rsidRPr="008261F5">
        <w:t xml:space="preserve"> based on an analysis of several third-party programs operating in California during the 2014-2015 portfolio cycle that included some components of SEM initiatives.</w:t>
      </w:r>
    </w:p>
    <w:p w14:paraId="6D4A7E1D" w14:textId="77777777" w:rsidR="00E01C42" w:rsidRPr="008261F5" w:rsidRDefault="00E01C42" w:rsidP="00E01C42"/>
    <w:p w14:paraId="5DD50842" w14:textId="77777777" w:rsidR="00E01C42" w:rsidRPr="008261F5" w:rsidRDefault="00E01C42" w:rsidP="00E01C42">
      <w:pPr>
        <w:rPr>
          <w:szCs w:val="20"/>
        </w:rPr>
      </w:pPr>
      <w:r w:rsidRPr="008261F5">
        <w:rPr>
          <w:b/>
          <w:i/>
          <w:szCs w:val="20"/>
        </w:rPr>
        <w:t>Cost</w:t>
      </w:r>
    </w:p>
    <w:p w14:paraId="50AAB134" w14:textId="77777777" w:rsidR="00E01C42" w:rsidRDefault="00E01C42" w:rsidP="00E01C42">
      <w:r w:rsidRPr="008261F5">
        <w:rPr>
          <w:szCs w:val="20"/>
        </w:rPr>
        <w:t>Costs for electricity and natural gas</w:t>
      </w:r>
      <w:r>
        <w:rPr>
          <w:szCs w:val="20"/>
        </w:rPr>
        <w:t xml:space="preserve"> savings are estimate</w:t>
      </w:r>
      <w:r w:rsidR="00C55592">
        <w:rPr>
          <w:szCs w:val="20"/>
        </w:rPr>
        <w:t>d at $0.27</w:t>
      </w:r>
      <w:r>
        <w:rPr>
          <w:szCs w:val="20"/>
        </w:rPr>
        <w:t xml:space="preserve"> per kWh and $3.65 per </w:t>
      </w:r>
      <w:r w:rsidRPr="008261F5">
        <w:rPr>
          <w:szCs w:val="20"/>
        </w:rPr>
        <w:t xml:space="preserve">therm, applied consistently by building and fuel type across utilities </w:t>
      </w:r>
      <w:r>
        <w:t xml:space="preserve">based on an analysis </w:t>
      </w:r>
      <w:r w:rsidRPr="008261F5">
        <w:t>of several third-party programs operating in California during the 2014-2015 portfolio cycle that included some components of SEM initiatives</w:t>
      </w:r>
      <w:r>
        <w:t>, including the Commercial Energy Advisor, Monitoring-Based Persistence Commissioning, and Energy Fitness programs</w:t>
      </w:r>
    </w:p>
    <w:p w14:paraId="3F5D00F1" w14:textId="77777777" w:rsidR="00E01C42" w:rsidRDefault="00E01C42" w:rsidP="00E01C42">
      <w:pPr>
        <w:pStyle w:val="Heading6"/>
        <w:numPr>
          <w:ilvl w:val="5"/>
          <w:numId w:val="8"/>
        </w:numPr>
      </w:pPr>
      <w:bookmarkStart w:id="1039" w:name="_Toc480271810"/>
      <w:bookmarkStart w:id="1040" w:name="_Toc484183067"/>
      <w:bookmarkStart w:id="1041" w:name="_Toc490225833"/>
      <w:r>
        <w:t>Commercial - Building Operator Certification</w:t>
      </w:r>
      <w:bookmarkEnd w:id="1039"/>
      <w:bookmarkEnd w:id="1040"/>
      <w:bookmarkEnd w:id="1041"/>
    </w:p>
    <w:p w14:paraId="6DF9EA5A" w14:textId="77777777" w:rsidR="00E01C42" w:rsidRDefault="00E01C42" w:rsidP="00E01C42">
      <w:pPr>
        <w:rPr>
          <w:b/>
        </w:rPr>
      </w:pPr>
      <w:r w:rsidRPr="008261F5">
        <w:rPr>
          <w:b/>
        </w:rPr>
        <w:t xml:space="preserve">Summary </w:t>
      </w:r>
    </w:p>
    <w:p w14:paraId="27A05F81" w14:textId="77777777" w:rsidR="00114524" w:rsidRPr="008261F5" w:rsidRDefault="00114524" w:rsidP="00E01C42">
      <w:pPr>
        <w:rPr>
          <w:b/>
        </w:rPr>
      </w:pPr>
    </w:p>
    <w:p w14:paraId="4E7CA56A" w14:textId="77777777" w:rsidR="00E01C42" w:rsidRPr="008261F5" w:rsidRDefault="00E01C42" w:rsidP="00E01C42">
      <w:r w:rsidRPr="008261F5">
        <w:t>Building Operator Certification (BOC) offer</w:t>
      </w:r>
      <w:r>
        <w:t>s</w:t>
      </w:r>
      <w:r w:rsidRPr="008261F5">
        <w:t xml:space="preserve"> energy efficiency training and certification courses to commercial building operators in the commercial sector.</w:t>
      </w:r>
      <w:r>
        <w:t xml:space="preserve"> </w:t>
      </w:r>
      <w:r w:rsidRPr="008261F5">
        <w:t xml:space="preserve">BOC has been modelled as a component of behavioral savings in the 2011, 2013, and 2015 </w:t>
      </w:r>
      <w:r>
        <w:t xml:space="preserve">Potential Studies </w:t>
      </w:r>
      <w:r w:rsidRPr="008261F5">
        <w:t xml:space="preserve">and research conducted for those studies indicate that </w:t>
      </w:r>
      <w:r>
        <w:t>operations and maintenance</w:t>
      </w:r>
      <w:r w:rsidRPr="008261F5">
        <w:t xml:space="preserve"> practices mostly fell into the following categories:</w:t>
      </w:r>
      <w:r w:rsidR="00963FD0">
        <w:rPr>
          <w:rStyle w:val="FootnoteReference"/>
        </w:rPr>
        <w:footnoteReference w:id="138"/>
      </w:r>
    </w:p>
    <w:p w14:paraId="1EE2AD46" w14:textId="77777777" w:rsidR="00E01C42" w:rsidRPr="008261F5" w:rsidRDefault="00E01C42" w:rsidP="004E4E36">
      <w:pPr>
        <w:pStyle w:val="ListParagraph"/>
        <w:numPr>
          <w:ilvl w:val="0"/>
          <w:numId w:val="63"/>
        </w:numPr>
      </w:pPr>
      <w:r w:rsidRPr="008261F5">
        <w:t>Improved air compressor operations and maintenance</w:t>
      </w:r>
    </w:p>
    <w:p w14:paraId="791E2121" w14:textId="77777777" w:rsidR="00E01C42" w:rsidRPr="008261F5" w:rsidRDefault="00E01C42" w:rsidP="004E4E36">
      <w:pPr>
        <w:pStyle w:val="ListParagraph"/>
        <w:numPr>
          <w:ilvl w:val="0"/>
          <w:numId w:val="63"/>
        </w:numPr>
      </w:pPr>
      <w:r w:rsidRPr="008261F5">
        <w:t>Improved HVAC operations and maintenance</w:t>
      </w:r>
    </w:p>
    <w:p w14:paraId="13E9F2DD" w14:textId="77777777" w:rsidR="00E01C42" w:rsidRPr="008261F5" w:rsidRDefault="00E01C42" w:rsidP="004E4E36">
      <w:pPr>
        <w:pStyle w:val="ListParagraph"/>
        <w:numPr>
          <w:ilvl w:val="0"/>
          <w:numId w:val="63"/>
        </w:numPr>
      </w:pPr>
      <w:r w:rsidRPr="008261F5">
        <w:t>Improved lighting operations and maintenance</w:t>
      </w:r>
    </w:p>
    <w:p w14:paraId="1116D624" w14:textId="77777777" w:rsidR="00E01C42" w:rsidRPr="008261F5" w:rsidRDefault="00E01C42" w:rsidP="004E4E36">
      <w:pPr>
        <w:pStyle w:val="ListParagraph"/>
        <w:numPr>
          <w:ilvl w:val="0"/>
          <w:numId w:val="63"/>
        </w:numPr>
      </w:pPr>
      <w:r w:rsidRPr="008261F5">
        <w:t>Improved motors/drives operations and maintenance</w:t>
      </w:r>
    </w:p>
    <w:p w14:paraId="3421CBFD" w14:textId="77777777" w:rsidR="00E01C42" w:rsidRPr="008261F5" w:rsidRDefault="00E01C42" w:rsidP="004E4E36">
      <w:pPr>
        <w:pStyle w:val="ListParagraph"/>
        <w:numPr>
          <w:ilvl w:val="0"/>
          <w:numId w:val="63"/>
        </w:numPr>
      </w:pPr>
      <w:r w:rsidRPr="008261F5">
        <w:t>Water conservation resulting in energy savings</w:t>
      </w:r>
    </w:p>
    <w:p w14:paraId="0F9B897F" w14:textId="77777777" w:rsidR="00E01C42" w:rsidRPr="008261F5" w:rsidRDefault="00E01C42" w:rsidP="004E4E36">
      <w:pPr>
        <w:pStyle w:val="ListParagraph"/>
        <w:numPr>
          <w:ilvl w:val="0"/>
          <w:numId w:val="63"/>
        </w:numPr>
      </w:pPr>
      <w:r w:rsidRPr="008261F5">
        <w:t>Adjusted controls of HVAC systems</w:t>
      </w:r>
    </w:p>
    <w:p w14:paraId="5CF685C8" w14:textId="77777777" w:rsidR="00E01C42" w:rsidRPr="008261F5" w:rsidRDefault="00E01C42" w:rsidP="004E4E36">
      <w:pPr>
        <w:pStyle w:val="ListParagraph"/>
        <w:numPr>
          <w:ilvl w:val="0"/>
          <w:numId w:val="63"/>
        </w:numPr>
      </w:pPr>
      <w:r w:rsidRPr="008261F5">
        <w:lastRenderedPageBreak/>
        <w:t>Adjusted controls of energy management systems</w:t>
      </w:r>
    </w:p>
    <w:p w14:paraId="78772FC8" w14:textId="77777777" w:rsidR="00E01C42" w:rsidRPr="008261F5" w:rsidRDefault="00E01C42" w:rsidP="00E01C42"/>
    <w:p w14:paraId="0F70FB9A" w14:textId="77777777" w:rsidR="00E01C42" w:rsidRPr="008261F5" w:rsidRDefault="00E01C42" w:rsidP="00E01C42">
      <w:pPr>
        <w:rPr>
          <w:szCs w:val="20"/>
        </w:rPr>
      </w:pPr>
      <w:r>
        <w:rPr>
          <w:szCs w:val="20"/>
        </w:rPr>
        <w:t>The</w:t>
      </w:r>
      <w:r w:rsidRPr="008261F5">
        <w:rPr>
          <w:szCs w:val="20"/>
        </w:rPr>
        <w:t xml:space="preserve"> inputs for electric and natural gas shown in </w:t>
      </w:r>
      <w:r w:rsidRPr="008261F5">
        <w:rPr>
          <w:szCs w:val="20"/>
        </w:rPr>
        <w:fldChar w:fldCharType="begin"/>
      </w:r>
      <w:r w:rsidRPr="008261F5">
        <w:rPr>
          <w:szCs w:val="20"/>
        </w:rPr>
        <w:instrText xml:space="preserve"> REF _Ref478638745 \h </w:instrText>
      </w:r>
      <w:r>
        <w:rPr>
          <w:szCs w:val="20"/>
        </w:rPr>
        <w:instrText xml:space="preserve"> \* MERGEFORMAT </w:instrText>
      </w:r>
      <w:r w:rsidRPr="008261F5">
        <w:rPr>
          <w:szCs w:val="20"/>
        </w:rPr>
      </w:r>
      <w:r w:rsidRPr="008261F5">
        <w:rPr>
          <w:szCs w:val="20"/>
        </w:rPr>
        <w:fldChar w:fldCharType="separate"/>
      </w:r>
      <w:r w:rsidR="007566B9">
        <w:t xml:space="preserve">Table </w:t>
      </w:r>
      <w:r w:rsidR="007566B9">
        <w:rPr>
          <w:noProof/>
        </w:rPr>
        <w:t>C</w:t>
      </w:r>
      <w:r w:rsidR="007566B9">
        <w:rPr>
          <w:noProof/>
        </w:rPr>
        <w:noBreakHyphen/>
        <w:t>5</w:t>
      </w:r>
      <w:r w:rsidRPr="008261F5">
        <w:rPr>
          <w:szCs w:val="20"/>
        </w:rPr>
        <w:fldChar w:fldCharType="end"/>
      </w:r>
      <w:r w:rsidRPr="008261F5">
        <w:rPr>
          <w:szCs w:val="20"/>
        </w:rPr>
        <w:t xml:space="preserve"> represent savings associated with changes in operation and behavior</w:t>
      </w:r>
      <w:r>
        <w:rPr>
          <w:szCs w:val="20"/>
        </w:rPr>
        <w:t>,</w:t>
      </w:r>
      <w:r w:rsidRPr="008261F5">
        <w:rPr>
          <w:szCs w:val="20"/>
        </w:rPr>
        <w:t xml:space="preserve"> estimated on a population basis of 1</w:t>
      </w:r>
      <w:r>
        <w:rPr>
          <w:szCs w:val="20"/>
        </w:rPr>
        <w:t>,</w:t>
      </w:r>
      <w:r w:rsidRPr="008261F5">
        <w:rPr>
          <w:szCs w:val="20"/>
        </w:rPr>
        <w:t>000 sq. ft. of floor space.</w:t>
      </w:r>
      <w:r>
        <w:rPr>
          <w:szCs w:val="20"/>
        </w:rPr>
        <w:t xml:space="preserve"> </w:t>
      </w:r>
      <w:r w:rsidRPr="008261F5">
        <w:rPr>
          <w:szCs w:val="20"/>
        </w:rPr>
        <w:t>Savings var</w:t>
      </w:r>
      <w:r>
        <w:rPr>
          <w:szCs w:val="20"/>
        </w:rPr>
        <w:t>y</w:t>
      </w:r>
      <w:r w:rsidRPr="008261F5">
        <w:rPr>
          <w:szCs w:val="20"/>
        </w:rPr>
        <w:t xml:space="preserve"> depending on the energy intensity of facilities in each market segment</w:t>
      </w:r>
      <w:r>
        <w:rPr>
          <w:szCs w:val="20"/>
        </w:rPr>
        <w:t>,</w:t>
      </w:r>
      <w:r w:rsidRPr="008261F5">
        <w:rPr>
          <w:szCs w:val="20"/>
        </w:rPr>
        <w:t xml:space="preserve"> as defined in the 2009 CEUS.</w:t>
      </w:r>
      <w:r w:rsidRPr="008261F5">
        <w:rPr>
          <w:rStyle w:val="FootnoteReference"/>
          <w:szCs w:val="20"/>
        </w:rPr>
        <w:footnoteReference w:id="139"/>
      </w:r>
      <w:r>
        <w:rPr>
          <w:szCs w:val="20"/>
        </w:rPr>
        <w:t xml:space="preserve"> </w:t>
      </w:r>
      <w:r w:rsidRPr="008261F5">
        <w:rPr>
          <w:szCs w:val="20"/>
        </w:rPr>
        <w:t xml:space="preserve">EUL is </w:t>
      </w:r>
      <w:r w:rsidR="00C55592">
        <w:rPr>
          <w:szCs w:val="20"/>
        </w:rPr>
        <w:t xml:space="preserve">set to 3 </w:t>
      </w:r>
      <w:r w:rsidRPr="008261F5">
        <w:rPr>
          <w:szCs w:val="20"/>
        </w:rPr>
        <w:t>years</w:t>
      </w:r>
      <w:r w:rsidR="00C55592">
        <w:rPr>
          <w:szCs w:val="20"/>
        </w:rPr>
        <w:t xml:space="preserve"> per CPUC Decision</w:t>
      </w:r>
      <w:r w:rsidRPr="008261F5">
        <w:rPr>
          <w:szCs w:val="20"/>
        </w:rPr>
        <w:t xml:space="preserve"> </w:t>
      </w:r>
      <w:r w:rsidR="00C0634E">
        <w:t xml:space="preserve">16-08-019, </w:t>
      </w:r>
      <w:r w:rsidRPr="008261F5">
        <w:rPr>
          <w:szCs w:val="20"/>
        </w:rPr>
        <w:t>and costs for electricity and natural gas savings</w:t>
      </w:r>
      <w:r>
        <w:rPr>
          <w:szCs w:val="20"/>
        </w:rPr>
        <w:t xml:space="preserve"> are</w:t>
      </w:r>
      <w:r w:rsidRPr="008261F5">
        <w:rPr>
          <w:szCs w:val="20"/>
        </w:rPr>
        <w:t xml:space="preserve"> $0.29 </w:t>
      </w:r>
      <w:r>
        <w:rPr>
          <w:szCs w:val="20"/>
        </w:rPr>
        <w:t xml:space="preserve">per kWh and $3.65 per </w:t>
      </w:r>
      <w:r w:rsidRPr="008261F5">
        <w:rPr>
          <w:szCs w:val="20"/>
        </w:rPr>
        <w:t>therm.</w:t>
      </w:r>
      <w:r>
        <w:rPr>
          <w:szCs w:val="20"/>
        </w:rPr>
        <w:t xml:space="preserve"> </w:t>
      </w:r>
      <w:r w:rsidRPr="008261F5">
        <w:rPr>
          <w:szCs w:val="20"/>
        </w:rPr>
        <w:t>Cost and EUL values are applied consistently by building and fuel type across all utilities.</w:t>
      </w:r>
    </w:p>
    <w:p w14:paraId="7C7104CE" w14:textId="77777777" w:rsidR="00E01C42" w:rsidRDefault="00E01C42" w:rsidP="00E01C42"/>
    <w:p w14:paraId="16D24614" w14:textId="77777777" w:rsidR="00E01C42" w:rsidRDefault="00F9578C" w:rsidP="00E01C42">
      <w:pPr>
        <w:pStyle w:val="Caption"/>
      </w:pPr>
      <w:bookmarkStart w:id="1042" w:name="_Ref478638745"/>
      <w:bookmarkStart w:id="1043" w:name="_Toc490226032"/>
      <w:r>
        <w:t xml:space="preserve">Table </w:t>
      </w:r>
      <w:fldSimple w:instr=" STYLEREF 5 \s ">
        <w:r w:rsidR="007566B9">
          <w:rPr>
            <w:noProof/>
          </w:rPr>
          <w:t>C</w:t>
        </w:r>
      </w:fldSimple>
      <w:r>
        <w:noBreakHyphen/>
      </w:r>
      <w:fldSimple w:instr=" SEQ Table_Apx \* ARABIC \s 5 ">
        <w:r w:rsidR="007566B9">
          <w:rPr>
            <w:noProof/>
          </w:rPr>
          <w:t>5</w:t>
        </w:r>
      </w:fldSimple>
      <w:bookmarkEnd w:id="1042"/>
      <w:r>
        <w:t xml:space="preserve">. </w:t>
      </w:r>
      <w:r w:rsidR="00E01C42">
        <w:t>Commercial Building Operator Training - Key Assumptions</w:t>
      </w:r>
      <w:bookmarkEnd w:id="1043"/>
    </w:p>
    <w:tbl>
      <w:tblPr>
        <w:tblW w:w="9037" w:type="dxa"/>
        <w:jc w:val="center"/>
        <w:tblBorders>
          <w:bottom w:val="single" w:sz="8" w:space="0" w:color="555759"/>
          <w:insideH w:val="single" w:sz="4" w:space="0" w:color="DCDDDE"/>
        </w:tblBorders>
        <w:tblLook w:val="04A0" w:firstRow="1" w:lastRow="0" w:firstColumn="1" w:lastColumn="0" w:noHBand="0" w:noVBand="1"/>
      </w:tblPr>
      <w:tblGrid>
        <w:gridCol w:w="947"/>
        <w:gridCol w:w="1433"/>
        <w:gridCol w:w="770"/>
        <w:gridCol w:w="920"/>
        <w:gridCol w:w="1330"/>
        <w:gridCol w:w="811"/>
        <w:gridCol w:w="1390"/>
        <w:gridCol w:w="1436"/>
      </w:tblGrid>
      <w:tr w:rsidR="002544A3" w:rsidRPr="00F2437B" w14:paraId="7C62B7D6" w14:textId="77777777" w:rsidTr="008C0AC4">
        <w:trPr>
          <w:cantSplit/>
          <w:trHeight w:val="296"/>
          <w:jc w:val="center"/>
        </w:trPr>
        <w:tc>
          <w:tcPr>
            <w:tcW w:w="947" w:type="dxa"/>
            <w:vMerge w:val="restart"/>
            <w:tcBorders>
              <w:top w:val="nil"/>
              <w:left w:val="nil"/>
              <w:bottom w:val="single" w:sz="12" w:space="0" w:color="95D600"/>
              <w:right w:val="nil"/>
              <w:tl2br w:val="nil"/>
              <w:tr2bl w:val="nil"/>
            </w:tcBorders>
            <w:shd w:val="clear" w:color="auto" w:fill="555759"/>
            <w:hideMark/>
          </w:tcPr>
          <w:p w14:paraId="1BD72ED5" w14:textId="77777777" w:rsidR="00E01C42" w:rsidRPr="00D11078" w:rsidRDefault="00E01C42" w:rsidP="008C0AC4">
            <w:pPr>
              <w:spacing w:before="40" w:after="40"/>
              <w:jc w:val="center"/>
              <w:rPr>
                <w:b/>
                <w:color w:val="FFFFFF"/>
              </w:rPr>
            </w:pPr>
            <w:r w:rsidRPr="00D11078">
              <w:rPr>
                <w:b/>
                <w:color w:val="FFFFFF"/>
              </w:rPr>
              <w:t>Sector</w:t>
            </w:r>
          </w:p>
        </w:tc>
        <w:tc>
          <w:tcPr>
            <w:tcW w:w="1433" w:type="dxa"/>
            <w:vMerge w:val="restart"/>
            <w:tcBorders>
              <w:top w:val="nil"/>
              <w:left w:val="nil"/>
              <w:bottom w:val="single" w:sz="12" w:space="0" w:color="95D600"/>
              <w:right w:val="nil"/>
              <w:tl2br w:val="nil"/>
              <w:tr2bl w:val="nil"/>
            </w:tcBorders>
            <w:shd w:val="clear" w:color="auto" w:fill="555759"/>
            <w:hideMark/>
          </w:tcPr>
          <w:p w14:paraId="292C5262" w14:textId="77777777" w:rsidR="00E01C42" w:rsidRPr="00D11078" w:rsidRDefault="00E01C42" w:rsidP="008C0AC4">
            <w:pPr>
              <w:spacing w:before="40" w:after="40"/>
              <w:jc w:val="center"/>
              <w:rPr>
                <w:b/>
                <w:color w:val="FFFFFF"/>
              </w:rPr>
            </w:pPr>
            <w:r w:rsidRPr="00D11078">
              <w:rPr>
                <w:b/>
                <w:color w:val="FFFFFF"/>
              </w:rPr>
              <w:t>Type</w:t>
            </w:r>
          </w:p>
        </w:tc>
        <w:tc>
          <w:tcPr>
            <w:tcW w:w="770" w:type="dxa"/>
            <w:vMerge w:val="restart"/>
            <w:tcBorders>
              <w:top w:val="nil"/>
              <w:left w:val="nil"/>
              <w:bottom w:val="single" w:sz="12" w:space="0" w:color="95D600"/>
              <w:right w:val="nil"/>
              <w:tl2br w:val="nil"/>
              <w:tr2bl w:val="nil"/>
            </w:tcBorders>
            <w:shd w:val="clear" w:color="auto" w:fill="555759"/>
            <w:hideMark/>
          </w:tcPr>
          <w:p w14:paraId="24614B80" w14:textId="77777777" w:rsidR="00E01C42" w:rsidRPr="00D11078" w:rsidRDefault="00E01C42" w:rsidP="008C0AC4">
            <w:pPr>
              <w:spacing w:before="40" w:after="40"/>
              <w:jc w:val="center"/>
              <w:rPr>
                <w:b/>
                <w:color w:val="FFFFFF"/>
              </w:rPr>
            </w:pPr>
            <w:r w:rsidRPr="00D11078">
              <w:rPr>
                <w:b/>
                <w:color w:val="FFFFFF"/>
              </w:rPr>
              <w:t>EUL years</w:t>
            </w:r>
          </w:p>
        </w:tc>
        <w:tc>
          <w:tcPr>
            <w:tcW w:w="2250" w:type="dxa"/>
            <w:gridSpan w:val="2"/>
            <w:tcBorders>
              <w:top w:val="nil"/>
              <w:left w:val="nil"/>
              <w:bottom w:val="single" w:sz="2" w:space="0" w:color="FFFFFF"/>
              <w:right w:val="nil"/>
              <w:tl2br w:val="nil"/>
              <w:tr2bl w:val="nil"/>
            </w:tcBorders>
            <w:shd w:val="clear" w:color="auto" w:fill="555759"/>
            <w:hideMark/>
          </w:tcPr>
          <w:p w14:paraId="439A356E" w14:textId="77777777" w:rsidR="00E01C42" w:rsidRPr="00D11078" w:rsidRDefault="00E01C42" w:rsidP="008C0AC4">
            <w:pPr>
              <w:spacing w:before="40" w:after="40"/>
              <w:jc w:val="center"/>
              <w:rPr>
                <w:b/>
                <w:color w:val="FFFFFF"/>
              </w:rPr>
            </w:pPr>
            <w:r w:rsidRPr="00D11078">
              <w:rPr>
                <w:b/>
                <w:color w:val="FFFFFF"/>
              </w:rPr>
              <w:t xml:space="preserve">Savings </w:t>
            </w:r>
            <w:r w:rsidRPr="00D11078">
              <w:rPr>
                <w:b/>
                <w:color w:val="FFFFFF"/>
              </w:rPr>
              <w:br/>
              <w:t>(per 1,000 sq. ft.)</w:t>
            </w:r>
          </w:p>
        </w:tc>
        <w:tc>
          <w:tcPr>
            <w:tcW w:w="2201" w:type="dxa"/>
            <w:gridSpan w:val="2"/>
            <w:tcBorders>
              <w:top w:val="nil"/>
              <w:left w:val="nil"/>
              <w:bottom w:val="single" w:sz="2" w:space="0" w:color="FFFFFF"/>
              <w:right w:val="nil"/>
              <w:tl2br w:val="nil"/>
              <w:tr2bl w:val="nil"/>
            </w:tcBorders>
            <w:shd w:val="clear" w:color="auto" w:fill="555759"/>
            <w:hideMark/>
          </w:tcPr>
          <w:p w14:paraId="0E00A531" w14:textId="77777777" w:rsidR="00E01C42" w:rsidRPr="00D11078" w:rsidRDefault="00E01C42" w:rsidP="008C0AC4">
            <w:pPr>
              <w:spacing w:before="40" w:after="40"/>
              <w:jc w:val="center"/>
              <w:rPr>
                <w:b/>
                <w:color w:val="FFFFFF"/>
              </w:rPr>
            </w:pPr>
            <w:r w:rsidRPr="00D11078">
              <w:rPr>
                <w:b/>
                <w:color w:val="FFFFFF"/>
              </w:rPr>
              <w:t>Cost</w:t>
            </w:r>
          </w:p>
        </w:tc>
        <w:tc>
          <w:tcPr>
            <w:tcW w:w="1436" w:type="dxa"/>
            <w:vMerge w:val="restart"/>
            <w:tcBorders>
              <w:top w:val="nil"/>
              <w:left w:val="nil"/>
              <w:bottom w:val="single" w:sz="12" w:space="0" w:color="95D600"/>
              <w:right w:val="nil"/>
              <w:tl2br w:val="nil"/>
              <w:tr2bl w:val="nil"/>
            </w:tcBorders>
            <w:shd w:val="clear" w:color="auto" w:fill="555759"/>
            <w:hideMark/>
          </w:tcPr>
          <w:p w14:paraId="49CDEF50" w14:textId="77777777" w:rsidR="00E01C42" w:rsidRPr="00D11078" w:rsidRDefault="00E01C42" w:rsidP="008C0AC4">
            <w:pPr>
              <w:spacing w:before="40" w:after="40"/>
              <w:jc w:val="center"/>
              <w:rPr>
                <w:b/>
                <w:color w:val="FFFFFF"/>
              </w:rPr>
            </w:pPr>
            <w:r w:rsidRPr="00D11078">
              <w:rPr>
                <w:b/>
                <w:color w:val="FFFFFF"/>
              </w:rPr>
              <w:t>kW/kWh Savings Ratio</w:t>
            </w:r>
          </w:p>
        </w:tc>
      </w:tr>
      <w:tr w:rsidR="002544A3" w:rsidRPr="00F2437B" w14:paraId="3120C30E" w14:textId="77777777" w:rsidTr="008C0AC4">
        <w:trPr>
          <w:cantSplit/>
          <w:trHeight w:val="144"/>
          <w:jc w:val="center"/>
        </w:trPr>
        <w:tc>
          <w:tcPr>
            <w:tcW w:w="947" w:type="dxa"/>
            <w:vMerge/>
            <w:tcBorders>
              <w:bottom w:val="single" w:sz="12" w:space="0" w:color="95D600"/>
            </w:tcBorders>
            <w:shd w:val="clear" w:color="auto" w:fill="auto"/>
            <w:hideMark/>
          </w:tcPr>
          <w:p w14:paraId="72337C88" w14:textId="77777777" w:rsidR="00E01C42" w:rsidRPr="00F2437B" w:rsidRDefault="00E01C42" w:rsidP="008C0AC4">
            <w:pPr>
              <w:spacing w:before="40" w:after="40"/>
              <w:jc w:val="center"/>
            </w:pPr>
          </w:p>
        </w:tc>
        <w:tc>
          <w:tcPr>
            <w:tcW w:w="1433" w:type="dxa"/>
            <w:vMerge/>
            <w:tcBorders>
              <w:bottom w:val="single" w:sz="12" w:space="0" w:color="95D600"/>
            </w:tcBorders>
            <w:shd w:val="clear" w:color="auto" w:fill="auto"/>
            <w:hideMark/>
          </w:tcPr>
          <w:p w14:paraId="3C3D6DE9" w14:textId="77777777" w:rsidR="00E01C42" w:rsidRPr="00F2437B" w:rsidRDefault="00E01C42" w:rsidP="008C0AC4">
            <w:pPr>
              <w:spacing w:before="40" w:after="40"/>
              <w:jc w:val="center"/>
            </w:pPr>
          </w:p>
        </w:tc>
        <w:tc>
          <w:tcPr>
            <w:tcW w:w="770" w:type="dxa"/>
            <w:vMerge/>
            <w:tcBorders>
              <w:bottom w:val="single" w:sz="12" w:space="0" w:color="95D600"/>
            </w:tcBorders>
            <w:shd w:val="clear" w:color="auto" w:fill="555759"/>
            <w:hideMark/>
          </w:tcPr>
          <w:p w14:paraId="1BAE4AE7" w14:textId="77777777" w:rsidR="00E01C42" w:rsidRPr="00F2437B" w:rsidRDefault="00E01C42" w:rsidP="008C0AC4">
            <w:pPr>
              <w:spacing w:before="40" w:after="40"/>
              <w:jc w:val="center"/>
            </w:pPr>
          </w:p>
        </w:tc>
        <w:tc>
          <w:tcPr>
            <w:tcW w:w="920" w:type="dxa"/>
            <w:tcBorders>
              <w:top w:val="single" w:sz="2" w:space="0" w:color="FFFFFF"/>
              <w:bottom w:val="single" w:sz="12" w:space="0" w:color="95D600"/>
            </w:tcBorders>
            <w:shd w:val="clear" w:color="auto" w:fill="555759"/>
            <w:hideMark/>
          </w:tcPr>
          <w:p w14:paraId="087C4FCC" w14:textId="77777777" w:rsidR="00E01C42" w:rsidRPr="00D11078" w:rsidRDefault="00E01C42" w:rsidP="008C0AC4">
            <w:pPr>
              <w:spacing w:before="40" w:after="40"/>
              <w:jc w:val="center"/>
              <w:rPr>
                <w:b/>
                <w:color w:val="FFFFFF"/>
              </w:rPr>
            </w:pPr>
            <w:r w:rsidRPr="00D11078">
              <w:rPr>
                <w:b/>
                <w:color w:val="FFFFFF"/>
              </w:rPr>
              <w:t>kWh</w:t>
            </w:r>
          </w:p>
        </w:tc>
        <w:tc>
          <w:tcPr>
            <w:tcW w:w="1330" w:type="dxa"/>
            <w:tcBorders>
              <w:top w:val="single" w:sz="2" w:space="0" w:color="FFFFFF"/>
              <w:bottom w:val="single" w:sz="12" w:space="0" w:color="95D600"/>
            </w:tcBorders>
            <w:shd w:val="clear" w:color="auto" w:fill="555759"/>
            <w:hideMark/>
          </w:tcPr>
          <w:p w14:paraId="240DEA5A" w14:textId="77777777" w:rsidR="00E01C42" w:rsidRPr="00D11078" w:rsidRDefault="00E01C42" w:rsidP="008C0AC4">
            <w:pPr>
              <w:spacing w:before="40" w:after="40"/>
              <w:jc w:val="center"/>
              <w:rPr>
                <w:b/>
                <w:color w:val="FFFFFF"/>
              </w:rPr>
            </w:pPr>
            <w:r w:rsidRPr="00D11078">
              <w:rPr>
                <w:b/>
                <w:color w:val="FFFFFF"/>
              </w:rPr>
              <w:t>Therm</w:t>
            </w:r>
          </w:p>
        </w:tc>
        <w:tc>
          <w:tcPr>
            <w:tcW w:w="811" w:type="dxa"/>
            <w:tcBorders>
              <w:top w:val="single" w:sz="2" w:space="0" w:color="FFFFFF"/>
              <w:bottom w:val="single" w:sz="12" w:space="0" w:color="95D600"/>
            </w:tcBorders>
            <w:shd w:val="clear" w:color="auto" w:fill="555759"/>
            <w:hideMark/>
          </w:tcPr>
          <w:p w14:paraId="44E43CBC" w14:textId="77777777" w:rsidR="00E01C42" w:rsidRPr="00D11078" w:rsidRDefault="00E01C42" w:rsidP="008C0AC4">
            <w:pPr>
              <w:spacing w:before="40" w:after="40"/>
              <w:jc w:val="center"/>
              <w:rPr>
                <w:b/>
                <w:color w:val="FFFFFF"/>
              </w:rPr>
            </w:pPr>
            <w:r w:rsidRPr="00D11078">
              <w:rPr>
                <w:b/>
                <w:color w:val="FFFFFF"/>
              </w:rPr>
              <w:t>kWh</w:t>
            </w:r>
          </w:p>
        </w:tc>
        <w:tc>
          <w:tcPr>
            <w:tcW w:w="1390" w:type="dxa"/>
            <w:tcBorders>
              <w:top w:val="single" w:sz="2" w:space="0" w:color="FFFFFF"/>
              <w:bottom w:val="single" w:sz="12" w:space="0" w:color="95D600"/>
            </w:tcBorders>
            <w:shd w:val="clear" w:color="auto" w:fill="555759"/>
            <w:hideMark/>
          </w:tcPr>
          <w:p w14:paraId="02FAE16D" w14:textId="77777777" w:rsidR="00E01C42" w:rsidRPr="00D11078" w:rsidRDefault="00E01C42" w:rsidP="008C0AC4">
            <w:pPr>
              <w:spacing w:before="40" w:after="40"/>
              <w:jc w:val="center"/>
              <w:rPr>
                <w:b/>
                <w:color w:val="FFFFFF"/>
              </w:rPr>
            </w:pPr>
            <w:r w:rsidRPr="00D11078">
              <w:rPr>
                <w:b/>
                <w:color w:val="FFFFFF"/>
              </w:rPr>
              <w:t>Therm</w:t>
            </w:r>
          </w:p>
        </w:tc>
        <w:tc>
          <w:tcPr>
            <w:tcW w:w="1436" w:type="dxa"/>
            <w:vMerge/>
            <w:tcBorders>
              <w:bottom w:val="single" w:sz="12" w:space="0" w:color="95D600"/>
            </w:tcBorders>
            <w:shd w:val="clear" w:color="auto" w:fill="auto"/>
            <w:hideMark/>
          </w:tcPr>
          <w:p w14:paraId="6DA6C000" w14:textId="77777777" w:rsidR="00E01C42" w:rsidRPr="00F2437B" w:rsidRDefault="00E01C42" w:rsidP="008C0AC4">
            <w:pPr>
              <w:spacing w:before="40" w:after="40"/>
              <w:jc w:val="center"/>
            </w:pPr>
          </w:p>
        </w:tc>
      </w:tr>
      <w:tr w:rsidR="002544A3" w:rsidRPr="00F2437B" w14:paraId="010EAFB9" w14:textId="77777777" w:rsidTr="008C0AC4">
        <w:trPr>
          <w:cantSplit/>
          <w:trHeight w:val="738"/>
          <w:jc w:val="center"/>
        </w:trPr>
        <w:tc>
          <w:tcPr>
            <w:tcW w:w="947" w:type="dxa"/>
            <w:tcBorders>
              <w:top w:val="single" w:sz="12" w:space="0" w:color="95D600"/>
            </w:tcBorders>
            <w:shd w:val="clear" w:color="auto" w:fill="FFFFFF"/>
            <w:hideMark/>
          </w:tcPr>
          <w:p w14:paraId="50E7AEA6" w14:textId="77777777" w:rsidR="00E01C42" w:rsidRPr="00F2437B" w:rsidRDefault="00E01C42" w:rsidP="008C0AC4">
            <w:pPr>
              <w:spacing w:before="40" w:after="40"/>
              <w:jc w:val="center"/>
            </w:pPr>
            <w:r w:rsidRPr="00F2437B">
              <w:t>COM</w:t>
            </w:r>
          </w:p>
        </w:tc>
        <w:tc>
          <w:tcPr>
            <w:tcW w:w="1433" w:type="dxa"/>
            <w:tcBorders>
              <w:top w:val="single" w:sz="12" w:space="0" w:color="95D600"/>
            </w:tcBorders>
            <w:shd w:val="clear" w:color="auto" w:fill="FFFFFF"/>
            <w:hideMark/>
          </w:tcPr>
          <w:p w14:paraId="632409D8" w14:textId="77777777" w:rsidR="00E01C42" w:rsidRPr="00F2437B" w:rsidRDefault="00E01C42" w:rsidP="008C0AC4">
            <w:pPr>
              <w:spacing w:before="40" w:after="40"/>
              <w:jc w:val="center"/>
            </w:pPr>
            <w:r w:rsidRPr="00F2437B">
              <w:t>Building Operator Certification</w:t>
            </w:r>
          </w:p>
        </w:tc>
        <w:tc>
          <w:tcPr>
            <w:tcW w:w="770" w:type="dxa"/>
            <w:tcBorders>
              <w:top w:val="single" w:sz="12" w:space="0" w:color="95D600"/>
            </w:tcBorders>
            <w:shd w:val="clear" w:color="auto" w:fill="FFFFFF"/>
            <w:hideMark/>
          </w:tcPr>
          <w:p w14:paraId="789A80C0" w14:textId="77777777" w:rsidR="00E01C42" w:rsidRPr="00F2437B" w:rsidRDefault="00C0634E" w:rsidP="008C0AC4">
            <w:pPr>
              <w:spacing w:before="40" w:after="40"/>
              <w:jc w:val="center"/>
            </w:pPr>
            <w:r>
              <w:t>3</w:t>
            </w:r>
          </w:p>
        </w:tc>
        <w:tc>
          <w:tcPr>
            <w:tcW w:w="920" w:type="dxa"/>
            <w:tcBorders>
              <w:top w:val="single" w:sz="12" w:space="0" w:color="95D600"/>
            </w:tcBorders>
            <w:shd w:val="clear" w:color="auto" w:fill="FFFFFF"/>
            <w:hideMark/>
          </w:tcPr>
          <w:p w14:paraId="5A4A4B6C" w14:textId="77777777" w:rsidR="00E01C42" w:rsidRPr="00F2437B" w:rsidRDefault="00E01C42" w:rsidP="008C0AC4">
            <w:pPr>
              <w:spacing w:before="40" w:after="40"/>
              <w:jc w:val="center"/>
            </w:pPr>
            <w:r w:rsidRPr="00F2437B">
              <w:t>18-151</w:t>
            </w:r>
          </w:p>
        </w:tc>
        <w:tc>
          <w:tcPr>
            <w:tcW w:w="1330" w:type="dxa"/>
            <w:tcBorders>
              <w:top w:val="single" w:sz="12" w:space="0" w:color="95D600"/>
            </w:tcBorders>
            <w:shd w:val="clear" w:color="auto" w:fill="FFFFFF"/>
            <w:hideMark/>
          </w:tcPr>
          <w:p w14:paraId="6F3C49DE" w14:textId="77777777" w:rsidR="00E01C42" w:rsidRPr="00F2437B" w:rsidRDefault="00E01C42" w:rsidP="008C0AC4">
            <w:pPr>
              <w:spacing w:before="40" w:after="40"/>
              <w:jc w:val="center"/>
            </w:pPr>
            <w:r w:rsidRPr="00F2437B">
              <w:t>0.8-14.2</w:t>
            </w:r>
          </w:p>
        </w:tc>
        <w:tc>
          <w:tcPr>
            <w:tcW w:w="811" w:type="dxa"/>
            <w:tcBorders>
              <w:top w:val="single" w:sz="12" w:space="0" w:color="95D600"/>
            </w:tcBorders>
            <w:shd w:val="clear" w:color="auto" w:fill="FFFFFF"/>
            <w:hideMark/>
          </w:tcPr>
          <w:p w14:paraId="76EACF78" w14:textId="77777777" w:rsidR="00E01C42" w:rsidRPr="00F2437B" w:rsidRDefault="00E01C42" w:rsidP="008C0AC4">
            <w:pPr>
              <w:spacing w:before="40" w:after="40"/>
              <w:jc w:val="center"/>
            </w:pPr>
            <w:r w:rsidRPr="00F2437B">
              <w:t xml:space="preserve">$0.29 </w:t>
            </w:r>
          </w:p>
        </w:tc>
        <w:tc>
          <w:tcPr>
            <w:tcW w:w="1390" w:type="dxa"/>
            <w:tcBorders>
              <w:top w:val="single" w:sz="12" w:space="0" w:color="95D600"/>
            </w:tcBorders>
            <w:shd w:val="clear" w:color="auto" w:fill="FFFFFF"/>
            <w:hideMark/>
          </w:tcPr>
          <w:p w14:paraId="29261852" w14:textId="77777777" w:rsidR="00E01C42" w:rsidRPr="00D11078" w:rsidRDefault="00E01C42" w:rsidP="008C0AC4">
            <w:pPr>
              <w:spacing w:before="40" w:after="40"/>
              <w:jc w:val="center"/>
              <w:rPr>
                <w:highlight w:val="red"/>
              </w:rPr>
            </w:pPr>
            <w:r w:rsidRPr="00F2437B">
              <w:t>$3.65</w:t>
            </w:r>
          </w:p>
        </w:tc>
        <w:tc>
          <w:tcPr>
            <w:tcW w:w="1436" w:type="dxa"/>
            <w:tcBorders>
              <w:top w:val="single" w:sz="12" w:space="0" w:color="95D600"/>
            </w:tcBorders>
            <w:shd w:val="clear" w:color="auto" w:fill="FFFFFF"/>
            <w:hideMark/>
          </w:tcPr>
          <w:p w14:paraId="357FC0A8" w14:textId="77777777" w:rsidR="00E01C42" w:rsidRPr="00F2437B" w:rsidRDefault="00E01C42" w:rsidP="008C0AC4">
            <w:pPr>
              <w:spacing w:before="40" w:after="40"/>
              <w:jc w:val="center"/>
            </w:pPr>
            <w:r w:rsidRPr="00F2437B">
              <w:t>0.000114</w:t>
            </w:r>
          </w:p>
        </w:tc>
      </w:tr>
    </w:tbl>
    <w:p w14:paraId="2B77F2A6" w14:textId="77777777" w:rsidR="00E01C42" w:rsidRDefault="00E01C42" w:rsidP="00E01C42">
      <w:pPr>
        <w:spacing w:line="240" w:lineRule="auto"/>
        <w:rPr>
          <w:b/>
        </w:rPr>
      </w:pPr>
    </w:p>
    <w:p w14:paraId="33A484C0" w14:textId="77777777" w:rsidR="00E01C42" w:rsidRPr="008261F5" w:rsidRDefault="00E01C42" w:rsidP="00E01C42">
      <w:pPr>
        <w:rPr>
          <w:b/>
        </w:rPr>
      </w:pPr>
      <w:r w:rsidRPr="008261F5">
        <w:rPr>
          <w:b/>
        </w:rPr>
        <w:t>Assumptions and Methodology</w:t>
      </w:r>
    </w:p>
    <w:p w14:paraId="498592CD" w14:textId="77777777" w:rsidR="00E01C42" w:rsidRPr="008261F5" w:rsidRDefault="00E01C42" w:rsidP="00E01C42">
      <w:pPr>
        <w:rPr>
          <w:b/>
        </w:rPr>
      </w:pPr>
    </w:p>
    <w:p w14:paraId="245DAAE3" w14:textId="77777777" w:rsidR="00E01C42" w:rsidRPr="008261F5" w:rsidRDefault="00E01C42" w:rsidP="00E01C42">
      <w:pPr>
        <w:rPr>
          <w:b/>
          <w:i/>
          <w:szCs w:val="20"/>
        </w:rPr>
      </w:pPr>
      <w:r w:rsidRPr="008261F5">
        <w:rPr>
          <w:b/>
          <w:i/>
          <w:szCs w:val="20"/>
        </w:rPr>
        <w:t>Eligibility and Participation</w:t>
      </w:r>
    </w:p>
    <w:p w14:paraId="3871918B" w14:textId="77777777" w:rsidR="00E01C42" w:rsidRPr="008261F5" w:rsidRDefault="00E01C42" w:rsidP="00E01C42">
      <w:pPr>
        <w:autoSpaceDE w:val="0"/>
        <w:autoSpaceDN w:val="0"/>
        <w:adjustRightInd w:val="0"/>
        <w:spacing w:line="240" w:lineRule="auto"/>
        <w:rPr>
          <w:szCs w:val="20"/>
        </w:rPr>
      </w:pPr>
      <w:r w:rsidRPr="008261F5">
        <w:t xml:space="preserve">Consistent with </w:t>
      </w:r>
      <w:r>
        <w:t>prior studies</w:t>
      </w:r>
      <w:r w:rsidRPr="008261F5">
        <w:t>, BOC savings apply to all commercial market segments, though the applicability factor of BOC ranges from 5% to 100%, depending on the market segment.</w:t>
      </w:r>
      <w:r>
        <w:t xml:space="preserve"> </w:t>
      </w:r>
      <w:r>
        <w:rPr>
          <w:szCs w:val="20"/>
        </w:rPr>
        <w:t xml:space="preserve">This </w:t>
      </w:r>
      <w:r w:rsidRPr="008261F5">
        <w:rPr>
          <w:szCs w:val="20"/>
        </w:rPr>
        <w:t xml:space="preserve">model assumes that </w:t>
      </w:r>
      <w:r w:rsidR="00643524">
        <w:rPr>
          <w:szCs w:val="20"/>
        </w:rPr>
        <w:t>BOC</w:t>
      </w:r>
      <w:r w:rsidRPr="008261F5">
        <w:rPr>
          <w:szCs w:val="20"/>
        </w:rPr>
        <w:t xml:space="preserve"> program interventions in the commercial market have been ongoing </w:t>
      </w:r>
      <w:r w:rsidR="00D34EA3">
        <w:rPr>
          <w:szCs w:val="20"/>
        </w:rPr>
        <w:t xml:space="preserve">(though SoCalGas does not claim savings until 2018) </w:t>
      </w:r>
      <w:r w:rsidRPr="008261F5">
        <w:rPr>
          <w:szCs w:val="20"/>
        </w:rPr>
        <w:t>and a CAGR was used to forecast growth in participation through the model forecast horizon.</w:t>
      </w:r>
      <w:r>
        <w:rPr>
          <w:szCs w:val="20"/>
        </w:rPr>
        <w:t xml:space="preserve"> In t</w:t>
      </w:r>
      <w:r w:rsidRPr="008261F5">
        <w:rPr>
          <w:szCs w:val="20"/>
        </w:rPr>
        <w:t>he reference case</w:t>
      </w:r>
      <w:r>
        <w:rPr>
          <w:szCs w:val="20"/>
        </w:rPr>
        <w:t>, a</w:t>
      </w:r>
      <w:r w:rsidRPr="008261F5">
        <w:rPr>
          <w:szCs w:val="20"/>
        </w:rPr>
        <w:t xml:space="preserve"> 12.5% CAGR was used to forecast growth in BOC, while the aggressive case used a 18.0% CAGR.</w:t>
      </w:r>
      <w:r>
        <w:rPr>
          <w:szCs w:val="20"/>
        </w:rPr>
        <w:t xml:space="preserve"> </w:t>
      </w:r>
      <w:r w:rsidRPr="008261F5">
        <w:rPr>
          <w:szCs w:val="20"/>
        </w:rPr>
        <w:t xml:space="preserve">While these growth rates appear ambitious, low initial sector engagement in BOC results in forecast market </w:t>
      </w:r>
      <w:r w:rsidR="00643524">
        <w:rPr>
          <w:szCs w:val="20"/>
        </w:rPr>
        <w:t>penetrat</w:t>
      </w:r>
      <w:r w:rsidRPr="008261F5">
        <w:rPr>
          <w:szCs w:val="20"/>
        </w:rPr>
        <w:t>ions of 6.52% and 12.12% for the reference and aggressive cases, respectively. While there is the potential for overlap in savings between BOC and SEM interventions, the current saturation of these measures and relatively low penetration rate forecast</w:t>
      </w:r>
      <w:r>
        <w:rPr>
          <w:szCs w:val="20"/>
        </w:rPr>
        <w:t>ed</w:t>
      </w:r>
      <w:r w:rsidRPr="008261F5">
        <w:rPr>
          <w:szCs w:val="20"/>
        </w:rPr>
        <w:t xml:space="preserve"> indicate that the risk of double counting savings is minimal and was therefore was not considered in this model.</w:t>
      </w:r>
    </w:p>
    <w:p w14:paraId="77E95B7B" w14:textId="77777777" w:rsidR="00E01C42" w:rsidRPr="008261F5" w:rsidRDefault="00E01C42" w:rsidP="00E01C42">
      <w:pPr>
        <w:rPr>
          <w:szCs w:val="20"/>
        </w:rPr>
      </w:pPr>
    </w:p>
    <w:p w14:paraId="4E6783A8" w14:textId="77777777" w:rsidR="00E01C42" w:rsidRPr="008261F5" w:rsidRDefault="00E01C42" w:rsidP="00E01C42">
      <w:pPr>
        <w:rPr>
          <w:szCs w:val="20"/>
        </w:rPr>
      </w:pPr>
      <w:r w:rsidRPr="008261F5">
        <w:rPr>
          <w:b/>
          <w:i/>
          <w:szCs w:val="20"/>
        </w:rPr>
        <w:t>Savings</w:t>
      </w:r>
    </w:p>
    <w:p w14:paraId="7432952D" w14:textId="77777777" w:rsidR="00E01C42" w:rsidRPr="008261F5" w:rsidRDefault="00E01C42" w:rsidP="00E01C42">
      <w:pPr>
        <w:rPr>
          <w:szCs w:val="20"/>
        </w:rPr>
      </w:pPr>
      <w:r w:rsidRPr="008261F5">
        <w:rPr>
          <w:szCs w:val="20"/>
        </w:rPr>
        <w:t>Th</w:t>
      </w:r>
      <w:r>
        <w:rPr>
          <w:szCs w:val="20"/>
        </w:rPr>
        <w:t xml:space="preserve">is </w:t>
      </w:r>
      <w:r w:rsidRPr="008261F5">
        <w:rPr>
          <w:szCs w:val="20"/>
        </w:rPr>
        <w:t>model used the same average electric and natural gas savings as the 2015</w:t>
      </w:r>
      <w:r>
        <w:rPr>
          <w:szCs w:val="20"/>
        </w:rPr>
        <w:t xml:space="preserve"> Study model,</w:t>
      </w:r>
      <w:r w:rsidR="00963FD0">
        <w:rPr>
          <w:rStyle w:val="FootnoteReference"/>
          <w:szCs w:val="20"/>
        </w:rPr>
        <w:footnoteReference w:id="140"/>
      </w:r>
      <w:r w:rsidRPr="008261F5">
        <w:rPr>
          <w:szCs w:val="20"/>
        </w:rPr>
        <w:t xml:space="preserve"> 58 kWh and 5.6 therm</w:t>
      </w:r>
      <w:r>
        <w:rPr>
          <w:szCs w:val="20"/>
        </w:rPr>
        <w:t>s</w:t>
      </w:r>
      <w:r w:rsidRPr="008261F5">
        <w:rPr>
          <w:szCs w:val="20"/>
        </w:rPr>
        <w:t xml:space="preserve"> per </w:t>
      </w:r>
      <w:r>
        <w:rPr>
          <w:szCs w:val="20"/>
        </w:rPr>
        <w:t>1,000 sq. ft.</w:t>
      </w:r>
      <w:r w:rsidRPr="008261F5">
        <w:rPr>
          <w:szCs w:val="20"/>
        </w:rPr>
        <w:t xml:space="preserve"> of participating building space.</w:t>
      </w:r>
      <w:r>
        <w:rPr>
          <w:szCs w:val="20"/>
        </w:rPr>
        <w:t xml:space="preserve"> </w:t>
      </w:r>
      <w:r w:rsidRPr="008261F5">
        <w:rPr>
          <w:szCs w:val="20"/>
        </w:rPr>
        <w:t xml:space="preserve">Past </w:t>
      </w:r>
      <w:r>
        <w:rPr>
          <w:szCs w:val="20"/>
        </w:rPr>
        <w:t xml:space="preserve">studies </w:t>
      </w:r>
      <w:r w:rsidRPr="008261F5">
        <w:rPr>
          <w:szCs w:val="20"/>
        </w:rPr>
        <w:t>applied these values consistently by building type across all utilities.</w:t>
      </w:r>
      <w:r>
        <w:rPr>
          <w:szCs w:val="20"/>
        </w:rPr>
        <w:t xml:space="preserve"> </w:t>
      </w:r>
      <w:r w:rsidRPr="008261F5">
        <w:rPr>
          <w:szCs w:val="20"/>
        </w:rPr>
        <w:t xml:space="preserve">The </w:t>
      </w:r>
      <w:r w:rsidR="00BB59F5">
        <w:rPr>
          <w:szCs w:val="20"/>
        </w:rPr>
        <w:t>2018</w:t>
      </w:r>
      <w:r>
        <w:rPr>
          <w:szCs w:val="20"/>
        </w:rPr>
        <w:t xml:space="preserve"> Study</w:t>
      </w:r>
      <w:r w:rsidRPr="008261F5">
        <w:rPr>
          <w:szCs w:val="20"/>
        </w:rPr>
        <w:t xml:space="preserve"> approach was revis</w:t>
      </w:r>
      <w:r>
        <w:rPr>
          <w:szCs w:val="20"/>
        </w:rPr>
        <w:t>ed and applied a market segment-</w:t>
      </w:r>
      <w:r w:rsidRPr="008261F5">
        <w:rPr>
          <w:szCs w:val="20"/>
        </w:rPr>
        <w:t>specific value that adjusted these market average savings to account for differences in building energy density.</w:t>
      </w:r>
      <w:r>
        <w:rPr>
          <w:szCs w:val="20"/>
        </w:rPr>
        <w:t xml:space="preserve"> </w:t>
      </w:r>
      <w:r w:rsidRPr="008261F5">
        <w:rPr>
          <w:szCs w:val="20"/>
        </w:rPr>
        <w:t>For example, a grocery store with ten times the energy density of a warehouse w</w:t>
      </w:r>
      <w:r>
        <w:rPr>
          <w:szCs w:val="20"/>
        </w:rPr>
        <w:t>ould experience a proportionall</w:t>
      </w:r>
      <w:r w:rsidRPr="008261F5">
        <w:rPr>
          <w:szCs w:val="20"/>
        </w:rPr>
        <w:t>y greater savings rate per unit of conditioned space. I</w:t>
      </w:r>
      <w:r>
        <w:rPr>
          <w:szCs w:val="20"/>
        </w:rPr>
        <w:t>n</w:t>
      </w:r>
      <w:r w:rsidRPr="008261F5">
        <w:rPr>
          <w:szCs w:val="20"/>
        </w:rPr>
        <w:t xml:space="preserve"> this example, a grocery store in PG&amp;E territor</w:t>
      </w:r>
      <w:r>
        <w:rPr>
          <w:szCs w:val="20"/>
        </w:rPr>
        <w:t xml:space="preserve">y is expected to save 151.3 kWh per </w:t>
      </w:r>
      <w:r w:rsidRPr="008261F5">
        <w:rPr>
          <w:szCs w:val="20"/>
        </w:rPr>
        <w:t>1</w:t>
      </w:r>
      <w:r>
        <w:rPr>
          <w:szCs w:val="20"/>
        </w:rPr>
        <w:t>,</w:t>
      </w:r>
      <w:r w:rsidRPr="008261F5">
        <w:rPr>
          <w:szCs w:val="20"/>
        </w:rPr>
        <w:t>000 sq. ft. and 5.2 ther</w:t>
      </w:r>
      <w:r>
        <w:rPr>
          <w:szCs w:val="20"/>
        </w:rPr>
        <w:t xml:space="preserve">ms per </w:t>
      </w:r>
      <w:r w:rsidR="00D34EA3">
        <w:rPr>
          <w:szCs w:val="20"/>
        </w:rPr>
        <w:br/>
      </w:r>
      <w:r w:rsidRPr="008261F5">
        <w:rPr>
          <w:szCs w:val="20"/>
        </w:rPr>
        <w:t>1</w:t>
      </w:r>
      <w:r>
        <w:rPr>
          <w:szCs w:val="20"/>
        </w:rPr>
        <w:t>,</w:t>
      </w:r>
      <w:r w:rsidRPr="008261F5">
        <w:rPr>
          <w:szCs w:val="20"/>
        </w:rPr>
        <w:t>000 sq. ft.</w:t>
      </w:r>
      <w:r>
        <w:rPr>
          <w:szCs w:val="20"/>
        </w:rPr>
        <w:t>,</w:t>
      </w:r>
      <w:r w:rsidRPr="008261F5">
        <w:rPr>
          <w:szCs w:val="20"/>
        </w:rPr>
        <w:t xml:space="preserve"> compared to an unrefrigerated warehouse, which wou</w:t>
      </w:r>
      <w:r>
        <w:rPr>
          <w:szCs w:val="20"/>
        </w:rPr>
        <w:t xml:space="preserve">ld be expected to save 18.2 kWh per </w:t>
      </w:r>
      <w:r w:rsidRPr="008261F5">
        <w:rPr>
          <w:szCs w:val="20"/>
        </w:rPr>
        <w:t>1</w:t>
      </w:r>
      <w:r>
        <w:rPr>
          <w:szCs w:val="20"/>
        </w:rPr>
        <w:t xml:space="preserve">,000 sq. ft. and 0.8 therms per </w:t>
      </w:r>
      <w:r w:rsidRPr="008261F5">
        <w:rPr>
          <w:szCs w:val="20"/>
        </w:rPr>
        <w:t>1</w:t>
      </w:r>
      <w:r>
        <w:rPr>
          <w:szCs w:val="20"/>
        </w:rPr>
        <w:t>,</w:t>
      </w:r>
      <w:r w:rsidRPr="008261F5">
        <w:rPr>
          <w:szCs w:val="20"/>
        </w:rPr>
        <w:t>000 sq. ft. after accounting for differences in energy density.</w:t>
      </w:r>
    </w:p>
    <w:p w14:paraId="5391D4AF" w14:textId="77777777" w:rsidR="00E01C42" w:rsidRPr="008261F5" w:rsidRDefault="00E01C42" w:rsidP="00E01C42">
      <w:pPr>
        <w:rPr>
          <w:szCs w:val="20"/>
        </w:rPr>
      </w:pPr>
    </w:p>
    <w:p w14:paraId="1C9928CD" w14:textId="77777777" w:rsidR="00E01C42" w:rsidRPr="008261F5" w:rsidRDefault="00E01C42" w:rsidP="00E01C42">
      <w:pPr>
        <w:rPr>
          <w:szCs w:val="20"/>
        </w:rPr>
      </w:pPr>
      <w:r w:rsidRPr="008261F5">
        <w:t xml:space="preserve">The </w:t>
      </w:r>
      <w:r w:rsidR="00BB59F5">
        <w:t>2018</w:t>
      </w:r>
      <w:r>
        <w:t xml:space="preserve"> Study</w:t>
      </w:r>
      <w:r w:rsidRPr="008261F5">
        <w:t xml:space="preserve"> uses an EUL of </w:t>
      </w:r>
      <w:r w:rsidR="00643524">
        <w:t>3</w:t>
      </w:r>
      <w:r w:rsidRPr="008261F5">
        <w:t xml:space="preserve"> years</w:t>
      </w:r>
      <w:r w:rsidR="00643524">
        <w:t xml:space="preserve"> Per CPUC Decision 16-08-019.</w:t>
      </w:r>
      <w:r w:rsidRPr="008261F5">
        <w:t xml:space="preserve"> A </w:t>
      </w:r>
      <w:r w:rsidRPr="008261F5">
        <w:rPr>
          <w:szCs w:val="20"/>
        </w:rPr>
        <w:t xml:space="preserve">ratio of kW to kWh </w:t>
      </w:r>
      <w:r>
        <w:t xml:space="preserve">of </w:t>
      </w:r>
      <w:r w:rsidRPr="008261F5">
        <w:t xml:space="preserve">0.000114 </w:t>
      </w:r>
      <w:r>
        <w:t xml:space="preserve">was applied to all three electric utilities. This value is </w:t>
      </w:r>
      <w:r w:rsidRPr="008261F5">
        <w:t>based on an analysis of several third-party programs operating in California during the 2014-2015 portfolio cycle.</w:t>
      </w:r>
    </w:p>
    <w:p w14:paraId="3ABEF12D" w14:textId="77777777" w:rsidR="00E01C42" w:rsidRPr="008261F5" w:rsidRDefault="00E01C42" w:rsidP="00E01C42"/>
    <w:p w14:paraId="4A3727BC" w14:textId="77777777" w:rsidR="00E01C42" w:rsidRPr="008261F5" w:rsidRDefault="00E01C42" w:rsidP="00E01C42">
      <w:pPr>
        <w:rPr>
          <w:szCs w:val="20"/>
        </w:rPr>
      </w:pPr>
      <w:r w:rsidRPr="008261F5">
        <w:rPr>
          <w:b/>
          <w:i/>
          <w:szCs w:val="20"/>
        </w:rPr>
        <w:t>Cost</w:t>
      </w:r>
    </w:p>
    <w:p w14:paraId="40FC2FB6" w14:textId="77777777" w:rsidR="006F3CF3" w:rsidRDefault="00E01C42" w:rsidP="00122CD3">
      <w:r w:rsidRPr="008261F5">
        <w:t xml:space="preserve">Costs for electricity and natural gas savings </w:t>
      </w:r>
      <w:r>
        <w:t xml:space="preserve">are estimated at $0.29 per </w:t>
      </w:r>
      <w:r w:rsidRPr="008261F5">
        <w:t>kWh and $3.65</w:t>
      </w:r>
      <w:r>
        <w:t xml:space="preserve"> per </w:t>
      </w:r>
      <w:r w:rsidRPr="008261F5">
        <w:t>therm, applied consistently by building type across utilities.</w:t>
      </w:r>
      <w:bookmarkStart w:id="1044" w:name="_Toc480271811"/>
      <w:bookmarkStart w:id="1045" w:name="_Toc484183068"/>
    </w:p>
    <w:p w14:paraId="25BF3FD9" w14:textId="77777777" w:rsidR="00E01C42" w:rsidRDefault="00E01C42" w:rsidP="00122CD3">
      <w:pPr>
        <w:pStyle w:val="Heading6"/>
      </w:pPr>
      <w:bookmarkStart w:id="1046" w:name="_Toc490225834"/>
      <w:r>
        <w:t>Commercial - Building Energy and Information Management Systems</w:t>
      </w:r>
      <w:bookmarkEnd w:id="1044"/>
      <w:bookmarkEnd w:id="1045"/>
      <w:bookmarkEnd w:id="1046"/>
    </w:p>
    <w:p w14:paraId="35011C6F" w14:textId="77777777" w:rsidR="00E01C42" w:rsidRPr="009C1B6F" w:rsidRDefault="00E01C42" w:rsidP="006F3CF3">
      <w:pPr>
        <w:keepNext/>
        <w:keepLines/>
        <w:rPr>
          <w:b/>
        </w:rPr>
      </w:pPr>
      <w:r w:rsidRPr="009C1B6F">
        <w:rPr>
          <w:b/>
        </w:rPr>
        <w:t xml:space="preserve">Summary </w:t>
      </w:r>
    </w:p>
    <w:p w14:paraId="06AC956F" w14:textId="77777777" w:rsidR="00E01C42" w:rsidRDefault="00E01C42" w:rsidP="006F3CF3">
      <w:pPr>
        <w:keepLines/>
      </w:pPr>
    </w:p>
    <w:p w14:paraId="25ED8543" w14:textId="77777777" w:rsidR="00E01C42" w:rsidRPr="008261F5" w:rsidRDefault="00E01C42" w:rsidP="00122CD3">
      <w:pPr>
        <w:keepLines/>
      </w:pPr>
      <w:r w:rsidRPr="008261F5">
        <w:t>The potential for building energy management and information systems (BEIMS) were first modelled by Navigant as part of the AB 802 Technical Analysis.</w:t>
      </w:r>
      <w:r w:rsidRPr="008261F5">
        <w:rPr>
          <w:rStyle w:val="FootnoteReference"/>
        </w:rPr>
        <w:footnoteReference w:id="141"/>
      </w:r>
      <w:r w:rsidRPr="008261F5">
        <w:t xml:space="preserve"> The Technical Analysis was issued in March of 2016 and not used at that time to set goals. That work has</w:t>
      </w:r>
      <w:r>
        <w:t xml:space="preserve"> now been incorporated into this </w:t>
      </w:r>
      <w:r w:rsidRPr="008261F5">
        <w:t>model.</w:t>
      </w:r>
    </w:p>
    <w:p w14:paraId="241E2F30" w14:textId="77777777" w:rsidR="00E01C42" w:rsidRPr="008261F5" w:rsidRDefault="00E01C42" w:rsidP="00E01C42"/>
    <w:p w14:paraId="350501BB" w14:textId="77777777" w:rsidR="00E01C42" w:rsidRPr="008261F5" w:rsidRDefault="00E01C42" w:rsidP="00E01C42">
      <w:r w:rsidRPr="008261F5">
        <w:t>As discusse</w:t>
      </w:r>
      <w:r>
        <w:t>d in the Technical Analysis, BEI</w:t>
      </w:r>
      <w:r w:rsidRPr="008261F5">
        <w:t>MS includes IT-based monitoring and control systems that provide information on the performance of some or all the components of a building’s infrastructure, including its envelope, heating and ventilation, lighting, plug load, water use, occupancy, an</w:t>
      </w:r>
      <w:r>
        <w:t>d other critical resources. A BEI</w:t>
      </w:r>
      <w:r w:rsidRPr="008261F5">
        <w:t>MS primarily consists of software, hardware (such as dedicated controllers, sensors, and sub-meters), as well as value-added services (including outsourced software management, building maintenance contracts, and others).</w:t>
      </w:r>
      <w:r>
        <w:t xml:space="preserve"> This </w:t>
      </w:r>
      <w:r w:rsidRPr="008261F5">
        <w:t>model focuses on the potential</w:t>
      </w:r>
      <w:r w:rsidRPr="00854460">
        <w:t xml:space="preserve"> </w:t>
      </w:r>
      <w:r w:rsidRPr="008261F5">
        <w:t>for BIEMS to change energy consumption associated with the operation of buil</w:t>
      </w:r>
      <w:r>
        <w:t>ding HVAC systems as the result</w:t>
      </w:r>
      <w:r w:rsidRPr="008261F5">
        <w:t xml:space="preserve"> of several ap</w:t>
      </w:r>
      <w:r>
        <w:t>plications of BEI</w:t>
      </w:r>
      <w:r w:rsidRPr="008261F5">
        <w:t>MS technology, including</w:t>
      </w:r>
      <w:r>
        <w:t xml:space="preserve"> the following</w:t>
      </w:r>
      <w:r w:rsidRPr="008261F5">
        <w:t>:</w:t>
      </w:r>
    </w:p>
    <w:p w14:paraId="1C202CBE" w14:textId="77777777" w:rsidR="00E01C42" w:rsidRPr="008261F5" w:rsidRDefault="00E01C42" w:rsidP="004E4E36">
      <w:pPr>
        <w:pStyle w:val="ListParagraph"/>
        <w:numPr>
          <w:ilvl w:val="0"/>
          <w:numId w:val="64"/>
        </w:numPr>
      </w:pPr>
      <w:r w:rsidRPr="008261F5">
        <w:t>Energy visualization</w:t>
      </w:r>
    </w:p>
    <w:p w14:paraId="19612548" w14:textId="77777777" w:rsidR="00E01C42" w:rsidRPr="00D11078" w:rsidRDefault="00E01C42" w:rsidP="004E4E36">
      <w:pPr>
        <w:pStyle w:val="ListParagraph"/>
        <w:numPr>
          <w:ilvl w:val="0"/>
          <w:numId w:val="64"/>
        </w:numPr>
        <w:rPr>
          <w:color w:val="000000"/>
        </w:rPr>
      </w:pPr>
      <w:r w:rsidRPr="00D11078">
        <w:rPr>
          <w:color w:val="000000"/>
        </w:rPr>
        <w:t>Energy analytics</w:t>
      </w:r>
    </w:p>
    <w:p w14:paraId="3EDFEDBC" w14:textId="77777777" w:rsidR="00E01C42" w:rsidRPr="00D11078" w:rsidRDefault="00E01C42" w:rsidP="004E4E36">
      <w:pPr>
        <w:pStyle w:val="ListParagraph"/>
        <w:numPr>
          <w:ilvl w:val="0"/>
          <w:numId w:val="64"/>
        </w:numPr>
        <w:rPr>
          <w:color w:val="000000"/>
        </w:rPr>
      </w:pPr>
      <w:r w:rsidRPr="00D11078">
        <w:rPr>
          <w:color w:val="000000"/>
        </w:rPr>
        <w:t xml:space="preserve">Operational control and facility management </w:t>
      </w:r>
    </w:p>
    <w:p w14:paraId="2FB01014" w14:textId="77777777" w:rsidR="00E01C42" w:rsidRPr="00D11078" w:rsidRDefault="00E01C42" w:rsidP="004E4E36">
      <w:pPr>
        <w:pStyle w:val="ListParagraph"/>
        <w:numPr>
          <w:ilvl w:val="0"/>
          <w:numId w:val="64"/>
        </w:numPr>
        <w:rPr>
          <w:color w:val="000000"/>
        </w:rPr>
      </w:pPr>
      <w:r w:rsidRPr="00D11078">
        <w:rPr>
          <w:color w:val="000000"/>
        </w:rPr>
        <w:t>Continuous commissioning and self-healing buildings.</w:t>
      </w:r>
    </w:p>
    <w:p w14:paraId="10658D62" w14:textId="77777777" w:rsidR="00E01C42" w:rsidRPr="00D11078" w:rsidRDefault="00E01C42" w:rsidP="00E01C42">
      <w:pPr>
        <w:rPr>
          <w:color w:val="000000"/>
          <w:szCs w:val="20"/>
        </w:rPr>
      </w:pPr>
    </w:p>
    <w:p w14:paraId="22EDB255" w14:textId="77777777" w:rsidR="00E01C42" w:rsidRPr="00D11078" w:rsidRDefault="00E01C42" w:rsidP="00E01C42">
      <w:pPr>
        <w:rPr>
          <w:color w:val="000000"/>
          <w:szCs w:val="20"/>
        </w:rPr>
      </w:pPr>
      <w:r w:rsidRPr="00D11078">
        <w:rPr>
          <w:color w:val="000000"/>
          <w:szCs w:val="20"/>
        </w:rPr>
        <w:t xml:space="preserve">The model inputs for electric and natural gas for BEIMS are shown in </w:t>
      </w:r>
      <w:r w:rsidRPr="00D11078">
        <w:rPr>
          <w:color w:val="000000"/>
          <w:szCs w:val="20"/>
        </w:rPr>
        <w:fldChar w:fldCharType="begin"/>
      </w:r>
      <w:r w:rsidRPr="00D11078">
        <w:rPr>
          <w:color w:val="000000"/>
          <w:szCs w:val="20"/>
        </w:rPr>
        <w:instrText xml:space="preserve"> REF _Ref478639383 \h  \* MERGEFORMAT </w:instrText>
      </w:r>
      <w:r w:rsidRPr="00D11078">
        <w:rPr>
          <w:color w:val="000000"/>
          <w:szCs w:val="20"/>
        </w:rPr>
      </w:r>
      <w:r w:rsidRPr="00D11078">
        <w:rPr>
          <w:color w:val="000000"/>
          <w:szCs w:val="20"/>
        </w:rPr>
        <w:fldChar w:fldCharType="separate"/>
      </w:r>
      <w:r w:rsidR="007566B9" w:rsidRPr="00F9578C">
        <w:rPr>
          <w:color w:val="000000"/>
        </w:rPr>
        <w:t xml:space="preserve">Table </w:t>
      </w:r>
      <w:r w:rsidR="007566B9">
        <w:rPr>
          <w:noProof/>
          <w:color w:val="000000"/>
        </w:rPr>
        <w:t>C</w:t>
      </w:r>
      <w:r w:rsidR="007566B9" w:rsidRPr="00F9578C">
        <w:rPr>
          <w:noProof/>
          <w:color w:val="000000"/>
        </w:rPr>
        <w:noBreakHyphen/>
      </w:r>
      <w:r w:rsidR="007566B9">
        <w:rPr>
          <w:noProof/>
          <w:color w:val="000000"/>
        </w:rPr>
        <w:t>6.</w:t>
      </w:r>
      <w:r w:rsidR="007566B9">
        <w:rPr>
          <w:color w:val="000000"/>
        </w:rPr>
        <w:t xml:space="preserve"> </w:t>
      </w:r>
      <w:r w:rsidRPr="00D11078">
        <w:rPr>
          <w:color w:val="000000"/>
          <w:szCs w:val="20"/>
        </w:rPr>
        <w:fldChar w:fldCharType="end"/>
      </w:r>
      <w:r w:rsidRPr="00D11078">
        <w:rPr>
          <w:color w:val="000000"/>
          <w:szCs w:val="20"/>
        </w:rPr>
        <w:t xml:space="preserve"> based on customer segment consumption (kWh or therms per year). Electricity savings range from </w:t>
      </w:r>
      <w:r>
        <w:rPr>
          <w:color w:val="000000"/>
        </w:rPr>
        <w:t>1.1</w:t>
      </w:r>
      <w:r w:rsidRPr="00D11078">
        <w:rPr>
          <w:color w:val="000000"/>
        </w:rPr>
        <w:t xml:space="preserve">% to 4.2% </w:t>
      </w:r>
      <w:r w:rsidRPr="00D11078">
        <w:rPr>
          <w:color w:val="000000"/>
          <w:szCs w:val="20"/>
        </w:rPr>
        <w:t xml:space="preserve">and natural gas savings range from </w:t>
      </w:r>
      <w:r>
        <w:rPr>
          <w:color w:val="000000"/>
        </w:rPr>
        <w:t>0.2</w:t>
      </w:r>
      <w:r w:rsidRPr="00D11078">
        <w:rPr>
          <w:color w:val="000000"/>
        </w:rPr>
        <w:t xml:space="preserve">% to 7.4%. Variations are due to differences in segments’ energy densities and </w:t>
      </w:r>
      <w:r w:rsidRPr="00D11078">
        <w:rPr>
          <w:color w:val="000000"/>
          <w:szCs w:val="20"/>
        </w:rPr>
        <w:t>differences in climate</w:t>
      </w:r>
      <w:r w:rsidR="000922F6">
        <w:rPr>
          <w:color w:val="000000"/>
          <w:szCs w:val="20"/>
        </w:rPr>
        <w:t xml:space="preserve"> across utilities</w:t>
      </w:r>
      <w:r w:rsidRPr="00D11078">
        <w:rPr>
          <w:color w:val="000000"/>
          <w:szCs w:val="20"/>
        </w:rPr>
        <w:t xml:space="preserve">. Costs for electricity and natural gas savings also varied by utility between </w:t>
      </w:r>
      <w:r w:rsidRPr="00D11078">
        <w:rPr>
          <w:color w:val="000000"/>
        </w:rPr>
        <w:t>$0.20 and $0.46</w:t>
      </w:r>
      <w:r w:rsidRPr="00D11078">
        <w:rPr>
          <w:color w:val="000000"/>
          <w:szCs w:val="20"/>
        </w:rPr>
        <w:t xml:space="preserve"> per kWh and between </w:t>
      </w:r>
      <w:r w:rsidRPr="00D11078">
        <w:rPr>
          <w:color w:val="000000"/>
        </w:rPr>
        <w:t>$0.18 and $0.46</w:t>
      </w:r>
      <w:r w:rsidRPr="00D11078">
        <w:rPr>
          <w:color w:val="000000"/>
          <w:szCs w:val="20"/>
        </w:rPr>
        <w:t xml:space="preserve"> per </w:t>
      </w:r>
      <w:r>
        <w:rPr>
          <w:color w:val="000000"/>
          <w:szCs w:val="20"/>
        </w:rPr>
        <w:t>therm.</w:t>
      </w:r>
    </w:p>
    <w:p w14:paraId="13DF3688" w14:textId="77777777" w:rsidR="00E01C42" w:rsidRPr="00D11078" w:rsidRDefault="00E01C42" w:rsidP="00E01C42">
      <w:pPr>
        <w:rPr>
          <w:color w:val="000000"/>
          <w:szCs w:val="20"/>
        </w:rPr>
      </w:pPr>
    </w:p>
    <w:p w14:paraId="753BB61A" w14:textId="77777777" w:rsidR="00E01C42" w:rsidRPr="00D11078" w:rsidRDefault="00F9578C" w:rsidP="00E01C42">
      <w:pPr>
        <w:pStyle w:val="Caption"/>
        <w:rPr>
          <w:b w:val="0"/>
          <w:color w:val="000000"/>
          <w:szCs w:val="24"/>
        </w:rPr>
      </w:pPr>
      <w:bookmarkStart w:id="1047" w:name="_Ref478639383"/>
      <w:bookmarkStart w:id="1048" w:name="_Toc490226033"/>
      <w:r w:rsidRPr="00F9578C">
        <w:rPr>
          <w:color w:val="000000"/>
        </w:rPr>
        <w:lastRenderedPageBreak/>
        <w:t xml:space="preserve">Table </w:t>
      </w:r>
      <w:r w:rsidRPr="00F9578C">
        <w:rPr>
          <w:color w:val="000000"/>
        </w:rPr>
        <w:fldChar w:fldCharType="begin"/>
      </w:r>
      <w:r w:rsidRPr="00F9578C">
        <w:rPr>
          <w:color w:val="000000"/>
        </w:rPr>
        <w:instrText xml:space="preserve"> STYLEREF 5 \s </w:instrText>
      </w:r>
      <w:r w:rsidRPr="00F9578C">
        <w:rPr>
          <w:color w:val="000000"/>
        </w:rPr>
        <w:fldChar w:fldCharType="separate"/>
      </w:r>
      <w:r w:rsidR="007566B9">
        <w:rPr>
          <w:noProof/>
          <w:color w:val="000000"/>
        </w:rPr>
        <w:t>C</w:t>
      </w:r>
      <w:r w:rsidRPr="00F9578C">
        <w:rPr>
          <w:color w:val="000000"/>
        </w:rPr>
        <w:fldChar w:fldCharType="end"/>
      </w:r>
      <w:r w:rsidRPr="00F9578C">
        <w:rPr>
          <w:color w:val="000000"/>
        </w:rPr>
        <w:noBreakHyphen/>
      </w:r>
      <w:r w:rsidRPr="00F9578C">
        <w:rPr>
          <w:color w:val="000000"/>
        </w:rPr>
        <w:fldChar w:fldCharType="begin"/>
      </w:r>
      <w:r w:rsidRPr="00F9578C">
        <w:rPr>
          <w:color w:val="000000"/>
        </w:rPr>
        <w:instrText xml:space="preserve"> SEQ Table_Apx \* ARABIC \s 5 </w:instrText>
      </w:r>
      <w:r w:rsidRPr="00F9578C">
        <w:rPr>
          <w:color w:val="000000"/>
        </w:rPr>
        <w:fldChar w:fldCharType="separate"/>
      </w:r>
      <w:r w:rsidR="007566B9">
        <w:rPr>
          <w:noProof/>
          <w:color w:val="000000"/>
        </w:rPr>
        <w:t>6</w:t>
      </w:r>
      <w:r w:rsidRPr="00F9578C">
        <w:rPr>
          <w:color w:val="000000"/>
        </w:rPr>
        <w:fldChar w:fldCharType="end"/>
      </w:r>
      <w:r>
        <w:rPr>
          <w:color w:val="000000"/>
        </w:rPr>
        <w:t xml:space="preserve">. </w:t>
      </w:r>
      <w:bookmarkEnd w:id="1047"/>
      <w:r w:rsidR="00E01C42" w:rsidRPr="00D11078">
        <w:rPr>
          <w:color w:val="000000"/>
        </w:rPr>
        <w:t>Building Energy and Information Management Systems - Key Assumptions</w:t>
      </w:r>
      <w:bookmarkEnd w:id="1048"/>
    </w:p>
    <w:tbl>
      <w:tblPr>
        <w:tblW w:w="8366" w:type="dxa"/>
        <w:jc w:val="center"/>
        <w:tblBorders>
          <w:bottom w:val="single" w:sz="8" w:space="0" w:color="555759"/>
          <w:insideH w:val="single" w:sz="4" w:space="0" w:color="DCDDDE"/>
        </w:tblBorders>
        <w:tblLook w:val="04A0" w:firstRow="1" w:lastRow="0" w:firstColumn="1" w:lastColumn="0" w:noHBand="0" w:noVBand="1"/>
      </w:tblPr>
      <w:tblGrid>
        <w:gridCol w:w="947"/>
        <w:gridCol w:w="1433"/>
        <w:gridCol w:w="840"/>
        <w:gridCol w:w="830"/>
        <w:gridCol w:w="990"/>
        <w:gridCol w:w="900"/>
        <w:gridCol w:w="990"/>
        <w:gridCol w:w="1436"/>
      </w:tblGrid>
      <w:tr w:rsidR="002544A3" w:rsidRPr="00DD2D77" w14:paraId="6B11E68B" w14:textId="77777777" w:rsidTr="008C0AC4">
        <w:trPr>
          <w:cantSplit/>
          <w:trHeight w:val="296"/>
          <w:tblHeader/>
          <w:jc w:val="center"/>
        </w:trPr>
        <w:tc>
          <w:tcPr>
            <w:tcW w:w="947" w:type="dxa"/>
            <w:vMerge w:val="restart"/>
            <w:tcBorders>
              <w:top w:val="nil"/>
              <w:left w:val="nil"/>
              <w:bottom w:val="single" w:sz="12" w:space="0" w:color="95D600"/>
              <w:right w:val="nil"/>
              <w:tl2br w:val="nil"/>
              <w:tr2bl w:val="nil"/>
            </w:tcBorders>
            <w:shd w:val="clear" w:color="auto" w:fill="555759"/>
            <w:hideMark/>
          </w:tcPr>
          <w:p w14:paraId="0EC5F437" w14:textId="77777777" w:rsidR="00E01C42" w:rsidRPr="00D11078" w:rsidRDefault="00E01C42" w:rsidP="008C0AC4">
            <w:pPr>
              <w:spacing w:before="40" w:after="40"/>
              <w:jc w:val="center"/>
              <w:rPr>
                <w:b/>
                <w:color w:val="FFFFFF"/>
              </w:rPr>
            </w:pPr>
            <w:r w:rsidRPr="00D11078">
              <w:rPr>
                <w:b/>
                <w:color w:val="FFFFFF"/>
              </w:rPr>
              <w:t>Sector</w:t>
            </w:r>
          </w:p>
        </w:tc>
        <w:tc>
          <w:tcPr>
            <w:tcW w:w="1433" w:type="dxa"/>
            <w:vMerge w:val="restart"/>
            <w:tcBorders>
              <w:top w:val="nil"/>
              <w:left w:val="nil"/>
              <w:bottom w:val="single" w:sz="12" w:space="0" w:color="95D600"/>
              <w:right w:val="nil"/>
              <w:tl2br w:val="nil"/>
              <w:tr2bl w:val="nil"/>
            </w:tcBorders>
            <w:shd w:val="clear" w:color="auto" w:fill="555759"/>
            <w:hideMark/>
          </w:tcPr>
          <w:p w14:paraId="5B36A3B1" w14:textId="77777777" w:rsidR="00E01C42" w:rsidRPr="00D11078" w:rsidRDefault="00E01C42" w:rsidP="008C0AC4">
            <w:pPr>
              <w:spacing w:before="40" w:after="40"/>
              <w:jc w:val="center"/>
              <w:rPr>
                <w:b/>
                <w:color w:val="FFFFFF"/>
              </w:rPr>
            </w:pPr>
            <w:r w:rsidRPr="00D11078">
              <w:rPr>
                <w:b/>
                <w:color w:val="FFFFFF"/>
              </w:rPr>
              <w:t>Type</w:t>
            </w:r>
          </w:p>
        </w:tc>
        <w:tc>
          <w:tcPr>
            <w:tcW w:w="840" w:type="dxa"/>
            <w:vMerge w:val="restart"/>
            <w:tcBorders>
              <w:top w:val="nil"/>
              <w:left w:val="nil"/>
              <w:bottom w:val="single" w:sz="12" w:space="0" w:color="95D600"/>
              <w:right w:val="nil"/>
              <w:tl2br w:val="nil"/>
              <w:tr2bl w:val="nil"/>
            </w:tcBorders>
            <w:shd w:val="clear" w:color="auto" w:fill="555759"/>
            <w:hideMark/>
          </w:tcPr>
          <w:p w14:paraId="5A32A29A" w14:textId="77777777" w:rsidR="00E01C42" w:rsidRPr="00D11078" w:rsidRDefault="00E01C42" w:rsidP="008C0AC4">
            <w:pPr>
              <w:spacing w:before="40" w:after="40"/>
              <w:jc w:val="center"/>
              <w:rPr>
                <w:b/>
                <w:color w:val="FFFFFF"/>
              </w:rPr>
            </w:pPr>
            <w:r w:rsidRPr="00D11078">
              <w:rPr>
                <w:b/>
                <w:color w:val="FFFFFF"/>
              </w:rPr>
              <w:t>EUL years</w:t>
            </w:r>
          </w:p>
        </w:tc>
        <w:tc>
          <w:tcPr>
            <w:tcW w:w="1820" w:type="dxa"/>
            <w:gridSpan w:val="2"/>
            <w:tcBorders>
              <w:top w:val="nil"/>
              <w:left w:val="nil"/>
              <w:bottom w:val="single" w:sz="2" w:space="0" w:color="FFFFFF"/>
              <w:right w:val="nil"/>
              <w:tl2br w:val="nil"/>
              <w:tr2bl w:val="nil"/>
            </w:tcBorders>
            <w:shd w:val="clear" w:color="auto" w:fill="555759"/>
            <w:hideMark/>
          </w:tcPr>
          <w:p w14:paraId="6394DDF6" w14:textId="77777777" w:rsidR="00E01C42" w:rsidRPr="00D11078" w:rsidRDefault="00E01C42" w:rsidP="008C0AC4">
            <w:pPr>
              <w:spacing w:before="40" w:after="40"/>
              <w:jc w:val="center"/>
              <w:rPr>
                <w:b/>
                <w:color w:val="FFFFFF"/>
              </w:rPr>
            </w:pPr>
            <w:r w:rsidRPr="00D11078">
              <w:rPr>
                <w:b/>
                <w:color w:val="FFFFFF"/>
              </w:rPr>
              <w:t>Savings</w:t>
            </w:r>
          </w:p>
        </w:tc>
        <w:tc>
          <w:tcPr>
            <w:tcW w:w="1890" w:type="dxa"/>
            <w:gridSpan w:val="2"/>
            <w:tcBorders>
              <w:top w:val="nil"/>
              <w:left w:val="nil"/>
              <w:bottom w:val="single" w:sz="2" w:space="0" w:color="FFFFFF"/>
              <w:right w:val="nil"/>
              <w:tl2br w:val="nil"/>
              <w:tr2bl w:val="nil"/>
            </w:tcBorders>
            <w:shd w:val="clear" w:color="auto" w:fill="555759"/>
            <w:hideMark/>
          </w:tcPr>
          <w:p w14:paraId="61141569" w14:textId="77777777" w:rsidR="00E01C42" w:rsidRPr="00D11078" w:rsidRDefault="00E01C42" w:rsidP="008C0AC4">
            <w:pPr>
              <w:spacing w:before="40" w:after="40"/>
              <w:jc w:val="center"/>
              <w:rPr>
                <w:b/>
                <w:color w:val="FFFFFF"/>
              </w:rPr>
            </w:pPr>
            <w:r w:rsidRPr="00D11078">
              <w:rPr>
                <w:b/>
                <w:color w:val="FFFFFF"/>
              </w:rPr>
              <w:t>Cost</w:t>
            </w:r>
          </w:p>
        </w:tc>
        <w:tc>
          <w:tcPr>
            <w:tcW w:w="1436" w:type="dxa"/>
            <w:vMerge w:val="restart"/>
            <w:tcBorders>
              <w:top w:val="nil"/>
              <w:left w:val="nil"/>
              <w:bottom w:val="single" w:sz="12" w:space="0" w:color="95D600"/>
              <w:right w:val="nil"/>
              <w:tl2br w:val="nil"/>
              <w:tr2bl w:val="nil"/>
            </w:tcBorders>
            <w:shd w:val="clear" w:color="auto" w:fill="555759"/>
            <w:hideMark/>
          </w:tcPr>
          <w:p w14:paraId="5A863E53" w14:textId="77777777" w:rsidR="00E01C42" w:rsidRPr="00D11078" w:rsidRDefault="00E01C42" w:rsidP="008C0AC4">
            <w:pPr>
              <w:spacing w:before="40" w:after="40"/>
              <w:jc w:val="center"/>
              <w:rPr>
                <w:b/>
                <w:color w:val="FFFFFF"/>
              </w:rPr>
            </w:pPr>
            <w:r w:rsidRPr="00D11078">
              <w:rPr>
                <w:b/>
                <w:color w:val="FFFFFF"/>
              </w:rPr>
              <w:t>kW/kWh Savings Ratio</w:t>
            </w:r>
          </w:p>
        </w:tc>
      </w:tr>
      <w:tr w:rsidR="002544A3" w:rsidRPr="00DD2D77" w14:paraId="7A38CBB8" w14:textId="77777777" w:rsidTr="008C0AC4">
        <w:trPr>
          <w:cantSplit/>
          <w:trHeight w:val="144"/>
          <w:tblHeader/>
          <w:jc w:val="center"/>
        </w:trPr>
        <w:tc>
          <w:tcPr>
            <w:tcW w:w="947" w:type="dxa"/>
            <w:vMerge/>
            <w:tcBorders>
              <w:bottom w:val="single" w:sz="12" w:space="0" w:color="95D600"/>
            </w:tcBorders>
            <w:shd w:val="clear" w:color="auto" w:fill="auto"/>
            <w:hideMark/>
          </w:tcPr>
          <w:p w14:paraId="28C64E05" w14:textId="77777777" w:rsidR="00E01C42" w:rsidRPr="00D11078" w:rsidRDefault="00E01C42" w:rsidP="008C0AC4">
            <w:pPr>
              <w:spacing w:before="40" w:after="40"/>
              <w:jc w:val="center"/>
              <w:rPr>
                <w:color w:val="000000"/>
              </w:rPr>
            </w:pPr>
          </w:p>
        </w:tc>
        <w:tc>
          <w:tcPr>
            <w:tcW w:w="1433" w:type="dxa"/>
            <w:vMerge/>
            <w:tcBorders>
              <w:bottom w:val="single" w:sz="12" w:space="0" w:color="95D600"/>
            </w:tcBorders>
            <w:shd w:val="clear" w:color="auto" w:fill="auto"/>
            <w:hideMark/>
          </w:tcPr>
          <w:p w14:paraId="5AABE277" w14:textId="77777777" w:rsidR="00E01C42" w:rsidRPr="00D11078" w:rsidRDefault="00E01C42" w:rsidP="008C0AC4">
            <w:pPr>
              <w:spacing w:before="40" w:after="40"/>
              <w:jc w:val="center"/>
              <w:rPr>
                <w:color w:val="000000"/>
              </w:rPr>
            </w:pPr>
          </w:p>
        </w:tc>
        <w:tc>
          <w:tcPr>
            <w:tcW w:w="840" w:type="dxa"/>
            <w:vMerge/>
            <w:tcBorders>
              <w:bottom w:val="single" w:sz="12" w:space="0" w:color="95D600"/>
            </w:tcBorders>
            <w:shd w:val="clear" w:color="auto" w:fill="555759"/>
            <w:hideMark/>
          </w:tcPr>
          <w:p w14:paraId="0F1BE878" w14:textId="77777777" w:rsidR="00E01C42" w:rsidRPr="00D11078" w:rsidRDefault="00E01C42" w:rsidP="008C0AC4">
            <w:pPr>
              <w:spacing w:before="40" w:after="40"/>
              <w:jc w:val="center"/>
              <w:rPr>
                <w:color w:val="000000"/>
              </w:rPr>
            </w:pPr>
          </w:p>
        </w:tc>
        <w:tc>
          <w:tcPr>
            <w:tcW w:w="830" w:type="dxa"/>
            <w:tcBorders>
              <w:top w:val="single" w:sz="2" w:space="0" w:color="FFFFFF"/>
              <w:bottom w:val="single" w:sz="12" w:space="0" w:color="95D600"/>
            </w:tcBorders>
            <w:shd w:val="clear" w:color="auto" w:fill="555759"/>
            <w:hideMark/>
          </w:tcPr>
          <w:p w14:paraId="3CB1F306" w14:textId="77777777" w:rsidR="00E01C42" w:rsidRPr="00D11078" w:rsidRDefault="00E01C42" w:rsidP="008C0AC4">
            <w:pPr>
              <w:spacing w:before="40" w:after="40"/>
              <w:jc w:val="center"/>
              <w:rPr>
                <w:b/>
                <w:color w:val="FFFFFF"/>
              </w:rPr>
            </w:pPr>
            <w:r w:rsidRPr="00D11078">
              <w:rPr>
                <w:b/>
                <w:color w:val="FFFFFF"/>
              </w:rPr>
              <w:t>kWh</w:t>
            </w:r>
          </w:p>
        </w:tc>
        <w:tc>
          <w:tcPr>
            <w:tcW w:w="990" w:type="dxa"/>
            <w:tcBorders>
              <w:top w:val="single" w:sz="2" w:space="0" w:color="FFFFFF"/>
              <w:bottom w:val="single" w:sz="12" w:space="0" w:color="95D600"/>
            </w:tcBorders>
            <w:shd w:val="clear" w:color="auto" w:fill="555759"/>
            <w:hideMark/>
          </w:tcPr>
          <w:p w14:paraId="11C50633" w14:textId="77777777" w:rsidR="00E01C42" w:rsidRPr="00D11078" w:rsidRDefault="00E01C42" w:rsidP="008C0AC4">
            <w:pPr>
              <w:spacing w:before="40" w:after="40"/>
              <w:jc w:val="center"/>
              <w:rPr>
                <w:b/>
                <w:color w:val="FFFFFF"/>
              </w:rPr>
            </w:pPr>
            <w:r w:rsidRPr="00D11078">
              <w:rPr>
                <w:b/>
                <w:color w:val="FFFFFF"/>
              </w:rPr>
              <w:t>Therm</w:t>
            </w:r>
          </w:p>
        </w:tc>
        <w:tc>
          <w:tcPr>
            <w:tcW w:w="900" w:type="dxa"/>
            <w:tcBorders>
              <w:top w:val="single" w:sz="2" w:space="0" w:color="FFFFFF"/>
              <w:bottom w:val="single" w:sz="12" w:space="0" w:color="95D600"/>
            </w:tcBorders>
            <w:shd w:val="clear" w:color="auto" w:fill="555759"/>
            <w:hideMark/>
          </w:tcPr>
          <w:p w14:paraId="4E8B7DE9" w14:textId="77777777" w:rsidR="00E01C42" w:rsidRPr="00D11078" w:rsidRDefault="00E01C42" w:rsidP="008C0AC4">
            <w:pPr>
              <w:spacing w:before="40" w:after="40"/>
              <w:jc w:val="center"/>
              <w:rPr>
                <w:b/>
                <w:color w:val="FFFFFF"/>
              </w:rPr>
            </w:pPr>
            <w:r w:rsidRPr="00D11078">
              <w:rPr>
                <w:b/>
                <w:color w:val="FFFFFF"/>
              </w:rPr>
              <w:t>kWh</w:t>
            </w:r>
          </w:p>
        </w:tc>
        <w:tc>
          <w:tcPr>
            <w:tcW w:w="989" w:type="dxa"/>
            <w:tcBorders>
              <w:top w:val="single" w:sz="2" w:space="0" w:color="FFFFFF"/>
              <w:bottom w:val="single" w:sz="12" w:space="0" w:color="95D600"/>
            </w:tcBorders>
            <w:shd w:val="clear" w:color="auto" w:fill="555759"/>
            <w:hideMark/>
          </w:tcPr>
          <w:p w14:paraId="586A3400" w14:textId="77777777" w:rsidR="00E01C42" w:rsidRPr="00D11078" w:rsidRDefault="00E01C42" w:rsidP="008C0AC4">
            <w:pPr>
              <w:spacing w:before="40" w:after="40"/>
              <w:jc w:val="center"/>
              <w:rPr>
                <w:b/>
                <w:color w:val="FFFFFF"/>
              </w:rPr>
            </w:pPr>
            <w:r w:rsidRPr="00D11078">
              <w:rPr>
                <w:b/>
                <w:color w:val="FFFFFF"/>
              </w:rPr>
              <w:t>Therm</w:t>
            </w:r>
          </w:p>
        </w:tc>
        <w:tc>
          <w:tcPr>
            <w:tcW w:w="1436" w:type="dxa"/>
            <w:vMerge/>
            <w:tcBorders>
              <w:bottom w:val="single" w:sz="12" w:space="0" w:color="95D600"/>
            </w:tcBorders>
            <w:shd w:val="clear" w:color="auto" w:fill="auto"/>
            <w:hideMark/>
          </w:tcPr>
          <w:p w14:paraId="7D59D477" w14:textId="77777777" w:rsidR="00E01C42" w:rsidRPr="00D11078" w:rsidRDefault="00E01C42" w:rsidP="008C0AC4">
            <w:pPr>
              <w:spacing w:before="40" w:after="40"/>
              <w:jc w:val="center"/>
              <w:rPr>
                <w:color w:val="000000"/>
              </w:rPr>
            </w:pPr>
          </w:p>
        </w:tc>
      </w:tr>
      <w:tr w:rsidR="002544A3" w:rsidRPr="00DD2D77" w14:paraId="44F8C8F6" w14:textId="77777777" w:rsidTr="008C0AC4">
        <w:trPr>
          <w:cantSplit/>
          <w:trHeight w:val="738"/>
          <w:jc w:val="center"/>
        </w:trPr>
        <w:tc>
          <w:tcPr>
            <w:tcW w:w="947" w:type="dxa"/>
            <w:tcBorders>
              <w:top w:val="single" w:sz="12" w:space="0" w:color="95D600"/>
            </w:tcBorders>
            <w:shd w:val="clear" w:color="auto" w:fill="FFFFFF"/>
            <w:hideMark/>
          </w:tcPr>
          <w:p w14:paraId="6FEC40A9" w14:textId="77777777" w:rsidR="00E01C42" w:rsidRPr="00D11078" w:rsidRDefault="00E01C42" w:rsidP="008C0AC4">
            <w:pPr>
              <w:spacing w:before="40" w:after="40"/>
              <w:jc w:val="center"/>
              <w:rPr>
                <w:color w:val="000000"/>
              </w:rPr>
            </w:pPr>
            <w:r w:rsidRPr="00D11078">
              <w:rPr>
                <w:color w:val="000000"/>
              </w:rPr>
              <w:t>COM</w:t>
            </w:r>
          </w:p>
        </w:tc>
        <w:tc>
          <w:tcPr>
            <w:tcW w:w="1433" w:type="dxa"/>
            <w:tcBorders>
              <w:top w:val="single" w:sz="12" w:space="0" w:color="95D600"/>
            </w:tcBorders>
            <w:shd w:val="clear" w:color="auto" w:fill="FFFFFF"/>
            <w:hideMark/>
          </w:tcPr>
          <w:p w14:paraId="5579861C" w14:textId="77777777" w:rsidR="00E01C42" w:rsidRPr="00D11078" w:rsidRDefault="00E01C42" w:rsidP="008C0AC4">
            <w:pPr>
              <w:spacing w:before="40" w:after="40"/>
              <w:jc w:val="center"/>
              <w:rPr>
                <w:color w:val="000000"/>
              </w:rPr>
            </w:pPr>
            <w:r w:rsidRPr="00D11078">
              <w:rPr>
                <w:color w:val="000000"/>
              </w:rPr>
              <w:t>Building Energy and Information Management Systems</w:t>
            </w:r>
          </w:p>
        </w:tc>
        <w:tc>
          <w:tcPr>
            <w:tcW w:w="840" w:type="dxa"/>
            <w:tcBorders>
              <w:top w:val="single" w:sz="12" w:space="0" w:color="95D600"/>
            </w:tcBorders>
            <w:shd w:val="clear" w:color="auto" w:fill="FFFFFF"/>
            <w:hideMark/>
          </w:tcPr>
          <w:p w14:paraId="321ABD9C" w14:textId="77777777" w:rsidR="00E01C42" w:rsidRPr="00D11078" w:rsidRDefault="00643524" w:rsidP="008C0AC4">
            <w:pPr>
              <w:spacing w:before="40" w:after="40"/>
              <w:jc w:val="center"/>
              <w:rPr>
                <w:color w:val="000000"/>
              </w:rPr>
            </w:pPr>
            <w:r>
              <w:rPr>
                <w:color w:val="000000"/>
              </w:rPr>
              <w:t>3</w:t>
            </w:r>
          </w:p>
        </w:tc>
        <w:tc>
          <w:tcPr>
            <w:tcW w:w="830" w:type="dxa"/>
            <w:tcBorders>
              <w:top w:val="single" w:sz="12" w:space="0" w:color="95D600"/>
            </w:tcBorders>
            <w:shd w:val="clear" w:color="auto" w:fill="FFFFFF"/>
            <w:hideMark/>
          </w:tcPr>
          <w:p w14:paraId="46E8D08E" w14:textId="77777777" w:rsidR="00E01C42" w:rsidRPr="00D11078" w:rsidRDefault="00E01C42" w:rsidP="008C0AC4">
            <w:pPr>
              <w:spacing w:before="40" w:after="40"/>
              <w:jc w:val="center"/>
              <w:rPr>
                <w:color w:val="000000"/>
              </w:rPr>
            </w:pPr>
            <w:r>
              <w:rPr>
                <w:color w:val="000000"/>
              </w:rPr>
              <w:t>1.1</w:t>
            </w:r>
            <w:r w:rsidRPr="00D11078">
              <w:rPr>
                <w:color w:val="000000"/>
              </w:rPr>
              <w:t>% - 4.2%</w:t>
            </w:r>
          </w:p>
        </w:tc>
        <w:tc>
          <w:tcPr>
            <w:tcW w:w="990" w:type="dxa"/>
            <w:tcBorders>
              <w:top w:val="single" w:sz="12" w:space="0" w:color="95D600"/>
            </w:tcBorders>
            <w:shd w:val="clear" w:color="auto" w:fill="FFFFFF"/>
            <w:hideMark/>
          </w:tcPr>
          <w:p w14:paraId="6C95AAFB" w14:textId="77777777" w:rsidR="00E01C42" w:rsidRPr="00D11078" w:rsidRDefault="00E01C42" w:rsidP="008C0AC4">
            <w:pPr>
              <w:spacing w:before="40" w:after="40"/>
              <w:jc w:val="center"/>
              <w:rPr>
                <w:color w:val="000000"/>
              </w:rPr>
            </w:pPr>
            <w:r>
              <w:rPr>
                <w:color w:val="000000"/>
              </w:rPr>
              <w:t>0.2</w:t>
            </w:r>
            <w:r w:rsidRPr="00D11078">
              <w:rPr>
                <w:color w:val="000000"/>
              </w:rPr>
              <w:t>% - 7.4%</w:t>
            </w:r>
          </w:p>
        </w:tc>
        <w:tc>
          <w:tcPr>
            <w:tcW w:w="900" w:type="dxa"/>
            <w:tcBorders>
              <w:top w:val="single" w:sz="12" w:space="0" w:color="95D600"/>
            </w:tcBorders>
            <w:shd w:val="clear" w:color="auto" w:fill="FFFFFF"/>
            <w:hideMark/>
          </w:tcPr>
          <w:p w14:paraId="44CD3F64" w14:textId="77777777" w:rsidR="00E01C42" w:rsidRPr="00D11078" w:rsidRDefault="00E01C42" w:rsidP="008C0AC4">
            <w:pPr>
              <w:spacing w:before="40" w:after="40"/>
              <w:jc w:val="center"/>
              <w:rPr>
                <w:color w:val="000000"/>
              </w:rPr>
            </w:pPr>
            <w:r w:rsidRPr="00D11078">
              <w:rPr>
                <w:color w:val="000000"/>
              </w:rPr>
              <w:t>$0.20 - $0.46</w:t>
            </w:r>
          </w:p>
        </w:tc>
        <w:tc>
          <w:tcPr>
            <w:tcW w:w="989" w:type="dxa"/>
            <w:tcBorders>
              <w:top w:val="single" w:sz="12" w:space="0" w:color="95D600"/>
            </w:tcBorders>
            <w:shd w:val="clear" w:color="auto" w:fill="FFFFFF"/>
            <w:hideMark/>
          </w:tcPr>
          <w:p w14:paraId="1105C1DD" w14:textId="77777777" w:rsidR="00E01C42" w:rsidRPr="00D11078" w:rsidRDefault="00E01C42" w:rsidP="008C0AC4">
            <w:pPr>
              <w:spacing w:before="40" w:after="40"/>
              <w:jc w:val="center"/>
              <w:rPr>
                <w:color w:val="000000"/>
              </w:rPr>
            </w:pPr>
            <w:r w:rsidRPr="00D11078">
              <w:rPr>
                <w:color w:val="000000"/>
              </w:rPr>
              <w:t xml:space="preserve">$0.18 – </w:t>
            </w:r>
          </w:p>
          <w:p w14:paraId="24EAE94B" w14:textId="77777777" w:rsidR="00E01C42" w:rsidRPr="00D11078" w:rsidRDefault="00E01C42" w:rsidP="008C0AC4">
            <w:pPr>
              <w:spacing w:before="40" w:after="40"/>
              <w:jc w:val="center"/>
              <w:rPr>
                <w:color w:val="000000"/>
                <w:highlight w:val="red"/>
              </w:rPr>
            </w:pPr>
            <w:r w:rsidRPr="00D11078">
              <w:rPr>
                <w:color w:val="000000"/>
              </w:rPr>
              <w:t>$0.46</w:t>
            </w:r>
          </w:p>
        </w:tc>
        <w:tc>
          <w:tcPr>
            <w:tcW w:w="1436" w:type="dxa"/>
            <w:tcBorders>
              <w:top w:val="single" w:sz="12" w:space="0" w:color="95D600"/>
            </w:tcBorders>
            <w:shd w:val="clear" w:color="auto" w:fill="FFFFFF"/>
            <w:hideMark/>
          </w:tcPr>
          <w:p w14:paraId="6304A9F3" w14:textId="77777777" w:rsidR="00E01C42" w:rsidRPr="00D11078" w:rsidRDefault="00E01C42" w:rsidP="008C0AC4">
            <w:pPr>
              <w:spacing w:before="40" w:after="40"/>
              <w:jc w:val="center"/>
              <w:rPr>
                <w:color w:val="000000"/>
              </w:rPr>
            </w:pPr>
            <w:r w:rsidRPr="00D11078">
              <w:rPr>
                <w:color w:val="000000"/>
              </w:rPr>
              <w:t>0.000138</w:t>
            </w:r>
          </w:p>
        </w:tc>
      </w:tr>
    </w:tbl>
    <w:p w14:paraId="17425E9C" w14:textId="77777777" w:rsidR="00E01C42" w:rsidRPr="00D11078" w:rsidRDefault="00E01C42" w:rsidP="00E01C42">
      <w:pPr>
        <w:spacing w:line="240" w:lineRule="auto"/>
        <w:rPr>
          <w:b/>
          <w:color w:val="000000"/>
        </w:rPr>
      </w:pPr>
    </w:p>
    <w:p w14:paraId="683446F5" w14:textId="77777777" w:rsidR="00E01C42" w:rsidRPr="00D11078" w:rsidRDefault="00E01C42" w:rsidP="00122CD3">
      <w:pPr>
        <w:keepNext/>
        <w:rPr>
          <w:b/>
          <w:color w:val="000000"/>
        </w:rPr>
      </w:pPr>
      <w:r w:rsidRPr="00D11078">
        <w:rPr>
          <w:b/>
          <w:color w:val="000000"/>
        </w:rPr>
        <w:t>Assumptions and Methodology</w:t>
      </w:r>
    </w:p>
    <w:p w14:paraId="38931F5D" w14:textId="77777777" w:rsidR="00E01C42" w:rsidRPr="00D11078" w:rsidRDefault="00E01C42" w:rsidP="00E01C42">
      <w:pPr>
        <w:rPr>
          <w:b/>
          <w:color w:val="000000"/>
        </w:rPr>
      </w:pPr>
    </w:p>
    <w:p w14:paraId="7F26FE02" w14:textId="77777777" w:rsidR="00E01C42" w:rsidRPr="00D11078" w:rsidRDefault="00E01C42" w:rsidP="00E01C42">
      <w:pPr>
        <w:rPr>
          <w:b/>
          <w:i/>
          <w:color w:val="000000"/>
          <w:szCs w:val="20"/>
        </w:rPr>
      </w:pPr>
      <w:r w:rsidRPr="00D11078">
        <w:rPr>
          <w:b/>
          <w:i/>
          <w:color w:val="000000"/>
          <w:szCs w:val="20"/>
        </w:rPr>
        <w:t>Eligibility and Participation</w:t>
      </w:r>
    </w:p>
    <w:p w14:paraId="15EBA105" w14:textId="77777777" w:rsidR="00E01C42" w:rsidRPr="008261F5" w:rsidRDefault="00E01C42" w:rsidP="00E01C42">
      <w:pPr>
        <w:autoSpaceDE w:val="0"/>
        <w:autoSpaceDN w:val="0"/>
        <w:adjustRightInd w:val="0"/>
        <w:spacing w:line="240" w:lineRule="auto"/>
        <w:rPr>
          <w:szCs w:val="20"/>
        </w:rPr>
      </w:pPr>
      <w:r w:rsidRPr="00D11078">
        <w:rPr>
          <w:color w:val="000000"/>
        </w:rPr>
        <w:t xml:space="preserve">The technologies that enable BEIMS are primarily associated with energy management systems (EMS) that are broadly applicable across all market sectors, though the existing market </w:t>
      </w:r>
      <w:r w:rsidRPr="00D11078">
        <w:rPr>
          <w:color w:val="000000"/>
          <w:szCs w:val="20"/>
        </w:rPr>
        <w:t>saturation of these technologies, which cannot be claimed by IOU programs moving forward, ranges across market segments from 1% to 80%.</w:t>
      </w:r>
      <w:r w:rsidR="00963FD0">
        <w:rPr>
          <w:rStyle w:val="FootnoteReference"/>
          <w:szCs w:val="20"/>
        </w:rPr>
        <w:footnoteReference w:id="142"/>
      </w:r>
      <w:r w:rsidRPr="00D11078">
        <w:rPr>
          <w:color w:val="000000"/>
          <w:szCs w:val="20"/>
        </w:rPr>
        <w:t xml:space="preserve"> In general, segments that operate larger facilities (e.g., large offices) or facilities that are energy intensive (e.g., grocery stores) will have a higher existing saturation of BEIMS-enabling technologies. </w:t>
      </w:r>
      <w:r w:rsidR="00D34EA3">
        <w:rPr>
          <w:color w:val="000000"/>
          <w:szCs w:val="20"/>
        </w:rPr>
        <w:t>Penetration reflects that SoCalGas does not claim savings until 2018, and a</w:t>
      </w:r>
      <w:r w:rsidRPr="00D11078">
        <w:rPr>
          <w:color w:val="000000"/>
          <w:szCs w:val="20"/>
        </w:rPr>
        <w:t xml:space="preserve"> CAGR was used to forecast growth in BEIMS technology penetration over time. A 12% CAGR was used in the reference case, while the aggressive case used a 24% CAGR. The same CAGR was applied to all commercial market segments and utilities. Based on estimates of existing market saturations, these </w:t>
      </w:r>
      <w:r w:rsidRPr="008261F5">
        <w:rPr>
          <w:szCs w:val="20"/>
        </w:rPr>
        <w:t xml:space="preserve">growth </w:t>
      </w:r>
      <w:r>
        <w:rPr>
          <w:szCs w:val="20"/>
        </w:rPr>
        <w:t xml:space="preserve">rates </w:t>
      </w:r>
      <w:r w:rsidRPr="008261F5">
        <w:rPr>
          <w:szCs w:val="20"/>
        </w:rPr>
        <w:t>result</w:t>
      </w:r>
      <w:r>
        <w:rPr>
          <w:szCs w:val="20"/>
        </w:rPr>
        <w:t xml:space="preserve"> in BEIM</w:t>
      </w:r>
      <w:r w:rsidRPr="008261F5">
        <w:rPr>
          <w:szCs w:val="20"/>
        </w:rPr>
        <w:t>S forecast</w:t>
      </w:r>
      <w:r>
        <w:rPr>
          <w:szCs w:val="20"/>
        </w:rPr>
        <w:t>ed</w:t>
      </w:r>
      <w:r w:rsidRPr="008261F5">
        <w:rPr>
          <w:szCs w:val="20"/>
        </w:rPr>
        <w:t xml:space="preserve"> </w:t>
      </w:r>
      <w:r>
        <w:rPr>
          <w:szCs w:val="20"/>
        </w:rPr>
        <w:t xml:space="preserve">penetrations </w:t>
      </w:r>
      <w:r w:rsidRPr="008261F5">
        <w:rPr>
          <w:szCs w:val="20"/>
        </w:rPr>
        <w:t xml:space="preserve">of 5.6% and 20.9% for the reference and aggressive cases, respectively. </w:t>
      </w:r>
    </w:p>
    <w:p w14:paraId="0B8CEDE6" w14:textId="77777777" w:rsidR="00E01C42" w:rsidRPr="008261F5" w:rsidRDefault="00E01C42" w:rsidP="00E01C42">
      <w:pPr>
        <w:rPr>
          <w:szCs w:val="20"/>
        </w:rPr>
      </w:pPr>
      <w:r>
        <w:rPr>
          <w:szCs w:val="20"/>
        </w:rPr>
        <w:t xml:space="preserve"> </w:t>
      </w:r>
    </w:p>
    <w:p w14:paraId="388F430F" w14:textId="77777777" w:rsidR="00E01C42" w:rsidRPr="008261F5" w:rsidRDefault="00E01C42" w:rsidP="00E01C42">
      <w:pPr>
        <w:rPr>
          <w:szCs w:val="20"/>
        </w:rPr>
      </w:pPr>
      <w:r w:rsidRPr="008261F5">
        <w:rPr>
          <w:b/>
          <w:i/>
          <w:szCs w:val="20"/>
        </w:rPr>
        <w:t>Savings</w:t>
      </w:r>
    </w:p>
    <w:p w14:paraId="6B0C5A42" w14:textId="77777777" w:rsidR="00E01C42" w:rsidRPr="008261F5" w:rsidRDefault="00E01C42" w:rsidP="00E01C42">
      <w:r w:rsidRPr="008261F5">
        <w:t>As discussed in the AB 802 Technical Analysis, energy</w:t>
      </w:r>
      <w:r>
        <w:t xml:space="preserve"> savings associated with BEI</w:t>
      </w:r>
      <w:r w:rsidRPr="008261F5">
        <w:t>MS are calculated using the following equation:</w:t>
      </w:r>
    </w:p>
    <w:p w14:paraId="53EF7E93" w14:textId="77777777" w:rsidR="00E01C42" w:rsidRPr="008261F5" w:rsidRDefault="00E01C42" w:rsidP="00E01C42"/>
    <w:p w14:paraId="25D7BD1F" w14:textId="77777777" w:rsidR="00E01C42" w:rsidRPr="008261F5" w:rsidRDefault="00E01C42" w:rsidP="00E01C42">
      <w:pPr>
        <w:ind w:left="720"/>
        <w:rPr>
          <w:szCs w:val="20"/>
        </w:rPr>
      </w:pPr>
      <w:r w:rsidRPr="008261F5">
        <w:t>E</w:t>
      </w:r>
      <w:r w:rsidRPr="008261F5">
        <w:rPr>
          <w:szCs w:val="20"/>
        </w:rPr>
        <w:t xml:space="preserve">nergy Savings, BIEMS = Starting Saturation of EMS by Building Type x Total Annual Consumption x % End Use Consumption for </w:t>
      </w:r>
      <w:r>
        <w:rPr>
          <w:szCs w:val="20"/>
        </w:rPr>
        <w:t xml:space="preserve">HVAC </w:t>
      </w:r>
      <w:r w:rsidRPr="008261F5">
        <w:rPr>
          <w:szCs w:val="20"/>
        </w:rPr>
        <w:t>x % End Use Savings by Building Type.</w:t>
      </w:r>
    </w:p>
    <w:p w14:paraId="607F216E" w14:textId="77777777" w:rsidR="00E01C42" w:rsidRPr="008261F5" w:rsidRDefault="00E01C42" w:rsidP="00E01C42">
      <w:pPr>
        <w:rPr>
          <w:szCs w:val="20"/>
        </w:rPr>
      </w:pPr>
    </w:p>
    <w:p w14:paraId="08326AA2" w14:textId="77777777" w:rsidR="00E01C42" w:rsidRPr="008261F5" w:rsidRDefault="00E01C42" w:rsidP="00E01C42">
      <w:pPr>
        <w:rPr>
          <w:szCs w:val="20"/>
        </w:rPr>
      </w:pPr>
      <w:r w:rsidRPr="008261F5">
        <w:rPr>
          <w:szCs w:val="20"/>
        </w:rPr>
        <w:t xml:space="preserve">This equation resulted in a range of unit energy savings </w:t>
      </w:r>
      <w:r>
        <w:rPr>
          <w:szCs w:val="20"/>
        </w:rPr>
        <w:t>(UES) values associated with BEI</w:t>
      </w:r>
      <w:r w:rsidRPr="008261F5">
        <w:rPr>
          <w:szCs w:val="20"/>
        </w:rPr>
        <w:t>MS.</w:t>
      </w:r>
      <w:r>
        <w:rPr>
          <w:szCs w:val="20"/>
        </w:rPr>
        <w:t xml:space="preserve"> </w:t>
      </w:r>
      <w:r w:rsidRPr="008261F5">
        <w:rPr>
          <w:szCs w:val="20"/>
        </w:rPr>
        <w:t>While there is the potential for o</w:t>
      </w:r>
      <w:r>
        <w:rPr>
          <w:szCs w:val="20"/>
        </w:rPr>
        <w:t xml:space="preserve">verlap in savings between BEIMS, </w:t>
      </w:r>
      <w:r w:rsidRPr="008261F5">
        <w:rPr>
          <w:szCs w:val="20"/>
        </w:rPr>
        <w:t>BOC</w:t>
      </w:r>
      <w:r>
        <w:rPr>
          <w:szCs w:val="20"/>
        </w:rPr>
        <w:t>,</w:t>
      </w:r>
      <w:r w:rsidRPr="008261F5">
        <w:rPr>
          <w:szCs w:val="20"/>
        </w:rPr>
        <w:t xml:space="preserve"> and SEM interventions, the current saturation of these measures and relatively low penetration rate</w:t>
      </w:r>
      <w:r>
        <w:rPr>
          <w:szCs w:val="20"/>
        </w:rPr>
        <w:t>s</w:t>
      </w:r>
      <w:r w:rsidRPr="008261F5">
        <w:rPr>
          <w:szCs w:val="20"/>
        </w:rPr>
        <w:t xml:space="preserve"> forecast</w:t>
      </w:r>
      <w:r>
        <w:rPr>
          <w:szCs w:val="20"/>
        </w:rPr>
        <w:t>ed</w:t>
      </w:r>
      <w:r w:rsidRPr="008261F5">
        <w:rPr>
          <w:szCs w:val="20"/>
        </w:rPr>
        <w:t xml:space="preserve"> indicate that the risk of double counting savings is minimal and was therefore was not considered</w:t>
      </w:r>
      <w:r>
        <w:rPr>
          <w:szCs w:val="20"/>
        </w:rPr>
        <w:t xml:space="preserve"> in this model. Additionally, BEI</w:t>
      </w:r>
      <w:r w:rsidRPr="008261F5">
        <w:rPr>
          <w:szCs w:val="20"/>
        </w:rPr>
        <w:t>MS often requires capital investment while BOC and SEM are typica</w:t>
      </w:r>
      <w:r>
        <w:rPr>
          <w:szCs w:val="20"/>
        </w:rPr>
        <w:t>lly not</w:t>
      </w:r>
      <w:r w:rsidRPr="008261F5">
        <w:rPr>
          <w:szCs w:val="20"/>
        </w:rPr>
        <w:t xml:space="preserve"> capital investments, thus providing some differentiation in the market penetration models and potential to mitigate the risk of double counting savings.</w:t>
      </w:r>
    </w:p>
    <w:p w14:paraId="11316B06" w14:textId="77777777" w:rsidR="00E01C42" w:rsidRPr="008261F5" w:rsidRDefault="00E01C42" w:rsidP="00E01C42">
      <w:pPr>
        <w:rPr>
          <w:szCs w:val="20"/>
        </w:rPr>
      </w:pPr>
    </w:p>
    <w:p w14:paraId="2FE37210" w14:textId="77777777" w:rsidR="00E01C42" w:rsidRPr="008261F5" w:rsidRDefault="00E01C42" w:rsidP="00E01C42">
      <w:pPr>
        <w:rPr>
          <w:szCs w:val="20"/>
        </w:rPr>
      </w:pPr>
      <w:r w:rsidRPr="008261F5">
        <w:t xml:space="preserve">The model uses an EUL of </w:t>
      </w:r>
      <w:r w:rsidR="00643524">
        <w:t>three</w:t>
      </w:r>
      <w:r w:rsidRPr="008261F5">
        <w:t xml:space="preserve"> years </w:t>
      </w:r>
      <w:r w:rsidR="00643524">
        <w:t>per CPUC Decision 16-08-019</w:t>
      </w:r>
      <w:r w:rsidRPr="008261F5">
        <w:t>.</w:t>
      </w:r>
      <w:r>
        <w:t xml:space="preserve"> </w:t>
      </w:r>
      <w:r w:rsidRPr="008261F5">
        <w:t xml:space="preserve">A </w:t>
      </w:r>
      <w:r w:rsidRPr="008261F5">
        <w:rPr>
          <w:szCs w:val="20"/>
        </w:rPr>
        <w:t xml:space="preserve">ratio of kW to kWh </w:t>
      </w:r>
      <w:r>
        <w:t>of 0.000138</w:t>
      </w:r>
      <w:r w:rsidRPr="008261F5">
        <w:t xml:space="preserve"> </w:t>
      </w:r>
      <w:r>
        <w:t>was applied to all three electric utilities</w:t>
      </w:r>
      <w:r w:rsidRPr="008261F5">
        <w:t xml:space="preserve"> </w:t>
      </w:r>
      <w:r>
        <w:t xml:space="preserve">based on </w:t>
      </w:r>
      <w:r w:rsidR="00963FD0">
        <w:t>the AB802 Technical Analysis</w:t>
      </w:r>
      <w:r w:rsidRPr="008261F5">
        <w:t>.</w:t>
      </w:r>
      <w:r w:rsidR="00963FD0">
        <w:rPr>
          <w:rStyle w:val="FootnoteReference"/>
        </w:rPr>
        <w:footnoteReference w:id="143"/>
      </w:r>
    </w:p>
    <w:p w14:paraId="439BA215" w14:textId="77777777" w:rsidR="00E01C42" w:rsidRPr="008261F5" w:rsidRDefault="00E01C42" w:rsidP="00E01C42"/>
    <w:p w14:paraId="44A5EA67" w14:textId="77777777" w:rsidR="00E01C42" w:rsidRPr="008261F5" w:rsidRDefault="00E01C42" w:rsidP="00E01C42">
      <w:pPr>
        <w:keepNext/>
        <w:rPr>
          <w:szCs w:val="20"/>
        </w:rPr>
      </w:pPr>
      <w:r w:rsidRPr="008261F5">
        <w:rPr>
          <w:b/>
          <w:i/>
          <w:szCs w:val="20"/>
        </w:rPr>
        <w:lastRenderedPageBreak/>
        <w:t>Cost</w:t>
      </w:r>
    </w:p>
    <w:p w14:paraId="2C1E450A" w14:textId="77777777" w:rsidR="00E01C42" w:rsidRDefault="00E01C42" w:rsidP="00E01C42">
      <w:r w:rsidRPr="008261F5">
        <w:rPr>
          <w:szCs w:val="20"/>
        </w:rPr>
        <w:t xml:space="preserve">Costs for electricity and natural gas savings are estimated </w:t>
      </w:r>
      <w:r w:rsidRPr="008261F5">
        <w:t xml:space="preserve">based on </w:t>
      </w:r>
      <w:r>
        <w:t xml:space="preserve">research referenced in the </w:t>
      </w:r>
      <w:r w:rsidRPr="008261F5">
        <w:t>AB 802 Technical Analysis.</w:t>
      </w:r>
      <w:r w:rsidRPr="008261F5">
        <w:rPr>
          <w:rStyle w:val="FootnoteReference"/>
        </w:rPr>
        <w:footnoteReference w:id="144"/>
      </w:r>
    </w:p>
    <w:p w14:paraId="204B5F62" w14:textId="77777777" w:rsidR="00E01C42" w:rsidRDefault="00E01C42" w:rsidP="00E01C42">
      <w:pPr>
        <w:pStyle w:val="Heading6"/>
        <w:numPr>
          <w:ilvl w:val="5"/>
          <w:numId w:val="8"/>
        </w:numPr>
        <w:ind w:left="0" w:firstLine="0"/>
      </w:pPr>
      <w:bookmarkStart w:id="1049" w:name="_Toc480271812"/>
      <w:bookmarkStart w:id="1050" w:name="_Toc484183069"/>
      <w:bookmarkStart w:id="1051" w:name="_Toc490225835"/>
      <w:r>
        <w:t xml:space="preserve">Commercial - Business </w:t>
      </w:r>
      <w:r w:rsidRPr="00065CEA">
        <w:t>Energy Reports</w:t>
      </w:r>
      <w:bookmarkEnd w:id="1049"/>
      <w:bookmarkEnd w:id="1050"/>
      <w:bookmarkEnd w:id="1051"/>
    </w:p>
    <w:p w14:paraId="069708C6" w14:textId="77777777" w:rsidR="00E01C42" w:rsidRDefault="00E01C42" w:rsidP="00E01C42">
      <w:pPr>
        <w:rPr>
          <w:b/>
        </w:rPr>
      </w:pPr>
      <w:r w:rsidRPr="00DF089C">
        <w:rPr>
          <w:b/>
        </w:rPr>
        <w:t xml:space="preserve">Summary </w:t>
      </w:r>
    </w:p>
    <w:p w14:paraId="6B38430F" w14:textId="77777777" w:rsidR="00E01C42" w:rsidRPr="00B11C52" w:rsidRDefault="00E01C42" w:rsidP="00E01C42"/>
    <w:p w14:paraId="687179F4" w14:textId="77777777" w:rsidR="00E01C42" w:rsidRDefault="00E01C42" w:rsidP="00E01C42">
      <w:r w:rsidRPr="00B11C52">
        <w:t xml:space="preserve">Business Energy Reports (BERs) are </w:t>
      </w:r>
      <w:r>
        <w:t>the commercial sector equivalent</w:t>
      </w:r>
      <w:r w:rsidRPr="00B11C52">
        <w:t xml:space="preserve"> to </w:t>
      </w:r>
      <w:r>
        <w:t xml:space="preserve">the HERs </w:t>
      </w:r>
      <w:r w:rsidRPr="00B11C52">
        <w:t xml:space="preserve">sent to residential customers. BERS </w:t>
      </w:r>
      <w:r>
        <w:t xml:space="preserve">(and other similar programs) typically share reports (via mail or electronic format) with small and medium-sized businesses at specific intervals (often monthly). The objective is to provide </w:t>
      </w:r>
      <w:r w:rsidRPr="00B11C52">
        <w:t xml:space="preserve">feedback about their energy use, including normative comparisons to similar businesses, tips for improving energy efficiency, and occasionally messaging about rewards or incentives. </w:t>
      </w:r>
      <w:r>
        <w:t>BERs</w:t>
      </w:r>
      <w:r w:rsidRPr="00B11C52">
        <w:t xml:space="preserve"> </w:t>
      </w:r>
      <w:r>
        <w:t>and other similar programs typically send reports</w:t>
      </w:r>
      <w:r w:rsidRPr="00B11C52">
        <w:t xml:space="preserve"> to customers on opt-out basis. BER</w:t>
      </w:r>
      <w:r>
        <w:t>-type program</w:t>
      </w:r>
      <w:r w:rsidRPr="00B11C52">
        <w:t>s are</w:t>
      </w:r>
      <w:r>
        <w:t xml:space="preserve"> a</w:t>
      </w:r>
      <w:r w:rsidRPr="00B11C52">
        <w:t xml:space="preserve"> </w:t>
      </w:r>
      <w:r>
        <w:t xml:space="preserve">relatively </w:t>
      </w:r>
      <w:r w:rsidRPr="00B11C52">
        <w:t>new</w:t>
      </w:r>
      <w:r>
        <w:t xml:space="preserve"> addition in the emerging field of</w:t>
      </w:r>
      <w:r w:rsidRPr="00B11C52">
        <w:t xml:space="preserve"> behavior change programs and are now in pilot testing at PG&amp;E and other non-California utilities. </w:t>
      </w:r>
    </w:p>
    <w:p w14:paraId="646067DF" w14:textId="77777777" w:rsidR="00E01C42" w:rsidRPr="00B11C52" w:rsidRDefault="00E01C42" w:rsidP="00E01C42"/>
    <w:p w14:paraId="617DB4DF" w14:textId="77777777" w:rsidR="00E01C42" w:rsidRDefault="00E01C42" w:rsidP="00E01C42">
      <w:r>
        <w:t>Navigant’s</w:t>
      </w:r>
      <w:r w:rsidRPr="00B11C52">
        <w:t xml:space="preserve"> modeling</w:t>
      </w:r>
      <w:r>
        <w:t xml:space="preserve"> estimates are</w:t>
      </w:r>
      <w:r w:rsidRPr="00B11C52">
        <w:t xml:space="preserve"> primarily based on </w:t>
      </w:r>
      <w:r>
        <w:t>t</w:t>
      </w:r>
      <w:r w:rsidR="000F3294">
        <w:t>hree</w:t>
      </w:r>
      <w:r>
        <w:t xml:space="preserve"> sources: 1)</w:t>
      </w:r>
      <w:r w:rsidR="000F3294">
        <w:t xml:space="preserve"> PG&amp;E’s response to the webinar on April 20, 2017, 2)</w:t>
      </w:r>
      <w:r>
        <w:t xml:space="preserve"> a Cadmus review of a </w:t>
      </w:r>
      <w:r w:rsidRPr="00B11C52">
        <w:t xml:space="preserve">BER pilot </w:t>
      </w:r>
      <w:r>
        <w:t>with</w:t>
      </w:r>
      <w:r w:rsidRPr="00B11C52">
        <w:t xml:space="preserve"> Xcel Energy business customers (</w:t>
      </w:r>
      <w:r>
        <w:t xml:space="preserve">smaller than </w:t>
      </w:r>
      <w:r w:rsidRPr="00B11C52">
        <w:t>250</w:t>
      </w:r>
      <w:r>
        <w:t xml:space="preserve"> </w:t>
      </w:r>
      <w:r w:rsidRPr="00B11C52">
        <w:t>kW</w:t>
      </w:r>
      <w:r>
        <w:t xml:space="preserve"> service</w:t>
      </w:r>
      <w:r w:rsidRPr="00B11C52">
        <w:t>) in Colorado (10,000</w:t>
      </w:r>
      <w:r>
        <w:t xml:space="preserve"> participants</w:t>
      </w:r>
      <w:r w:rsidRPr="00B11C52">
        <w:t>) and Minnesota (20,000</w:t>
      </w:r>
      <w:r>
        <w:t xml:space="preserve"> participants</w:t>
      </w:r>
      <w:r w:rsidRPr="00B11C52">
        <w:t>) that was conducted between June 2014 and June 2015</w:t>
      </w:r>
      <w:r>
        <w:t xml:space="preserve">, and </w:t>
      </w:r>
      <w:r w:rsidR="000F3294">
        <w:t>3</w:t>
      </w:r>
      <w:r>
        <w:t>) a commercial customer behavior change pilot conducted by Commonwealth Edison and Agentis Energy in Illinois beginning in 2012</w:t>
      </w:r>
      <w:r w:rsidRPr="00B11C52">
        <w:t xml:space="preserve">. </w:t>
      </w:r>
      <w:r>
        <w:t xml:space="preserve">In the first instance, Xcel Energy provided </w:t>
      </w:r>
      <w:r w:rsidRPr="00B11C52">
        <w:t xml:space="preserve">BERs to </w:t>
      </w:r>
      <w:r>
        <w:t xml:space="preserve">a sample of </w:t>
      </w:r>
      <w:r w:rsidRPr="00B11C52">
        <w:t xml:space="preserve">businesses </w:t>
      </w:r>
      <w:r>
        <w:t>operating in</w:t>
      </w:r>
      <w:r w:rsidRPr="00B11C52">
        <w:t xml:space="preserve"> the following sectors: small office, small retail trade, small retail service, and restaurants</w:t>
      </w:r>
      <w:r>
        <w:t>.</w:t>
      </w:r>
      <w:r>
        <w:rPr>
          <w:rStyle w:val="FootnoteReference"/>
        </w:rPr>
        <w:footnoteReference w:id="145"/>
      </w:r>
      <w:r>
        <w:t xml:space="preserve"> In the Commonwealth Edison pilot the utility engaged 6,009 medium sized (100-1,000 kW) commercial customers in Illinois.</w:t>
      </w:r>
      <w:r>
        <w:rPr>
          <w:rStyle w:val="FootnoteReference"/>
        </w:rPr>
        <w:footnoteReference w:id="146"/>
      </w:r>
      <w:r>
        <w:t xml:space="preserve"> While the Commonwealth Edison customers represented numerous sectors, only those businesses in the “lodging” and “other” categories showed significant savings.</w:t>
      </w:r>
    </w:p>
    <w:p w14:paraId="2E90A734" w14:textId="77777777" w:rsidR="00E01C42" w:rsidRPr="00B11C52" w:rsidRDefault="00E01C42" w:rsidP="00E01C42"/>
    <w:p w14:paraId="7E6B47B5" w14:textId="77777777" w:rsidR="00E01C42" w:rsidRPr="00B57F57" w:rsidRDefault="004675B4" w:rsidP="00E01C42">
      <w:pPr>
        <w:pStyle w:val="Caption"/>
        <w:rPr>
          <w:b w:val="0"/>
          <w:szCs w:val="24"/>
        </w:rPr>
      </w:pPr>
      <w:bookmarkStart w:id="1052" w:name="_Toc490226034"/>
      <w:r>
        <w:t xml:space="preserve">Table </w:t>
      </w:r>
      <w:fldSimple w:instr=" STYLEREF 5 \s ">
        <w:r w:rsidR="007566B9">
          <w:rPr>
            <w:noProof/>
          </w:rPr>
          <w:t>C</w:t>
        </w:r>
      </w:fldSimple>
      <w:r>
        <w:noBreakHyphen/>
      </w:r>
      <w:fldSimple w:instr=" SEQ Table_Apx \* ARABIC \s 5 ">
        <w:r w:rsidR="007566B9">
          <w:rPr>
            <w:noProof/>
          </w:rPr>
          <w:t>7</w:t>
        </w:r>
      </w:fldSimple>
      <w:r>
        <w:t xml:space="preserve">. </w:t>
      </w:r>
      <w:r w:rsidR="00E01C42">
        <w:t>Business Energy Reports - Key Assumptions</w:t>
      </w:r>
      <w:bookmarkEnd w:id="1052"/>
    </w:p>
    <w:tbl>
      <w:tblPr>
        <w:tblW w:w="9482" w:type="dxa"/>
        <w:jc w:val="center"/>
        <w:tblBorders>
          <w:bottom w:val="single" w:sz="8" w:space="0" w:color="555759"/>
          <w:insideH w:val="single" w:sz="4" w:space="0" w:color="DCDDDE"/>
        </w:tblBorders>
        <w:tblLook w:val="04A0" w:firstRow="1" w:lastRow="0" w:firstColumn="1" w:lastColumn="0" w:noHBand="0" w:noVBand="1"/>
      </w:tblPr>
      <w:tblGrid>
        <w:gridCol w:w="1120"/>
        <w:gridCol w:w="1524"/>
        <w:gridCol w:w="1002"/>
        <w:gridCol w:w="949"/>
        <w:gridCol w:w="1121"/>
        <w:gridCol w:w="960"/>
        <w:gridCol w:w="1106"/>
        <w:gridCol w:w="1700"/>
      </w:tblGrid>
      <w:tr w:rsidR="002544A3" w:rsidRPr="00971600" w14:paraId="16524040" w14:textId="77777777" w:rsidTr="008C0AC4">
        <w:trPr>
          <w:cantSplit/>
          <w:trHeight w:val="296"/>
          <w:jc w:val="center"/>
        </w:trPr>
        <w:tc>
          <w:tcPr>
            <w:tcW w:w="1120" w:type="dxa"/>
            <w:vMerge w:val="restart"/>
            <w:tcBorders>
              <w:top w:val="nil"/>
              <w:left w:val="nil"/>
              <w:bottom w:val="single" w:sz="12" w:space="0" w:color="95D600"/>
              <w:right w:val="nil"/>
              <w:tl2br w:val="nil"/>
              <w:tr2bl w:val="nil"/>
            </w:tcBorders>
            <w:shd w:val="clear" w:color="auto" w:fill="555759"/>
            <w:hideMark/>
          </w:tcPr>
          <w:p w14:paraId="74AAF871" w14:textId="77777777" w:rsidR="00E01C42" w:rsidRPr="00D11078" w:rsidRDefault="00E01C42" w:rsidP="008C0AC4">
            <w:pPr>
              <w:spacing w:before="40" w:after="40"/>
              <w:jc w:val="center"/>
              <w:rPr>
                <w:b/>
                <w:color w:val="FFFFFF"/>
              </w:rPr>
            </w:pPr>
            <w:r w:rsidRPr="00D11078">
              <w:rPr>
                <w:b/>
                <w:color w:val="FFFFFF"/>
              </w:rPr>
              <w:t>Sector</w:t>
            </w:r>
          </w:p>
        </w:tc>
        <w:tc>
          <w:tcPr>
            <w:tcW w:w="1524" w:type="dxa"/>
            <w:vMerge w:val="restart"/>
            <w:tcBorders>
              <w:top w:val="nil"/>
              <w:left w:val="nil"/>
              <w:bottom w:val="single" w:sz="12" w:space="0" w:color="95D600"/>
              <w:right w:val="nil"/>
              <w:tl2br w:val="nil"/>
              <w:tr2bl w:val="nil"/>
            </w:tcBorders>
            <w:shd w:val="clear" w:color="auto" w:fill="555759"/>
            <w:hideMark/>
          </w:tcPr>
          <w:p w14:paraId="5E09F378" w14:textId="77777777" w:rsidR="00E01C42" w:rsidRPr="00D11078" w:rsidRDefault="00E01C42" w:rsidP="008C0AC4">
            <w:pPr>
              <w:spacing w:before="40" w:after="40"/>
              <w:jc w:val="center"/>
              <w:rPr>
                <w:b/>
                <w:color w:val="FFFFFF"/>
              </w:rPr>
            </w:pPr>
            <w:r w:rsidRPr="00D11078">
              <w:rPr>
                <w:b/>
                <w:color w:val="FFFFFF"/>
              </w:rPr>
              <w:t>Type</w:t>
            </w:r>
          </w:p>
        </w:tc>
        <w:tc>
          <w:tcPr>
            <w:tcW w:w="1002" w:type="dxa"/>
            <w:vMerge w:val="restart"/>
            <w:tcBorders>
              <w:top w:val="nil"/>
              <w:left w:val="nil"/>
              <w:bottom w:val="single" w:sz="12" w:space="0" w:color="95D600"/>
              <w:right w:val="nil"/>
              <w:tl2br w:val="nil"/>
              <w:tr2bl w:val="nil"/>
            </w:tcBorders>
            <w:shd w:val="clear" w:color="auto" w:fill="555759"/>
            <w:hideMark/>
          </w:tcPr>
          <w:p w14:paraId="3ECE3C81" w14:textId="77777777" w:rsidR="00E01C42" w:rsidRPr="00D11078" w:rsidRDefault="00E01C42" w:rsidP="008C0AC4">
            <w:pPr>
              <w:spacing w:before="40" w:after="40"/>
              <w:jc w:val="center"/>
              <w:rPr>
                <w:b/>
                <w:color w:val="FFFFFF"/>
              </w:rPr>
            </w:pPr>
            <w:r w:rsidRPr="00D11078">
              <w:rPr>
                <w:b/>
                <w:color w:val="FFFFFF"/>
              </w:rPr>
              <w:t>EUL years</w:t>
            </w:r>
          </w:p>
        </w:tc>
        <w:tc>
          <w:tcPr>
            <w:tcW w:w="2070" w:type="dxa"/>
            <w:gridSpan w:val="2"/>
            <w:tcBorders>
              <w:top w:val="nil"/>
              <w:left w:val="nil"/>
              <w:bottom w:val="single" w:sz="2" w:space="0" w:color="FFFFFF"/>
              <w:right w:val="nil"/>
              <w:tl2br w:val="nil"/>
              <w:tr2bl w:val="nil"/>
            </w:tcBorders>
            <w:shd w:val="clear" w:color="auto" w:fill="555759"/>
            <w:hideMark/>
          </w:tcPr>
          <w:p w14:paraId="08F3E8A6" w14:textId="77777777" w:rsidR="00E01C42" w:rsidRPr="00D11078" w:rsidRDefault="00E01C42" w:rsidP="008C0AC4">
            <w:pPr>
              <w:spacing w:before="40" w:after="40"/>
              <w:jc w:val="center"/>
              <w:rPr>
                <w:b/>
                <w:color w:val="FFFFFF"/>
              </w:rPr>
            </w:pPr>
            <w:r w:rsidRPr="00D11078">
              <w:rPr>
                <w:b/>
                <w:color w:val="FFFFFF"/>
              </w:rPr>
              <w:t>Savings</w:t>
            </w:r>
          </w:p>
        </w:tc>
        <w:tc>
          <w:tcPr>
            <w:tcW w:w="2066" w:type="dxa"/>
            <w:gridSpan w:val="2"/>
            <w:tcBorders>
              <w:top w:val="nil"/>
              <w:left w:val="nil"/>
              <w:bottom w:val="single" w:sz="2" w:space="0" w:color="FFFFFF"/>
              <w:right w:val="nil"/>
              <w:tl2br w:val="nil"/>
              <w:tr2bl w:val="nil"/>
            </w:tcBorders>
            <w:shd w:val="clear" w:color="auto" w:fill="555759"/>
            <w:hideMark/>
          </w:tcPr>
          <w:p w14:paraId="1030DC3C" w14:textId="77777777" w:rsidR="00E01C42" w:rsidRPr="00D11078" w:rsidRDefault="00E01C42" w:rsidP="008C0AC4">
            <w:pPr>
              <w:spacing w:before="40" w:after="40"/>
              <w:jc w:val="center"/>
              <w:rPr>
                <w:b/>
                <w:color w:val="FFFFFF"/>
              </w:rPr>
            </w:pPr>
            <w:r w:rsidRPr="00D11078">
              <w:rPr>
                <w:b/>
                <w:color w:val="FFFFFF"/>
              </w:rPr>
              <w:t>Cost</w:t>
            </w:r>
          </w:p>
        </w:tc>
        <w:tc>
          <w:tcPr>
            <w:tcW w:w="1700" w:type="dxa"/>
            <w:vMerge w:val="restart"/>
            <w:tcBorders>
              <w:top w:val="nil"/>
              <w:left w:val="nil"/>
              <w:bottom w:val="single" w:sz="12" w:space="0" w:color="95D600"/>
              <w:right w:val="nil"/>
              <w:tl2br w:val="nil"/>
              <w:tr2bl w:val="nil"/>
            </w:tcBorders>
            <w:shd w:val="clear" w:color="auto" w:fill="555759"/>
            <w:hideMark/>
          </w:tcPr>
          <w:p w14:paraId="3D7D988D" w14:textId="77777777" w:rsidR="00E01C42" w:rsidRPr="00D11078" w:rsidRDefault="00E01C42" w:rsidP="008C0AC4">
            <w:pPr>
              <w:spacing w:before="40" w:after="40"/>
              <w:jc w:val="center"/>
              <w:rPr>
                <w:b/>
                <w:color w:val="FFFFFF"/>
              </w:rPr>
            </w:pPr>
            <w:r w:rsidRPr="00D11078">
              <w:rPr>
                <w:b/>
                <w:color w:val="FFFFFF"/>
              </w:rPr>
              <w:t>kW/kWh Savings Ratio</w:t>
            </w:r>
          </w:p>
        </w:tc>
      </w:tr>
      <w:tr w:rsidR="002544A3" w:rsidRPr="00971600" w14:paraId="12741751" w14:textId="77777777" w:rsidTr="008C0AC4">
        <w:trPr>
          <w:cantSplit/>
          <w:trHeight w:val="144"/>
          <w:jc w:val="center"/>
        </w:trPr>
        <w:tc>
          <w:tcPr>
            <w:tcW w:w="1120" w:type="dxa"/>
            <w:vMerge/>
            <w:tcBorders>
              <w:bottom w:val="single" w:sz="12" w:space="0" w:color="95D600"/>
            </w:tcBorders>
            <w:shd w:val="clear" w:color="auto" w:fill="auto"/>
            <w:hideMark/>
          </w:tcPr>
          <w:p w14:paraId="6C77A7B8" w14:textId="77777777" w:rsidR="00E01C42" w:rsidRPr="00971600" w:rsidRDefault="00E01C42" w:rsidP="008C0AC4">
            <w:pPr>
              <w:spacing w:before="40" w:after="40"/>
              <w:jc w:val="center"/>
            </w:pPr>
          </w:p>
        </w:tc>
        <w:tc>
          <w:tcPr>
            <w:tcW w:w="1524" w:type="dxa"/>
            <w:vMerge/>
            <w:tcBorders>
              <w:bottom w:val="single" w:sz="12" w:space="0" w:color="95D600"/>
            </w:tcBorders>
            <w:shd w:val="clear" w:color="auto" w:fill="auto"/>
            <w:hideMark/>
          </w:tcPr>
          <w:p w14:paraId="456A4131" w14:textId="77777777" w:rsidR="00E01C42" w:rsidRPr="00971600" w:rsidRDefault="00E01C42" w:rsidP="008C0AC4">
            <w:pPr>
              <w:spacing w:before="40" w:after="40"/>
              <w:jc w:val="center"/>
            </w:pPr>
          </w:p>
        </w:tc>
        <w:tc>
          <w:tcPr>
            <w:tcW w:w="1002" w:type="dxa"/>
            <w:vMerge/>
            <w:tcBorders>
              <w:bottom w:val="single" w:sz="12" w:space="0" w:color="95D600"/>
            </w:tcBorders>
            <w:shd w:val="clear" w:color="auto" w:fill="555759"/>
            <w:hideMark/>
          </w:tcPr>
          <w:p w14:paraId="1853DEAD" w14:textId="77777777" w:rsidR="00E01C42" w:rsidRPr="00971600" w:rsidRDefault="00E01C42" w:rsidP="008C0AC4">
            <w:pPr>
              <w:spacing w:before="40" w:after="40"/>
              <w:jc w:val="center"/>
            </w:pPr>
          </w:p>
        </w:tc>
        <w:tc>
          <w:tcPr>
            <w:tcW w:w="949" w:type="dxa"/>
            <w:tcBorders>
              <w:top w:val="single" w:sz="2" w:space="0" w:color="FFFFFF"/>
              <w:bottom w:val="single" w:sz="12" w:space="0" w:color="95D600"/>
            </w:tcBorders>
            <w:shd w:val="clear" w:color="auto" w:fill="555759"/>
            <w:hideMark/>
          </w:tcPr>
          <w:p w14:paraId="64925F93" w14:textId="77777777" w:rsidR="00E01C42" w:rsidRPr="00D11078" w:rsidRDefault="00E01C42" w:rsidP="008C0AC4">
            <w:pPr>
              <w:spacing w:before="40" w:after="40"/>
              <w:jc w:val="center"/>
              <w:rPr>
                <w:b/>
                <w:color w:val="FFFFFF"/>
              </w:rPr>
            </w:pPr>
            <w:r w:rsidRPr="00D11078">
              <w:rPr>
                <w:b/>
                <w:color w:val="FFFFFF"/>
              </w:rPr>
              <w:t>kWh</w:t>
            </w:r>
          </w:p>
        </w:tc>
        <w:tc>
          <w:tcPr>
            <w:tcW w:w="1121" w:type="dxa"/>
            <w:tcBorders>
              <w:top w:val="single" w:sz="2" w:space="0" w:color="FFFFFF"/>
              <w:bottom w:val="single" w:sz="12" w:space="0" w:color="95D600"/>
            </w:tcBorders>
            <w:shd w:val="clear" w:color="auto" w:fill="555759"/>
            <w:hideMark/>
          </w:tcPr>
          <w:p w14:paraId="5E69643D" w14:textId="77777777" w:rsidR="00E01C42" w:rsidRPr="00D11078" w:rsidRDefault="00E01C42" w:rsidP="008C0AC4">
            <w:pPr>
              <w:spacing w:before="40" w:after="40"/>
              <w:jc w:val="center"/>
              <w:rPr>
                <w:b/>
                <w:color w:val="FFFFFF"/>
              </w:rPr>
            </w:pPr>
            <w:r w:rsidRPr="00D11078">
              <w:rPr>
                <w:b/>
                <w:color w:val="FFFFFF"/>
              </w:rPr>
              <w:t>Therm</w:t>
            </w:r>
          </w:p>
        </w:tc>
        <w:tc>
          <w:tcPr>
            <w:tcW w:w="960" w:type="dxa"/>
            <w:tcBorders>
              <w:top w:val="single" w:sz="2" w:space="0" w:color="FFFFFF"/>
              <w:bottom w:val="single" w:sz="12" w:space="0" w:color="95D600"/>
            </w:tcBorders>
            <w:shd w:val="clear" w:color="auto" w:fill="555759"/>
            <w:hideMark/>
          </w:tcPr>
          <w:p w14:paraId="0C377033" w14:textId="77777777" w:rsidR="00E01C42" w:rsidRPr="00D11078" w:rsidRDefault="00E01C42" w:rsidP="008C0AC4">
            <w:pPr>
              <w:spacing w:before="40" w:after="40"/>
              <w:jc w:val="center"/>
              <w:rPr>
                <w:b/>
                <w:color w:val="FFFFFF"/>
              </w:rPr>
            </w:pPr>
            <w:r w:rsidRPr="00D11078">
              <w:rPr>
                <w:b/>
                <w:color w:val="FFFFFF"/>
              </w:rPr>
              <w:t>kWh</w:t>
            </w:r>
          </w:p>
        </w:tc>
        <w:tc>
          <w:tcPr>
            <w:tcW w:w="1106" w:type="dxa"/>
            <w:tcBorders>
              <w:top w:val="single" w:sz="2" w:space="0" w:color="FFFFFF"/>
              <w:bottom w:val="single" w:sz="12" w:space="0" w:color="95D600"/>
            </w:tcBorders>
            <w:shd w:val="clear" w:color="auto" w:fill="555759"/>
            <w:hideMark/>
          </w:tcPr>
          <w:p w14:paraId="45D8078E" w14:textId="77777777" w:rsidR="00E01C42" w:rsidRPr="00D11078" w:rsidRDefault="00E01C42" w:rsidP="008C0AC4">
            <w:pPr>
              <w:spacing w:before="40" w:after="40"/>
              <w:jc w:val="center"/>
              <w:rPr>
                <w:b/>
                <w:color w:val="FFFFFF"/>
              </w:rPr>
            </w:pPr>
            <w:r w:rsidRPr="00D11078">
              <w:rPr>
                <w:b/>
                <w:color w:val="FFFFFF"/>
              </w:rPr>
              <w:t>Therm</w:t>
            </w:r>
          </w:p>
        </w:tc>
        <w:tc>
          <w:tcPr>
            <w:tcW w:w="1700" w:type="dxa"/>
            <w:vMerge/>
            <w:tcBorders>
              <w:bottom w:val="single" w:sz="12" w:space="0" w:color="95D600"/>
            </w:tcBorders>
            <w:shd w:val="clear" w:color="auto" w:fill="auto"/>
            <w:hideMark/>
          </w:tcPr>
          <w:p w14:paraId="0BA6A0D1" w14:textId="77777777" w:rsidR="00E01C42" w:rsidRPr="00971600" w:rsidRDefault="00E01C42" w:rsidP="008C0AC4">
            <w:pPr>
              <w:spacing w:before="40" w:after="40"/>
              <w:jc w:val="center"/>
            </w:pPr>
          </w:p>
        </w:tc>
      </w:tr>
      <w:tr w:rsidR="002544A3" w:rsidRPr="00971600" w14:paraId="5C31BCBE" w14:textId="77777777" w:rsidTr="008C0AC4">
        <w:trPr>
          <w:cantSplit/>
          <w:trHeight w:val="738"/>
          <w:jc w:val="center"/>
        </w:trPr>
        <w:tc>
          <w:tcPr>
            <w:tcW w:w="1120" w:type="dxa"/>
            <w:tcBorders>
              <w:top w:val="single" w:sz="12" w:space="0" w:color="95D600"/>
            </w:tcBorders>
            <w:shd w:val="clear" w:color="auto" w:fill="FFFFFF"/>
            <w:hideMark/>
          </w:tcPr>
          <w:p w14:paraId="0AAF4A68" w14:textId="77777777" w:rsidR="00E01C42" w:rsidRPr="00971600" w:rsidRDefault="00E01C42" w:rsidP="008C0AC4">
            <w:pPr>
              <w:spacing w:before="40" w:after="40"/>
              <w:jc w:val="center"/>
            </w:pPr>
            <w:r w:rsidRPr="00971600">
              <w:t>COM</w:t>
            </w:r>
          </w:p>
        </w:tc>
        <w:tc>
          <w:tcPr>
            <w:tcW w:w="1524" w:type="dxa"/>
            <w:tcBorders>
              <w:top w:val="single" w:sz="12" w:space="0" w:color="95D600"/>
            </w:tcBorders>
            <w:shd w:val="clear" w:color="auto" w:fill="FFFFFF"/>
            <w:hideMark/>
          </w:tcPr>
          <w:p w14:paraId="01C6324E" w14:textId="77777777" w:rsidR="00E01C42" w:rsidRPr="00971600" w:rsidRDefault="00E01C42" w:rsidP="008C0AC4">
            <w:pPr>
              <w:spacing w:before="40" w:after="40"/>
              <w:jc w:val="center"/>
            </w:pPr>
            <w:r w:rsidRPr="00971600">
              <w:t>Business Energy Reports (BERs)</w:t>
            </w:r>
          </w:p>
        </w:tc>
        <w:tc>
          <w:tcPr>
            <w:tcW w:w="1002" w:type="dxa"/>
            <w:tcBorders>
              <w:top w:val="single" w:sz="12" w:space="0" w:color="95D600"/>
            </w:tcBorders>
            <w:shd w:val="clear" w:color="auto" w:fill="FFFFFF"/>
            <w:hideMark/>
          </w:tcPr>
          <w:p w14:paraId="2B84887E" w14:textId="77777777" w:rsidR="00E01C42" w:rsidRPr="00971600" w:rsidRDefault="00E01C42" w:rsidP="008C0AC4">
            <w:pPr>
              <w:spacing w:before="40" w:after="40"/>
              <w:jc w:val="center"/>
            </w:pPr>
            <w:r>
              <w:t>2</w:t>
            </w:r>
          </w:p>
        </w:tc>
        <w:tc>
          <w:tcPr>
            <w:tcW w:w="949" w:type="dxa"/>
            <w:tcBorders>
              <w:top w:val="single" w:sz="12" w:space="0" w:color="95D600"/>
            </w:tcBorders>
            <w:shd w:val="clear" w:color="auto" w:fill="FFFFFF"/>
            <w:hideMark/>
          </w:tcPr>
          <w:p w14:paraId="16751F6C" w14:textId="77777777" w:rsidR="00E01C42" w:rsidRPr="00971600" w:rsidRDefault="000F3294" w:rsidP="008C0AC4">
            <w:pPr>
              <w:spacing w:before="40" w:after="40"/>
              <w:jc w:val="center"/>
            </w:pPr>
            <w:r>
              <w:t>0.32</w:t>
            </w:r>
            <w:r w:rsidR="00E01C42" w:rsidRPr="00971600">
              <w:t>%</w:t>
            </w:r>
          </w:p>
        </w:tc>
        <w:tc>
          <w:tcPr>
            <w:tcW w:w="1121" w:type="dxa"/>
            <w:tcBorders>
              <w:top w:val="single" w:sz="12" w:space="0" w:color="95D600"/>
            </w:tcBorders>
            <w:shd w:val="clear" w:color="auto" w:fill="FFFFFF"/>
            <w:hideMark/>
          </w:tcPr>
          <w:p w14:paraId="26432DF4" w14:textId="77777777" w:rsidR="00E01C42" w:rsidRPr="00971600" w:rsidRDefault="000F3294" w:rsidP="008C0AC4">
            <w:pPr>
              <w:spacing w:before="40" w:after="40"/>
              <w:jc w:val="center"/>
            </w:pPr>
            <w:r>
              <w:t>0</w:t>
            </w:r>
          </w:p>
        </w:tc>
        <w:tc>
          <w:tcPr>
            <w:tcW w:w="960" w:type="dxa"/>
            <w:tcBorders>
              <w:top w:val="single" w:sz="12" w:space="0" w:color="95D600"/>
            </w:tcBorders>
            <w:shd w:val="clear" w:color="auto" w:fill="FFFFFF"/>
            <w:hideMark/>
          </w:tcPr>
          <w:p w14:paraId="7A46BA8F" w14:textId="77777777" w:rsidR="00E01C42" w:rsidRPr="00971600" w:rsidRDefault="00E01C42" w:rsidP="008C0AC4">
            <w:pPr>
              <w:spacing w:before="40" w:after="40"/>
              <w:jc w:val="center"/>
            </w:pPr>
            <w:r w:rsidRPr="00971600">
              <w:t xml:space="preserve">$0.20 </w:t>
            </w:r>
          </w:p>
        </w:tc>
        <w:tc>
          <w:tcPr>
            <w:tcW w:w="1106" w:type="dxa"/>
            <w:tcBorders>
              <w:top w:val="single" w:sz="12" w:space="0" w:color="95D600"/>
            </w:tcBorders>
            <w:shd w:val="clear" w:color="auto" w:fill="FFFFFF"/>
            <w:hideMark/>
          </w:tcPr>
          <w:p w14:paraId="067006C0" w14:textId="77777777" w:rsidR="00E01C42" w:rsidRPr="00D11078" w:rsidRDefault="00E01C42" w:rsidP="008C0AC4">
            <w:pPr>
              <w:spacing w:before="40" w:after="40"/>
              <w:jc w:val="center"/>
              <w:rPr>
                <w:highlight w:val="red"/>
              </w:rPr>
            </w:pPr>
            <w:r w:rsidRPr="00971600">
              <w:t>$6.12</w:t>
            </w:r>
          </w:p>
        </w:tc>
        <w:tc>
          <w:tcPr>
            <w:tcW w:w="1700" w:type="dxa"/>
            <w:tcBorders>
              <w:top w:val="single" w:sz="12" w:space="0" w:color="95D600"/>
            </w:tcBorders>
            <w:shd w:val="clear" w:color="auto" w:fill="FFFFFF"/>
            <w:hideMark/>
          </w:tcPr>
          <w:p w14:paraId="12BF9E8A" w14:textId="77777777" w:rsidR="00E01C42" w:rsidRPr="00971600" w:rsidRDefault="00E01C42" w:rsidP="008C0AC4">
            <w:pPr>
              <w:spacing w:before="40" w:after="40"/>
              <w:jc w:val="center"/>
            </w:pPr>
            <w:r w:rsidRPr="00971600">
              <w:t>0.0001261</w:t>
            </w:r>
          </w:p>
        </w:tc>
      </w:tr>
    </w:tbl>
    <w:p w14:paraId="7B22B018" w14:textId="77777777" w:rsidR="00E01C42" w:rsidRDefault="00E01C42" w:rsidP="00E01C42">
      <w:pPr>
        <w:spacing w:line="240" w:lineRule="auto"/>
        <w:rPr>
          <w:b/>
        </w:rPr>
      </w:pPr>
    </w:p>
    <w:p w14:paraId="7CCA7835" w14:textId="77777777" w:rsidR="00AD6ACC" w:rsidRDefault="00AD6ACC">
      <w:pPr>
        <w:spacing w:line="240" w:lineRule="auto"/>
        <w:rPr>
          <w:b/>
        </w:rPr>
      </w:pPr>
      <w:r>
        <w:rPr>
          <w:b/>
        </w:rPr>
        <w:br w:type="page"/>
      </w:r>
    </w:p>
    <w:p w14:paraId="7E72943E" w14:textId="77777777" w:rsidR="00E01C42" w:rsidRDefault="00E01C42" w:rsidP="00E01C42">
      <w:pPr>
        <w:keepNext/>
        <w:rPr>
          <w:b/>
        </w:rPr>
      </w:pPr>
      <w:r w:rsidRPr="00DF089C">
        <w:rPr>
          <w:b/>
        </w:rPr>
        <w:lastRenderedPageBreak/>
        <w:t>Assumptions and Methodology</w:t>
      </w:r>
    </w:p>
    <w:p w14:paraId="0CAE0CA2" w14:textId="77777777" w:rsidR="00E01C42" w:rsidRPr="00DF089C" w:rsidRDefault="00E01C42" w:rsidP="00E01C42">
      <w:pPr>
        <w:rPr>
          <w:b/>
        </w:rPr>
      </w:pPr>
    </w:p>
    <w:p w14:paraId="0C274AF1" w14:textId="77777777" w:rsidR="00E01C42" w:rsidRDefault="00E01C42" w:rsidP="00E01C42">
      <w:pPr>
        <w:rPr>
          <w:b/>
          <w:i/>
          <w:szCs w:val="20"/>
        </w:rPr>
      </w:pPr>
      <w:r w:rsidRPr="00DF089C">
        <w:rPr>
          <w:b/>
          <w:i/>
          <w:szCs w:val="20"/>
        </w:rPr>
        <w:t>Eligibility and Participation</w:t>
      </w:r>
    </w:p>
    <w:p w14:paraId="5A72B9D8" w14:textId="77777777" w:rsidR="00E01C42" w:rsidRDefault="00E01C42" w:rsidP="00E01C42">
      <w:r w:rsidRPr="00B11C52">
        <w:t>BERs</w:t>
      </w:r>
      <w:r>
        <w:t xml:space="preserve"> typically</w:t>
      </w:r>
      <w:r w:rsidRPr="00B11C52">
        <w:t xml:space="preserve"> target small</w:t>
      </w:r>
      <w:r>
        <w:t xml:space="preserve"> and/or </w:t>
      </w:r>
      <w:r w:rsidRPr="00B11C52">
        <w:t>medium sized businesses</w:t>
      </w:r>
      <w:r>
        <w:t>.</w:t>
      </w:r>
      <w:r w:rsidRPr="00B11C52">
        <w:t xml:space="preserve"> </w:t>
      </w:r>
      <w:r>
        <w:t>In addition, utilities may use BERs to target businesses across all business sectors or only a select set of business sectors. As the number of BERs pilots continues to grow, a greater amount of information about the effectiveness of BERs programs in different business sectors will become available. As information concerning the effectiveness of these programs in different business sectors becomes more readily available, we assume that utilities will be more likely to limit the use of BERs to those sectors for which significant savings have been documented. Therefore, the model presented here constrains our savings estimates to those business sectors that have already achieved significant energy savings by means of business energy feedback programs such as BERs.</w:t>
      </w:r>
    </w:p>
    <w:p w14:paraId="7E507971" w14:textId="77777777" w:rsidR="00E01C42" w:rsidRDefault="00E01C42" w:rsidP="00E01C42"/>
    <w:p w14:paraId="704FEC6B" w14:textId="77777777" w:rsidR="00E01C42" w:rsidRDefault="00E01C42" w:rsidP="00E01C42">
      <w:r>
        <w:t>The model includes businesses in the following sectors: retail, restaurants, lodging, and “other</w:t>
      </w:r>
      <w:r w:rsidRPr="00B11C52">
        <w:t>.</w:t>
      </w:r>
      <w:r>
        <w:t>” Within each of these business sectors, the applicability of savings is further constrained by the estimated proportion of business customers in each of the relevant sectors that may be classified as either small or medium sized enterprises (given that BER type programs are typically limited to small to medium sized businesses).</w:t>
      </w:r>
      <w:r w:rsidRPr="00B11C52">
        <w:t xml:space="preserve"> </w:t>
      </w:r>
      <w:r>
        <w:t>Based on data from the Commercial Building Energy Consumption Survey</w:t>
      </w:r>
      <w:r w:rsidRPr="00B11C52">
        <w:t xml:space="preserve"> </w:t>
      </w:r>
      <w:r>
        <w:t>(</w:t>
      </w:r>
      <w:r w:rsidRPr="00B11C52">
        <w:t>CBECS</w:t>
      </w:r>
      <w:r>
        <w:t>),</w:t>
      </w:r>
      <w:r w:rsidRPr="00B11C52">
        <w:t xml:space="preserve"> </w:t>
      </w:r>
      <w:r>
        <w:t xml:space="preserve">we estimated that roughly 63% of retail customers can be considered to be small or medium businesses given that </w:t>
      </w:r>
      <w:r w:rsidRPr="00B11C52">
        <w:t>approximately 63% of retail space is</w:t>
      </w:r>
      <w:r>
        <w:t xml:space="preserve"> shown to be</w:t>
      </w:r>
      <w:r w:rsidRPr="00B11C52">
        <w:t xml:space="preserve"> </w:t>
      </w:r>
      <w:r>
        <w:t xml:space="preserve">under </w:t>
      </w:r>
      <w:r w:rsidRPr="00B11C52">
        <w:t>100,000 sq ft.</w:t>
      </w:r>
      <w:r>
        <w:rPr>
          <w:rStyle w:val="FootnoteReference"/>
        </w:rPr>
        <w:footnoteReference w:id="147"/>
      </w:r>
      <w:r w:rsidRPr="00B11C52">
        <w:t xml:space="preserve"> </w:t>
      </w:r>
      <w:r>
        <w:t>Given the small size of restaurants,</w:t>
      </w:r>
      <w:r w:rsidRPr="00B11C52">
        <w:t xml:space="preserve"> we </w:t>
      </w:r>
      <w:r>
        <w:t>assume</w:t>
      </w:r>
      <w:r w:rsidRPr="00B11C52">
        <w:t xml:space="preserve"> 100% applicability</w:t>
      </w:r>
      <w:r>
        <w:t xml:space="preserve"> for this sector</w:t>
      </w:r>
      <w:r w:rsidRPr="00B11C52">
        <w:t>.</w:t>
      </w:r>
      <w:r>
        <w:t xml:space="preserve"> </w:t>
      </w:r>
    </w:p>
    <w:p w14:paraId="452DB530" w14:textId="77777777" w:rsidR="00E01C42" w:rsidRDefault="00E01C42" w:rsidP="00E01C42"/>
    <w:p w14:paraId="058CD712" w14:textId="77777777" w:rsidR="00E01C42" w:rsidRDefault="00E01C42" w:rsidP="00E01C42">
      <w:r>
        <w:t>The Commonwealth Edison study specifically targeted medium sized businesses in the lodging and “other” sectors. Therefore, our savings estimates are only calculated for medium sized customers in the lodging and “other” categories based on relevant data from CBECS. For lodging, for example, we assume that 50% of lodging establishments can be considered medium-sized establishments based on CBECS data indicating that 50% of lodging establishments have an average annual energy consumption of 500,000 kWh or more per year. For businesses in the “other” category, we look at CBECS data to estimate the proportion of establishments that fall in the medium sized category (&lt;1m kWh per year). We estimate that 25% of buildings in the “other” category are using an average of 400,000 kWh per year.</w:t>
      </w:r>
    </w:p>
    <w:p w14:paraId="07237ED8" w14:textId="77777777" w:rsidR="00E01C42" w:rsidRPr="00B11C52" w:rsidRDefault="00E01C42" w:rsidP="00E01C42"/>
    <w:p w14:paraId="77C5EBDF" w14:textId="77777777" w:rsidR="00E01C42" w:rsidRPr="00B11C52" w:rsidRDefault="00E01C42" w:rsidP="00E01C42">
      <w:r w:rsidRPr="00B11C52">
        <w:t xml:space="preserve">Our projected penetration rates assume a delayed start for BERs with formal utility programs launching in 2019. Our reference scenario assumes </w:t>
      </w:r>
      <w:r w:rsidR="00AD6ACC">
        <w:t>no penetration.</w:t>
      </w:r>
      <w:r w:rsidRPr="00B11C52">
        <w:t xml:space="preserve"> Under the aggressive scenario</w:t>
      </w:r>
      <w:r>
        <w:t>,</w:t>
      </w:r>
      <w:r w:rsidRPr="00B11C52">
        <w:t xml:space="preserve"> penetration begins at 2% in 2019 and ramps up at 2% per year, reaching 24% by 2030. </w:t>
      </w:r>
    </w:p>
    <w:p w14:paraId="7EF6CE2F" w14:textId="77777777" w:rsidR="00E01C42" w:rsidRPr="00065CEA" w:rsidRDefault="00E01C42" w:rsidP="00E01C42">
      <w:pPr>
        <w:rPr>
          <w:szCs w:val="20"/>
        </w:rPr>
      </w:pPr>
    </w:p>
    <w:p w14:paraId="5D50CACC" w14:textId="77777777" w:rsidR="00E01C42" w:rsidRDefault="00E01C42" w:rsidP="00E01C42">
      <w:pPr>
        <w:rPr>
          <w:szCs w:val="20"/>
        </w:rPr>
      </w:pPr>
      <w:r>
        <w:rPr>
          <w:b/>
          <w:i/>
          <w:szCs w:val="20"/>
        </w:rPr>
        <w:t>Savings</w:t>
      </w:r>
    </w:p>
    <w:p w14:paraId="7F80D955" w14:textId="77777777" w:rsidR="00E01C42" w:rsidRPr="00B11C52" w:rsidRDefault="006E1FE3" w:rsidP="00E01C42">
      <w:r>
        <w:t>The model uses e</w:t>
      </w:r>
      <w:r w:rsidR="00E01C42" w:rsidRPr="00B11C52">
        <w:t xml:space="preserve">lectricity savings of </w:t>
      </w:r>
      <w:r w:rsidR="000F3294">
        <w:t>0.32</w:t>
      </w:r>
      <w:r w:rsidR="00E01C42" w:rsidRPr="00B11C52">
        <w:t>%</w:t>
      </w:r>
      <w:r w:rsidR="00724837">
        <w:t xml:space="preserve">, </w:t>
      </w:r>
      <w:r w:rsidR="000F3294">
        <w:t xml:space="preserve">no </w:t>
      </w:r>
      <w:r w:rsidR="00E01C42" w:rsidRPr="00B11C52">
        <w:t>gas savings</w:t>
      </w:r>
      <w:r w:rsidR="00724837">
        <w:t>,</w:t>
      </w:r>
      <w:r w:rsidR="00724837">
        <w:rPr>
          <w:rStyle w:val="FootnoteReference"/>
        </w:rPr>
        <w:footnoteReference w:id="148"/>
      </w:r>
      <w:r w:rsidR="00724837">
        <w:t xml:space="preserve"> and</w:t>
      </w:r>
      <w:r w:rsidR="00E01C42" w:rsidRPr="00B11C52">
        <w:t xml:space="preserve"> an EUL of </w:t>
      </w:r>
      <w:r w:rsidR="00E01C42">
        <w:t>two</w:t>
      </w:r>
      <w:r w:rsidR="00E01C42" w:rsidRPr="00B11C52">
        <w:t xml:space="preserve"> year</w:t>
      </w:r>
      <w:r w:rsidR="00E01C42">
        <w:t>s per CPUC Decision 16-08-019</w:t>
      </w:r>
      <w:r w:rsidR="00E01C42" w:rsidRPr="00B11C52">
        <w:t>. Because no demand savings data was available for BERs, we averaged the ratio of kW to kWh savings calculated for BEIMS, BOC, and Strategic Energy Management. This yielded 0.0001261, which is the figure used for all four utilities.</w:t>
      </w:r>
    </w:p>
    <w:p w14:paraId="0D1EA14C" w14:textId="77777777" w:rsidR="00E01C42" w:rsidRDefault="00E01C42" w:rsidP="00E01C42">
      <w:pPr>
        <w:spacing w:line="240" w:lineRule="auto"/>
        <w:rPr>
          <w:b/>
          <w:i/>
          <w:szCs w:val="20"/>
        </w:rPr>
      </w:pPr>
    </w:p>
    <w:p w14:paraId="6B1E8732" w14:textId="77777777" w:rsidR="00E01C42" w:rsidRDefault="00E01C42" w:rsidP="00E01C42">
      <w:pPr>
        <w:keepNext/>
        <w:rPr>
          <w:szCs w:val="20"/>
        </w:rPr>
      </w:pPr>
      <w:r w:rsidRPr="00DF089C">
        <w:rPr>
          <w:b/>
          <w:i/>
          <w:szCs w:val="20"/>
        </w:rPr>
        <w:t>Cost</w:t>
      </w:r>
    </w:p>
    <w:p w14:paraId="0D3577E9" w14:textId="77777777" w:rsidR="00E01C42" w:rsidRPr="00B11C52" w:rsidRDefault="00E01C42" w:rsidP="00E01C42">
      <w:r w:rsidRPr="00B11C52">
        <w:t xml:space="preserve">Because BER programs are new </w:t>
      </w:r>
      <w:r>
        <w:t>and in pilot phases, data regarding utility costs is scant</w:t>
      </w:r>
      <w:r w:rsidRPr="00B11C52">
        <w:t>. Furthermore, the limited availability of statistically significant adjusted savings percentages reported to</w:t>
      </w:r>
      <w:r>
        <w:t>-</w:t>
      </w:r>
      <w:r w:rsidRPr="00B11C52">
        <w:t>date indicate</w:t>
      </w:r>
      <w:r>
        <w:t>s</w:t>
      </w:r>
      <w:r w:rsidRPr="00B11C52">
        <w:t xml:space="preserve"> </w:t>
      </w:r>
      <w:r w:rsidRPr="00B11C52">
        <w:lastRenderedPageBreak/>
        <w:t>that BER-related savings are lower among businesses than household savings produced by HERs. For these reasons, we modeled BER costs that are double those of HERs. We proj</w:t>
      </w:r>
      <w:r>
        <w:t>ect $0.20 per kWh (2 x $0.10) for electric savings for</w:t>
      </w:r>
      <w:r w:rsidRPr="00B11C52">
        <w:t xml:space="preserve"> PG&amp;E, SCE, and SDG&amp;E. </w:t>
      </w:r>
    </w:p>
    <w:p w14:paraId="5745EB1A" w14:textId="77777777" w:rsidR="00E01C42" w:rsidRPr="004952CD" w:rsidRDefault="00E01C42" w:rsidP="000F3294">
      <w:pPr>
        <w:pStyle w:val="Heading6"/>
        <w:numPr>
          <w:ilvl w:val="5"/>
          <w:numId w:val="8"/>
        </w:numPr>
        <w:ind w:left="0" w:firstLine="0"/>
      </w:pPr>
      <w:bookmarkStart w:id="1053" w:name="_Toc480271813"/>
      <w:bookmarkStart w:id="1054" w:name="_Toc484183070"/>
      <w:bookmarkStart w:id="1055" w:name="_Toc490225836"/>
      <w:r>
        <w:t xml:space="preserve">Commercial - </w:t>
      </w:r>
      <w:r w:rsidRPr="004952CD">
        <w:t>Benchmarking</w:t>
      </w:r>
      <w:bookmarkEnd w:id="1053"/>
      <w:bookmarkEnd w:id="1054"/>
      <w:bookmarkEnd w:id="1055"/>
    </w:p>
    <w:p w14:paraId="30592CE6" w14:textId="77777777" w:rsidR="00E01C42" w:rsidRPr="004952CD" w:rsidRDefault="00E01C42" w:rsidP="00122CD3">
      <w:pPr>
        <w:keepNext/>
        <w:rPr>
          <w:b/>
        </w:rPr>
      </w:pPr>
      <w:r w:rsidRPr="004952CD">
        <w:rPr>
          <w:b/>
        </w:rPr>
        <w:t xml:space="preserve">Summary </w:t>
      </w:r>
    </w:p>
    <w:p w14:paraId="681C2EF9" w14:textId="77777777" w:rsidR="00E01C42" w:rsidRDefault="00E01C42" w:rsidP="00E01C42">
      <w:pPr>
        <w:rPr>
          <w:szCs w:val="20"/>
        </w:rPr>
      </w:pPr>
    </w:p>
    <w:p w14:paraId="1C42E1DF" w14:textId="77777777" w:rsidR="00E01C42" w:rsidRPr="004952CD" w:rsidRDefault="00E01C42" w:rsidP="00E01C42">
      <w:pPr>
        <w:rPr>
          <w:szCs w:val="20"/>
        </w:rPr>
      </w:pPr>
      <w:r w:rsidRPr="004952CD">
        <w:rPr>
          <w:szCs w:val="20"/>
        </w:rPr>
        <w:t>Building benchmarking scores a business customer’s facility or plant and compares it to other peer facilities based upon energy consumption. It also often includes goal</w:t>
      </w:r>
      <w:r>
        <w:rPr>
          <w:szCs w:val="20"/>
        </w:rPr>
        <w:t>-</w:t>
      </w:r>
      <w:r w:rsidRPr="004952CD">
        <w:rPr>
          <w:szCs w:val="20"/>
        </w:rPr>
        <w:t>setting and rewards in the form of recognition. Benchmarking is genera</w:t>
      </w:r>
      <w:r>
        <w:rPr>
          <w:szCs w:val="20"/>
        </w:rPr>
        <w:t>lly an opt-</w:t>
      </w:r>
      <w:r w:rsidRPr="004952CD">
        <w:rPr>
          <w:szCs w:val="20"/>
        </w:rPr>
        <w:t xml:space="preserve">in activity, although some municipalities, such as San Francisco, have passed ordinances requiring it for buildings of certain types and sizes. </w:t>
      </w:r>
    </w:p>
    <w:p w14:paraId="4CDFF291" w14:textId="77777777" w:rsidR="00E01C42" w:rsidRPr="0097738B" w:rsidRDefault="00E01C42" w:rsidP="00E01C42">
      <w:pPr>
        <w:rPr>
          <w:szCs w:val="20"/>
        </w:rPr>
      </w:pPr>
    </w:p>
    <w:p w14:paraId="46697440" w14:textId="77777777" w:rsidR="00E01C42" w:rsidRPr="0097738B" w:rsidRDefault="00E01C42" w:rsidP="00E01C42">
      <w:pPr>
        <w:rPr>
          <w:szCs w:val="20"/>
        </w:rPr>
      </w:pPr>
      <w:r w:rsidRPr="0097738B">
        <w:rPr>
          <w:szCs w:val="20"/>
        </w:rPr>
        <w:t>Estimated e</w:t>
      </w:r>
      <w:r>
        <w:rPr>
          <w:szCs w:val="20"/>
        </w:rPr>
        <w:t xml:space="preserve">lectric savings range from 1.1% to </w:t>
      </w:r>
      <w:r w:rsidRPr="0097738B">
        <w:rPr>
          <w:szCs w:val="20"/>
        </w:rPr>
        <w:t xml:space="preserve">2.2%, </w:t>
      </w:r>
      <w:r>
        <w:rPr>
          <w:szCs w:val="20"/>
        </w:rPr>
        <w:t xml:space="preserve">while gas savings are 0.7% to 1.3%. These </w:t>
      </w:r>
      <w:r w:rsidRPr="0097738B">
        <w:rPr>
          <w:szCs w:val="20"/>
        </w:rPr>
        <w:t xml:space="preserve">are applied consistently </w:t>
      </w:r>
      <w:r w:rsidR="000922F6" w:rsidRPr="0097738B">
        <w:rPr>
          <w:szCs w:val="20"/>
        </w:rPr>
        <w:t>across utili</w:t>
      </w:r>
      <w:r w:rsidR="000922F6">
        <w:rPr>
          <w:szCs w:val="20"/>
        </w:rPr>
        <w:t xml:space="preserve">ties, but vary </w:t>
      </w:r>
      <w:r w:rsidRPr="0097738B">
        <w:rPr>
          <w:szCs w:val="20"/>
        </w:rPr>
        <w:t>by building type</w:t>
      </w:r>
      <w:r>
        <w:rPr>
          <w:szCs w:val="20"/>
        </w:rPr>
        <w:t xml:space="preserve">. Costs were estimated to be $0.0396 per kWh and </w:t>
      </w:r>
      <w:r w:rsidRPr="0097738B">
        <w:rPr>
          <w:szCs w:val="20"/>
        </w:rPr>
        <w:t>$0.</w:t>
      </w:r>
      <w:r>
        <w:rPr>
          <w:szCs w:val="20"/>
        </w:rPr>
        <w:t>2352</w:t>
      </w:r>
      <w:r w:rsidRPr="0097738B">
        <w:rPr>
          <w:szCs w:val="20"/>
        </w:rPr>
        <w:t xml:space="preserve"> </w:t>
      </w:r>
      <w:r>
        <w:rPr>
          <w:szCs w:val="20"/>
        </w:rPr>
        <w:t xml:space="preserve">per </w:t>
      </w:r>
      <w:r w:rsidRPr="0097738B">
        <w:rPr>
          <w:szCs w:val="20"/>
        </w:rPr>
        <w:t xml:space="preserve">therm and are </w:t>
      </w:r>
      <w:r>
        <w:rPr>
          <w:szCs w:val="20"/>
        </w:rPr>
        <w:t xml:space="preserve">not </w:t>
      </w:r>
      <w:r w:rsidRPr="0097738B">
        <w:rPr>
          <w:szCs w:val="20"/>
        </w:rPr>
        <w:t xml:space="preserve">utility specific. </w:t>
      </w:r>
    </w:p>
    <w:p w14:paraId="569D9157" w14:textId="77777777" w:rsidR="00E01C42" w:rsidRDefault="00E01C42" w:rsidP="00E01C42"/>
    <w:p w14:paraId="75DDAB7E" w14:textId="77777777" w:rsidR="00E01C42" w:rsidRPr="00B57F57" w:rsidRDefault="004675B4" w:rsidP="00E01C42">
      <w:pPr>
        <w:pStyle w:val="Caption"/>
        <w:rPr>
          <w:b w:val="0"/>
          <w:szCs w:val="24"/>
        </w:rPr>
      </w:pPr>
      <w:bookmarkStart w:id="1056" w:name="_Toc490226035"/>
      <w:r>
        <w:t xml:space="preserve">Table </w:t>
      </w:r>
      <w:fldSimple w:instr=" STYLEREF 5 \s ">
        <w:r w:rsidR="007566B9">
          <w:rPr>
            <w:noProof/>
          </w:rPr>
          <w:t>C</w:t>
        </w:r>
      </w:fldSimple>
      <w:r>
        <w:noBreakHyphen/>
      </w:r>
      <w:fldSimple w:instr=" SEQ Table_Apx \* ARABIC \s 5 ">
        <w:r w:rsidR="007566B9">
          <w:rPr>
            <w:noProof/>
          </w:rPr>
          <w:t>8</w:t>
        </w:r>
      </w:fldSimple>
      <w:r>
        <w:t xml:space="preserve">. </w:t>
      </w:r>
      <w:r w:rsidR="00E01C42">
        <w:t>Benchmarking - Key Assumptions</w:t>
      </w:r>
      <w:bookmarkEnd w:id="1056"/>
    </w:p>
    <w:tbl>
      <w:tblPr>
        <w:tblW w:w="9482" w:type="dxa"/>
        <w:jc w:val="center"/>
        <w:tblBorders>
          <w:bottom w:val="single" w:sz="8" w:space="0" w:color="555759"/>
          <w:insideH w:val="single" w:sz="4" w:space="0" w:color="DCDDDE"/>
        </w:tblBorders>
        <w:tblLook w:val="04A0" w:firstRow="1" w:lastRow="0" w:firstColumn="1" w:lastColumn="0" w:noHBand="0" w:noVBand="1"/>
      </w:tblPr>
      <w:tblGrid>
        <w:gridCol w:w="1120"/>
        <w:gridCol w:w="1524"/>
        <w:gridCol w:w="1002"/>
        <w:gridCol w:w="949"/>
        <w:gridCol w:w="1121"/>
        <w:gridCol w:w="960"/>
        <w:gridCol w:w="1106"/>
        <w:gridCol w:w="1700"/>
      </w:tblGrid>
      <w:tr w:rsidR="002544A3" w:rsidRPr="00C057BD" w14:paraId="07C9F163" w14:textId="77777777" w:rsidTr="008C0AC4">
        <w:trPr>
          <w:cantSplit/>
          <w:trHeight w:val="296"/>
          <w:jc w:val="center"/>
        </w:trPr>
        <w:tc>
          <w:tcPr>
            <w:tcW w:w="1120" w:type="dxa"/>
            <w:vMerge w:val="restart"/>
            <w:tcBorders>
              <w:top w:val="nil"/>
              <w:left w:val="nil"/>
              <w:bottom w:val="single" w:sz="12" w:space="0" w:color="95D600"/>
              <w:right w:val="nil"/>
              <w:tl2br w:val="nil"/>
              <w:tr2bl w:val="nil"/>
            </w:tcBorders>
            <w:shd w:val="clear" w:color="auto" w:fill="555759"/>
            <w:hideMark/>
          </w:tcPr>
          <w:p w14:paraId="5408E866" w14:textId="77777777" w:rsidR="00E01C42" w:rsidRPr="00D11078" w:rsidRDefault="00E01C42" w:rsidP="008C0AC4">
            <w:pPr>
              <w:spacing w:before="40" w:after="40"/>
              <w:jc w:val="center"/>
              <w:rPr>
                <w:b/>
                <w:color w:val="FFFFFF"/>
              </w:rPr>
            </w:pPr>
            <w:r w:rsidRPr="00D11078">
              <w:rPr>
                <w:b/>
                <w:color w:val="FFFFFF"/>
              </w:rPr>
              <w:t>Sector</w:t>
            </w:r>
          </w:p>
        </w:tc>
        <w:tc>
          <w:tcPr>
            <w:tcW w:w="1524" w:type="dxa"/>
            <w:vMerge w:val="restart"/>
            <w:tcBorders>
              <w:top w:val="nil"/>
              <w:left w:val="nil"/>
              <w:bottom w:val="single" w:sz="12" w:space="0" w:color="95D600"/>
              <w:right w:val="nil"/>
              <w:tl2br w:val="nil"/>
              <w:tr2bl w:val="nil"/>
            </w:tcBorders>
            <w:shd w:val="clear" w:color="auto" w:fill="555759"/>
            <w:hideMark/>
          </w:tcPr>
          <w:p w14:paraId="74C872FC" w14:textId="77777777" w:rsidR="00E01C42" w:rsidRPr="00D11078" w:rsidRDefault="00E01C42" w:rsidP="008C0AC4">
            <w:pPr>
              <w:spacing w:before="40" w:after="40"/>
              <w:jc w:val="center"/>
              <w:rPr>
                <w:b/>
                <w:color w:val="FFFFFF"/>
              </w:rPr>
            </w:pPr>
            <w:r w:rsidRPr="00D11078">
              <w:rPr>
                <w:b/>
                <w:color w:val="FFFFFF"/>
              </w:rPr>
              <w:t>Type</w:t>
            </w:r>
          </w:p>
        </w:tc>
        <w:tc>
          <w:tcPr>
            <w:tcW w:w="1002" w:type="dxa"/>
            <w:vMerge w:val="restart"/>
            <w:tcBorders>
              <w:top w:val="nil"/>
              <w:left w:val="nil"/>
              <w:bottom w:val="single" w:sz="12" w:space="0" w:color="95D600"/>
              <w:right w:val="nil"/>
              <w:tl2br w:val="nil"/>
              <w:tr2bl w:val="nil"/>
            </w:tcBorders>
            <w:shd w:val="clear" w:color="auto" w:fill="555759"/>
            <w:hideMark/>
          </w:tcPr>
          <w:p w14:paraId="48F016E5" w14:textId="77777777" w:rsidR="00E01C42" w:rsidRPr="00D11078" w:rsidRDefault="00E01C42" w:rsidP="008C0AC4">
            <w:pPr>
              <w:spacing w:before="40" w:after="40"/>
              <w:jc w:val="center"/>
              <w:rPr>
                <w:b/>
                <w:color w:val="FFFFFF"/>
              </w:rPr>
            </w:pPr>
            <w:r w:rsidRPr="00D11078">
              <w:rPr>
                <w:b/>
                <w:color w:val="FFFFFF"/>
              </w:rPr>
              <w:t>EUL years</w:t>
            </w:r>
          </w:p>
        </w:tc>
        <w:tc>
          <w:tcPr>
            <w:tcW w:w="2070" w:type="dxa"/>
            <w:gridSpan w:val="2"/>
            <w:tcBorders>
              <w:top w:val="nil"/>
              <w:left w:val="nil"/>
              <w:bottom w:val="single" w:sz="2" w:space="0" w:color="FFFFFF"/>
              <w:right w:val="nil"/>
              <w:tl2br w:val="nil"/>
              <w:tr2bl w:val="nil"/>
            </w:tcBorders>
            <w:shd w:val="clear" w:color="auto" w:fill="555759"/>
            <w:hideMark/>
          </w:tcPr>
          <w:p w14:paraId="3DAB3804" w14:textId="77777777" w:rsidR="00E01C42" w:rsidRPr="00D11078" w:rsidRDefault="00E01C42" w:rsidP="008C0AC4">
            <w:pPr>
              <w:spacing w:before="40" w:after="40"/>
              <w:jc w:val="center"/>
              <w:rPr>
                <w:b/>
                <w:color w:val="FFFFFF"/>
              </w:rPr>
            </w:pPr>
            <w:r w:rsidRPr="00D11078">
              <w:rPr>
                <w:b/>
                <w:color w:val="FFFFFF"/>
              </w:rPr>
              <w:t>Savings</w:t>
            </w:r>
          </w:p>
        </w:tc>
        <w:tc>
          <w:tcPr>
            <w:tcW w:w="2066" w:type="dxa"/>
            <w:gridSpan w:val="2"/>
            <w:tcBorders>
              <w:top w:val="nil"/>
              <w:left w:val="nil"/>
              <w:bottom w:val="single" w:sz="2" w:space="0" w:color="FFFFFF"/>
              <w:right w:val="nil"/>
              <w:tl2br w:val="nil"/>
              <w:tr2bl w:val="nil"/>
            </w:tcBorders>
            <w:shd w:val="clear" w:color="auto" w:fill="555759"/>
            <w:hideMark/>
          </w:tcPr>
          <w:p w14:paraId="6C90CFB6" w14:textId="77777777" w:rsidR="00E01C42" w:rsidRPr="00D11078" w:rsidRDefault="00E01C42" w:rsidP="008C0AC4">
            <w:pPr>
              <w:spacing w:before="40" w:after="40"/>
              <w:jc w:val="center"/>
              <w:rPr>
                <w:b/>
                <w:color w:val="FFFFFF"/>
              </w:rPr>
            </w:pPr>
            <w:r w:rsidRPr="00D11078">
              <w:rPr>
                <w:b/>
                <w:color w:val="FFFFFF"/>
              </w:rPr>
              <w:t>Cost</w:t>
            </w:r>
          </w:p>
        </w:tc>
        <w:tc>
          <w:tcPr>
            <w:tcW w:w="1700" w:type="dxa"/>
            <w:vMerge w:val="restart"/>
            <w:tcBorders>
              <w:top w:val="nil"/>
              <w:left w:val="nil"/>
              <w:bottom w:val="single" w:sz="12" w:space="0" w:color="95D600"/>
              <w:right w:val="nil"/>
              <w:tl2br w:val="nil"/>
              <w:tr2bl w:val="nil"/>
            </w:tcBorders>
            <w:shd w:val="clear" w:color="auto" w:fill="555759"/>
            <w:hideMark/>
          </w:tcPr>
          <w:p w14:paraId="0A7D664B" w14:textId="77777777" w:rsidR="00E01C42" w:rsidRPr="00D11078" w:rsidRDefault="00E01C42" w:rsidP="008C0AC4">
            <w:pPr>
              <w:spacing w:before="40" w:after="40"/>
              <w:jc w:val="center"/>
              <w:rPr>
                <w:b/>
                <w:color w:val="FFFFFF"/>
              </w:rPr>
            </w:pPr>
            <w:r w:rsidRPr="00D11078">
              <w:rPr>
                <w:b/>
                <w:color w:val="FFFFFF"/>
              </w:rPr>
              <w:t>kW/kWh Savings Ratio</w:t>
            </w:r>
          </w:p>
        </w:tc>
      </w:tr>
      <w:tr w:rsidR="002544A3" w:rsidRPr="00C057BD" w14:paraId="29DC6063" w14:textId="77777777" w:rsidTr="008C0AC4">
        <w:trPr>
          <w:cantSplit/>
          <w:trHeight w:val="144"/>
          <w:jc w:val="center"/>
        </w:trPr>
        <w:tc>
          <w:tcPr>
            <w:tcW w:w="1120" w:type="dxa"/>
            <w:vMerge/>
            <w:tcBorders>
              <w:bottom w:val="single" w:sz="12" w:space="0" w:color="95D600"/>
            </w:tcBorders>
            <w:shd w:val="clear" w:color="auto" w:fill="auto"/>
            <w:hideMark/>
          </w:tcPr>
          <w:p w14:paraId="693E27E6" w14:textId="77777777" w:rsidR="00E01C42" w:rsidRPr="00C057BD" w:rsidRDefault="00E01C42" w:rsidP="008C0AC4">
            <w:pPr>
              <w:spacing w:before="40" w:after="40"/>
              <w:jc w:val="center"/>
            </w:pPr>
          </w:p>
        </w:tc>
        <w:tc>
          <w:tcPr>
            <w:tcW w:w="1524" w:type="dxa"/>
            <w:vMerge/>
            <w:tcBorders>
              <w:bottom w:val="single" w:sz="12" w:space="0" w:color="95D600"/>
            </w:tcBorders>
            <w:shd w:val="clear" w:color="auto" w:fill="auto"/>
            <w:hideMark/>
          </w:tcPr>
          <w:p w14:paraId="108D8098" w14:textId="77777777" w:rsidR="00E01C42" w:rsidRPr="00C057BD" w:rsidRDefault="00E01C42" w:rsidP="008C0AC4">
            <w:pPr>
              <w:spacing w:before="40" w:after="40"/>
              <w:jc w:val="center"/>
            </w:pPr>
          </w:p>
        </w:tc>
        <w:tc>
          <w:tcPr>
            <w:tcW w:w="1002" w:type="dxa"/>
            <w:vMerge/>
            <w:tcBorders>
              <w:bottom w:val="single" w:sz="12" w:space="0" w:color="95D600"/>
            </w:tcBorders>
            <w:shd w:val="clear" w:color="auto" w:fill="555759"/>
            <w:hideMark/>
          </w:tcPr>
          <w:p w14:paraId="1F8AF920" w14:textId="77777777" w:rsidR="00E01C42" w:rsidRPr="00C057BD" w:rsidRDefault="00E01C42" w:rsidP="008C0AC4">
            <w:pPr>
              <w:spacing w:before="40" w:after="40"/>
              <w:jc w:val="center"/>
            </w:pPr>
          </w:p>
        </w:tc>
        <w:tc>
          <w:tcPr>
            <w:tcW w:w="949" w:type="dxa"/>
            <w:tcBorders>
              <w:top w:val="single" w:sz="2" w:space="0" w:color="FFFFFF"/>
              <w:bottom w:val="single" w:sz="12" w:space="0" w:color="95D600"/>
            </w:tcBorders>
            <w:shd w:val="clear" w:color="auto" w:fill="555759"/>
            <w:hideMark/>
          </w:tcPr>
          <w:p w14:paraId="3183F30E" w14:textId="77777777" w:rsidR="00E01C42" w:rsidRPr="00D11078" w:rsidRDefault="00E01C42" w:rsidP="008C0AC4">
            <w:pPr>
              <w:spacing w:before="40" w:after="40"/>
              <w:jc w:val="center"/>
              <w:rPr>
                <w:b/>
                <w:color w:val="FFFFFF"/>
              </w:rPr>
            </w:pPr>
            <w:r w:rsidRPr="00D11078">
              <w:rPr>
                <w:b/>
                <w:color w:val="FFFFFF"/>
              </w:rPr>
              <w:t>kWh</w:t>
            </w:r>
          </w:p>
        </w:tc>
        <w:tc>
          <w:tcPr>
            <w:tcW w:w="1121" w:type="dxa"/>
            <w:tcBorders>
              <w:top w:val="single" w:sz="2" w:space="0" w:color="FFFFFF"/>
              <w:bottom w:val="single" w:sz="12" w:space="0" w:color="95D600"/>
            </w:tcBorders>
            <w:shd w:val="clear" w:color="auto" w:fill="555759"/>
            <w:hideMark/>
          </w:tcPr>
          <w:p w14:paraId="2E101CEE" w14:textId="77777777" w:rsidR="00E01C42" w:rsidRPr="00D11078" w:rsidRDefault="00E01C42" w:rsidP="008C0AC4">
            <w:pPr>
              <w:spacing w:before="40" w:after="40"/>
              <w:jc w:val="center"/>
              <w:rPr>
                <w:b/>
                <w:color w:val="FFFFFF"/>
              </w:rPr>
            </w:pPr>
            <w:r w:rsidRPr="00D11078">
              <w:rPr>
                <w:b/>
                <w:color w:val="FFFFFF"/>
              </w:rPr>
              <w:t>Therm</w:t>
            </w:r>
          </w:p>
        </w:tc>
        <w:tc>
          <w:tcPr>
            <w:tcW w:w="960" w:type="dxa"/>
            <w:tcBorders>
              <w:top w:val="single" w:sz="2" w:space="0" w:color="FFFFFF"/>
              <w:bottom w:val="single" w:sz="12" w:space="0" w:color="95D600"/>
            </w:tcBorders>
            <w:shd w:val="clear" w:color="auto" w:fill="555759"/>
            <w:hideMark/>
          </w:tcPr>
          <w:p w14:paraId="3B329CD2" w14:textId="77777777" w:rsidR="00E01C42" w:rsidRPr="00D11078" w:rsidRDefault="00E01C42" w:rsidP="008C0AC4">
            <w:pPr>
              <w:spacing w:before="40" w:after="40"/>
              <w:jc w:val="center"/>
              <w:rPr>
                <w:b/>
                <w:color w:val="FFFFFF"/>
              </w:rPr>
            </w:pPr>
            <w:r w:rsidRPr="00D11078">
              <w:rPr>
                <w:b/>
                <w:color w:val="FFFFFF"/>
              </w:rPr>
              <w:t>kWh</w:t>
            </w:r>
          </w:p>
        </w:tc>
        <w:tc>
          <w:tcPr>
            <w:tcW w:w="1106" w:type="dxa"/>
            <w:tcBorders>
              <w:top w:val="single" w:sz="2" w:space="0" w:color="FFFFFF"/>
              <w:bottom w:val="single" w:sz="12" w:space="0" w:color="95D600"/>
            </w:tcBorders>
            <w:shd w:val="clear" w:color="auto" w:fill="555759"/>
            <w:hideMark/>
          </w:tcPr>
          <w:p w14:paraId="1FB6ED46" w14:textId="77777777" w:rsidR="00E01C42" w:rsidRPr="00D11078" w:rsidRDefault="00E01C42" w:rsidP="008C0AC4">
            <w:pPr>
              <w:spacing w:before="40" w:after="40"/>
              <w:jc w:val="center"/>
              <w:rPr>
                <w:b/>
                <w:color w:val="FFFFFF"/>
              </w:rPr>
            </w:pPr>
            <w:r w:rsidRPr="00D11078">
              <w:rPr>
                <w:b/>
                <w:color w:val="FFFFFF"/>
              </w:rPr>
              <w:t>Therm</w:t>
            </w:r>
          </w:p>
        </w:tc>
        <w:tc>
          <w:tcPr>
            <w:tcW w:w="1700" w:type="dxa"/>
            <w:vMerge/>
            <w:tcBorders>
              <w:bottom w:val="single" w:sz="12" w:space="0" w:color="95D600"/>
            </w:tcBorders>
            <w:shd w:val="clear" w:color="auto" w:fill="auto"/>
            <w:hideMark/>
          </w:tcPr>
          <w:p w14:paraId="47B946C2" w14:textId="77777777" w:rsidR="00E01C42" w:rsidRPr="00C057BD" w:rsidRDefault="00E01C42" w:rsidP="008C0AC4">
            <w:pPr>
              <w:spacing w:before="40" w:after="40"/>
              <w:jc w:val="center"/>
            </w:pPr>
          </w:p>
        </w:tc>
      </w:tr>
      <w:tr w:rsidR="002544A3" w:rsidRPr="00C057BD" w14:paraId="741D38BB" w14:textId="77777777" w:rsidTr="008C0AC4">
        <w:trPr>
          <w:cantSplit/>
          <w:trHeight w:val="738"/>
          <w:jc w:val="center"/>
        </w:trPr>
        <w:tc>
          <w:tcPr>
            <w:tcW w:w="1120" w:type="dxa"/>
            <w:tcBorders>
              <w:top w:val="single" w:sz="12" w:space="0" w:color="95D600"/>
            </w:tcBorders>
            <w:shd w:val="clear" w:color="auto" w:fill="FFFFFF"/>
            <w:hideMark/>
          </w:tcPr>
          <w:p w14:paraId="066A7CA0" w14:textId="77777777" w:rsidR="00E01C42" w:rsidRPr="00C057BD" w:rsidRDefault="00E01C42" w:rsidP="008C0AC4">
            <w:pPr>
              <w:spacing w:before="40" w:after="40"/>
              <w:jc w:val="center"/>
            </w:pPr>
            <w:r w:rsidRPr="00C057BD">
              <w:t>COM</w:t>
            </w:r>
          </w:p>
        </w:tc>
        <w:tc>
          <w:tcPr>
            <w:tcW w:w="1524" w:type="dxa"/>
            <w:tcBorders>
              <w:top w:val="single" w:sz="12" w:space="0" w:color="95D600"/>
            </w:tcBorders>
            <w:shd w:val="clear" w:color="auto" w:fill="FFFFFF"/>
            <w:hideMark/>
          </w:tcPr>
          <w:p w14:paraId="3E3BC49E" w14:textId="77777777" w:rsidR="00E01C42" w:rsidRPr="00C057BD" w:rsidRDefault="00E01C42" w:rsidP="008C0AC4">
            <w:pPr>
              <w:spacing w:before="40" w:after="40"/>
              <w:jc w:val="center"/>
            </w:pPr>
            <w:r w:rsidRPr="00C057BD">
              <w:t>Building Benchmarking</w:t>
            </w:r>
          </w:p>
        </w:tc>
        <w:tc>
          <w:tcPr>
            <w:tcW w:w="1002" w:type="dxa"/>
            <w:tcBorders>
              <w:top w:val="single" w:sz="12" w:space="0" w:color="95D600"/>
            </w:tcBorders>
            <w:shd w:val="clear" w:color="auto" w:fill="FFFFFF"/>
            <w:hideMark/>
          </w:tcPr>
          <w:p w14:paraId="15F2A79C" w14:textId="77777777" w:rsidR="00E01C42" w:rsidRPr="00C057BD" w:rsidRDefault="00E01C42" w:rsidP="008C0AC4">
            <w:pPr>
              <w:spacing w:before="40" w:after="40"/>
              <w:jc w:val="center"/>
            </w:pPr>
            <w:r>
              <w:t>2</w:t>
            </w:r>
          </w:p>
        </w:tc>
        <w:tc>
          <w:tcPr>
            <w:tcW w:w="949" w:type="dxa"/>
            <w:tcBorders>
              <w:top w:val="single" w:sz="12" w:space="0" w:color="95D600"/>
            </w:tcBorders>
            <w:shd w:val="clear" w:color="auto" w:fill="FFFFFF"/>
            <w:hideMark/>
          </w:tcPr>
          <w:p w14:paraId="1914C6B8" w14:textId="77777777" w:rsidR="00E01C42" w:rsidRPr="00C057BD" w:rsidRDefault="00E01C42" w:rsidP="008C0AC4">
            <w:pPr>
              <w:spacing w:before="40" w:after="40"/>
              <w:jc w:val="center"/>
            </w:pPr>
            <w:r w:rsidRPr="00C057BD">
              <w:t>1.1%-2.2%</w:t>
            </w:r>
          </w:p>
        </w:tc>
        <w:tc>
          <w:tcPr>
            <w:tcW w:w="1121" w:type="dxa"/>
            <w:tcBorders>
              <w:top w:val="single" w:sz="12" w:space="0" w:color="95D600"/>
            </w:tcBorders>
            <w:shd w:val="clear" w:color="auto" w:fill="FFFFFF"/>
            <w:hideMark/>
          </w:tcPr>
          <w:p w14:paraId="4D18396A" w14:textId="77777777" w:rsidR="00E01C42" w:rsidRPr="00C057BD" w:rsidRDefault="00E01C42" w:rsidP="008C0AC4">
            <w:pPr>
              <w:spacing w:before="40" w:after="40"/>
              <w:jc w:val="center"/>
            </w:pPr>
            <w:r w:rsidRPr="00C057BD">
              <w:t>0.7%-1.3%</w:t>
            </w:r>
          </w:p>
        </w:tc>
        <w:tc>
          <w:tcPr>
            <w:tcW w:w="960" w:type="dxa"/>
            <w:tcBorders>
              <w:top w:val="single" w:sz="12" w:space="0" w:color="95D600"/>
            </w:tcBorders>
            <w:shd w:val="clear" w:color="auto" w:fill="FFFFFF"/>
            <w:hideMark/>
          </w:tcPr>
          <w:p w14:paraId="355F76AB" w14:textId="77777777" w:rsidR="00E01C42" w:rsidRPr="00C057BD" w:rsidRDefault="00E01C42" w:rsidP="008C0AC4">
            <w:pPr>
              <w:spacing w:before="40" w:after="40"/>
              <w:jc w:val="center"/>
            </w:pPr>
            <w:r>
              <w:t>$0.0396</w:t>
            </w:r>
          </w:p>
        </w:tc>
        <w:tc>
          <w:tcPr>
            <w:tcW w:w="1106" w:type="dxa"/>
            <w:tcBorders>
              <w:top w:val="single" w:sz="12" w:space="0" w:color="95D600"/>
            </w:tcBorders>
            <w:shd w:val="clear" w:color="auto" w:fill="FFFFFF"/>
            <w:hideMark/>
          </w:tcPr>
          <w:p w14:paraId="2A584BD3" w14:textId="77777777" w:rsidR="00E01C42" w:rsidRPr="00D11078" w:rsidRDefault="00E01C42" w:rsidP="008C0AC4">
            <w:pPr>
              <w:spacing w:before="40" w:after="40"/>
              <w:jc w:val="center"/>
              <w:rPr>
                <w:highlight w:val="red"/>
              </w:rPr>
            </w:pPr>
            <w:r w:rsidRPr="00C057BD">
              <w:t>$0.</w:t>
            </w:r>
            <w:r>
              <w:t>2352</w:t>
            </w:r>
            <w:r w:rsidRPr="00D11078">
              <w:rPr>
                <w:highlight w:val="red"/>
              </w:rPr>
              <w:t xml:space="preserve"> </w:t>
            </w:r>
          </w:p>
        </w:tc>
        <w:tc>
          <w:tcPr>
            <w:tcW w:w="1700" w:type="dxa"/>
            <w:tcBorders>
              <w:top w:val="single" w:sz="12" w:space="0" w:color="95D600"/>
            </w:tcBorders>
            <w:shd w:val="clear" w:color="auto" w:fill="FFFFFF"/>
            <w:hideMark/>
          </w:tcPr>
          <w:p w14:paraId="18619EFE" w14:textId="77777777" w:rsidR="00E01C42" w:rsidRPr="00C057BD" w:rsidRDefault="00E01C42" w:rsidP="008C0AC4">
            <w:pPr>
              <w:spacing w:before="40" w:after="40"/>
              <w:jc w:val="center"/>
            </w:pPr>
            <w:r w:rsidRPr="00C057BD">
              <w:t>0.0001261</w:t>
            </w:r>
          </w:p>
        </w:tc>
      </w:tr>
    </w:tbl>
    <w:p w14:paraId="2016628F" w14:textId="77777777" w:rsidR="00E01C42" w:rsidRDefault="00E01C42" w:rsidP="00E01C42">
      <w:pPr>
        <w:rPr>
          <w:rFonts w:ascii="Times New Roman" w:hAnsi="Times New Roman"/>
        </w:rPr>
      </w:pPr>
    </w:p>
    <w:p w14:paraId="15CFCEE9" w14:textId="77777777" w:rsidR="00E01C42" w:rsidRDefault="00E01C42" w:rsidP="00E01C42">
      <w:pPr>
        <w:rPr>
          <w:b/>
        </w:rPr>
      </w:pPr>
      <w:r w:rsidRPr="00DF089C">
        <w:rPr>
          <w:b/>
        </w:rPr>
        <w:t>Assumptions and Methodology</w:t>
      </w:r>
    </w:p>
    <w:p w14:paraId="604174A5" w14:textId="77777777" w:rsidR="00E01C42" w:rsidRPr="00DF089C" w:rsidRDefault="00E01C42" w:rsidP="00E01C42">
      <w:pPr>
        <w:rPr>
          <w:b/>
        </w:rPr>
      </w:pPr>
    </w:p>
    <w:p w14:paraId="4A24BA07" w14:textId="77777777" w:rsidR="00E01C42" w:rsidRDefault="00E01C42" w:rsidP="00E01C42">
      <w:pPr>
        <w:rPr>
          <w:b/>
          <w:i/>
          <w:szCs w:val="20"/>
        </w:rPr>
      </w:pPr>
      <w:r w:rsidRPr="00DF089C">
        <w:rPr>
          <w:b/>
          <w:i/>
          <w:szCs w:val="20"/>
        </w:rPr>
        <w:t>Eligibility and Participation</w:t>
      </w:r>
    </w:p>
    <w:p w14:paraId="7E018172" w14:textId="77777777" w:rsidR="00E01C42" w:rsidRDefault="00E01C42" w:rsidP="00E01C42">
      <w:pPr>
        <w:rPr>
          <w:szCs w:val="20"/>
        </w:rPr>
      </w:pPr>
      <w:r w:rsidRPr="0097738B">
        <w:rPr>
          <w:szCs w:val="20"/>
        </w:rPr>
        <w:t>In San Francisco</w:t>
      </w:r>
      <w:r>
        <w:rPr>
          <w:szCs w:val="20"/>
        </w:rPr>
        <w:t>,</w:t>
      </w:r>
      <w:r w:rsidRPr="0097738B">
        <w:rPr>
          <w:szCs w:val="20"/>
        </w:rPr>
        <w:t xml:space="preserve"> there is a benchmarking ordinance for any building over 10,000 sq</w:t>
      </w:r>
      <w:r>
        <w:rPr>
          <w:szCs w:val="20"/>
        </w:rPr>
        <w:t>.</w:t>
      </w:r>
      <w:r w:rsidRPr="0097738B">
        <w:rPr>
          <w:szCs w:val="20"/>
        </w:rPr>
        <w:t xml:space="preserve"> ft. According to the EIA</w:t>
      </w:r>
      <w:r>
        <w:rPr>
          <w:szCs w:val="20"/>
        </w:rPr>
        <w:t>,</w:t>
      </w:r>
      <w:r w:rsidRPr="0097738B">
        <w:rPr>
          <w:szCs w:val="20"/>
        </w:rPr>
        <w:t xml:space="preserve"> approximately 20% of all commercial buildings are under 10,000 sq</w:t>
      </w:r>
      <w:r>
        <w:rPr>
          <w:szCs w:val="20"/>
        </w:rPr>
        <w:t>.</w:t>
      </w:r>
      <w:r w:rsidRPr="0097738B">
        <w:rPr>
          <w:szCs w:val="20"/>
        </w:rPr>
        <w:t xml:space="preserve"> ft.</w:t>
      </w:r>
      <w:r w:rsidR="0020306B">
        <w:rPr>
          <w:rStyle w:val="FootnoteReference"/>
          <w:szCs w:val="20"/>
        </w:rPr>
        <w:footnoteReference w:id="149"/>
      </w:r>
      <w:r w:rsidR="0020306B">
        <w:rPr>
          <w:szCs w:val="20"/>
        </w:rPr>
        <w:t xml:space="preserve"> </w:t>
      </w:r>
      <w:r w:rsidRPr="0097738B">
        <w:rPr>
          <w:szCs w:val="20"/>
        </w:rPr>
        <w:t>While any building and business type may be subject to benchmarking, reliable savings data exists for the following: colleges, healthcare, lodging, large offices, retail, and schools. For these sectors</w:t>
      </w:r>
      <w:r>
        <w:rPr>
          <w:szCs w:val="20"/>
        </w:rPr>
        <w:t>,</w:t>
      </w:r>
      <w:r w:rsidRPr="0097738B">
        <w:rPr>
          <w:szCs w:val="20"/>
        </w:rPr>
        <w:t xml:space="preserve"> we applied CBECS data to determine applicability.</w:t>
      </w:r>
      <w:r>
        <w:rPr>
          <w:rStyle w:val="FootnoteReference"/>
          <w:szCs w:val="20"/>
        </w:rPr>
        <w:footnoteReference w:id="150"/>
      </w:r>
      <w:r>
        <w:rPr>
          <w:szCs w:val="20"/>
        </w:rPr>
        <w:t xml:space="preserve"> For instance, we applied</w:t>
      </w:r>
      <w:r w:rsidRPr="0097738B">
        <w:rPr>
          <w:szCs w:val="20"/>
        </w:rPr>
        <w:t xml:space="preserve"> 100% applicability for both fuel types to colleges, while for retail we </w:t>
      </w:r>
      <w:r>
        <w:rPr>
          <w:szCs w:val="20"/>
        </w:rPr>
        <w:t>estimated</w:t>
      </w:r>
      <w:r w:rsidRPr="0097738B">
        <w:rPr>
          <w:szCs w:val="20"/>
        </w:rPr>
        <w:t xml:space="preserve"> 35% applicability since CBECS data </w:t>
      </w:r>
      <w:r>
        <w:rPr>
          <w:szCs w:val="20"/>
        </w:rPr>
        <w:t>indicates that roughly 35% of all retail buildings exceed 10,000 sq. ft. For health</w:t>
      </w:r>
      <w:r w:rsidRPr="0097738B">
        <w:rPr>
          <w:szCs w:val="20"/>
        </w:rPr>
        <w:t>care</w:t>
      </w:r>
      <w:r>
        <w:rPr>
          <w:szCs w:val="20"/>
        </w:rPr>
        <w:t>,</w:t>
      </w:r>
      <w:r w:rsidRPr="0097738B">
        <w:rPr>
          <w:szCs w:val="20"/>
        </w:rPr>
        <w:t xml:space="preserve"> we </w:t>
      </w:r>
      <w:r>
        <w:rPr>
          <w:szCs w:val="20"/>
        </w:rPr>
        <w:t>used CBECS data to ascertain the proportion of electricity and natural gas consumed by large inpatient facilities. This information suggests that roughly</w:t>
      </w:r>
      <w:r w:rsidRPr="0097738B">
        <w:rPr>
          <w:szCs w:val="20"/>
        </w:rPr>
        <w:t xml:space="preserve"> 69%</w:t>
      </w:r>
      <w:r>
        <w:rPr>
          <w:szCs w:val="20"/>
        </w:rPr>
        <w:t xml:space="preserve"> of all electricity and </w:t>
      </w:r>
      <w:r w:rsidRPr="0097738B">
        <w:rPr>
          <w:szCs w:val="20"/>
        </w:rPr>
        <w:t xml:space="preserve">83% </w:t>
      </w:r>
      <w:r>
        <w:rPr>
          <w:szCs w:val="20"/>
        </w:rPr>
        <w:t>of natural</w:t>
      </w:r>
      <w:r w:rsidRPr="0097738B">
        <w:rPr>
          <w:szCs w:val="20"/>
        </w:rPr>
        <w:t xml:space="preserve"> gas</w:t>
      </w:r>
      <w:r>
        <w:rPr>
          <w:szCs w:val="20"/>
        </w:rPr>
        <w:t xml:space="preserve"> used in the healthcare sector is consumed by large healthcare facilities.</w:t>
      </w:r>
      <w:r w:rsidRPr="0097738B">
        <w:rPr>
          <w:szCs w:val="20"/>
        </w:rPr>
        <w:t xml:space="preserve"> School applicability is assumed to be 90% after a 10% reduction to account for smaller private learning centers.</w:t>
      </w:r>
    </w:p>
    <w:p w14:paraId="1ACFE9A1" w14:textId="77777777" w:rsidR="00E01C42" w:rsidRPr="0097738B" w:rsidRDefault="00E01C42" w:rsidP="00E01C42">
      <w:pPr>
        <w:rPr>
          <w:szCs w:val="20"/>
        </w:rPr>
      </w:pPr>
    </w:p>
    <w:p w14:paraId="354278AA" w14:textId="77777777" w:rsidR="00E01C42" w:rsidRDefault="00E01C42" w:rsidP="00E01C42">
      <w:pPr>
        <w:rPr>
          <w:szCs w:val="20"/>
        </w:rPr>
      </w:pPr>
      <w:r w:rsidRPr="0097738B">
        <w:rPr>
          <w:szCs w:val="20"/>
        </w:rPr>
        <w:t>Pro</w:t>
      </w:r>
      <w:r>
        <w:rPr>
          <w:szCs w:val="20"/>
        </w:rPr>
        <w:t>jected penetration rates for the</w:t>
      </w:r>
      <w:r w:rsidRPr="0097738B">
        <w:rPr>
          <w:szCs w:val="20"/>
        </w:rPr>
        <w:t xml:space="preserve"> reference scenario assume a constant 0% for </w:t>
      </w:r>
      <w:r w:rsidR="00DC29A4">
        <w:rPr>
          <w:szCs w:val="20"/>
        </w:rPr>
        <w:t>all utilities to reflect uncertainty in whether the utilities will be able to claim savings from these initiatives if benchmarking is mandated by some level of government</w:t>
      </w:r>
      <w:r w:rsidRPr="0097738B">
        <w:rPr>
          <w:szCs w:val="20"/>
        </w:rPr>
        <w:t>. For the aggressive scenario, PG&amp;E begins with 7.</w:t>
      </w:r>
      <w:r w:rsidR="00DC29A4">
        <w:rPr>
          <w:szCs w:val="20"/>
        </w:rPr>
        <w:t>9</w:t>
      </w:r>
      <w:r w:rsidRPr="0097738B">
        <w:rPr>
          <w:szCs w:val="20"/>
        </w:rPr>
        <w:t>%</w:t>
      </w:r>
      <w:r w:rsidR="00DC29A4">
        <w:rPr>
          <w:szCs w:val="20"/>
        </w:rPr>
        <w:t xml:space="preserve"> </w:t>
      </w:r>
      <w:r w:rsidR="00DC29A4">
        <w:rPr>
          <w:szCs w:val="20"/>
        </w:rPr>
        <w:lastRenderedPageBreak/>
        <w:t>penetration</w:t>
      </w:r>
      <w:r w:rsidRPr="0097738B">
        <w:rPr>
          <w:szCs w:val="20"/>
        </w:rPr>
        <w:t>, but then climbs to 15</w:t>
      </w:r>
      <w:r w:rsidR="00DC29A4">
        <w:rPr>
          <w:szCs w:val="20"/>
        </w:rPr>
        <w:t>.7</w:t>
      </w:r>
      <w:r w:rsidRPr="0097738B">
        <w:rPr>
          <w:szCs w:val="20"/>
        </w:rPr>
        <w:t>% in 2020 and 2</w:t>
      </w:r>
      <w:r w:rsidR="00DC29A4">
        <w:rPr>
          <w:szCs w:val="20"/>
        </w:rPr>
        <w:t>3.6</w:t>
      </w:r>
      <w:r w:rsidRPr="0097738B">
        <w:rPr>
          <w:szCs w:val="20"/>
        </w:rPr>
        <w:t xml:space="preserve">% in 2025. The </w:t>
      </w:r>
      <w:r>
        <w:rPr>
          <w:szCs w:val="20"/>
        </w:rPr>
        <w:t xml:space="preserve">aggressive scenario for the </w:t>
      </w:r>
      <w:r w:rsidRPr="0097738B">
        <w:rPr>
          <w:szCs w:val="20"/>
        </w:rPr>
        <w:t>other three utilities are 7.</w:t>
      </w:r>
      <w:r w:rsidR="00DC29A4">
        <w:rPr>
          <w:szCs w:val="20"/>
        </w:rPr>
        <w:t>9</w:t>
      </w:r>
      <w:r w:rsidRPr="0097738B">
        <w:rPr>
          <w:szCs w:val="20"/>
        </w:rPr>
        <w:t xml:space="preserve">% </w:t>
      </w:r>
      <w:r w:rsidR="00DC29A4">
        <w:rPr>
          <w:szCs w:val="20"/>
        </w:rPr>
        <w:t>in</w:t>
      </w:r>
      <w:r w:rsidRPr="0097738B">
        <w:rPr>
          <w:szCs w:val="20"/>
        </w:rPr>
        <w:t xml:space="preserve"> 2019 and 15</w:t>
      </w:r>
      <w:r w:rsidR="00DC29A4">
        <w:rPr>
          <w:szCs w:val="20"/>
        </w:rPr>
        <w:t>.7</w:t>
      </w:r>
      <w:r w:rsidRPr="0097738B">
        <w:rPr>
          <w:szCs w:val="20"/>
        </w:rPr>
        <w:t xml:space="preserve">% </w:t>
      </w:r>
      <w:r w:rsidR="00DC29A4">
        <w:rPr>
          <w:szCs w:val="20"/>
        </w:rPr>
        <w:t xml:space="preserve">starting in </w:t>
      </w:r>
      <w:r w:rsidRPr="0097738B">
        <w:rPr>
          <w:szCs w:val="20"/>
        </w:rPr>
        <w:t>2024.</w:t>
      </w:r>
    </w:p>
    <w:p w14:paraId="521BEDEB" w14:textId="77777777" w:rsidR="00E01C42" w:rsidRPr="0097738B" w:rsidRDefault="00E01C42" w:rsidP="00E01C42">
      <w:pPr>
        <w:rPr>
          <w:szCs w:val="20"/>
        </w:rPr>
      </w:pPr>
    </w:p>
    <w:p w14:paraId="14833A3F" w14:textId="77777777" w:rsidR="00E01C42" w:rsidRDefault="00E01C42" w:rsidP="00122CD3">
      <w:pPr>
        <w:keepNext/>
        <w:rPr>
          <w:szCs w:val="20"/>
        </w:rPr>
      </w:pPr>
      <w:r>
        <w:rPr>
          <w:b/>
          <w:i/>
          <w:szCs w:val="20"/>
        </w:rPr>
        <w:t>Savings</w:t>
      </w:r>
    </w:p>
    <w:p w14:paraId="095E4F9E" w14:textId="77777777" w:rsidR="00E01C42" w:rsidRDefault="00E01C42" w:rsidP="00122CD3">
      <w:pPr>
        <w:keepLines/>
        <w:rPr>
          <w:szCs w:val="20"/>
        </w:rPr>
      </w:pPr>
      <w:r w:rsidRPr="0097738B">
        <w:rPr>
          <w:szCs w:val="20"/>
        </w:rPr>
        <w:t>Estimated electric savings range from 1.1%</w:t>
      </w:r>
      <w:r>
        <w:rPr>
          <w:szCs w:val="20"/>
        </w:rPr>
        <w:t xml:space="preserve"> to </w:t>
      </w:r>
      <w:r w:rsidRPr="0097738B">
        <w:rPr>
          <w:szCs w:val="20"/>
        </w:rPr>
        <w:t xml:space="preserve">2.2%, while gas savings </w:t>
      </w:r>
      <w:r>
        <w:rPr>
          <w:szCs w:val="20"/>
        </w:rPr>
        <w:t xml:space="preserve">range from </w:t>
      </w:r>
      <w:r w:rsidRPr="0097738B">
        <w:rPr>
          <w:szCs w:val="20"/>
        </w:rPr>
        <w:t>0.7%</w:t>
      </w:r>
      <w:r>
        <w:rPr>
          <w:szCs w:val="20"/>
        </w:rPr>
        <w:t xml:space="preserve"> to </w:t>
      </w:r>
      <w:r w:rsidRPr="0097738B">
        <w:rPr>
          <w:szCs w:val="20"/>
        </w:rPr>
        <w:t>1.3% and are applied consistently by building and fuel type across utilities.</w:t>
      </w:r>
      <w:r>
        <w:rPr>
          <w:szCs w:val="20"/>
        </w:rPr>
        <w:t xml:space="preserve"> </w:t>
      </w:r>
      <w:r w:rsidRPr="0097738B">
        <w:rPr>
          <w:szCs w:val="20"/>
        </w:rPr>
        <w:t>Savings estimates are based on actual</w:t>
      </w:r>
      <w:r w:rsidR="000922F6">
        <w:rPr>
          <w:szCs w:val="20"/>
        </w:rPr>
        <w:t xml:space="preserve"> </w:t>
      </w:r>
      <w:r w:rsidRPr="0097738B">
        <w:rPr>
          <w:szCs w:val="20"/>
        </w:rPr>
        <w:t>savings levels from city benchmarking reports.</w:t>
      </w:r>
      <w:r>
        <w:rPr>
          <w:rStyle w:val="FootnoteReference"/>
          <w:szCs w:val="20"/>
        </w:rPr>
        <w:footnoteReference w:id="151"/>
      </w:r>
      <w:r>
        <w:rPr>
          <w:szCs w:val="20"/>
          <w:vertAlign w:val="superscript"/>
        </w:rPr>
        <w:t>,</w:t>
      </w:r>
      <w:r>
        <w:rPr>
          <w:rStyle w:val="FootnoteReference"/>
          <w:szCs w:val="20"/>
        </w:rPr>
        <w:footnoteReference w:id="152"/>
      </w:r>
      <w:r>
        <w:rPr>
          <w:szCs w:val="20"/>
          <w:vertAlign w:val="superscript"/>
        </w:rPr>
        <w:t>,</w:t>
      </w:r>
      <w:r>
        <w:rPr>
          <w:rStyle w:val="FootnoteReference"/>
          <w:szCs w:val="20"/>
        </w:rPr>
        <w:footnoteReference w:id="153"/>
      </w:r>
      <w:r>
        <w:rPr>
          <w:szCs w:val="20"/>
          <w:vertAlign w:val="superscript"/>
        </w:rPr>
        <w:t>,</w:t>
      </w:r>
      <w:r>
        <w:rPr>
          <w:rStyle w:val="FootnoteReference"/>
          <w:szCs w:val="20"/>
        </w:rPr>
        <w:footnoteReference w:id="154"/>
      </w:r>
      <w:r>
        <w:rPr>
          <w:szCs w:val="20"/>
          <w:vertAlign w:val="superscript"/>
        </w:rPr>
        <w:t>,</w:t>
      </w:r>
      <w:r>
        <w:rPr>
          <w:rStyle w:val="FootnoteReference"/>
          <w:szCs w:val="20"/>
        </w:rPr>
        <w:footnoteReference w:id="155"/>
      </w:r>
      <w:r w:rsidRPr="0097738B">
        <w:rPr>
          <w:szCs w:val="20"/>
        </w:rPr>
        <w:t xml:space="preserve"> We divide</w:t>
      </w:r>
      <w:r>
        <w:rPr>
          <w:szCs w:val="20"/>
        </w:rPr>
        <w:t>d reported savings in</w:t>
      </w:r>
      <w:r w:rsidRPr="0097738B">
        <w:rPr>
          <w:szCs w:val="20"/>
        </w:rPr>
        <w:t xml:space="preserve"> half because we assum</w:t>
      </w:r>
      <w:r w:rsidR="00DC29A4">
        <w:rPr>
          <w:szCs w:val="20"/>
        </w:rPr>
        <w:t>e</w:t>
      </w:r>
      <w:r w:rsidRPr="0097738B">
        <w:rPr>
          <w:szCs w:val="20"/>
        </w:rPr>
        <w:t xml:space="preserve"> that half of the savings come from technologies </w:t>
      </w:r>
      <w:r>
        <w:rPr>
          <w:szCs w:val="20"/>
        </w:rPr>
        <w:t>and half from operation-related</w:t>
      </w:r>
      <w:r w:rsidRPr="0097738B">
        <w:rPr>
          <w:szCs w:val="20"/>
        </w:rPr>
        <w:t xml:space="preserve"> behaviors. Furthermore, we have applied a consistent split of 60% electric savings and 40% gas savings.</w:t>
      </w:r>
      <w:r>
        <w:rPr>
          <w:szCs w:val="20"/>
        </w:rPr>
        <w:t xml:space="preserve"> This likely </w:t>
      </w:r>
      <w:r w:rsidRPr="0097738B">
        <w:rPr>
          <w:szCs w:val="20"/>
        </w:rPr>
        <w:t>varies by building type</w:t>
      </w:r>
      <w:r>
        <w:rPr>
          <w:szCs w:val="20"/>
        </w:rPr>
        <w:t>,</w:t>
      </w:r>
      <w:r w:rsidRPr="0097738B">
        <w:rPr>
          <w:szCs w:val="20"/>
        </w:rPr>
        <w:t xml:space="preserve"> but</w:t>
      </w:r>
      <w:r>
        <w:rPr>
          <w:szCs w:val="20"/>
        </w:rPr>
        <w:t xml:space="preserve"> as these data were not available</w:t>
      </w:r>
      <w:r w:rsidRPr="0097738B">
        <w:rPr>
          <w:szCs w:val="20"/>
        </w:rPr>
        <w:t xml:space="preserve"> we have not made this calculation based on specific building-type consumption information.</w:t>
      </w:r>
    </w:p>
    <w:p w14:paraId="022113E1" w14:textId="77777777" w:rsidR="00E01C42" w:rsidRPr="0097738B" w:rsidRDefault="00E01C42" w:rsidP="00E01C42">
      <w:pPr>
        <w:rPr>
          <w:szCs w:val="20"/>
        </w:rPr>
      </w:pPr>
    </w:p>
    <w:p w14:paraId="4A044A0C" w14:textId="77777777" w:rsidR="00E01C42" w:rsidRDefault="00E01C42" w:rsidP="00E01C42">
      <w:pPr>
        <w:rPr>
          <w:szCs w:val="20"/>
        </w:rPr>
      </w:pPr>
      <w:r w:rsidRPr="0097738B">
        <w:rPr>
          <w:szCs w:val="20"/>
        </w:rPr>
        <w:t xml:space="preserve">The model uses an EUL of </w:t>
      </w:r>
      <w:r>
        <w:rPr>
          <w:szCs w:val="20"/>
        </w:rPr>
        <w:t>two</w:t>
      </w:r>
      <w:r w:rsidRPr="0097738B">
        <w:rPr>
          <w:szCs w:val="20"/>
        </w:rPr>
        <w:t xml:space="preserve"> year</w:t>
      </w:r>
      <w:r>
        <w:rPr>
          <w:szCs w:val="20"/>
        </w:rPr>
        <w:t xml:space="preserve">s </w:t>
      </w:r>
      <w:r>
        <w:t>per CPUC Decision 16-08-019.</w:t>
      </w:r>
    </w:p>
    <w:p w14:paraId="219987C1" w14:textId="77777777" w:rsidR="00E01C42" w:rsidRPr="0097738B" w:rsidRDefault="00E01C42" w:rsidP="00E01C42">
      <w:pPr>
        <w:rPr>
          <w:szCs w:val="20"/>
        </w:rPr>
      </w:pPr>
    </w:p>
    <w:p w14:paraId="19F9B5FB" w14:textId="77777777" w:rsidR="00E01C42" w:rsidRDefault="00E01C42" w:rsidP="00E01C42">
      <w:pPr>
        <w:rPr>
          <w:szCs w:val="20"/>
        </w:rPr>
      </w:pPr>
      <w:r w:rsidRPr="0097738B">
        <w:rPr>
          <w:szCs w:val="20"/>
        </w:rPr>
        <w:t xml:space="preserve">Because no demand savings data was available for Benchmarking, we averaged the ratio of kW to kWh savings calculated for BEIMS, BOC, and Strategic Energy Management. This yielded 0.0001261, which is the figure used for all </w:t>
      </w:r>
      <w:r>
        <w:rPr>
          <w:szCs w:val="20"/>
        </w:rPr>
        <w:t>three electric</w:t>
      </w:r>
      <w:r w:rsidRPr="0097738B">
        <w:rPr>
          <w:szCs w:val="20"/>
        </w:rPr>
        <w:t xml:space="preserve"> utilities.</w:t>
      </w:r>
    </w:p>
    <w:p w14:paraId="1BC720DF" w14:textId="77777777" w:rsidR="00E01C42" w:rsidRPr="0097738B" w:rsidRDefault="00E01C42" w:rsidP="00E01C42">
      <w:pPr>
        <w:rPr>
          <w:szCs w:val="20"/>
        </w:rPr>
      </w:pPr>
    </w:p>
    <w:p w14:paraId="4144D7D0" w14:textId="77777777" w:rsidR="00E01C42" w:rsidRPr="00E54D1C" w:rsidRDefault="00E01C42" w:rsidP="00E01C42">
      <w:pPr>
        <w:rPr>
          <w:b/>
          <w:i/>
          <w:szCs w:val="20"/>
        </w:rPr>
      </w:pPr>
      <w:r>
        <w:rPr>
          <w:b/>
          <w:i/>
          <w:szCs w:val="20"/>
        </w:rPr>
        <w:t>Cost</w:t>
      </w:r>
    </w:p>
    <w:p w14:paraId="09182760" w14:textId="77777777" w:rsidR="00E01C42" w:rsidRDefault="00E01C42" w:rsidP="00E01C42">
      <w:r>
        <w:rPr>
          <w:szCs w:val="20"/>
        </w:rPr>
        <w:t>Available data suggest that benchmarking programs often include a utility in concert with a municipality. Our estimates used PG&amp;E’s estimated 3-year program budget of $2.3 million.</w:t>
      </w:r>
      <w:r>
        <w:rPr>
          <w:rStyle w:val="FootnoteReference"/>
          <w:szCs w:val="20"/>
        </w:rPr>
        <w:footnoteReference w:id="156"/>
      </w:r>
      <w:r>
        <w:rPr>
          <w:szCs w:val="20"/>
        </w:rPr>
        <w:t xml:space="preserve"> Attributing all costs to either electricity or gas, this utility program cost was divided by estimated savings to calculate a per unit savings cost. Costs amounted to $0.0396 per kWh and </w:t>
      </w:r>
      <w:r w:rsidRPr="0097738B">
        <w:rPr>
          <w:szCs w:val="20"/>
        </w:rPr>
        <w:t>$0.</w:t>
      </w:r>
      <w:r>
        <w:rPr>
          <w:szCs w:val="20"/>
        </w:rPr>
        <w:t xml:space="preserve">2352 per </w:t>
      </w:r>
      <w:r w:rsidRPr="0097738B">
        <w:rPr>
          <w:szCs w:val="20"/>
        </w:rPr>
        <w:t xml:space="preserve">therm and are </w:t>
      </w:r>
      <w:r>
        <w:rPr>
          <w:szCs w:val="20"/>
        </w:rPr>
        <w:t xml:space="preserve">not </w:t>
      </w:r>
      <w:r w:rsidRPr="0097738B">
        <w:rPr>
          <w:szCs w:val="20"/>
        </w:rPr>
        <w:t>utility specific</w:t>
      </w:r>
      <w:r>
        <w:rPr>
          <w:szCs w:val="20"/>
        </w:rPr>
        <w:t>.</w:t>
      </w:r>
    </w:p>
    <w:p w14:paraId="7EAB350F" w14:textId="77777777" w:rsidR="00E01C42" w:rsidRDefault="00E01C42" w:rsidP="00E01C42">
      <w:pPr>
        <w:pStyle w:val="Heading6"/>
        <w:numPr>
          <w:ilvl w:val="5"/>
          <w:numId w:val="8"/>
        </w:numPr>
      </w:pPr>
      <w:bookmarkStart w:id="1057" w:name="_Toc480271814"/>
      <w:bookmarkStart w:id="1058" w:name="_Toc484183071"/>
      <w:bookmarkStart w:id="1059" w:name="_Toc490225837"/>
      <w:r>
        <w:t>Commercial - Competitions</w:t>
      </w:r>
      <w:bookmarkEnd w:id="1057"/>
      <w:bookmarkEnd w:id="1058"/>
      <w:bookmarkEnd w:id="1059"/>
    </w:p>
    <w:p w14:paraId="091F8095" w14:textId="77777777" w:rsidR="00E01C42" w:rsidRDefault="00E01C42" w:rsidP="00E01C42">
      <w:pPr>
        <w:rPr>
          <w:b/>
        </w:rPr>
      </w:pPr>
      <w:r w:rsidRPr="00DF089C">
        <w:rPr>
          <w:b/>
        </w:rPr>
        <w:t xml:space="preserve">Summary </w:t>
      </w:r>
    </w:p>
    <w:p w14:paraId="1894789F" w14:textId="77777777" w:rsidR="00E01C42" w:rsidRPr="00B11C52" w:rsidRDefault="00E01C42" w:rsidP="00E01C42"/>
    <w:p w14:paraId="12E430D9" w14:textId="77777777" w:rsidR="00E01C42" w:rsidRPr="00010B1C" w:rsidRDefault="00E01C42" w:rsidP="00E01C42">
      <w:pPr>
        <w:autoSpaceDE w:val="0"/>
        <w:autoSpaceDN w:val="0"/>
        <w:adjustRightInd w:val="0"/>
        <w:spacing w:line="240" w:lineRule="auto"/>
        <w:rPr>
          <w:szCs w:val="20"/>
        </w:rPr>
      </w:pPr>
      <w:r>
        <w:rPr>
          <w:szCs w:val="20"/>
        </w:rPr>
        <w:t>Commercial</w:t>
      </w:r>
      <w:r w:rsidRPr="00010B1C">
        <w:rPr>
          <w:szCs w:val="20"/>
        </w:rPr>
        <w:t xml:space="preserve"> competitions are a behavioral intervention approach in which participants compete in events, contests, or challenges to achieve a specific objective or the highest rank compared with other individuals or groups as they try to reach goals by reducing energy consumption. Competitions </w:t>
      </w:r>
      <w:r>
        <w:rPr>
          <w:szCs w:val="20"/>
        </w:rPr>
        <w:t>can run for varying time periods ranging from a single month to multiple years. They</w:t>
      </w:r>
      <w:r w:rsidRPr="00010B1C">
        <w:rPr>
          <w:szCs w:val="20"/>
        </w:rPr>
        <w:t xml:space="preserve"> can include a mix of behavioral strategies, including goal-setting, commitments, games, social norms, and feedback.</w:t>
      </w:r>
      <w:r>
        <w:rPr>
          <w:szCs w:val="20"/>
        </w:rPr>
        <w:t xml:space="preserve"> Those</w:t>
      </w:r>
      <w:r w:rsidRPr="009F4E52">
        <w:rPr>
          <w:szCs w:val="20"/>
        </w:rPr>
        <w:t xml:space="preserve"> designed to produce energy savings via equipment upgrades were not included in </w:t>
      </w:r>
      <w:r>
        <w:rPr>
          <w:szCs w:val="20"/>
        </w:rPr>
        <w:t>our</w:t>
      </w:r>
      <w:r w:rsidRPr="009F4E52">
        <w:rPr>
          <w:szCs w:val="20"/>
        </w:rPr>
        <w:t xml:space="preserve"> analysis.</w:t>
      </w:r>
    </w:p>
    <w:p w14:paraId="5732BA70" w14:textId="77777777" w:rsidR="00E01C42" w:rsidRDefault="00E01C42" w:rsidP="00E01C42">
      <w:pPr>
        <w:autoSpaceDE w:val="0"/>
        <w:autoSpaceDN w:val="0"/>
        <w:adjustRightInd w:val="0"/>
        <w:spacing w:line="240" w:lineRule="auto"/>
        <w:rPr>
          <w:szCs w:val="20"/>
        </w:rPr>
      </w:pPr>
    </w:p>
    <w:p w14:paraId="50275113" w14:textId="77777777" w:rsidR="00E01C42" w:rsidRPr="00B60FE1" w:rsidRDefault="00E01C42" w:rsidP="00E01C42">
      <w:pPr>
        <w:autoSpaceDE w:val="0"/>
        <w:autoSpaceDN w:val="0"/>
        <w:adjustRightInd w:val="0"/>
        <w:spacing w:line="240" w:lineRule="auto"/>
        <w:rPr>
          <w:szCs w:val="20"/>
        </w:rPr>
      </w:pPr>
      <w:r>
        <w:rPr>
          <w:szCs w:val="20"/>
        </w:rPr>
        <w:lastRenderedPageBreak/>
        <w:t>Co</w:t>
      </w:r>
      <w:r w:rsidRPr="00B60FE1">
        <w:rPr>
          <w:szCs w:val="20"/>
        </w:rPr>
        <w:t xml:space="preserve">mpetitions </w:t>
      </w:r>
      <w:r>
        <w:rPr>
          <w:szCs w:val="20"/>
        </w:rPr>
        <w:t xml:space="preserve">may be </w:t>
      </w:r>
      <w:r w:rsidRPr="00B60FE1">
        <w:rPr>
          <w:szCs w:val="20"/>
        </w:rPr>
        <w:t>designed differently depending upon the size</w:t>
      </w:r>
      <w:r>
        <w:rPr>
          <w:szCs w:val="20"/>
        </w:rPr>
        <w:t xml:space="preserve"> and nature</w:t>
      </w:r>
      <w:r w:rsidRPr="00B60FE1">
        <w:rPr>
          <w:szCs w:val="20"/>
        </w:rPr>
        <w:t xml:space="preserve"> of the targeted participant group. Small</w:t>
      </w:r>
      <w:r>
        <w:rPr>
          <w:szCs w:val="20"/>
        </w:rPr>
        <w:t>er</w:t>
      </w:r>
      <w:r w:rsidRPr="00B60FE1">
        <w:rPr>
          <w:szCs w:val="20"/>
        </w:rPr>
        <w:t xml:space="preserve"> scale competitions are designed to engage people in a deep way with a higher level of touches and a broad spectrum of behaviors that generate higher savings and serve as a model to get the larger population engaged. Large scale competitions engage greater numbers of people in a more superficial way and encourage a limited number of behaviors. </w:t>
      </w:r>
      <w:r>
        <w:rPr>
          <w:szCs w:val="20"/>
        </w:rPr>
        <w:t>Because we had limited data for this type of behavioral intervention all commercial competitions are considered as a single category.</w:t>
      </w:r>
    </w:p>
    <w:p w14:paraId="0F5E1F72" w14:textId="77777777" w:rsidR="00E01C42" w:rsidRPr="00B60FE1" w:rsidRDefault="00E01C42" w:rsidP="00E01C42">
      <w:pPr>
        <w:autoSpaceDE w:val="0"/>
        <w:autoSpaceDN w:val="0"/>
        <w:adjustRightInd w:val="0"/>
        <w:spacing w:line="240" w:lineRule="auto"/>
        <w:rPr>
          <w:szCs w:val="20"/>
        </w:rPr>
      </w:pPr>
    </w:p>
    <w:p w14:paraId="28E90E37" w14:textId="77777777" w:rsidR="00E01C42" w:rsidRDefault="00E01C42" w:rsidP="00E01C42">
      <w:pPr>
        <w:autoSpaceDE w:val="0"/>
        <w:autoSpaceDN w:val="0"/>
        <w:adjustRightInd w:val="0"/>
        <w:spacing w:line="240" w:lineRule="auto"/>
        <w:rPr>
          <w:szCs w:val="20"/>
        </w:rPr>
      </w:pPr>
      <w:r>
        <w:rPr>
          <w:szCs w:val="20"/>
        </w:rPr>
        <w:t>In additional to overall summary data available through the ACEEE</w:t>
      </w:r>
      <w:r>
        <w:rPr>
          <w:rStyle w:val="FootnoteReference"/>
          <w:szCs w:val="20"/>
        </w:rPr>
        <w:footnoteReference w:id="157"/>
      </w:r>
      <w:r>
        <w:rPr>
          <w:szCs w:val="20"/>
        </w:rPr>
        <w:t xml:space="preserve"> and the CEE,</w:t>
      </w:r>
      <w:r>
        <w:rPr>
          <w:rStyle w:val="FootnoteReference"/>
          <w:szCs w:val="20"/>
        </w:rPr>
        <w:footnoteReference w:id="158"/>
      </w:r>
      <w:r>
        <w:rPr>
          <w:szCs w:val="20"/>
        </w:rPr>
        <w:t xml:space="preserve"> we considered 10 different challenges, including the EPA’s </w:t>
      </w:r>
      <w:r w:rsidRPr="00820499">
        <w:rPr>
          <w:szCs w:val="20"/>
        </w:rPr>
        <w:t>Energy Star Building Competition</w:t>
      </w:r>
      <w:r>
        <w:rPr>
          <w:szCs w:val="20"/>
        </w:rPr>
        <w:t xml:space="preserve">, </w:t>
      </w:r>
      <w:r w:rsidRPr="00820499">
        <w:rPr>
          <w:szCs w:val="20"/>
        </w:rPr>
        <w:t>NEEA's Kilowatt Crackdown</w:t>
      </w:r>
      <w:r>
        <w:rPr>
          <w:szCs w:val="20"/>
        </w:rPr>
        <w:t xml:space="preserve">, </w:t>
      </w:r>
      <w:r w:rsidRPr="0087631A">
        <w:rPr>
          <w:szCs w:val="20"/>
        </w:rPr>
        <w:t>Chicago's Green Office Challenge</w:t>
      </w:r>
      <w:r>
        <w:rPr>
          <w:szCs w:val="20"/>
        </w:rPr>
        <w:t xml:space="preserve">, and PG&amp;E’s </w:t>
      </w:r>
      <w:r w:rsidRPr="0087631A">
        <w:rPr>
          <w:szCs w:val="20"/>
        </w:rPr>
        <w:t>Step Up and Power Down</w:t>
      </w:r>
      <w:r>
        <w:rPr>
          <w:szCs w:val="20"/>
        </w:rPr>
        <w:t xml:space="preserve"> pilot.</w:t>
      </w:r>
      <w:r>
        <w:rPr>
          <w:rStyle w:val="FootnoteReference"/>
          <w:szCs w:val="20"/>
        </w:rPr>
        <w:footnoteReference w:id="159"/>
      </w:r>
      <w:r>
        <w:rPr>
          <w:szCs w:val="20"/>
          <w:vertAlign w:val="superscript"/>
        </w:rPr>
        <w:t>,</w:t>
      </w:r>
      <w:r>
        <w:rPr>
          <w:rStyle w:val="FootnoteReference"/>
          <w:szCs w:val="20"/>
        </w:rPr>
        <w:footnoteReference w:id="160"/>
      </w:r>
      <w:r>
        <w:rPr>
          <w:szCs w:val="20"/>
        </w:rPr>
        <w:t xml:space="preserve"> </w:t>
      </w:r>
      <w:r w:rsidRPr="00B60FE1">
        <w:rPr>
          <w:szCs w:val="20"/>
        </w:rPr>
        <w:t>The completeness of data ava</w:t>
      </w:r>
      <w:r>
        <w:rPr>
          <w:szCs w:val="20"/>
        </w:rPr>
        <w:t>ilable on each program varied with some of the most robust data coming from Duke Energy’s Smart Energy Now effort in Charlotte, NC.</w:t>
      </w:r>
      <w:r>
        <w:rPr>
          <w:rStyle w:val="FootnoteReference"/>
          <w:szCs w:val="20"/>
        </w:rPr>
        <w:footnoteReference w:id="161"/>
      </w:r>
      <w:r>
        <w:rPr>
          <w:szCs w:val="20"/>
        </w:rPr>
        <w:t xml:space="preserve"> </w:t>
      </w:r>
    </w:p>
    <w:p w14:paraId="0FD3177E" w14:textId="77777777" w:rsidR="00E01C42" w:rsidRDefault="00E01C42" w:rsidP="00E01C42">
      <w:pPr>
        <w:autoSpaceDE w:val="0"/>
        <w:autoSpaceDN w:val="0"/>
        <w:adjustRightInd w:val="0"/>
        <w:spacing w:line="240" w:lineRule="auto"/>
        <w:rPr>
          <w:szCs w:val="20"/>
        </w:rPr>
      </w:pPr>
    </w:p>
    <w:p w14:paraId="30390980" w14:textId="77777777" w:rsidR="00E01C42" w:rsidRPr="00B57F57" w:rsidRDefault="004675B4" w:rsidP="00E01C42">
      <w:pPr>
        <w:pStyle w:val="Caption"/>
        <w:rPr>
          <w:b w:val="0"/>
          <w:szCs w:val="24"/>
        </w:rPr>
      </w:pPr>
      <w:bookmarkStart w:id="1060" w:name="_Toc490226036"/>
      <w:r>
        <w:t xml:space="preserve">Table </w:t>
      </w:r>
      <w:fldSimple w:instr=" STYLEREF 5 \s ">
        <w:r w:rsidR="007566B9">
          <w:rPr>
            <w:noProof/>
          </w:rPr>
          <w:t>C</w:t>
        </w:r>
      </w:fldSimple>
      <w:r>
        <w:noBreakHyphen/>
      </w:r>
      <w:fldSimple w:instr=" SEQ Table_Apx \* ARABIC \s 5 ">
        <w:r w:rsidR="007566B9">
          <w:rPr>
            <w:noProof/>
          </w:rPr>
          <w:t>9</w:t>
        </w:r>
      </w:fldSimple>
      <w:r>
        <w:t xml:space="preserve">. </w:t>
      </w:r>
      <w:r w:rsidR="00E01C42">
        <w:t>Commercial Competitions - Key Assumptions</w:t>
      </w:r>
      <w:bookmarkEnd w:id="1060"/>
    </w:p>
    <w:tbl>
      <w:tblPr>
        <w:tblStyle w:val="EnergyTable10"/>
        <w:tblW w:w="9482" w:type="dxa"/>
        <w:tblLook w:val="04A0" w:firstRow="1" w:lastRow="0" w:firstColumn="1" w:lastColumn="0" w:noHBand="0" w:noVBand="1"/>
      </w:tblPr>
      <w:tblGrid>
        <w:gridCol w:w="1109"/>
        <w:gridCol w:w="1506"/>
        <w:gridCol w:w="991"/>
        <w:gridCol w:w="937"/>
        <w:gridCol w:w="1217"/>
        <w:gridCol w:w="950"/>
        <w:gridCol w:w="1094"/>
        <w:gridCol w:w="1678"/>
      </w:tblGrid>
      <w:tr w:rsidR="002544A3" w:rsidRPr="00D46BA7" w14:paraId="106245BF" w14:textId="77777777" w:rsidTr="008C0AC4">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09" w:type="dxa"/>
            <w:vMerge w:val="restart"/>
            <w:hideMark/>
          </w:tcPr>
          <w:p w14:paraId="172E4D58" w14:textId="77777777" w:rsidR="00E01C42" w:rsidRPr="00D46BA7" w:rsidRDefault="00E01C42" w:rsidP="008C0AC4">
            <w:r w:rsidRPr="00D46BA7">
              <w:t>Sector</w:t>
            </w:r>
          </w:p>
        </w:tc>
        <w:tc>
          <w:tcPr>
            <w:tcW w:w="1506" w:type="dxa"/>
            <w:vMerge w:val="restart"/>
            <w:hideMark/>
          </w:tcPr>
          <w:p w14:paraId="6659D446" w14:textId="77777777" w:rsidR="00E01C42" w:rsidRPr="00D46BA7" w:rsidRDefault="00E01C42" w:rsidP="008C0AC4">
            <w:pPr>
              <w:cnfStyle w:val="100000000000" w:firstRow="1" w:lastRow="0" w:firstColumn="0" w:lastColumn="0" w:oddVBand="0" w:evenVBand="0" w:oddHBand="0" w:evenHBand="0" w:firstRowFirstColumn="0" w:firstRowLastColumn="0" w:lastRowFirstColumn="0" w:lastRowLastColumn="0"/>
            </w:pPr>
            <w:r w:rsidRPr="00D46BA7">
              <w:t>Type</w:t>
            </w:r>
          </w:p>
        </w:tc>
        <w:tc>
          <w:tcPr>
            <w:tcW w:w="991" w:type="dxa"/>
            <w:vMerge w:val="restart"/>
            <w:hideMark/>
          </w:tcPr>
          <w:p w14:paraId="1F31812F" w14:textId="77777777" w:rsidR="00E01C42" w:rsidRPr="00D46BA7" w:rsidRDefault="00E01C42" w:rsidP="008C0AC4">
            <w:pPr>
              <w:cnfStyle w:val="100000000000" w:firstRow="1" w:lastRow="0" w:firstColumn="0" w:lastColumn="0" w:oddVBand="0" w:evenVBand="0" w:oddHBand="0" w:evenHBand="0" w:firstRowFirstColumn="0" w:firstRowLastColumn="0" w:lastRowFirstColumn="0" w:lastRowLastColumn="0"/>
            </w:pPr>
            <w:r w:rsidRPr="00D46BA7">
              <w:t>EUL years</w:t>
            </w:r>
          </w:p>
        </w:tc>
        <w:tc>
          <w:tcPr>
            <w:tcW w:w="2154" w:type="dxa"/>
            <w:gridSpan w:val="2"/>
            <w:tcBorders>
              <w:bottom w:val="single" w:sz="2" w:space="0" w:color="FFFFFF" w:themeColor="background1"/>
            </w:tcBorders>
            <w:hideMark/>
          </w:tcPr>
          <w:p w14:paraId="4935B64D" w14:textId="77777777" w:rsidR="00E01C42" w:rsidRPr="00D46BA7" w:rsidRDefault="00E01C42" w:rsidP="008C0AC4">
            <w:pPr>
              <w:cnfStyle w:val="100000000000" w:firstRow="1" w:lastRow="0" w:firstColumn="0" w:lastColumn="0" w:oddVBand="0" w:evenVBand="0" w:oddHBand="0" w:evenHBand="0" w:firstRowFirstColumn="0" w:firstRowLastColumn="0" w:lastRowFirstColumn="0" w:lastRowLastColumn="0"/>
            </w:pPr>
            <w:r>
              <w:t>Savings</w:t>
            </w:r>
          </w:p>
        </w:tc>
        <w:tc>
          <w:tcPr>
            <w:tcW w:w="2044" w:type="dxa"/>
            <w:gridSpan w:val="2"/>
            <w:tcBorders>
              <w:bottom w:val="single" w:sz="2" w:space="0" w:color="FFFFFF" w:themeColor="background1"/>
            </w:tcBorders>
            <w:hideMark/>
          </w:tcPr>
          <w:p w14:paraId="2C9F73BA" w14:textId="77777777" w:rsidR="00E01C42" w:rsidRPr="00D46BA7" w:rsidRDefault="00E01C42" w:rsidP="008C0AC4">
            <w:pPr>
              <w:cnfStyle w:val="100000000000" w:firstRow="1" w:lastRow="0" w:firstColumn="0" w:lastColumn="0" w:oddVBand="0" w:evenVBand="0" w:oddHBand="0" w:evenHBand="0" w:firstRowFirstColumn="0" w:firstRowLastColumn="0" w:lastRowFirstColumn="0" w:lastRowLastColumn="0"/>
            </w:pPr>
            <w:r w:rsidRPr="00D46BA7">
              <w:t>Cost</w:t>
            </w:r>
          </w:p>
        </w:tc>
        <w:tc>
          <w:tcPr>
            <w:tcW w:w="1678" w:type="dxa"/>
            <w:vMerge w:val="restart"/>
            <w:hideMark/>
          </w:tcPr>
          <w:p w14:paraId="7C27728B" w14:textId="77777777" w:rsidR="00E01C42" w:rsidRPr="00D46BA7" w:rsidRDefault="00E01C42" w:rsidP="008C0AC4">
            <w:pPr>
              <w:cnfStyle w:val="100000000000" w:firstRow="1" w:lastRow="0" w:firstColumn="0" w:lastColumn="0" w:oddVBand="0" w:evenVBand="0" w:oddHBand="0" w:evenHBand="0" w:firstRowFirstColumn="0" w:firstRowLastColumn="0" w:lastRowFirstColumn="0" w:lastRowLastColumn="0"/>
            </w:pPr>
            <w:r w:rsidRPr="00D46BA7">
              <w:t>kW/kWh Savings Ratio</w:t>
            </w:r>
          </w:p>
        </w:tc>
      </w:tr>
      <w:tr w:rsidR="002544A3" w:rsidRPr="00D46BA7" w14:paraId="285317E1" w14:textId="77777777" w:rsidTr="008C0AC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09" w:type="dxa"/>
            <w:vMerge/>
            <w:tcBorders>
              <w:bottom w:val="single" w:sz="12" w:space="0" w:color="95D600" w:themeColor="accent1"/>
            </w:tcBorders>
            <w:hideMark/>
          </w:tcPr>
          <w:p w14:paraId="251A5E9F" w14:textId="77777777" w:rsidR="00E01C42" w:rsidRPr="00D46BA7" w:rsidRDefault="00E01C42" w:rsidP="008C0AC4"/>
        </w:tc>
        <w:tc>
          <w:tcPr>
            <w:tcW w:w="1506" w:type="dxa"/>
            <w:vMerge/>
            <w:tcBorders>
              <w:bottom w:val="single" w:sz="12" w:space="0" w:color="95D600" w:themeColor="accent1"/>
            </w:tcBorders>
            <w:hideMark/>
          </w:tcPr>
          <w:p w14:paraId="7FACB002" w14:textId="77777777" w:rsidR="00E01C42" w:rsidRPr="00D46BA7" w:rsidRDefault="00E01C42" w:rsidP="008C0AC4">
            <w:pPr>
              <w:cnfStyle w:val="000000100000" w:firstRow="0" w:lastRow="0" w:firstColumn="0" w:lastColumn="0" w:oddVBand="0" w:evenVBand="0" w:oddHBand="1" w:evenHBand="0" w:firstRowFirstColumn="0" w:firstRowLastColumn="0" w:lastRowFirstColumn="0" w:lastRowLastColumn="0"/>
            </w:pPr>
          </w:p>
        </w:tc>
        <w:tc>
          <w:tcPr>
            <w:tcW w:w="991" w:type="dxa"/>
            <w:vMerge/>
            <w:tcBorders>
              <w:bottom w:val="single" w:sz="12" w:space="0" w:color="95D600" w:themeColor="accent1"/>
            </w:tcBorders>
            <w:shd w:val="clear" w:color="auto" w:fill="555759" w:themeFill="text2"/>
            <w:hideMark/>
          </w:tcPr>
          <w:p w14:paraId="1EE92A0D" w14:textId="77777777" w:rsidR="00E01C42" w:rsidRPr="00D46BA7" w:rsidRDefault="00E01C42" w:rsidP="008C0AC4">
            <w:pPr>
              <w:cnfStyle w:val="000000100000" w:firstRow="0" w:lastRow="0" w:firstColumn="0" w:lastColumn="0" w:oddVBand="0" w:evenVBand="0" w:oddHBand="1" w:evenHBand="0" w:firstRowFirstColumn="0" w:firstRowLastColumn="0" w:lastRowFirstColumn="0" w:lastRowLastColumn="0"/>
            </w:pPr>
          </w:p>
        </w:tc>
        <w:tc>
          <w:tcPr>
            <w:tcW w:w="937" w:type="dxa"/>
            <w:tcBorders>
              <w:top w:val="single" w:sz="2" w:space="0" w:color="FFFFFF" w:themeColor="background1"/>
              <w:bottom w:val="single" w:sz="12" w:space="0" w:color="95D600" w:themeColor="accent1"/>
            </w:tcBorders>
            <w:shd w:val="clear" w:color="auto" w:fill="555759" w:themeFill="text2"/>
            <w:hideMark/>
          </w:tcPr>
          <w:p w14:paraId="71FEE8CC" w14:textId="77777777" w:rsidR="00E01C42" w:rsidRPr="00D46BA7" w:rsidRDefault="00E01C42" w:rsidP="008C0AC4">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D46BA7">
              <w:rPr>
                <w:b/>
                <w:color w:val="FFFFFF" w:themeColor="background1"/>
              </w:rPr>
              <w:t>kWh</w:t>
            </w:r>
          </w:p>
        </w:tc>
        <w:tc>
          <w:tcPr>
            <w:tcW w:w="1217" w:type="dxa"/>
            <w:tcBorders>
              <w:top w:val="single" w:sz="2" w:space="0" w:color="FFFFFF" w:themeColor="background1"/>
              <w:bottom w:val="single" w:sz="12" w:space="0" w:color="95D600" w:themeColor="accent1"/>
            </w:tcBorders>
            <w:shd w:val="clear" w:color="auto" w:fill="555759" w:themeFill="text2"/>
            <w:hideMark/>
          </w:tcPr>
          <w:p w14:paraId="5B35BD2A" w14:textId="77777777" w:rsidR="00E01C42" w:rsidRPr="00D46BA7" w:rsidRDefault="00E01C42" w:rsidP="008C0AC4">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D46BA7">
              <w:rPr>
                <w:b/>
                <w:color w:val="FFFFFF" w:themeColor="background1"/>
              </w:rPr>
              <w:t>Therm</w:t>
            </w:r>
          </w:p>
        </w:tc>
        <w:tc>
          <w:tcPr>
            <w:tcW w:w="950" w:type="dxa"/>
            <w:tcBorders>
              <w:top w:val="single" w:sz="2" w:space="0" w:color="FFFFFF" w:themeColor="background1"/>
              <w:bottom w:val="single" w:sz="12" w:space="0" w:color="95D600" w:themeColor="accent1"/>
            </w:tcBorders>
            <w:shd w:val="clear" w:color="auto" w:fill="555759" w:themeFill="text2"/>
            <w:hideMark/>
          </w:tcPr>
          <w:p w14:paraId="37A6D331" w14:textId="77777777" w:rsidR="00E01C42" w:rsidRPr="00D46BA7" w:rsidRDefault="00E01C42" w:rsidP="008C0AC4">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D46BA7">
              <w:rPr>
                <w:b/>
                <w:color w:val="FFFFFF" w:themeColor="background1"/>
              </w:rPr>
              <w:t>kWh</w:t>
            </w:r>
          </w:p>
        </w:tc>
        <w:tc>
          <w:tcPr>
            <w:tcW w:w="1094" w:type="dxa"/>
            <w:tcBorders>
              <w:top w:val="single" w:sz="2" w:space="0" w:color="FFFFFF" w:themeColor="background1"/>
              <w:bottom w:val="single" w:sz="12" w:space="0" w:color="95D600" w:themeColor="accent1"/>
            </w:tcBorders>
            <w:shd w:val="clear" w:color="auto" w:fill="555759" w:themeFill="text2"/>
            <w:hideMark/>
          </w:tcPr>
          <w:p w14:paraId="1600DDF6" w14:textId="77777777" w:rsidR="00E01C42" w:rsidRPr="00D46BA7" w:rsidRDefault="00E01C42" w:rsidP="008C0AC4">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D46BA7">
              <w:rPr>
                <w:b/>
                <w:color w:val="FFFFFF" w:themeColor="background1"/>
              </w:rPr>
              <w:t>Therm</w:t>
            </w:r>
          </w:p>
        </w:tc>
        <w:tc>
          <w:tcPr>
            <w:tcW w:w="1678" w:type="dxa"/>
            <w:vMerge/>
            <w:tcBorders>
              <w:bottom w:val="single" w:sz="12" w:space="0" w:color="95D600" w:themeColor="accent1"/>
            </w:tcBorders>
            <w:hideMark/>
          </w:tcPr>
          <w:p w14:paraId="3A4FF412" w14:textId="77777777" w:rsidR="00E01C42" w:rsidRPr="00D46BA7" w:rsidRDefault="00E01C42" w:rsidP="008C0AC4">
            <w:pPr>
              <w:cnfStyle w:val="000000100000" w:firstRow="0" w:lastRow="0" w:firstColumn="0" w:lastColumn="0" w:oddVBand="0" w:evenVBand="0" w:oddHBand="1" w:evenHBand="0" w:firstRowFirstColumn="0" w:firstRowLastColumn="0" w:lastRowFirstColumn="0" w:lastRowLastColumn="0"/>
            </w:pPr>
          </w:p>
        </w:tc>
      </w:tr>
      <w:tr w:rsidR="002544A3" w:rsidRPr="00D46BA7" w14:paraId="6B9F5C94" w14:textId="77777777" w:rsidTr="008C0AC4">
        <w:trPr>
          <w:cnfStyle w:val="000000010000" w:firstRow="0" w:lastRow="0" w:firstColumn="0" w:lastColumn="0" w:oddVBand="0" w:evenVBand="0" w:oddHBand="0" w:evenHBand="1"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1109" w:type="dxa"/>
            <w:tcBorders>
              <w:top w:val="single" w:sz="12" w:space="0" w:color="95D600" w:themeColor="accent1"/>
            </w:tcBorders>
            <w:hideMark/>
          </w:tcPr>
          <w:p w14:paraId="16C7D534" w14:textId="77777777" w:rsidR="00E01C42" w:rsidRPr="00D46BA7" w:rsidRDefault="00E01C42" w:rsidP="008C0AC4">
            <w:r w:rsidRPr="00D46BA7">
              <w:t>COM</w:t>
            </w:r>
          </w:p>
        </w:tc>
        <w:tc>
          <w:tcPr>
            <w:tcW w:w="1506" w:type="dxa"/>
            <w:tcBorders>
              <w:top w:val="single" w:sz="12" w:space="0" w:color="95D600" w:themeColor="accent1"/>
            </w:tcBorders>
            <w:hideMark/>
          </w:tcPr>
          <w:p w14:paraId="0B4AE3CA" w14:textId="77777777" w:rsidR="00E01C42" w:rsidRPr="00D46BA7" w:rsidRDefault="00E01C42" w:rsidP="008C0AC4">
            <w:pPr>
              <w:cnfStyle w:val="000000010000" w:firstRow="0" w:lastRow="0" w:firstColumn="0" w:lastColumn="0" w:oddVBand="0" w:evenVBand="0" w:oddHBand="0" w:evenHBand="1" w:firstRowFirstColumn="0" w:firstRowLastColumn="0" w:lastRowFirstColumn="0" w:lastRowLastColumn="0"/>
            </w:pPr>
            <w:r w:rsidRPr="00D46BA7">
              <w:t xml:space="preserve">Competitions </w:t>
            </w:r>
          </w:p>
        </w:tc>
        <w:tc>
          <w:tcPr>
            <w:tcW w:w="991" w:type="dxa"/>
            <w:tcBorders>
              <w:top w:val="single" w:sz="12" w:space="0" w:color="95D600" w:themeColor="accent1"/>
            </w:tcBorders>
            <w:hideMark/>
          </w:tcPr>
          <w:p w14:paraId="53118330" w14:textId="77777777" w:rsidR="00E01C42" w:rsidRPr="00D46BA7" w:rsidRDefault="00E01C42" w:rsidP="008C0AC4">
            <w:pPr>
              <w:cnfStyle w:val="000000010000" w:firstRow="0" w:lastRow="0" w:firstColumn="0" w:lastColumn="0" w:oddVBand="0" w:evenVBand="0" w:oddHBand="0" w:evenHBand="1" w:firstRowFirstColumn="0" w:firstRowLastColumn="0" w:lastRowFirstColumn="0" w:lastRowLastColumn="0"/>
            </w:pPr>
            <w:r w:rsidRPr="00D46BA7">
              <w:t>2</w:t>
            </w:r>
          </w:p>
        </w:tc>
        <w:tc>
          <w:tcPr>
            <w:tcW w:w="937" w:type="dxa"/>
            <w:tcBorders>
              <w:top w:val="single" w:sz="12" w:space="0" w:color="95D600" w:themeColor="accent1"/>
            </w:tcBorders>
            <w:hideMark/>
          </w:tcPr>
          <w:p w14:paraId="61E2BB3A" w14:textId="77777777" w:rsidR="00E01C42" w:rsidRPr="00D46BA7" w:rsidRDefault="00163F7B" w:rsidP="008C0AC4">
            <w:pPr>
              <w:cnfStyle w:val="000000010000" w:firstRow="0" w:lastRow="0" w:firstColumn="0" w:lastColumn="0" w:oddVBand="0" w:evenVBand="0" w:oddHBand="0" w:evenHBand="1" w:firstRowFirstColumn="0" w:firstRowLastColumn="0" w:lastRowFirstColumn="0" w:lastRowLastColumn="0"/>
            </w:pPr>
            <w:r>
              <w:t>1.9%</w:t>
            </w:r>
          </w:p>
        </w:tc>
        <w:tc>
          <w:tcPr>
            <w:tcW w:w="1217" w:type="dxa"/>
            <w:tcBorders>
              <w:top w:val="single" w:sz="12" w:space="0" w:color="95D600" w:themeColor="accent1"/>
            </w:tcBorders>
            <w:hideMark/>
          </w:tcPr>
          <w:p w14:paraId="52358466" w14:textId="77777777" w:rsidR="00E01C42" w:rsidRPr="00D46BA7" w:rsidRDefault="00E01C42" w:rsidP="008C0AC4">
            <w:pPr>
              <w:cnfStyle w:val="000000010000" w:firstRow="0" w:lastRow="0" w:firstColumn="0" w:lastColumn="0" w:oddVBand="0" w:evenVBand="0" w:oddHBand="0" w:evenHBand="1" w:firstRowFirstColumn="0" w:firstRowLastColumn="0" w:lastRowFirstColumn="0" w:lastRowLastColumn="0"/>
            </w:pPr>
            <w:r w:rsidRPr="00D46BA7">
              <w:t>--</w:t>
            </w:r>
          </w:p>
        </w:tc>
        <w:tc>
          <w:tcPr>
            <w:tcW w:w="950" w:type="dxa"/>
            <w:tcBorders>
              <w:top w:val="single" w:sz="12" w:space="0" w:color="95D600" w:themeColor="accent1"/>
            </w:tcBorders>
            <w:hideMark/>
          </w:tcPr>
          <w:p w14:paraId="6A251F35" w14:textId="77777777" w:rsidR="00E01C42" w:rsidRPr="00D46BA7" w:rsidRDefault="00E01C42" w:rsidP="008C0AC4">
            <w:pPr>
              <w:cnfStyle w:val="000000010000" w:firstRow="0" w:lastRow="0" w:firstColumn="0" w:lastColumn="0" w:oddVBand="0" w:evenVBand="0" w:oddHBand="0" w:evenHBand="1" w:firstRowFirstColumn="0" w:firstRowLastColumn="0" w:lastRowFirstColumn="0" w:lastRowLastColumn="0"/>
            </w:pPr>
            <w:r w:rsidRPr="00D46BA7">
              <w:t xml:space="preserve">$ 0.04 </w:t>
            </w:r>
          </w:p>
        </w:tc>
        <w:tc>
          <w:tcPr>
            <w:tcW w:w="1094" w:type="dxa"/>
            <w:tcBorders>
              <w:top w:val="single" w:sz="12" w:space="0" w:color="95D600" w:themeColor="accent1"/>
            </w:tcBorders>
            <w:hideMark/>
          </w:tcPr>
          <w:p w14:paraId="2D2B3282" w14:textId="77777777" w:rsidR="00E01C42" w:rsidRPr="00D46BA7" w:rsidRDefault="00E01C42" w:rsidP="008C0AC4">
            <w:pPr>
              <w:cnfStyle w:val="000000010000" w:firstRow="0" w:lastRow="0" w:firstColumn="0" w:lastColumn="0" w:oddVBand="0" w:evenVBand="0" w:oddHBand="0" w:evenHBand="1" w:firstRowFirstColumn="0" w:firstRowLastColumn="0" w:lastRowFirstColumn="0" w:lastRowLastColumn="0"/>
              <w:rPr>
                <w:highlight w:val="red"/>
              </w:rPr>
            </w:pPr>
            <w:r w:rsidRPr="00D46BA7">
              <w:t>--</w:t>
            </w:r>
          </w:p>
        </w:tc>
        <w:tc>
          <w:tcPr>
            <w:tcW w:w="1678" w:type="dxa"/>
            <w:tcBorders>
              <w:top w:val="single" w:sz="12" w:space="0" w:color="95D600" w:themeColor="accent1"/>
            </w:tcBorders>
            <w:hideMark/>
          </w:tcPr>
          <w:p w14:paraId="6D3D8189" w14:textId="77777777" w:rsidR="00E01C42" w:rsidRPr="00D46BA7" w:rsidRDefault="00E01C42" w:rsidP="008C0AC4">
            <w:pPr>
              <w:cnfStyle w:val="000000010000" w:firstRow="0" w:lastRow="0" w:firstColumn="0" w:lastColumn="0" w:oddVBand="0" w:evenVBand="0" w:oddHBand="0" w:evenHBand="1" w:firstRowFirstColumn="0" w:firstRowLastColumn="0" w:lastRowFirstColumn="0" w:lastRowLastColumn="0"/>
            </w:pPr>
            <w:r w:rsidRPr="00D46BA7">
              <w:t>0.0001261</w:t>
            </w:r>
          </w:p>
        </w:tc>
      </w:tr>
    </w:tbl>
    <w:p w14:paraId="5BAF84B0" w14:textId="77777777" w:rsidR="00E01C42" w:rsidRDefault="00E01C42" w:rsidP="00E01C42">
      <w:pPr>
        <w:spacing w:line="240" w:lineRule="auto"/>
        <w:rPr>
          <w:b/>
        </w:rPr>
      </w:pPr>
    </w:p>
    <w:p w14:paraId="77823591" w14:textId="77777777" w:rsidR="00E01C42" w:rsidRDefault="00E01C42" w:rsidP="00E01C42">
      <w:pPr>
        <w:rPr>
          <w:b/>
        </w:rPr>
      </w:pPr>
      <w:r w:rsidRPr="00DF089C">
        <w:rPr>
          <w:b/>
        </w:rPr>
        <w:t>Assumptions and Methodology</w:t>
      </w:r>
    </w:p>
    <w:p w14:paraId="594DEF84" w14:textId="77777777" w:rsidR="00E01C42" w:rsidRPr="00DF089C" w:rsidRDefault="00E01C42" w:rsidP="00E01C42">
      <w:pPr>
        <w:rPr>
          <w:b/>
        </w:rPr>
      </w:pPr>
    </w:p>
    <w:p w14:paraId="1DEA6DE7" w14:textId="77777777" w:rsidR="00E01C42" w:rsidRDefault="00E01C42" w:rsidP="00E01C42">
      <w:pPr>
        <w:rPr>
          <w:b/>
          <w:i/>
          <w:szCs w:val="20"/>
        </w:rPr>
      </w:pPr>
      <w:r w:rsidRPr="005033D7">
        <w:rPr>
          <w:b/>
          <w:i/>
          <w:szCs w:val="20"/>
        </w:rPr>
        <w:t>Eligibility and Participation</w:t>
      </w:r>
    </w:p>
    <w:p w14:paraId="4586ED51" w14:textId="77777777" w:rsidR="00E01C42" w:rsidRDefault="00E01C42" w:rsidP="00E01C42">
      <w:r>
        <w:t xml:space="preserve">Eligibility for commercial competitions is defined by the program administrator. Competitions can focus on occupants within an individual building or across a single company, but more often they embrace wider audiences at the municipal level, in which groups of tenants within large buildings or across campuses or neighborhoods compete with one another. Nonetheless, certain business sectors and business types constitute more receptive customer types than others. </w:t>
      </w:r>
    </w:p>
    <w:p w14:paraId="644B1151" w14:textId="77777777" w:rsidR="00E01C42" w:rsidRDefault="00E01C42" w:rsidP="00E01C42"/>
    <w:p w14:paraId="2EE448E9" w14:textId="77777777" w:rsidR="00E01C42" w:rsidRDefault="00E01C42" w:rsidP="00E01C42">
      <w:r>
        <w:t xml:space="preserve">For this model, we focused on savings in those building types that have been targeted by PG&amp;E’s Step Up and Power Down campaign that is currently being carried out in San Francisco and San Jose. This effort is focused on the following five building types: large offices, small offices, retail, restaurants, and </w:t>
      </w:r>
      <w:r>
        <w:lastRenderedPageBreak/>
        <w:t>lodging.</w:t>
      </w:r>
      <w:r>
        <w:rPr>
          <w:rStyle w:val="FootnoteReference"/>
        </w:rPr>
        <w:footnoteReference w:id="162"/>
      </w:r>
      <w:r>
        <w:rPr>
          <w:vertAlign w:val="superscript"/>
        </w:rPr>
        <w:t>,</w:t>
      </w:r>
      <w:r>
        <w:rPr>
          <w:rStyle w:val="FootnoteReference"/>
        </w:rPr>
        <w:footnoteReference w:id="163"/>
      </w:r>
      <w:r>
        <w:t xml:space="preserve"> The applicability factor was defined in terms of potential program reach as it applies to larger and smaller types of buildings. We assume an applicability of </w:t>
      </w:r>
      <w:r w:rsidR="00163F7B">
        <w:t>8</w:t>
      </w:r>
      <w:r>
        <w:t xml:space="preserve">% for large offices and lodging and a lower applicability factor of </w:t>
      </w:r>
      <w:r w:rsidR="00163F7B">
        <w:t>4</w:t>
      </w:r>
      <w:r>
        <w:t>% for small to medium businesses - small offices, restaurants, and retail.</w:t>
      </w:r>
      <w:r w:rsidR="00BF2ED6">
        <w:rPr>
          <w:rStyle w:val="FootnoteReference"/>
        </w:rPr>
        <w:footnoteReference w:id="164"/>
      </w:r>
    </w:p>
    <w:p w14:paraId="06CDEF7C" w14:textId="77777777" w:rsidR="00E01C42" w:rsidRPr="005033D7" w:rsidRDefault="00E01C42" w:rsidP="00E01C42">
      <w:pPr>
        <w:rPr>
          <w:szCs w:val="20"/>
        </w:rPr>
      </w:pPr>
    </w:p>
    <w:p w14:paraId="25691D8C" w14:textId="77777777" w:rsidR="00E01C42" w:rsidRDefault="00E01C42" w:rsidP="00E01C42">
      <w:r>
        <w:t>At the time this model was prepared, PG&amp;E was the only California IOU running a commercial competition, but they were not claiming savings. Because of this, our penetration forecast for PG&amp;E shows 0% until 2019, at which point we anticipate they will begin to claim savings for one city</w:t>
      </w:r>
      <w:r w:rsidR="00163F7B">
        <w:t xml:space="preserve"> and </w:t>
      </w:r>
      <w:r>
        <w:t>hold steady through 2030. SCE and SDG&amp;E do not begin claiming savings until 2021. We do not anticipate that SCG will run commercial competitions given that we currently do not have sufficient data with which to model gas savings. For the aggressive scenario</w:t>
      </w:r>
      <w:r w:rsidR="00163F7B">
        <w:t>,</w:t>
      </w:r>
      <w:r>
        <w:t xml:space="preserve"> PG&amp;E, SCE, and SDG&amp;E all begin to claim savings in 2019</w:t>
      </w:r>
      <w:r w:rsidR="00163F7B">
        <w:t xml:space="preserve">, and </w:t>
      </w:r>
      <w:r>
        <w:t xml:space="preserve">in 2024, they add a second city-size competition. </w:t>
      </w:r>
    </w:p>
    <w:p w14:paraId="4C9F51DC" w14:textId="77777777" w:rsidR="00E01C42" w:rsidRDefault="00E01C42" w:rsidP="00E01C42"/>
    <w:p w14:paraId="17144223" w14:textId="77777777" w:rsidR="00E01C42" w:rsidRDefault="00E01C42" w:rsidP="00E01C42">
      <w:r>
        <w:t xml:space="preserve">The penetration rates for each utility assume that they will target the largest cities within their service territories, such as San Francisco, San Jose, Anaheim, and San Diego, or that groups of smaller communities - the size of Walnut Creek, Santa Barbara, or Oceanside - may be pooled together within a service territory to reach a similar number of businesses. </w:t>
      </w:r>
    </w:p>
    <w:p w14:paraId="7F39EAB0" w14:textId="77777777" w:rsidR="00E01C42" w:rsidRDefault="00E01C42" w:rsidP="00E01C42"/>
    <w:p w14:paraId="6BED680F" w14:textId="77777777" w:rsidR="00E01C42" w:rsidRDefault="00E01C42" w:rsidP="00E01C42">
      <w:pPr>
        <w:rPr>
          <w:szCs w:val="20"/>
        </w:rPr>
      </w:pPr>
      <w:r>
        <w:rPr>
          <w:b/>
          <w:i/>
          <w:szCs w:val="20"/>
        </w:rPr>
        <w:t>Savings</w:t>
      </w:r>
    </w:p>
    <w:p w14:paraId="0DBDE6B0" w14:textId="77777777" w:rsidR="00E01C42" w:rsidRDefault="00E01C42" w:rsidP="00E01C42">
      <w:r w:rsidRPr="00530E12">
        <w:t xml:space="preserve">Savings estimates are based on </w:t>
      </w:r>
      <w:r w:rsidR="00163F7B">
        <w:t>PG&amp;E’s study of</w:t>
      </w:r>
      <w:r w:rsidRPr="00530E12">
        <w:t xml:space="preserve"> Step Up and Power Down</w:t>
      </w:r>
      <w:r w:rsidR="00163F7B">
        <w:t>(1.9</w:t>
      </w:r>
      <w:r>
        <w:t>% kWh)</w:t>
      </w:r>
      <w:r w:rsidRPr="00530E12">
        <w:t xml:space="preserve">. </w:t>
      </w:r>
      <w:r>
        <w:t>No gas savings are modeled.</w:t>
      </w:r>
      <w:r w:rsidRPr="00530E12">
        <w:t xml:space="preserve"> </w:t>
      </w:r>
    </w:p>
    <w:p w14:paraId="49479C51" w14:textId="77777777" w:rsidR="00E01C42" w:rsidRDefault="00E01C42" w:rsidP="00E01C42"/>
    <w:p w14:paraId="5B44B9F9" w14:textId="77777777" w:rsidR="00E01C42" w:rsidRDefault="00E01C42" w:rsidP="00E01C42">
      <w:pPr>
        <w:rPr>
          <w:szCs w:val="20"/>
        </w:rPr>
      </w:pPr>
      <w:r>
        <w:rPr>
          <w:szCs w:val="20"/>
        </w:rPr>
        <w:t>The</w:t>
      </w:r>
      <w:r w:rsidRPr="0097738B">
        <w:rPr>
          <w:szCs w:val="20"/>
        </w:rPr>
        <w:t xml:space="preserve"> model uses an EUL of </w:t>
      </w:r>
      <w:r>
        <w:rPr>
          <w:szCs w:val="20"/>
        </w:rPr>
        <w:t>two</w:t>
      </w:r>
      <w:r w:rsidRPr="0097738B">
        <w:rPr>
          <w:szCs w:val="20"/>
        </w:rPr>
        <w:t xml:space="preserve"> year</w:t>
      </w:r>
      <w:r>
        <w:rPr>
          <w:szCs w:val="20"/>
        </w:rPr>
        <w:t xml:space="preserve">s </w:t>
      </w:r>
      <w:r>
        <w:t>to maintain consistency with CPUC Decision 16-08-019.</w:t>
      </w:r>
    </w:p>
    <w:p w14:paraId="769F6A88" w14:textId="77777777" w:rsidR="00E01C42" w:rsidRDefault="00E01C42" w:rsidP="00E01C42"/>
    <w:p w14:paraId="5CC6E4E2" w14:textId="77777777" w:rsidR="00E01C42" w:rsidRDefault="00E01C42" w:rsidP="00E01C42">
      <w:pPr>
        <w:rPr>
          <w:szCs w:val="20"/>
        </w:rPr>
      </w:pPr>
      <w:r w:rsidRPr="0097738B">
        <w:rPr>
          <w:szCs w:val="20"/>
        </w:rPr>
        <w:t>Because no de</w:t>
      </w:r>
      <w:r>
        <w:rPr>
          <w:szCs w:val="20"/>
        </w:rPr>
        <w:t>mand savings data was available</w:t>
      </w:r>
      <w:r w:rsidRPr="0097738B">
        <w:rPr>
          <w:szCs w:val="20"/>
        </w:rPr>
        <w:t>, we averaged the ratio of kW to kWh savings calculated for BEIMS, BOC, and S</w:t>
      </w:r>
      <w:r>
        <w:rPr>
          <w:szCs w:val="20"/>
        </w:rPr>
        <w:t>EM</w:t>
      </w:r>
      <w:r w:rsidRPr="0097738B">
        <w:rPr>
          <w:szCs w:val="20"/>
        </w:rPr>
        <w:t xml:space="preserve">. This yielded 0.0001261, which is the figure used for all </w:t>
      </w:r>
      <w:r>
        <w:rPr>
          <w:szCs w:val="20"/>
        </w:rPr>
        <w:t xml:space="preserve">three electric </w:t>
      </w:r>
      <w:r w:rsidRPr="0097738B">
        <w:rPr>
          <w:szCs w:val="20"/>
        </w:rPr>
        <w:t>utilities.</w:t>
      </w:r>
    </w:p>
    <w:p w14:paraId="55478725" w14:textId="77777777" w:rsidR="00E01C42" w:rsidRPr="001F55DD" w:rsidRDefault="00E01C42" w:rsidP="00E01C42">
      <w:pPr>
        <w:rPr>
          <w:szCs w:val="20"/>
        </w:rPr>
      </w:pPr>
    </w:p>
    <w:p w14:paraId="34187680" w14:textId="77777777" w:rsidR="00E01C42" w:rsidRDefault="00E01C42" w:rsidP="00E01C42">
      <w:pPr>
        <w:rPr>
          <w:szCs w:val="20"/>
        </w:rPr>
      </w:pPr>
      <w:r w:rsidRPr="00DF089C">
        <w:rPr>
          <w:b/>
          <w:i/>
          <w:szCs w:val="20"/>
        </w:rPr>
        <w:t>Cost</w:t>
      </w:r>
    </w:p>
    <w:p w14:paraId="2986E119" w14:textId="77777777" w:rsidR="00E01C42" w:rsidRDefault="00E01C42" w:rsidP="00E01C42">
      <w:r>
        <w:t>Costs of $0.04 per kWh are drawn from Smart Energy Now.</w:t>
      </w:r>
      <w:r w:rsidR="00BF2ED6" w:rsidRPr="00BF2ED6">
        <w:rPr>
          <w:rStyle w:val="FootnoteReference"/>
          <w:szCs w:val="20"/>
        </w:rPr>
        <w:t xml:space="preserve"> </w:t>
      </w:r>
      <w:r w:rsidR="00BF2ED6">
        <w:rPr>
          <w:rStyle w:val="FootnoteReference"/>
          <w:szCs w:val="20"/>
        </w:rPr>
        <w:footnoteReference w:id="165"/>
      </w:r>
    </w:p>
    <w:p w14:paraId="36763255" w14:textId="77777777" w:rsidR="00E01C42" w:rsidRPr="00541504" w:rsidRDefault="00E01C42" w:rsidP="00E01C42">
      <w:pPr>
        <w:pStyle w:val="Heading6"/>
        <w:numPr>
          <w:ilvl w:val="5"/>
          <w:numId w:val="8"/>
        </w:numPr>
      </w:pPr>
      <w:bookmarkStart w:id="1061" w:name="_Toc480271815"/>
      <w:bookmarkStart w:id="1062" w:name="_Toc484183072"/>
      <w:bookmarkStart w:id="1063" w:name="_Toc490225838"/>
      <w:r>
        <w:t xml:space="preserve">Commercial - </w:t>
      </w:r>
      <w:r w:rsidRPr="00541504">
        <w:t>Retrocommissioning</w:t>
      </w:r>
      <w:bookmarkEnd w:id="1061"/>
      <w:bookmarkEnd w:id="1062"/>
      <w:bookmarkEnd w:id="1063"/>
    </w:p>
    <w:p w14:paraId="6F75ADD5" w14:textId="77777777" w:rsidR="00F9578C" w:rsidRPr="009C1B6F" w:rsidRDefault="00F9578C" w:rsidP="00F9578C">
      <w:pPr>
        <w:keepNext/>
        <w:keepLines/>
        <w:rPr>
          <w:b/>
        </w:rPr>
      </w:pPr>
      <w:r w:rsidRPr="009C1B6F">
        <w:rPr>
          <w:b/>
        </w:rPr>
        <w:t xml:space="preserve">Summary </w:t>
      </w:r>
    </w:p>
    <w:p w14:paraId="109AC51C" w14:textId="77777777" w:rsidR="00F9578C" w:rsidRDefault="00F9578C" w:rsidP="00F9578C">
      <w:pPr>
        <w:keepLines/>
      </w:pPr>
    </w:p>
    <w:p w14:paraId="1C88790C" w14:textId="77777777" w:rsidR="00E01C42" w:rsidRDefault="00E01C42" w:rsidP="00E01C42">
      <w:r>
        <w:t>The potential for R</w:t>
      </w:r>
      <w:r w:rsidRPr="005D5766">
        <w:t xml:space="preserve">etrocommissioning (RCx) </w:t>
      </w:r>
      <w:r>
        <w:t>w</w:t>
      </w:r>
      <w:r w:rsidRPr="00DB3398">
        <w:t xml:space="preserve">as modelled as a component of behavioral savings in </w:t>
      </w:r>
      <w:r>
        <w:t xml:space="preserve">the </w:t>
      </w:r>
      <w:r w:rsidRPr="00DB3398">
        <w:t xml:space="preserve">2013 and 2015 </w:t>
      </w:r>
      <w:r>
        <w:t xml:space="preserve">Studies </w:t>
      </w:r>
      <w:r w:rsidRPr="00DB3398">
        <w:t xml:space="preserve">and this update refines several of the underlying assumptions and inputs used.  </w:t>
      </w:r>
      <w:r>
        <w:t>RCx</w:t>
      </w:r>
      <w:r w:rsidRPr="00DB3398">
        <w:t xml:space="preserve"> </w:t>
      </w:r>
      <w:r w:rsidR="0080627F">
        <w:t>is</w:t>
      </w:r>
      <w:r w:rsidRPr="00DB3398">
        <w:t xml:space="preserve"> defined as commissioning performed on building</w:t>
      </w:r>
      <w:r>
        <w:t>s</w:t>
      </w:r>
      <w:r w:rsidRPr="00DB3398">
        <w:t xml:space="preserve"> that have not been previously commissioned. </w:t>
      </w:r>
      <w:r w:rsidR="0080627F">
        <w:t xml:space="preserve">This model also includes the allowed recommissioning of buildings that have undergone commissioning </w:t>
      </w:r>
      <w:r w:rsidR="0080627F">
        <w:lastRenderedPageBreak/>
        <w:t xml:space="preserve">after 5 years have passed. </w:t>
      </w:r>
      <w:r w:rsidRPr="00DB3398">
        <w:t xml:space="preserve">The model focuses on RCx activities that </w:t>
      </w:r>
      <w:r>
        <w:t>impact</w:t>
      </w:r>
      <w:r w:rsidRPr="00DB3398">
        <w:t xml:space="preserve"> HVAC system operation</w:t>
      </w:r>
      <w:r>
        <w:t>s</w:t>
      </w:r>
      <w:r w:rsidRPr="00DB3398">
        <w:t xml:space="preserve"> and includes, for example, measures such as</w:t>
      </w:r>
      <w:r>
        <w:t xml:space="preserve"> the following</w:t>
      </w:r>
      <w:r w:rsidRPr="00DB3398">
        <w:t>:</w:t>
      </w:r>
      <w:r w:rsidRPr="005D5766">
        <w:rPr>
          <w:rStyle w:val="FootnoteReference"/>
        </w:rPr>
        <w:footnoteReference w:id="166"/>
      </w:r>
    </w:p>
    <w:p w14:paraId="3A988BD7" w14:textId="77777777" w:rsidR="00E01C42" w:rsidRDefault="00E01C42" w:rsidP="004E4E36">
      <w:pPr>
        <w:pStyle w:val="ListParagraph"/>
        <w:numPr>
          <w:ilvl w:val="0"/>
          <w:numId w:val="65"/>
        </w:numPr>
      </w:pPr>
      <w:r>
        <w:t xml:space="preserve">Correct actuator/damper operations </w:t>
      </w:r>
    </w:p>
    <w:p w14:paraId="09397FB7" w14:textId="77777777" w:rsidR="00E01C42" w:rsidRDefault="00E01C42" w:rsidP="004E4E36">
      <w:pPr>
        <w:pStyle w:val="ListParagraph"/>
        <w:numPr>
          <w:ilvl w:val="0"/>
          <w:numId w:val="65"/>
        </w:numPr>
      </w:pPr>
      <w:r>
        <w:t xml:space="preserve">Correct economizer operations </w:t>
      </w:r>
    </w:p>
    <w:p w14:paraId="7DE54354" w14:textId="77777777" w:rsidR="00E01C42" w:rsidRDefault="00E01C42" w:rsidP="004E4E36">
      <w:pPr>
        <w:pStyle w:val="ListParagraph"/>
        <w:numPr>
          <w:ilvl w:val="0"/>
          <w:numId w:val="65"/>
        </w:numPr>
      </w:pPr>
      <w:r>
        <w:t xml:space="preserve">Adjust condenser water reset </w:t>
      </w:r>
    </w:p>
    <w:p w14:paraId="5F54E207" w14:textId="77777777" w:rsidR="00E01C42" w:rsidRDefault="00E01C42" w:rsidP="004E4E36">
      <w:pPr>
        <w:pStyle w:val="ListParagraph"/>
        <w:numPr>
          <w:ilvl w:val="0"/>
          <w:numId w:val="65"/>
        </w:numPr>
      </w:pPr>
      <w:r>
        <w:t xml:space="preserve">Adjust supply air temperature reset </w:t>
      </w:r>
    </w:p>
    <w:p w14:paraId="567011C4" w14:textId="77777777" w:rsidR="00E01C42" w:rsidRDefault="00E01C42" w:rsidP="004E4E36">
      <w:pPr>
        <w:pStyle w:val="ListParagraph"/>
        <w:numPr>
          <w:ilvl w:val="0"/>
          <w:numId w:val="65"/>
        </w:numPr>
      </w:pPr>
      <w:r>
        <w:t xml:space="preserve">Adjust zone temperature deadbands </w:t>
      </w:r>
    </w:p>
    <w:p w14:paraId="24666346" w14:textId="77777777" w:rsidR="00E01C42" w:rsidRDefault="00E01C42" w:rsidP="004E4E36">
      <w:pPr>
        <w:pStyle w:val="ListParagraph"/>
        <w:numPr>
          <w:ilvl w:val="0"/>
          <w:numId w:val="65"/>
        </w:numPr>
      </w:pPr>
      <w:r>
        <w:t xml:space="preserve">Adjust equipment scheduling </w:t>
      </w:r>
    </w:p>
    <w:p w14:paraId="06FB2A75" w14:textId="77777777" w:rsidR="00E01C42" w:rsidRDefault="00E01C42" w:rsidP="004E4E36">
      <w:pPr>
        <w:pStyle w:val="ListParagraph"/>
        <w:numPr>
          <w:ilvl w:val="0"/>
          <w:numId w:val="65"/>
        </w:numPr>
      </w:pPr>
      <w:r>
        <w:t xml:space="preserve">Adjust duct static pressure reset </w:t>
      </w:r>
    </w:p>
    <w:p w14:paraId="6C987C8E" w14:textId="77777777" w:rsidR="00E01C42" w:rsidRDefault="00E01C42" w:rsidP="004E4E36">
      <w:pPr>
        <w:pStyle w:val="ListParagraph"/>
        <w:numPr>
          <w:ilvl w:val="0"/>
          <w:numId w:val="65"/>
        </w:numPr>
      </w:pPr>
      <w:r>
        <w:t xml:space="preserve">Adjust hot or cold deck reset </w:t>
      </w:r>
    </w:p>
    <w:p w14:paraId="30EF3A50" w14:textId="77777777" w:rsidR="00E01C42" w:rsidRDefault="00E01C42" w:rsidP="004E4E36">
      <w:pPr>
        <w:pStyle w:val="ListParagraph"/>
        <w:numPr>
          <w:ilvl w:val="0"/>
          <w:numId w:val="65"/>
        </w:numPr>
      </w:pPr>
      <w:r>
        <w:t xml:space="preserve">Optimize Variable Frequency Drives on fans or pumps </w:t>
      </w:r>
    </w:p>
    <w:p w14:paraId="649CEA19" w14:textId="77777777" w:rsidR="00E01C42" w:rsidRDefault="00E01C42" w:rsidP="004E4E36">
      <w:pPr>
        <w:pStyle w:val="ListParagraph"/>
        <w:numPr>
          <w:ilvl w:val="0"/>
          <w:numId w:val="65"/>
        </w:numPr>
      </w:pPr>
      <w:r>
        <w:t xml:space="preserve">Recode Controls HVAC airflow rebalance/adjust </w:t>
      </w:r>
    </w:p>
    <w:p w14:paraId="72CDB585" w14:textId="77777777" w:rsidR="00E01C42" w:rsidRDefault="00E01C42" w:rsidP="004E4E36">
      <w:pPr>
        <w:pStyle w:val="ListParagraph"/>
        <w:numPr>
          <w:ilvl w:val="0"/>
          <w:numId w:val="65"/>
        </w:numPr>
      </w:pPr>
      <w:r>
        <w:t>Reduce simultaneous heating and cooling</w:t>
      </w:r>
    </w:p>
    <w:p w14:paraId="58B9937F" w14:textId="77777777" w:rsidR="00E01C42" w:rsidRPr="008261F5" w:rsidRDefault="00E01C42" w:rsidP="004E4E36">
      <w:pPr>
        <w:pStyle w:val="ListParagraph"/>
        <w:numPr>
          <w:ilvl w:val="0"/>
          <w:numId w:val="65"/>
        </w:numPr>
      </w:pPr>
      <w:r>
        <w:t>Adjust boiler lockout schedule</w:t>
      </w:r>
    </w:p>
    <w:p w14:paraId="625C436E" w14:textId="77777777" w:rsidR="00E01C42" w:rsidRPr="008261F5" w:rsidRDefault="00E01C42" w:rsidP="00E01C42"/>
    <w:p w14:paraId="0893BA11" w14:textId="77777777" w:rsidR="00E01C42" w:rsidRPr="005D5766" w:rsidRDefault="00E01C42" w:rsidP="00E01C42">
      <w:pPr>
        <w:rPr>
          <w:szCs w:val="20"/>
        </w:rPr>
      </w:pPr>
      <w:r w:rsidRPr="005D5766">
        <w:rPr>
          <w:szCs w:val="20"/>
        </w:rPr>
        <w:t>The model inputs for electric and natural gas for RCx</w:t>
      </w:r>
      <w:r>
        <w:rPr>
          <w:szCs w:val="20"/>
        </w:rPr>
        <w:t>,</w:t>
      </w:r>
      <w:r w:rsidRPr="005D5766">
        <w:rPr>
          <w:szCs w:val="20"/>
        </w:rPr>
        <w:t xml:space="preserve"> shown in </w:t>
      </w:r>
      <w:r>
        <w:rPr>
          <w:szCs w:val="20"/>
        </w:rPr>
        <w:fldChar w:fldCharType="begin"/>
      </w:r>
      <w:r>
        <w:rPr>
          <w:szCs w:val="20"/>
        </w:rPr>
        <w:instrText xml:space="preserve"> REF _Ref479180011 \h  \* MERGEFORMAT </w:instrText>
      </w:r>
      <w:r>
        <w:rPr>
          <w:szCs w:val="20"/>
        </w:rPr>
      </w:r>
      <w:r>
        <w:rPr>
          <w:szCs w:val="20"/>
        </w:rPr>
        <w:fldChar w:fldCharType="separate"/>
      </w:r>
      <w:r w:rsidR="007566B9" w:rsidRPr="00F9578C">
        <w:t xml:space="preserve">Table </w:t>
      </w:r>
      <w:r w:rsidR="007566B9">
        <w:rPr>
          <w:noProof/>
        </w:rPr>
        <w:t>C</w:t>
      </w:r>
      <w:r w:rsidR="007566B9" w:rsidRPr="00F9578C">
        <w:rPr>
          <w:noProof/>
        </w:rPr>
        <w:noBreakHyphen/>
      </w:r>
      <w:r w:rsidR="007566B9">
        <w:rPr>
          <w:noProof/>
        </w:rPr>
        <w:t>10.</w:t>
      </w:r>
      <w:r w:rsidR="007566B9">
        <w:t xml:space="preserve"> </w:t>
      </w:r>
      <w:r>
        <w:rPr>
          <w:szCs w:val="20"/>
        </w:rPr>
        <w:fldChar w:fldCharType="end"/>
      </w:r>
      <w:r>
        <w:rPr>
          <w:szCs w:val="20"/>
        </w:rPr>
        <w:t xml:space="preserve">, are </w:t>
      </w:r>
      <w:r w:rsidRPr="005D5766">
        <w:rPr>
          <w:szCs w:val="20"/>
        </w:rPr>
        <w:t>based on customer segment consumption (</w:t>
      </w:r>
      <w:r>
        <w:rPr>
          <w:szCs w:val="20"/>
        </w:rPr>
        <w:t>kWh</w:t>
      </w:r>
      <w:r w:rsidR="0080627F">
        <w:rPr>
          <w:szCs w:val="20"/>
        </w:rPr>
        <w:t xml:space="preserve"> or</w:t>
      </w:r>
      <w:r>
        <w:rPr>
          <w:szCs w:val="20"/>
        </w:rPr>
        <w:t xml:space="preserve"> therms per</w:t>
      </w:r>
      <w:r w:rsidRPr="005D5766">
        <w:rPr>
          <w:szCs w:val="20"/>
        </w:rPr>
        <w:t xml:space="preserve"> year).  Electricity and natural gas savings range from </w:t>
      </w:r>
      <w:r>
        <w:t>2.3</w:t>
      </w:r>
      <w:r w:rsidRPr="005D5766">
        <w:t>% to 12.7%</w:t>
      </w:r>
      <w:r>
        <w:t>,</w:t>
      </w:r>
      <w:r w:rsidRPr="005D5766">
        <w:t xml:space="preserve"> and a</w:t>
      </w:r>
      <w:r>
        <w:t>re applied consisten</w:t>
      </w:r>
      <w:r w:rsidR="006F2DA9">
        <w:t>tly</w:t>
      </w:r>
      <w:r w:rsidRPr="005D5766">
        <w:t xml:space="preserve"> level for all utilities.  </w:t>
      </w:r>
      <w:r w:rsidRPr="005D5766">
        <w:rPr>
          <w:szCs w:val="20"/>
        </w:rPr>
        <w:t xml:space="preserve">Costs for electricity and natural gas savings are also constant across utilities </w:t>
      </w:r>
      <w:r>
        <w:rPr>
          <w:szCs w:val="20"/>
        </w:rPr>
        <w:t xml:space="preserve">at </w:t>
      </w:r>
      <w:r w:rsidRPr="005D5766">
        <w:t>$0.39</w:t>
      </w:r>
      <w:r>
        <w:t xml:space="preserve"> per </w:t>
      </w:r>
      <w:r w:rsidRPr="005D5766">
        <w:rPr>
          <w:szCs w:val="20"/>
        </w:rPr>
        <w:t xml:space="preserve">kWh and </w:t>
      </w:r>
      <w:r w:rsidRPr="005D5766">
        <w:t>$0.29</w:t>
      </w:r>
      <w:r>
        <w:t xml:space="preserve"> per </w:t>
      </w:r>
      <w:r w:rsidRPr="005D5766">
        <w:rPr>
          <w:szCs w:val="20"/>
        </w:rPr>
        <w:t>therm.</w:t>
      </w:r>
    </w:p>
    <w:p w14:paraId="2655CF41" w14:textId="77777777" w:rsidR="00E01C42" w:rsidRPr="005D5766" w:rsidRDefault="00E01C42" w:rsidP="00E01C42">
      <w:pPr>
        <w:rPr>
          <w:szCs w:val="20"/>
        </w:rPr>
      </w:pPr>
    </w:p>
    <w:p w14:paraId="44FCC97A" w14:textId="77777777" w:rsidR="00E01C42" w:rsidRPr="00210C13" w:rsidRDefault="00F9578C" w:rsidP="00E01C42">
      <w:pPr>
        <w:pStyle w:val="Caption"/>
        <w:rPr>
          <w:b w:val="0"/>
          <w:color w:val="auto"/>
          <w:szCs w:val="24"/>
        </w:rPr>
      </w:pPr>
      <w:bookmarkStart w:id="1064" w:name="_Ref479180011"/>
      <w:bookmarkStart w:id="1065" w:name="_Toc490226037"/>
      <w:r w:rsidRPr="00F9578C">
        <w:rPr>
          <w:color w:val="auto"/>
        </w:rPr>
        <w:t xml:space="preserve">Table </w:t>
      </w:r>
      <w:r w:rsidRPr="00F9578C">
        <w:rPr>
          <w:color w:val="auto"/>
        </w:rPr>
        <w:fldChar w:fldCharType="begin"/>
      </w:r>
      <w:r w:rsidRPr="00F9578C">
        <w:rPr>
          <w:color w:val="auto"/>
        </w:rPr>
        <w:instrText xml:space="preserve"> STYLEREF 5 \s </w:instrText>
      </w:r>
      <w:r w:rsidRPr="00F9578C">
        <w:rPr>
          <w:color w:val="auto"/>
        </w:rPr>
        <w:fldChar w:fldCharType="separate"/>
      </w:r>
      <w:r w:rsidR="007566B9">
        <w:rPr>
          <w:noProof/>
          <w:color w:val="auto"/>
        </w:rPr>
        <w:t>C</w:t>
      </w:r>
      <w:r w:rsidRPr="00F9578C">
        <w:rPr>
          <w:color w:val="auto"/>
        </w:rPr>
        <w:fldChar w:fldCharType="end"/>
      </w:r>
      <w:r w:rsidRPr="00F9578C">
        <w:rPr>
          <w:color w:val="auto"/>
        </w:rPr>
        <w:noBreakHyphen/>
      </w:r>
      <w:r w:rsidRPr="00F9578C">
        <w:rPr>
          <w:color w:val="auto"/>
        </w:rPr>
        <w:fldChar w:fldCharType="begin"/>
      </w:r>
      <w:r w:rsidRPr="00F9578C">
        <w:rPr>
          <w:color w:val="auto"/>
        </w:rPr>
        <w:instrText xml:space="preserve"> SEQ Table_Apx \* ARABIC \s 5 </w:instrText>
      </w:r>
      <w:r w:rsidRPr="00F9578C">
        <w:rPr>
          <w:color w:val="auto"/>
        </w:rPr>
        <w:fldChar w:fldCharType="separate"/>
      </w:r>
      <w:r w:rsidR="007566B9">
        <w:rPr>
          <w:noProof/>
          <w:color w:val="auto"/>
        </w:rPr>
        <w:t>10</w:t>
      </w:r>
      <w:r w:rsidRPr="00F9578C">
        <w:rPr>
          <w:color w:val="auto"/>
        </w:rPr>
        <w:fldChar w:fldCharType="end"/>
      </w:r>
      <w:r>
        <w:rPr>
          <w:color w:val="auto"/>
        </w:rPr>
        <w:t xml:space="preserve">. </w:t>
      </w:r>
      <w:bookmarkEnd w:id="1064"/>
      <w:r w:rsidR="00E01C42" w:rsidRPr="005D5766">
        <w:rPr>
          <w:color w:val="auto"/>
        </w:rPr>
        <w:t>Commercial Retrocommissioning - Key Assumptions</w:t>
      </w:r>
      <w:bookmarkEnd w:id="1065"/>
    </w:p>
    <w:tbl>
      <w:tblPr>
        <w:tblW w:w="9482" w:type="dxa"/>
        <w:jc w:val="center"/>
        <w:tblBorders>
          <w:bottom w:val="single" w:sz="8" w:space="0" w:color="555759"/>
          <w:insideH w:val="single" w:sz="4" w:space="0" w:color="DCDDDE"/>
        </w:tblBorders>
        <w:tblLook w:val="04A0" w:firstRow="1" w:lastRow="0" w:firstColumn="1" w:lastColumn="0" w:noHBand="0" w:noVBand="1"/>
      </w:tblPr>
      <w:tblGrid>
        <w:gridCol w:w="1120"/>
        <w:gridCol w:w="1524"/>
        <w:gridCol w:w="1002"/>
        <w:gridCol w:w="949"/>
        <w:gridCol w:w="1121"/>
        <w:gridCol w:w="960"/>
        <w:gridCol w:w="1106"/>
        <w:gridCol w:w="1700"/>
      </w:tblGrid>
      <w:tr w:rsidR="002544A3" w:rsidRPr="00C057BD" w14:paraId="035ACCED" w14:textId="77777777" w:rsidTr="008C0AC4">
        <w:trPr>
          <w:cantSplit/>
          <w:trHeight w:val="296"/>
          <w:jc w:val="center"/>
        </w:trPr>
        <w:tc>
          <w:tcPr>
            <w:tcW w:w="1120" w:type="dxa"/>
            <w:vMerge w:val="restart"/>
            <w:tcBorders>
              <w:top w:val="nil"/>
              <w:left w:val="nil"/>
              <w:bottom w:val="single" w:sz="12" w:space="0" w:color="95D600"/>
              <w:right w:val="nil"/>
              <w:tl2br w:val="nil"/>
              <w:tr2bl w:val="nil"/>
            </w:tcBorders>
            <w:shd w:val="clear" w:color="auto" w:fill="555759"/>
            <w:hideMark/>
          </w:tcPr>
          <w:p w14:paraId="30CA377F" w14:textId="77777777" w:rsidR="00E01C42" w:rsidRPr="00D11078" w:rsidRDefault="00E01C42" w:rsidP="008C0AC4">
            <w:pPr>
              <w:spacing w:before="40" w:after="40"/>
              <w:jc w:val="center"/>
              <w:rPr>
                <w:b/>
                <w:color w:val="FFFFFF"/>
              </w:rPr>
            </w:pPr>
            <w:r w:rsidRPr="00D11078">
              <w:rPr>
                <w:b/>
                <w:color w:val="FFFFFF"/>
              </w:rPr>
              <w:t>Sector</w:t>
            </w:r>
          </w:p>
        </w:tc>
        <w:tc>
          <w:tcPr>
            <w:tcW w:w="1524" w:type="dxa"/>
            <w:vMerge w:val="restart"/>
            <w:tcBorders>
              <w:top w:val="nil"/>
              <w:left w:val="nil"/>
              <w:bottom w:val="single" w:sz="12" w:space="0" w:color="95D600"/>
              <w:right w:val="nil"/>
              <w:tl2br w:val="nil"/>
              <w:tr2bl w:val="nil"/>
            </w:tcBorders>
            <w:shd w:val="clear" w:color="auto" w:fill="555759"/>
            <w:hideMark/>
          </w:tcPr>
          <w:p w14:paraId="58BFC55F" w14:textId="77777777" w:rsidR="00E01C42" w:rsidRPr="00D11078" w:rsidRDefault="00E01C42" w:rsidP="008C0AC4">
            <w:pPr>
              <w:spacing w:before="40" w:after="40"/>
              <w:jc w:val="center"/>
              <w:rPr>
                <w:b/>
                <w:color w:val="FFFFFF"/>
              </w:rPr>
            </w:pPr>
            <w:r w:rsidRPr="00D11078">
              <w:rPr>
                <w:b/>
                <w:color w:val="FFFFFF"/>
              </w:rPr>
              <w:t>Type</w:t>
            </w:r>
          </w:p>
        </w:tc>
        <w:tc>
          <w:tcPr>
            <w:tcW w:w="1002" w:type="dxa"/>
            <w:vMerge w:val="restart"/>
            <w:tcBorders>
              <w:top w:val="nil"/>
              <w:left w:val="nil"/>
              <w:bottom w:val="single" w:sz="12" w:space="0" w:color="95D600"/>
              <w:right w:val="nil"/>
              <w:tl2br w:val="nil"/>
              <w:tr2bl w:val="nil"/>
            </w:tcBorders>
            <w:shd w:val="clear" w:color="auto" w:fill="555759"/>
            <w:hideMark/>
          </w:tcPr>
          <w:p w14:paraId="5003BD3B" w14:textId="77777777" w:rsidR="00E01C42" w:rsidRPr="00D11078" w:rsidRDefault="00E01C42" w:rsidP="008C0AC4">
            <w:pPr>
              <w:spacing w:before="40" w:after="40"/>
              <w:jc w:val="center"/>
              <w:rPr>
                <w:b/>
                <w:color w:val="FFFFFF"/>
              </w:rPr>
            </w:pPr>
            <w:r w:rsidRPr="00D11078">
              <w:rPr>
                <w:b/>
                <w:color w:val="FFFFFF"/>
              </w:rPr>
              <w:t>EUL years</w:t>
            </w:r>
          </w:p>
        </w:tc>
        <w:tc>
          <w:tcPr>
            <w:tcW w:w="2070" w:type="dxa"/>
            <w:gridSpan w:val="2"/>
            <w:tcBorders>
              <w:top w:val="nil"/>
              <w:left w:val="nil"/>
              <w:bottom w:val="single" w:sz="2" w:space="0" w:color="FFFFFF"/>
              <w:right w:val="nil"/>
              <w:tl2br w:val="nil"/>
              <w:tr2bl w:val="nil"/>
            </w:tcBorders>
            <w:shd w:val="clear" w:color="auto" w:fill="555759"/>
            <w:hideMark/>
          </w:tcPr>
          <w:p w14:paraId="3A7F539B" w14:textId="77777777" w:rsidR="00E01C42" w:rsidRPr="00D11078" w:rsidRDefault="00E01C42" w:rsidP="008C0AC4">
            <w:pPr>
              <w:spacing w:before="40" w:after="40"/>
              <w:jc w:val="center"/>
              <w:rPr>
                <w:b/>
                <w:color w:val="FFFFFF"/>
              </w:rPr>
            </w:pPr>
            <w:r w:rsidRPr="00D11078">
              <w:rPr>
                <w:b/>
                <w:color w:val="FFFFFF"/>
              </w:rPr>
              <w:t>Savings</w:t>
            </w:r>
          </w:p>
        </w:tc>
        <w:tc>
          <w:tcPr>
            <w:tcW w:w="2066" w:type="dxa"/>
            <w:gridSpan w:val="2"/>
            <w:tcBorders>
              <w:top w:val="nil"/>
              <w:left w:val="nil"/>
              <w:bottom w:val="single" w:sz="2" w:space="0" w:color="FFFFFF"/>
              <w:right w:val="nil"/>
              <w:tl2br w:val="nil"/>
              <w:tr2bl w:val="nil"/>
            </w:tcBorders>
            <w:shd w:val="clear" w:color="auto" w:fill="555759"/>
            <w:hideMark/>
          </w:tcPr>
          <w:p w14:paraId="41B72C9D" w14:textId="77777777" w:rsidR="00E01C42" w:rsidRPr="00D11078" w:rsidRDefault="00E01C42" w:rsidP="008C0AC4">
            <w:pPr>
              <w:spacing w:before="40" w:after="40"/>
              <w:jc w:val="center"/>
              <w:rPr>
                <w:b/>
                <w:color w:val="FFFFFF"/>
              </w:rPr>
            </w:pPr>
            <w:r w:rsidRPr="00D11078">
              <w:rPr>
                <w:b/>
                <w:color w:val="FFFFFF"/>
              </w:rPr>
              <w:t>Cost</w:t>
            </w:r>
          </w:p>
        </w:tc>
        <w:tc>
          <w:tcPr>
            <w:tcW w:w="1700" w:type="dxa"/>
            <w:vMerge w:val="restart"/>
            <w:tcBorders>
              <w:top w:val="nil"/>
              <w:left w:val="nil"/>
              <w:bottom w:val="single" w:sz="12" w:space="0" w:color="95D600"/>
              <w:right w:val="nil"/>
              <w:tl2br w:val="nil"/>
              <w:tr2bl w:val="nil"/>
            </w:tcBorders>
            <w:shd w:val="clear" w:color="auto" w:fill="555759"/>
            <w:hideMark/>
          </w:tcPr>
          <w:p w14:paraId="2B374B91" w14:textId="77777777" w:rsidR="00E01C42" w:rsidRPr="00D11078" w:rsidRDefault="00E01C42" w:rsidP="008C0AC4">
            <w:pPr>
              <w:spacing w:before="40" w:after="40"/>
              <w:jc w:val="center"/>
              <w:rPr>
                <w:b/>
                <w:color w:val="FFFFFF"/>
              </w:rPr>
            </w:pPr>
            <w:r w:rsidRPr="00D11078">
              <w:rPr>
                <w:b/>
                <w:color w:val="FFFFFF"/>
              </w:rPr>
              <w:t>kW/kWh Savings Ratio</w:t>
            </w:r>
          </w:p>
        </w:tc>
      </w:tr>
      <w:tr w:rsidR="002544A3" w:rsidRPr="00C057BD" w14:paraId="7F4C69BF" w14:textId="77777777" w:rsidTr="008C0AC4">
        <w:trPr>
          <w:cantSplit/>
          <w:trHeight w:val="144"/>
          <w:jc w:val="center"/>
        </w:trPr>
        <w:tc>
          <w:tcPr>
            <w:tcW w:w="1120" w:type="dxa"/>
            <w:vMerge/>
            <w:tcBorders>
              <w:bottom w:val="single" w:sz="12" w:space="0" w:color="95D600"/>
            </w:tcBorders>
            <w:shd w:val="clear" w:color="auto" w:fill="auto"/>
            <w:hideMark/>
          </w:tcPr>
          <w:p w14:paraId="4D744C01" w14:textId="77777777" w:rsidR="00E01C42" w:rsidRPr="00C057BD" w:rsidRDefault="00E01C42" w:rsidP="008C0AC4">
            <w:pPr>
              <w:spacing w:before="40" w:after="40"/>
              <w:jc w:val="center"/>
            </w:pPr>
          </w:p>
        </w:tc>
        <w:tc>
          <w:tcPr>
            <w:tcW w:w="1524" w:type="dxa"/>
            <w:vMerge/>
            <w:tcBorders>
              <w:bottom w:val="single" w:sz="12" w:space="0" w:color="95D600"/>
            </w:tcBorders>
            <w:shd w:val="clear" w:color="auto" w:fill="auto"/>
            <w:hideMark/>
          </w:tcPr>
          <w:p w14:paraId="0194AD24" w14:textId="77777777" w:rsidR="00E01C42" w:rsidRPr="00C057BD" w:rsidRDefault="00E01C42" w:rsidP="008C0AC4">
            <w:pPr>
              <w:spacing w:before="40" w:after="40"/>
              <w:jc w:val="center"/>
            </w:pPr>
          </w:p>
        </w:tc>
        <w:tc>
          <w:tcPr>
            <w:tcW w:w="1002" w:type="dxa"/>
            <w:vMerge/>
            <w:tcBorders>
              <w:bottom w:val="single" w:sz="12" w:space="0" w:color="95D600"/>
            </w:tcBorders>
            <w:shd w:val="clear" w:color="auto" w:fill="555759"/>
            <w:hideMark/>
          </w:tcPr>
          <w:p w14:paraId="3FC2EB56" w14:textId="77777777" w:rsidR="00E01C42" w:rsidRPr="00C057BD" w:rsidRDefault="00E01C42" w:rsidP="008C0AC4">
            <w:pPr>
              <w:spacing w:before="40" w:after="40"/>
              <w:jc w:val="center"/>
            </w:pPr>
          </w:p>
        </w:tc>
        <w:tc>
          <w:tcPr>
            <w:tcW w:w="949" w:type="dxa"/>
            <w:tcBorders>
              <w:top w:val="single" w:sz="2" w:space="0" w:color="FFFFFF"/>
              <w:bottom w:val="single" w:sz="12" w:space="0" w:color="95D600"/>
            </w:tcBorders>
            <w:shd w:val="clear" w:color="auto" w:fill="555759"/>
            <w:hideMark/>
          </w:tcPr>
          <w:p w14:paraId="33CB10FE" w14:textId="77777777" w:rsidR="00E01C42" w:rsidRPr="00D11078" w:rsidRDefault="00E01C42" w:rsidP="008C0AC4">
            <w:pPr>
              <w:spacing w:before="40" w:after="40"/>
              <w:jc w:val="center"/>
              <w:rPr>
                <w:b/>
                <w:color w:val="FFFFFF"/>
              </w:rPr>
            </w:pPr>
            <w:r w:rsidRPr="00D11078">
              <w:rPr>
                <w:b/>
                <w:color w:val="FFFFFF"/>
              </w:rPr>
              <w:t>kWh</w:t>
            </w:r>
          </w:p>
        </w:tc>
        <w:tc>
          <w:tcPr>
            <w:tcW w:w="1121" w:type="dxa"/>
            <w:tcBorders>
              <w:top w:val="single" w:sz="2" w:space="0" w:color="FFFFFF"/>
              <w:bottom w:val="single" w:sz="12" w:space="0" w:color="95D600"/>
            </w:tcBorders>
            <w:shd w:val="clear" w:color="auto" w:fill="555759"/>
            <w:hideMark/>
          </w:tcPr>
          <w:p w14:paraId="1057C1E9" w14:textId="77777777" w:rsidR="00E01C42" w:rsidRPr="00D11078" w:rsidRDefault="00E01C42" w:rsidP="008C0AC4">
            <w:pPr>
              <w:spacing w:before="40" w:after="40"/>
              <w:jc w:val="center"/>
              <w:rPr>
                <w:b/>
                <w:color w:val="FFFFFF"/>
              </w:rPr>
            </w:pPr>
            <w:r w:rsidRPr="00D11078">
              <w:rPr>
                <w:b/>
                <w:color w:val="FFFFFF"/>
              </w:rPr>
              <w:t>Therm</w:t>
            </w:r>
          </w:p>
        </w:tc>
        <w:tc>
          <w:tcPr>
            <w:tcW w:w="960" w:type="dxa"/>
            <w:tcBorders>
              <w:top w:val="single" w:sz="2" w:space="0" w:color="FFFFFF"/>
              <w:bottom w:val="single" w:sz="12" w:space="0" w:color="95D600"/>
            </w:tcBorders>
            <w:shd w:val="clear" w:color="auto" w:fill="555759"/>
            <w:hideMark/>
          </w:tcPr>
          <w:p w14:paraId="11B6AEC3" w14:textId="77777777" w:rsidR="00E01C42" w:rsidRPr="00D11078" w:rsidRDefault="00E01C42" w:rsidP="008C0AC4">
            <w:pPr>
              <w:spacing w:before="40" w:after="40"/>
              <w:jc w:val="center"/>
              <w:rPr>
                <w:b/>
                <w:color w:val="FFFFFF"/>
              </w:rPr>
            </w:pPr>
            <w:r w:rsidRPr="00D11078">
              <w:rPr>
                <w:b/>
                <w:color w:val="FFFFFF"/>
              </w:rPr>
              <w:t>kWh</w:t>
            </w:r>
          </w:p>
        </w:tc>
        <w:tc>
          <w:tcPr>
            <w:tcW w:w="1106" w:type="dxa"/>
            <w:tcBorders>
              <w:top w:val="single" w:sz="2" w:space="0" w:color="FFFFFF"/>
              <w:bottom w:val="single" w:sz="12" w:space="0" w:color="95D600"/>
            </w:tcBorders>
            <w:shd w:val="clear" w:color="auto" w:fill="555759"/>
            <w:hideMark/>
          </w:tcPr>
          <w:p w14:paraId="285B1B46" w14:textId="77777777" w:rsidR="00E01C42" w:rsidRPr="00D11078" w:rsidRDefault="00E01C42" w:rsidP="008C0AC4">
            <w:pPr>
              <w:spacing w:before="40" w:after="40"/>
              <w:jc w:val="center"/>
              <w:rPr>
                <w:b/>
                <w:color w:val="FFFFFF"/>
              </w:rPr>
            </w:pPr>
            <w:r w:rsidRPr="00D11078">
              <w:rPr>
                <w:b/>
                <w:color w:val="FFFFFF"/>
              </w:rPr>
              <w:t>Therm</w:t>
            </w:r>
          </w:p>
        </w:tc>
        <w:tc>
          <w:tcPr>
            <w:tcW w:w="1700" w:type="dxa"/>
            <w:vMerge/>
            <w:tcBorders>
              <w:bottom w:val="single" w:sz="12" w:space="0" w:color="95D600"/>
            </w:tcBorders>
            <w:shd w:val="clear" w:color="auto" w:fill="auto"/>
            <w:hideMark/>
          </w:tcPr>
          <w:p w14:paraId="4A321B41" w14:textId="77777777" w:rsidR="00E01C42" w:rsidRPr="00C057BD" w:rsidRDefault="00E01C42" w:rsidP="008C0AC4">
            <w:pPr>
              <w:spacing w:before="40" w:after="40"/>
              <w:jc w:val="center"/>
            </w:pPr>
          </w:p>
        </w:tc>
      </w:tr>
      <w:tr w:rsidR="002544A3" w:rsidRPr="00C057BD" w14:paraId="0BC49174" w14:textId="77777777" w:rsidTr="008C0AC4">
        <w:trPr>
          <w:cantSplit/>
          <w:trHeight w:val="738"/>
          <w:jc w:val="center"/>
        </w:trPr>
        <w:tc>
          <w:tcPr>
            <w:tcW w:w="1120" w:type="dxa"/>
            <w:tcBorders>
              <w:top w:val="single" w:sz="12" w:space="0" w:color="95D600"/>
            </w:tcBorders>
            <w:shd w:val="clear" w:color="auto" w:fill="FFFFFF"/>
            <w:hideMark/>
          </w:tcPr>
          <w:p w14:paraId="3181BC20" w14:textId="77777777" w:rsidR="00E01C42" w:rsidRPr="00C057BD" w:rsidRDefault="00E01C42" w:rsidP="008C0AC4">
            <w:pPr>
              <w:spacing w:before="40" w:after="40"/>
              <w:jc w:val="center"/>
            </w:pPr>
            <w:r w:rsidRPr="00C057BD">
              <w:t>COM</w:t>
            </w:r>
          </w:p>
        </w:tc>
        <w:tc>
          <w:tcPr>
            <w:tcW w:w="1524" w:type="dxa"/>
            <w:tcBorders>
              <w:top w:val="single" w:sz="12" w:space="0" w:color="95D600"/>
            </w:tcBorders>
            <w:shd w:val="clear" w:color="auto" w:fill="FFFFFF"/>
            <w:hideMark/>
          </w:tcPr>
          <w:p w14:paraId="591AD54A" w14:textId="77777777" w:rsidR="00E01C42" w:rsidRPr="00C057BD" w:rsidRDefault="00E01C42" w:rsidP="008C0AC4">
            <w:pPr>
              <w:spacing w:before="40" w:after="40"/>
              <w:jc w:val="center"/>
            </w:pPr>
            <w:r>
              <w:t>RCx</w:t>
            </w:r>
          </w:p>
        </w:tc>
        <w:tc>
          <w:tcPr>
            <w:tcW w:w="1002" w:type="dxa"/>
            <w:tcBorders>
              <w:top w:val="single" w:sz="12" w:space="0" w:color="95D600"/>
            </w:tcBorders>
            <w:shd w:val="clear" w:color="auto" w:fill="FFFFFF"/>
            <w:hideMark/>
          </w:tcPr>
          <w:p w14:paraId="75756487" w14:textId="77777777" w:rsidR="00E01C42" w:rsidRPr="00C057BD" w:rsidRDefault="00E01C42" w:rsidP="008C0AC4">
            <w:pPr>
              <w:spacing w:before="40" w:after="40"/>
              <w:jc w:val="center"/>
            </w:pPr>
            <w:r>
              <w:t>5</w:t>
            </w:r>
          </w:p>
        </w:tc>
        <w:tc>
          <w:tcPr>
            <w:tcW w:w="949" w:type="dxa"/>
            <w:tcBorders>
              <w:top w:val="single" w:sz="12" w:space="0" w:color="95D600"/>
            </w:tcBorders>
            <w:shd w:val="clear" w:color="auto" w:fill="FFFFFF"/>
            <w:hideMark/>
          </w:tcPr>
          <w:p w14:paraId="339E776B" w14:textId="77777777" w:rsidR="00E01C42" w:rsidRPr="00C057BD" w:rsidRDefault="00E01C42" w:rsidP="008C0AC4">
            <w:pPr>
              <w:spacing w:before="40" w:after="40"/>
              <w:jc w:val="center"/>
            </w:pPr>
            <w:r>
              <w:t>2.3</w:t>
            </w:r>
            <w:r w:rsidRPr="005D5766">
              <w:t xml:space="preserve">% - </w:t>
            </w:r>
            <w:r w:rsidR="0080627F">
              <w:t>5.1</w:t>
            </w:r>
            <w:r w:rsidRPr="005D5766">
              <w:t>7%</w:t>
            </w:r>
          </w:p>
        </w:tc>
        <w:tc>
          <w:tcPr>
            <w:tcW w:w="1121" w:type="dxa"/>
            <w:tcBorders>
              <w:top w:val="single" w:sz="12" w:space="0" w:color="95D600"/>
            </w:tcBorders>
            <w:shd w:val="clear" w:color="auto" w:fill="FFFFFF"/>
            <w:hideMark/>
          </w:tcPr>
          <w:p w14:paraId="61581EC2" w14:textId="77777777" w:rsidR="00E01C42" w:rsidRPr="00C057BD" w:rsidRDefault="00E01C42" w:rsidP="008C0AC4">
            <w:pPr>
              <w:spacing w:before="40" w:after="40"/>
              <w:jc w:val="center"/>
            </w:pPr>
            <w:r>
              <w:t>2.3</w:t>
            </w:r>
            <w:r w:rsidRPr="005D5766">
              <w:t xml:space="preserve">% - </w:t>
            </w:r>
            <w:r w:rsidR="0080627F">
              <w:t>5.1</w:t>
            </w:r>
            <w:r w:rsidRPr="005D5766">
              <w:t>7%</w:t>
            </w:r>
          </w:p>
        </w:tc>
        <w:tc>
          <w:tcPr>
            <w:tcW w:w="960" w:type="dxa"/>
            <w:tcBorders>
              <w:top w:val="single" w:sz="12" w:space="0" w:color="95D600"/>
            </w:tcBorders>
            <w:shd w:val="clear" w:color="auto" w:fill="FFFFFF"/>
            <w:hideMark/>
          </w:tcPr>
          <w:p w14:paraId="0CA0DEFB" w14:textId="77777777" w:rsidR="00E01C42" w:rsidRPr="00C057BD" w:rsidRDefault="00E01C42" w:rsidP="008C0AC4">
            <w:pPr>
              <w:spacing w:before="40" w:after="40"/>
              <w:jc w:val="center"/>
            </w:pPr>
            <w:r w:rsidRPr="005D5766">
              <w:t>$0.</w:t>
            </w:r>
            <w:r w:rsidR="0080627F">
              <w:t>21</w:t>
            </w:r>
          </w:p>
        </w:tc>
        <w:tc>
          <w:tcPr>
            <w:tcW w:w="1106" w:type="dxa"/>
            <w:tcBorders>
              <w:top w:val="single" w:sz="12" w:space="0" w:color="95D600"/>
            </w:tcBorders>
            <w:shd w:val="clear" w:color="auto" w:fill="FFFFFF"/>
            <w:hideMark/>
          </w:tcPr>
          <w:p w14:paraId="1297093F" w14:textId="77777777" w:rsidR="00E01C42" w:rsidRPr="00D11078" w:rsidRDefault="00E01C42" w:rsidP="008C0AC4">
            <w:pPr>
              <w:spacing w:before="40" w:after="40"/>
              <w:jc w:val="center"/>
              <w:rPr>
                <w:highlight w:val="red"/>
              </w:rPr>
            </w:pPr>
            <w:r w:rsidRPr="005D5766">
              <w:t>$0.</w:t>
            </w:r>
            <w:r w:rsidR="0080627F">
              <w:t>3</w:t>
            </w:r>
            <w:r w:rsidRPr="005D5766">
              <w:t>9</w:t>
            </w:r>
          </w:p>
        </w:tc>
        <w:tc>
          <w:tcPr>
            <w:tcW w:w="1700" w:type="dxa"/>
            <w:tcBorders>
              <w:top w:val="single" w:sz="12" w:space="0" w:color="95D600"/>
            </w:tcBorders>
            <w:shd w:val="clear" w:color="auto" w:fill="FFFFFF"/>
            <w:hideMark/>
          </w:tcPr>
          <w:p w14:paraId="474A62FE" w14:textId="77777777" w:rsidR="00E01C42" w:rsidRPr="00C057BD" w:rsidRDefault="00E01C42" w:rsidP="008C0AC4">
            <w:pPr>
              <w:spacing w:before="40" w:after="40"/>
              <w:jc w:val="center"/>
            </w:pPr>
            <w:r w:rsidRPr="005D5766">
              <w:t>0.000138</w:t>
            </w:r>
          </w:p>
        </w:tc>
      </w:tr>
    </w:tbl>
    <w:p w14:paraId="0F0CC731" w14:textId="77777777" w:rsidR="00E01C42" w:rsidRDefault="00E01C42" w:rsidP="00E01C42">
      <w:pPr>
        <w:rPr>
          <w:b/>
        </w:rPr>
      </w:pPr>
    </w:p>
    <w:p w14:paraId="7842512E" w14:textId="77777777" w:rsidR="00E01C42" w:rsidRPr="005D5766" w:rsidRDefault="00E01C42" w:rsidP="00E01C42">
      <w:pPr>
        <w:rPr>
          <w:b/>
        </w:rPr>
      </w:pPr>
      <w:r w:rsidRPr="005D5766">
        <w:rPr>
          <w:b/>
        </w:rPr>
        <w:t>Assumptions and Methodology</w:t>
      </w:r>
    </w:p>
    <w:p w14:paraId="23313C43" w14:textId="77777777" w:rsidR="00E01C42" w:rsidRPr="005D5766" w:rsidRDefault="00E01C42" w:rsidP="00E01C42">
      <w:pPr>
        <w:rPr>
          <w:b/>
        </w:rPr>
      </w:pPr>
    </w:p>
    <w:p w14:paraId="32E19535" w14:textId="77777777" w:rsidR="00E01C42" w:rsidRPr="005D5766" w:rsidRDefault="00E01C42" w:rsidP="00E01C42">
      <w:pPr>
        <w:rPr>
          <w:b/>
          <w:i/>
          <w:szCs w:val="20"/>
        </w:rPr>
      </w:pPr>
      <w:r w:rsidRPr="005D5766">
        <w:rPr>
          <w:b/>
          <w:i/>
          <w:szCs w:val="20"/>
        </w:rPr>
        <w:t>Eligibility and Participation</w:t>
      </w:r>
    </w:p>
    <w:p w14:paraId="1325D4F1" w14:textId="77777777" w:rsidR="00E01C42" w:rsidRPr="005D5766" w:rsidRDefault="00E01C42" w:rsidP="00122CD3">
      <w:r w:rsidRPr="00DA15D5">
        <w:t xml:space="preserve">Consistent with previous </w:t>
      </w:r>
      <w:r>
        <w:t>Studies</w:t>
      </w:r>
      <w:r w:rsidRPr="00DA15D5">
        <w:t xml:space="preserve">, </w:t>
      </w:r>
      <w:r w:rsidRPr="005D5766">
        <w:t xml:space="preserve">RCx </w:t>
      </w:r>
      <w:r w:rsidRPr="00DA15D5">
        <w:t xml:space="preserve">savings </w:t>
      </w:r>
      <w:r>
        <w:t>are applied</w:t>
      </w:r>
      <w:r w:rsidRPr="00DA15D5">
        <w:t xml:space="preserve"> to </w:t>
      </w:r>
      <w:r w:rsidRPr="005D5766">
        <w:t xml:space="preserve">select </w:t>
      </w:r>
      <w:r w:rsidRPr="00DA15D5">
        <w:t xml:space="preserve">commercial market segments, </w:t>
      </w:r>
      <w:r w:rsidRPr="005D5766">
        <w:t xml:space="preserve">and the </w:t>
      </w:r>
      <w:r w:rsidRPr="00DA15D5">
        <w:t xml:space="preserve">applicability factor ranges from </w:t>
      </w:r>
      <w:r w:rsidRPr="005D5766">
        <w:t>18</w:t>
      </w:r>
      <w:r w:rsidRPr="00DA15D5">
        <w:t xml:space="preserve">% to </w:t>
      </w:r>
      <w:r w:rsidR="0080627F">
        <w:t>91</w:t>
      </w:r>
      <w:r w:rsidRPr="00DA15D5">
        <w:t>%</w:t>
      </w:r>
      <w:r w:rsidRPr="009A2197">
        <w:t xml:space="preserve">. </w:t>
      </w:r>
      <w:r w:rsidRPr="009A2197">
        <w:rPr>
          <w:szCs w:val="20"/>
        </w:rPr>
        <w:t>Th</w:t>
      </w:r>
      <w:r>
        <w:rPr>
          <w:szCs w:val="20"/>
        </w:rPr>
        <w:t xml:space="preserve">is </w:t>
      </w:r>
      <w:r w:rsidRPr="009A2197">
        <w:rPr>
          <w:szCs w:val="20"/>
        </w:rPr>
        <w:t xml:space="preserve">model </w:t>
      </w:r>
      <w:r w:rsidRPr="005D5766">
        <w:rPr>
          <w:szCs w:val="20"/>
        </w:rPr>
        <w:t xml:space="preserve">also </w:t>
      </w:r>
      <w:r>
        <w:rPr>
          <w:szCs w:val="20"/>
        </w:rPr>
        <w:t>adjusted</w:t>
      </w:r>
      <w:r w:rsidRPr="005D5766">
        <w:rPr>
          <w:szCs w:val="20"/>
        </w:rPr>
        <w:t xml:space="preserve"> the eligibility and participation estimates </w:t>
      </w:r>
      <w:r>
        <w:rPr>
          <w:szCs w:val="20"/>
        </w:rPr>
        <w:t xml:space="preserve">for RCx </w:t>
      </w:r>
      <w:r w:rsidRPr="005D5766">
        <w:rPr>
          <w:szCs w:val="20"/>
        </w:rPr>
        <w:t xml:space="preserve">to exclude </w:t>
      </w:r>
      <w:r>
        <w:rPr>
          <w:szCs w:val="20"/>
        </w:rPr>
        <w:t xml:space="preserve">BEIMS </w:t>
      </w:r>
      <w:r w:rsidRPr="005D5766">
        <w:rPr>
          <w:szCs w:val="20"/>
        </w:rPr>
        <w:t xml:space="preserve">market </w:t>
      </w:r>
      <w:r>
        <w:rPr>
          <w:szCs w:val="20"/>
        </w:rPr>
        <w:t xml:space="preserve">potential, </w:t>
      </w:r>
      <w:r w:rsidRPr="009A2197">
        <w:rPr>
          <w:szCs w:val="20"/>
        </w:rPr>
        <w:t>and</w:t>
      </w:r>
      <w:r>
        <w:rPr>
          <w:szCs w:val="20"/>
        </w:rPr>
        <w:t xml:space="preserve"> to </w:t>
      </w:r>
      <w:r w:rsidRPr="005D5766">
        <w:rPr>
          <w:szCs w:val="20"/>
        </w:rPr>
        <w:t>exclude building</w:t>
      </w:r>
      <w:r>
        <w:rPr>
          <w:szCs w:val="20"/>
        </w:rPr>
        <w:t>s</w:t>
      </w:r>
      <w:r w:rsidRPr="005D5766">
        <w:rPr>
          <w:szCs w:val="20"/>
        </w:rPr>
        <w:t xml:space="preserve"> built after 2011 when commissioning became a requirement under CalGreen.</w:t>
      </w:r>
      <w:r>
        <w:rPr>
          <w:szCs w:val="20"/>
        </w:rPr>
        <w:t xml:space="preserve"> It is estimated that approximately 92% of commercial building stock was constructed before 2011.</w:t>
      </w:r>
      <w:r w:rsidRPr="005D5766">
        <w:rPr>
          <w:szCs w:val="20"/>
        </w:rPr>
        <w:t xml:space="preserve"> The exclusion of market savings </w:t>
      </w:r>
      <w:r>
        <w:rPr>
          <w:szCs w:val="20"/>
        </w:rPr>
        <w:t xml:space="preserve">from BEIMS </w:t>
      </w:r>
      <w:r w:rsidRPr="005D5766">
        <w:rPr>
          <w:szCs w:val="20"/>
        </w:rPr>
        <w:t xml:space="preserve">is intended to reduce the risk of double counting savings because the </w:t>
      </w:r>
      <w:r>
        <w:rPr>
          <w:szCs w:val="20"/>
        </w:rPr>
        <w:t>EMS</w:t>
      </w:r>
      <w:r w:rsidRPr="005D5766">
        <w:rPr>
          <w:szCs w:val="20"/>
        </w:rPr>
        <w:t xml:space="preserve"> technologies inherent in </w:t>
      </w:r>
      <w:r>
        <w:rPr>
          <w:szCs w:val="20"/>
        </w:rPr>
        <w:t xml:space="preserve">the </w:t>
      </w:r>
      <w:r w:rsidRPr="005D5766">
        <w:rPr>
          <w:szCs w:val="20"/>
        </w:rPr>
        <w:t>B</w:t>
      </w:r>
      <w:r>
        <w:rPr>
          <w:szCs w:val="20"/>
        </w:rPr>
        <w:t>EI</w:t>
      </w:r>
      <w:r w:rsidRPr="005D5766">
        <w:rPr>
          <w:szCs w:val="20"/>
        </w:rPr>
        <w:t xml:space="preserve">MS </w:t>
      </w:r>
      <w:r>
        <w:rPr>
          <w:szCs w:val="20"/>
        </w:rPr>
        <w:t xml:space="preserve">measure </w:t>
      </w:r>
      <w:r w:rsidRPr="005D5766">
        <w:rPr>
          <w:szCs w:val="20"/>
        </w:rPr>
        <w:t>allow for continuous commissioning that would exclude commissioning activities defined in the RCx measure. The</w:t>
      </w:r>
      <w:r>
        <w:rPr>
          <w:szCs w:val="20"/>
        </w:rPr>
        <w:t xml:space="preserve"> </w:t>
      </w:r>
      <w:r w:rsidRPr="005D5766">
        <w:rPr>
          <w:szCs w:val="20"/>
        </w:rPr>
        <w:t xml:space="preserve">model </w:t>
      </w:r>
      <w:r w:rsidRPr="000C5D23">
        <w:rPr>
          <w:szCs w:val="20"/>
        </w:rPr>
        <w:t xml:space="preserve">assumes that </w:t>
      </w:r>
      <w:r w:rsidRPr="005D5766">
        <w:rPr>
          <w:szCs w:val="20"/>
        </w:rPr>
        <w:t xml:space="preserve">RCx </w:t>
      </w:r>
      <w:r w:rsidRPr="000C5D23">
        <w:rPr>
          <w:szCs w:val="20"/>
        </w:rPr>
        <w:t xml:space="preserve">program interventions in the commercial market have been ongoing </w:t>
      </w:r>
      <w:r>
        <w:rPr>
          <w:szCs w:val="20"/>
        </w:rPr>
        <w:t>since the 2015 Study</w:t>
      </w:r>
      <w:r w:rsidR="002274F7">
        <w:rPr>
          <w:szCs w:val="20"/>
        </w:rPr>
        <w:t xml:space="preserve"> (though SoCalGas does not claim savings until 2018)</w:t>
      </w:r>
      <w:r>
        <w:rPr>
          <w:szCs w:val="20"/>
        </w:rPr>
        <w:t xml:space="preserve">, </w:t>
      </w:r>
      <w:r w:rsidRPr="000C5D23">
        <w:rPr>
          <w:szCs w:val="20"/>
        </w:rPr>
        <w:t xml:space="preserve">and a </w:t>
      </w:r>
      <w:r>
        <w:rPr>
          <w:szCs w:val="20"/>
        </w:rPr>
        <w:t>CAGR</w:t>
      </w:r>
      <w:r w:rsidRPr="000C5D23">
        <w:rPr>
          <w:szCs w:val="20"/>
        </w:rPr>
        <w:t xml:space="preserve"> </w:t>
      </w:r>
      <w:r w:rsidRPr="000C5D23">
        <w:rPr>
          <w:szCs w:val="20"/>
        </w:rPr>
        <w:lastRenderedPageBreak/>
        <w:t>was used to forecast gr</w:t>
      </w:r>
      <w:r>
        <w:rPr>
          <w:szCs w:val="20"/>
        </w:rPr>
        <w:t>owth in participation through</w:t>
      </w:r>
      <w:r w:rsidRPr="000C5D23">
        <w:rPr>
          <w:szCs w:val="20"/>
        </w:rPr>
        <w:t xml:space="preserve"> the model forecast horizon. In the reference case, a </w:t>
      </w:r>
      <w:r w:rsidRPr="005D5766">
        <w:rPr>
          <w:szCs w:val="20"/>
        </w:rPr>
        <w:t>3</w:t>
      </w:r>
      <w:r w:rsidRPr="000C5D23">
        <w:rPr>
          <w:szCs w:val="20"/>
        </w:rPr>
        <w:t xml:space="preserve">% CAGR was used to forecast growth in </w:t>
      </w:r>
      <w:r w:rsidRPr="005D5766">
        <w:rPr>
          <w:szCs w:val="20"/>
        </w:rPr>
        <w:t>RC</w:t>
      </w:r>
      <w:r>
        <w:rPr>
          <w:szCs w:val="20"/>
        </w:rPr>
        <w:t>x</w:t>
      </w:r>
      <w:r w:rsidRPr="000C5D23">
        <w:rPr>
          <w:szCs w:val="20"/>
        </w:rPr>
        <w:t xml:space="preserve">, while the aggressive case used a </w:t>
      </w:r>
      <w:r w:rsidRPr="005D5766">
        <w:rPr>
          <w:szCs w:val="20"/>
        </w:rPr>
        <w:t>5</w:t>
      </w:r>
      <w:r w:rsidRPr="000C5D23">
        <w:rPr>
          <w:szCs w:val="20"/>
        </w:rPr>
        <w:t xml:space="preserve">% CAGR. </w:t>
      </w:r>
      <w:r w:rsidR="0080627F">
        <w:rPr>
          <w:szCs w:val="20"/>
        </w:rPr>
        <w:t xml:space="preserve">Recommissioning is anticipated in 25% of RCx participants after 5 years, and reparticipation is additionally discounted by 25% to avoid double counting of savings influenced by other programs, such as BOC and SEM. </w:t>
      </w:r>
      <w:r w:rsidRPr="005D5766">
        <w:rPr>
          <w:szCs w:val="20"/>
        </w:rPr>
        <w:t>L</w:t>
      </w:r>
      <w:r w:rsidRPr="000C5D23">
        <w:rPr>
          <w:szCs w:val="20"/>
        </w:rPr>
        <w:t xml:space="preserve">ow initial </w:t>
      </w:r>
      <w:r>
        <w:rPr>
          <w:szCs w:val="20"/>
        </w:rPr>
        <w:t xml:space="preserve">penetration </w:t>
      </w:r>
      <w:r w:rsidRPr="005D5766">
        <w:rPr>
          <w:szCs w:val="20"/>
        </w:rPr>
        <w:t xml:space="preserve">of RCx </w:t>
      </w:r>
      <w:r w:rsidRPr="000C5D23">
        <w:rPr>
          <w:szCs w:val="20"/>
        </w:rPr>
        <w:t>results in forecast</w:t>
      </w:r>
      <w:r>
        <w:rPr>
          <w:szCs w:val="20"/>
        </w:rPr>
        <w:t>ed</w:t>
      </w:r>
      <w:r w:rsidRPr="000C5D23">
        <w:rPr>
          <w:szCs w:val="20"/>
        </w:rPr>
        <w:t xml:space="preserve"> </w:t>
      </w:r>
      <w:r>
        <w:rPr>
          <w:szCs w:val="20"/>
        </w:rPr>
        <w:t xml:space="preserve">penetrations </w:t>
      </w:r>
      <w:r w:rsidRPr="000C5D23">
        <w:rPr>
          <w:szCs w:val="20"/>
        </w:rPr>
        <w:t xml:space="preserve">of </w:t>
      </w:r>
      <w:r w:rsidR="0080627F">
        <w:rPr>
          <w:szCs w:val="20"/>
        </w:rPr>
        <w:t>2.3</w:t>
      </w:r>
      <w:r w:rsidRPr="000C5D23">
        <w:rPr>
          <w:szCs w:val="20"/>
        </w:rPr>
        <w:t xml:space="preserve">% and </w:t>
      </w:r>
      <w:r w:rsidRPr="005D5766">
        <w:rPr>
          <w:szCs w:val="20"/>
        </w:rPr>
        <w:t>2.</w:t>
      </w:r>
      <w:r w:rsidR="0080627F">
        <w:rPr>
          <w:szCs w:val="20"/>
        </w:rPr>
        <w:t>8</w:t>
      </w:r>
      <w:r w:rsidRPr="000C5D23">
        <w:rPr>
          <w:szCs w:val="20"/>
        </w:rPr>
        <w:t>% for the reference and aggressive cases, respectively</w:t>
      </w:r>
      <w:r w:rsidRPr="005D5766">
        <w:rPr>
          <w:szCs w:val="20"/>
        </w:rPr>
        <w:t>, over the forecast horizon</w:t>
      </w:r>
      <w:r w:rsidRPr="000C5D23">
        <w:rPr>
          <w:szCs w:val="20"/>
        </w:rPr>
        <w:t xml:space="preserve">. </w:t>
      </w:r>
    </w:p>
    <w:p w14:paraId="2D66EE5B" w14:textId="77777777" w:rsidR="00E01C42" w:rsidRPr="005B21C0" w:rsidRDefault="00E01C42" w:rsidP="00E01C42">
      <w:pPr>
        <w:rPr>
          <w:color w:val="FF0000"/>
          <w:szCs w:val="20"/>
        </w:rPr>
      </w:pPr>
      <w:r w:rsidRPr="005B21C0">
        <w:rPr>
          <w:color w:val="FF0000"/>
          <w:szCs w:val="20"/>
        </w:rPr>
        <w:t xml:space="preserve">  </w:t>
      </w:r>
    </w:p>
    <w:p w14:paraId="60D2D380" w14:textId="77777777" w:rsidR="00E01C42" w:rsidRPr="005D5766" w:rsidRDefault="00E01C42" w:rsidP="00122CD3">
      <w:pPr>
        <w:keepNext/>
        <w:keepLines/>
        <w:rPr>
          <w:szCs w:val="20"/>
        </w:rPr>
      </w:pPr>
      <w:r w:rsidRPr="005D5766">
        <w:rPr>
          <w:b/>
          <w:i/>
          <w:szCs w:val="20"/>
        </w:rPr>
        <w:t>Savings</w:t>
      </w:r>
    </w:p>
    <w:p w14:paraId="1308C96B" w14:textId="77777777" w:rsidR="00E01C42" w:rsidRPr="005D5766" w:rsidRDefault="00E01C42" w:rsidP="00122CD3">
      <w:pPr>
        <w:keepNext/>
        <w:keepLines/>
      </w:pPr>
      <w:r>
        <w:t>E</w:t>
      </w:r>
      <w:r w:rsidRPr="005D5766">
        <w:t xml:space="preserve">nergy savings associated with </w:t>
      </w:r>
      <w:r>
        <w:t xml:space="preserve">RCx </w:t>
      </w:r>
      <w:r w:rsidRPr="005D5766">
        <w:t>are calculated using the following equation:</w:t>
      </w:r>
    </w:p>
    <w:p w14:paraId="5323C145" w14:textId="77777777" w:rsidR="00E01C42" w:rsidRPr="005D5766" w:rsidRDefault="00E01C42" w:rsidP="00122CD3">
      <w:pPr>
        <w:keepLines/>
      </w:pPr>
    </w:p>
    <w:p w14:paraId="1DBA6523" w14:textId="77777777" w:rsidR="00E01C42" w:rsidRPr="005D5766" w:rsidRDefault="00E01C42" w:rsidP="00122CD3">
      <w:pPr>
        <w:keepLines/>
        <w:ind w:left="720"/>
        <w:rPr>
          <w:szCs w:val="20"/>
        </w:rPr>
      </w:pPr>
      <w:r w:rsidRPr="005D5766">
        <w:t>E</w:t>
      </w:r>
      <w:r w:rsidRPr="005D5766">
        <w:rPr>
          <w:szCs w:val="20"/>
        </w:rPr>
        <w:t xml:space="preserve">nergy Savings, RCx = </w:t>
      </w:r>
      <w:r>
        <w:rPr>
          <w:szCs w:val="20"/>
        </w:rPr>
        <w:t xml:space="preserve">Penetration </w:t>
      </w:r>
      <w:r w:rsidRPr="005D5766">
        <w:rPr>
          <w:szCs w:val="20"/>
        </w:rPr>
        <w:t xml:space="preserve">of RCx by Building Type x Total Annual Consumption x </w:t>
      </w:r>
      <w:r>
        <w:rPr>
          <w:szCs w:val="20"/>
        </w:rPr>
        <w:br/>
      </w:r>
      <w:r w:rsidRPr="005D5766">
        <w:rPr>
          <w:szCs w:val="20"/>
        </w:rPr>
        <w:t xml:space="preserve">% End Use Consumption for </w:t>
      </w:r>
      <w:r>
        <w:rPr>
          <w:szCs w:val="20"/>
        </w:rPr>
        <w:t>HVAC</w:t>
      </w:r>
      <w:r w:rsidRPr="005D5766">
        <w:rPr>
          <w:szCs w:val="20"/>
        </w:rPr>
        <w:t xml:space="preserve"> x % E</w:t>
      </w:r>
      <w:r>
        <w:rPr>
          <w:szCs w:val="20"/>
        </w:rPr>
        <w:t>nd Use Savings by Building Type</w:t>
      </w:r>
    </w:p>
    <w:p w14:paraId="12C6A6DD" w14:textId="77777777" w:rsidR="00E01C42" w:rsidRPr="005D5766" w:rsidRDefault="00E01C42" w:rsidP="00E01C42">
      <w:pPr>
        <w:rPr>
          <w:szCs w:val="20"/>
        </w:rPr>
      </w:pPr>
    </w:p>
    <w:p w14:paraId="69FC3A22" w14:textId="77777777" w:rsidR="00E01C42" w:rsidRPr="005D5766" w:rsidRDefault="00E01C42" w:rsidP="00E01C42">
      <w:pPr>
        <w:rPr>
          <w:szCs w:val="20"/>
        </w:rPr>
      </w:pPr>
      <w:r w:rsidRPr="005D5766">
        <w:rPr>
          <w:szCs w:val="20"/>
        </w:rPr>
        <w:t xml:space="preserve">The percent of end use consumption for HVAC systems impacted by RCx is based on CEUS, while the end use savings by building type is based on literature reviewed for the 2015 </w:t>
      </w:r>
      <w:r>
        <w:rPr>
          <w:szCs w:val="20"/>
        </w:rPr>
        <w:t>Study</w:t>
      </w:r>
      <w:r w:rsidRPr="005D5766">
        <w:rPr>
          <w:szCs w:val="20"/>
        </w:rPr>
        <w:t>.</w:t>
      </w:r>
      <w:r w:rsidR="00963FD0" w:rsidRPr="00963FD0">
        <w:rPr>
          <w:rStyle w:val="FootnoteReference"/>
          <w:szCs w:val="20"/>
        </w:rPr>
        <w:footnoteReference w:id="167"/>
      </w:r>
      <w:r w:rsidR="00963FD0" w:rsidRPr="00963FD0">
        <w:rPr>
          <w:szCs w:val="20"/>
          <w:vertAlign w:val="superscript"/>
        </w:rPr>
        <w:t>,</w:t>
      </w:r>
      <w:r w:rsidR="00963FD0" w:rsidRPr="00963FD0">
        <w:rPr>
          <w:rStyle w:val="FootnoteReference"/>
          <w:szCs w:val="20"/>
        </w:rPr>
        <w:footnoteReference w:id="168"/>
      </w:r>
      <w:r w:rsidR="00963FD0" w:rsidRPr="00963FD0">
        <w:rPr>
          <w:szCs w:val="20"/>
          <w:vertAlign w:val="superscript"/>
        </w:rPr>
        <w:t>,</w:t>
      </w:r>
      <w:r w:rsidR="00963FD0">
        <w:rPr>
          <w:rStyle w:val="FootnoteReference"/>
          <w:szCs w:val="20"/>
        </w:rPr>
        <w:footnoteReference w:id="169"/>
      </w:r>
      <w:r w:rsidRPr="005D5766">
        <w:rPr>
          <w:szCs w:val="20"/>
        </w:rPr>
        <w:t xml:space="preserve"> </w:t>
      </w:r>
      <w:r w:rsidR="0080627F">
        <w:rPr>
          <w:szCs w:val="20"/>
        </w:rPr>
        <w:t xml:space="preserve">Savings for </w:t>
      </w:r>
      <w:r w:rsidR="0002617B">
        <w:rPr>
          <w:szCs w:val="20"/>
        </w:rPr>
        <w:t>offices, colleges, and</w:t>
      </w:r>
      <w:r w:rsidR="0080627F">
        <w:rPr>
          <w:szCs w:val="20"/>
        </w:rPr>
        <w:t xml:space="preserve"> schools were capped at 5% to reflect feedback from SCE on their experience</w:t>
      </w:r>
      <w:r w:rsidR="0002617B">
        <w:rPr>
          <w:szCs w:val="20"/>
        </w:rPr>
        <w:t>.</w:t>
      </w:r>
      <w:r w:rsidR="0002617B">
        <w:rPr>
          <w:rStyle w:val="FootnoteReference"/>
          <w:szCs w:val="20"/>
        </w:rPr>
        <w:footnoteReference w:id="170"/>
      </w:r>
      <w:r w:rsidR="0002617B">
        <w:rPr>
          <w:szCs w:val="20"/>
        </w:rPr>
        <w:t xml:space="preserve"> </w:t>
      </w:r>
      <w:r w:rsidRPr="005D5766">
        <w:t xml:space="preserve">The model uses an EUL of </w:t>
      </w:r>
      <w:r w:rsidR="0080627F">
        <w:t>3</w:t>
      </w:r>
      <w:r>
        <w:t xml:space="preserve"> </w:t>
      </w:r>
      <w:r w:rsidRPr="005D5766">
        <w:t>years</w:t>
      </w:r>
      <w:r w:rsidR="0080627F">
        <w:t xml:space="preserve"> per CPUC Decision 16-08-019</w:t>
      </w:r>
      <w:r w:rsidRPr="005D5766">
        <w:t xml:space="preserve">. A </w:t>
      </w:r>
      <w:r w:rsidRPr="005D5766">
        <w:rPr>
          <w:szCs w:val="20"/>
        </w:rPr>
        <w:t xml:space="preserve">ratio of kW to kWh </w:t>
      </w:r>
      <w:r w:rsidRPr="005D5766">
        <w:t>of 0.000138 was applied to all three electric utilities based on an analysis of several statewide and third-party programs operating in California during the 2014-2015 portfolio cycle that included RCx related initiatives.</w:t>
      </w:r>
    </w:p>
    <w:p w14:paraId="0C4F1FFE" w14:textId="77777777" w:rsidR="00E01C42" w:rsidRPr="005D5766" w:rsidRDefault="00E01C42" w:rsidP="00E01C42"/>
    <w:p w14:paraId="528B0D7E" w14:textId="77777777" w:rsidR="00E01C42" w:rsidRPr="005D5766" w:rsidRDefault="00E01C42" w:rsidP="00E01C42">
      <w:pPr>
        <w:rPr>
          <w:szCs w:val="20"/>
        </w:rPr>
      </w:pPr>
      <w:r w:rsidRPr="005D5766">
        <w:rPr>
          <w:b/>
          <w:i/>
          <w:szCs w:val="20"/>
        </w:rPr>
        <w:t>Cost</w:t>
      </w:r>
    </w:p>
    <w:p w14:paraId="3B9179C8" w14:textId="77777777" w:rsidR="00E01C42" w:rsidRDefault="00E01C42" w:rsidP="00E01C42">
      <w:pPr>
        <w:rPr>
          <w:szCs w:val="20"/>
        </w:rPr>
      </w:pPr>
      <w:r w:rsidRPr="005D5766">
        <w:rPr>
          <w:szCs w:val="20"/>
        </w:rPr>
        <w:t xml:space="preserve">Costs for electricity and natural gas savings are estimated </w:t>
      </w:r>
      <w:r w:rsidRPr="005D5766">
        <w:t xml:space="preserve">based on an analysis of </w:t>
      </w:r>
      <w:r>
        <w:t xml:space="preserve">the same programs </w:t>
      </w:r>
      <w:r w:rsidRPr="005D5766">
        <w:t xml:space="preserve">reviewed </w:t>
      </w:r>
      <w:r>
        <w:t xml:space="preserve">and referenced in </w:t>
      </w:r>
      <w:r w:rsidRPr="005D5766">
        <w:t xml:space="preserve">the 2015 </w:t>
      </w:r>
      <w:r>
        <w:t>Study</w:t>
      </w:r>
      <w:r w:rsidRPr="005D5766">
        <w:t xml:space="preserve">.  </w:t>
      </w:r>
    </w:p>
    <w:p w14:paraId="56F9D3C8" w14:textId="77777777" w:rsidR="00F06724" w:rsidRDefault="001D16C0" w:rsidP="00F06724">
      <w:pPr>
        <w:pStyle w:val="Heading6"/>
      </w:pPr>
      <w:bookmarkStart w:id="1066" w:name="_Toc484183073"/>
      <w:bookmarkStart w:id="1067" w:name="_Toc484172727"/>
      <w:bookmarkStart w:id="1068" w:name="_Toc490225839"/>
      <w:r>
        <w:t xml:space="preserve">Industrial/Agriculture </w:t>
      </w:r>
      <w:r w:rsidR="0002617B">
        <w:t xml:space="preserve">- </w:t>
      </w:r>
      <w:r>
        <w:t>Strategic Energy Management</w:t>
      </w:r>
      <w:bookmarkEnd w:id="1020"/>
      <w:bookmarkEnd w:id="1066"/>
      <w:bookmarkEnd w:id="1067"/>
      <w:bookmarkEnd w:id="1068"/>
      <w:r>
        <w:t xml:space="preserve"> </w:t>
      </w:r>
    </w:p>
    <w:p w14:paraId="493E8F99" w14:textId="77777777" w:rsidR="0002617B" w:rsidRDefault="0002617B" w:rsidP="00F93ED8">
      <w:pPr>
        <w:rPr>
          <w:b/>
        </w:rPr>
      </w:pPr>
      <w:r w:rsidRPr="008261F5">
        <w:rPr>
          <w:b/>
        </w:rPr>
        <w:t xml:space="preserve">Summary </w:t>
      </w:r>
    </w:p>
    <w:p w14:paraId="0017C8A9" w14:textId="77777777" w:rsidR="0002617B" w:rsidRDefault="0002617B" w:rsidP="00F93ED8">
      <w:pPr>
        <w:rPr>
          <w:b/>
        </w:rPr>
      </w:pPr>
    </w:p>
    <w:p w14:paraId="2B79BA56" w14:textId="77777777" w:rsidR="00914FC1" w:rsidRPr="00914FC1" w:rsidRDefault="00F93ED8" w:rsidP="00122CD3">
      <w:pPr>
        <w:rPr>
          <w:rFonts w:cs="Arial"/>
        </w:rPr>
      </w:pPr>
      <w:r w:rsidRPr="00F06724">
        <w:rPr>
          <w:rFonts w:cs="Arial"/>
        </w:rPr>
        <w:t>S</w:t>
      </w:r>
      <w:r w:rsidR="00914FC1">
        <w:rPr>
          <w:rFonts w:cs="Arial"/>
        </w:rPr>
        <w:t>trategic Energy Management (S</w:t>
      </w:r>
      <w:r w:rsidRPr="00F06724">
        <w:rPr>
          <w:rFonts w:cs="Arial"/>
        </w:rPr>
        <w:t>EM</w:t>
      </w:r>
      <w:r w:rsidR="00914FC1">
        <w:rPr>
          <w:rFonts w:cs="Arial"/>
        </w:rPr>
        <w:t>)</w:t>
      </w:r>
      <w:r w:rsidR="0002617B">
        <w:rPr>
          <w:rFonts w:cs="Arial"/>
        </w:rPr>
        <w:t xml:space="preserve"> in the </w:t>
      </w:r>
      <w:r w:rsidR="00110EF9">
        <w:rPr>
          <w:rFonts w:cs="Arial"/>
        </w:rPr>
        <w:t>I</w:t>
      </w:r>
      <w:r w:rsidR="0002617B">
        <w:rPr>
          <w:rFonts w:cs="Arial"/>
        </w:rPr>
        <w:t xml:space="preserve">ndustrial and </w:t>
      </w:r>
      <w:r w:rsidR="00110EF9">
        <w:rPr>
          <w:rFonts w:cs="Arial"/>
        </w:rPr>
        <w:t>A</w:t>
      </w:r>
      <w:r w:rsidR="0002617B">
        <w:rPr>
          <w:rFonts w:cs="Arial"/>
        </w:rPr>
        <w:t>gricultur</w:t>
      </w:r>
      <w:r w:rsidR="00110EF9">
        <w:rPr>
          <w:rFonts w:cs="Arial"/>
        </w:rPr>
        <w:t>al</w:t>
      </w:r>
      <w:r w:rsidR="0002617B">
        <w:rPr>
          <w:rFonts w:cs="Arial"/>
        </w:rPr>
        <w:t xml:space="preserve"> sectors</w:t>
      </w:r>
      <w:r w:rsidRPr="00F06724">
        <w:rPr>
          <w:rFonts w:cs="Arial"/>
        </w:rPr>
        <w:t xml:space="preserve"> is a ‘holistic’ approach to managing energy use that continuously improves energy performance based on various initiatives</w:t>
      </w:r>
      <w:r w:rsidR="00914FC1">
        <w:rPr>
          <w:rFonts w:cs="Arial"/>
        </w:rPr>
        <w:t>.</w:t>
      </w:r>
      <w:r w:rsidR="00914FC1" w:rsidRPr="00914FC1">
        <w:rPr>
          <w:rFonts w:cs="Arial"/>
        </w:rPr>
        <w:t xml:space="preserve"> SEM</w:t>
      </w:r>
      <w:r w:rsidR="00914FC1">
        <w:rPr>
          <w:rFonts w:cs="Arial"/>
        </w:rPr>
        <w:t>, per CPUC and California IOU design,</w:t>
      </w:r>
      <w:r w:rsidR="00914FC1" w:rsidRPr="00914FC1">
        <w:rPr>
          <w:rFonts w:cs="Arial"/>
        </w:rPr>
        <w:t xml:space="preserve"> is a continuous improvement approach that focuses on changing business practices to enable companies to save money by reducing energy consumption and waste. The Industrial sector SEM pilot program currently being administered by California IOUs served as the basis for this forecast. As defined in the Californi</w:t>
      </w:r>
      <w:r w:rsidR="00914FC1">
        <w:rPr>
          <w:rFonts w:cs="Arial"/>
        </w:rPr>
        <w:t>a Industrial SEM Design Guide,</w:t>
      </w:r>
      <w:r w:rsidR="00110EF9">
        <w:rPr>
          <w:rStyle w:val="FootnoteReference"/>
          <w:rFonts w:cs="Arial"/>
        </w:rPr>
        <w:footnoteReference w:id="171"/>
      </w:r>
      <w:r w:rsidR="00914FC1">
        <w:rPr>
          <w:rFonts w:cs="Arial"/>
        </w:rPr>
        <w:t xml:space="preserve"> </w:t>
      </w:r>
      <w:r w:rsidR="00914FC1" w:rsidRPr="00914FC1">
        <w:rPr>
          <w:rFonts w:cs="Arial"/>
        </w:rPr>
        <w:t>leading SEM programs are designed to support industrial companies by focusing on several high-level objectives:</w:t>
      </w:r>
    </w:p>
    <w:p w14:paraId="77EE3EE5" w14:textId="77777777" w:rsidR="00914FC1" w:rsidRPr="00914FC1" w:rsidRDefault="00914FC1" w:rsidP="004E4E36">
      <w:pPr>
        <w:pStyle w:val="ListParagraph"/>
        <w:numPr>
          <w:ilvl w:val="0"/>
          <w:numId w:val="66"/>
        </w:numPr>
        <w:spacing w:line="240" w:lineRule="auto"/>
        <w:contextualSpacing/>
        <w:rPr>
          <w:rFonts w:cs="Arial"/>
        </w:rPr>
      </w:pPr>
      <w:r w:rsidRPr="00914FC1">
        <w:rPr>
          <w:rFonts w:cs="Arial"/>
        </w:rPr>
        <w:t>Implementing energy efficiency projects and saving energy, primarily from savings in operations and maintenance (O&amp;M).</w:t>
      </w:r>
    </w:p>
    <w:p w14:paraId="09EFD3E0" w14:textId="77777777" w:rsidR="00914FC1" w:rsidRPr="00914FC1" w:rsidRDefault="00914FC1" w:rsidP="004E4E36">
      <w:pPr>
        <w:pStyle w:val="ListParagraph"/>
        <w:numPr>
          <w:ilvl w:val="0"/>
          <w:numId w:val="66"/>
        </w:numPr>
        <w:spacing w:line="240" w:lineRule="auto"/>
        <w:contextualSpacing/>
        <w:rPr>
          <w:rFonts w:cs="Arial"/>
        </w:rPr>
      </w:pPr>
      <w:r w:rsidRPr="00914FC1">
        <w:rPr>
          <w:rFonts w:cs="Arial"/>
        </w:rPr>
        <w:t xml:space="preserve">Establishing the Energy Management System (EnMS) </w:t>
      </w:r>
      <w:r w:rsidR="00110EF9">
        <w:rPr>
          <w:rFonts w:cs="Arial"/>
        </w:rPr>
        <w:t xml:space="preserve">or business practices that </w:t>
      </w:r>
      <w:r w:rsidRPr="00914FC1">
        <w:rPr>
          <w:rFonts w:cs="Arial"/>
        </w:rPr>
        <w:t>help a facility to manage and continuously improve energy performance.</w:t>
      </w:r>
    </w:p>
    <w:p w14:paraId="509FF571" w14:textId="77777777" w:rsidR="00914FC1" w:rsidRPr="00110EF9" w:rsidRDefault="00914FC1" w:rsidP="004E4E36">
      <w:pPr>
        <w:pStyle w:val="ListParagraph"/>
        <w:numPr>
          <w:ilvl w:val="0"/>
          <w:numId w:val="66"/>
        </w:numPr>
        <w:spacing w:line="240" w:lineRule="auto"/>
        <w:contextualSpacing/>
        <w:rPr>
          <w:rFonts w:cs="Arial"/>
        </w:rPr>
      </w:pPr>
      <w:r w:rsidRPr="00110EF9">
        <w:rPr>
          <w:rFonts w:cs="Arial"/>
        </w:rPr>
        <w:t>Normalizing, quantifying, and reporting facility-wide energy performance</w:t>
      </w:r>
      <w:r w:rsidR="00110EF9">
        <w:rPr>
          <w:rFonts w:cs="Arial"/>
        </w:rPr>
        <w:t>.</w:t>
      </w:r>
    </w:p>
    <w:p w14:paraId="2397CB51" w14:textId="77777777" w:rsidR="00914FC1" w:rsidRPr="00110EF9" w:rsidRDefault="00914FC1" w:rsidP="004E4E36">
      <w:pPr>
        <w:pStyle w:val="ListParagraph"/>
        <w:numPr>
          <w:ilvl w:val="0"/>
          <w:numId w:val="66"/>
        </w:numPr>
        <w:spacing w:line="240" w:lineRule="auto"/>
        <w:contextualSpacing/>
        <w:rPr>
          <w:rFonts w:cs="Arial"/>
        </w:rPr>
      </w:pPr>
      <w:r w:rsidRPr="00110EF9">
        <w:rPr>
          <w:rFonts w:cs="Arial"/>
        </w:rPr>
        <w:lastRenderedPageBreak/>
        <w:t>Getting peers to talk to one another.</w:t>
      </w:r>
    </w:p>
    <w:p w14:paraId="115F9F0C" w14:textId="77777777" w:rsidR="00914FC1" w:rsidRPr="00914FC1" w:rsidRDefault="00914FC1" w:rsidP="00914FC1">
      <w:pPr>
        <w:spacing w:line="240" w:lineRule="auto"/>
        <w:contextualSpacing/>
        <w:rPr>
          <w:rFonts w:cs="Arial"/>
        </w:rPr>
      </w:pPr>
    </w:p>
    <w:p w14:paraId="1C6540D1" w14:textId="77777777" w:rsidR="00914FC1" w:rsidRDefault="00914FC1" w:rsidP="00914FC1">
      <w:pPr>
        <w:spacing w:line="240" w:lineRule="auto"/>
        <w:contextualSpacing/>
        <w:rPr>
          <w:rFonts w:cs="Arial"/>
        </w:rPr>
      </w:pPr>
      <w:r w:rsidRPr="00914FC1">
        <w:rPr>
          <w:rFonts w:cs="Arial"/>
        </w:rPr>
        <w:t>The model inputs for electric and natural gas shown in</w:t>
      </w:r>
      <w:r w:rsidR="00110EF9">
        <w:rPr>
          <w:rFonts w:cs="Arial"/>
        </w:rPr>
        <w:t xml:space="preserve"> </w:t>
      </w:r>
      <w:r w:rsidR="001839BE">
        <w:rPr>
          <w:rFonts w:cs="Arial"/>
        </w:rPr>
        <w:fldChar w:fldCharType="begin"/>
      </w:r>
      <w:r w:rsidR="001839BE">
        <w:rPr>
          <w:rFonts w:cs="Arial"/>
        </w:rPr>
        <w:instrText xml:space="preserve"> REF _Ref484426966 \h </w:instrText>
      </w:r>
      <w:r w:rsidR="001839BE">
        <w:rPr>
          <w:rFonts w:cs="Arial"/>
        </w:rPr>
      </w:r>
      <w:r w:rsidR="001839BE">
        <w:rPr>
          <w:rFonts w:cs="Arial"/>
        </w:rPr>
        <w:fldChar w:fldCharType="separate"/>
      </w:r>
      <w:r w:rsidR="007566B9" w:rsidRPr="001839BE">
        <w:t xml:space="preserve">Table </w:t>
      </w:r>
      <w:r w:rsidR="007566B9">
        <w:rPr>
          <w:noProof/>
        </w:rPr>
        <w:t>C</w:t>
      </w:r>
      <w:r w:rsidR="007566B9" w:rsidRPr="001839BE">
        <w:noBreakHyphen/>
      </w:r>
      <w:r w:rsidR="007566B9">
        <w:rPr>
          <w:noProof/>
        </w:rPr>
        <w:t>11</w:t>
      </w:r>
      <w:r w:rsidR="001839BE">
        <w:rPr>
          <w:rFonts w:cs="Arial"/>
        </w:rPr>
        <w:fldChar w:fldCharType="end"/>
      </w:r>
      <w:r w:rsidR="001839BE">
        <w:rPr>
          <w:rFonts w:cs="Arial"/>
        </w:rPr>
        <w:t xml:space="preserve"> represent </w:t>
      </w:r>
      <w:r w:rsidRPr="00914FC1">
        <w:rPr>
          <w:rFonts w:cs="Arial"/>
        </w:rPr>
        <w:t xml:space="preserve">savings associated with </w:t>
      </w:r>
      <w:r w:rsidR="00581CAE">
        <w:rPr>
          <w:rFonts w:cs="Arial"/>
        </w:rPr>
        <w:t xml:space="preserve">SEM </w:t>
      </w:r>
      <w:r w:rsidRPr="00914FC1">
        <w:rPr>
          <w:rFonts w:cs="Arial"/>
        </w:rPr>
        <w:t xml:space="preserve">operational and behavioral changes. </w:t>
      </w:r>
      <w:r w:rsidR="00581CAE">
        <w:rPr>
          <w:rFonts w:cs="Arial"/>
        </w:rPr>
        <w:t>Savings are estimated based on building type c</w:t>
      </w:r>
      <w:r w:rsidRPr="00914FC1">
        <w:rPr>
          <w:rFonts w:cs="Arial"/>
        </w:rPr>
        <w:t>o</w:t>
      </w:r>
      <w:r w:rsidR="00581CAE">
        <w:rPr>
          <w:rFonts w:cs="Arial"/>
        </w:rPr>
        <w:t>nsumption (kWh or therms per year) for each market</w:t>
      </w:r>
      <w:r w:rsidRPr="00914FC1">
        <w:rPr>
          <w:rFonts w:cs="Arial"/>
        </w:rPr>
        <w:t xml:space="preserve"> segment and are applied consistently across utilities. Costs for electricity and natural gas are $0.20/kWh and $1.35/therm, and</w:t>
      </w:r>
      <w:r w:rsidR="00581CAE">
        <w:rPr>
          <w:rFonts w:cs="Arial"/>
        </w:rPr>
        <w:t xml:space="preserve"> those</w:t>
      </w:r>
      <w:r w:rsidRPr="00914FC1">
        <w:rPr>
          <w:rFonts w:cs="Arial"/>
        </w:rPr>
        <w:t xml:space="preserve"> are also applied consistently by building and fuel type across utilities.</w:t>
      </w:r>
    </w:p>
    <w:p w14:paraId="737440E7" w14:textId="77777777" w:rsidR="00323BFA" w:rsidRPr="00914FC1" w:rsidRDefault="00323BFA" w:rsidP="00914FC1">
      <w:pPr>
        <w:spacing w:line="240" w:lineRule="auto"/>
        <w:contextualSpacing/>
        <w:rPr>
          <w:rFonts w:cs="Arial"/>
        </w:rPr>
      </w:pPr>
    </w:p>
    <w:p w14:paraId="4DEAD9D9" w14:textId="77777777" w:rsidR="0019320C" w:rsidRPr="00B57F57" w:rsidRDefault="001839BE" w:rsidP="0019320C">
      <w:pPr>
        <w:pStyle w:val="Caption"/>
        <w:rPr>
          <w:b w:val="0"/>
          <w:szCs w:val="24"/>
        </w:rPr>
      </w:pPr>
      <w:bookmarkStart w:id="1069" w:name="_Ref484426966"/>
      <w:bookmarkStart w:id="1070" w:name="_Toc490226038"/>
      <w:bookmarkStart w:id="1071" w:name="_Toc484070679"/>
      <w:bookmarkStart w:id="1072" w:name="_Ref422718461"/>
      <w:r w:rsidRPr="001839BE">
        <w:t xml:space="preserve">Table </w:t>
      </w:r>
      <w:fldSimple w:instr=" STYLEREF 5 \s ">
        <w:r w:rsidR="007566B9">
          <w:rPr>
            <w:noProof/>
          </w:rPr>
          <w:t>C</w:t>
        </w:r>
      </w:fldSimple>
      <w:r w:rsidRPr="001839BE">
        <w:noBreakHyphen/>
      </w:r>
      <w:fldSimple w:instr=" SEQ Table_Apx \* ARABIC \s 5 ">
        <w:r w:rsidR="007566B9">
          <w:rPr>
            <w:noProof/>
          </w:rPr>
          <w:t>11</w:t>
        </w:r>
      </w:fldSimple>
      <w:bookmarkEnd w:id="1069"/>
      <w:r>
        <w:t xml:space="preserve">. </w:t>
      </w:r>
      <w:r w:rsidRPr="001839BE">
        <w:t>Industrial/Agriculture SEM - Key Assumptions</w:t>
      </w:r>
      <w:bookmarkEnd w:id="1070"/>
    </w:p>
    <w:tbl>
      <w:tblPr>
        <w:tblW w:w="9450" w:type="dxa"/>
        <w:jc w:val="center"/>
        <w:tblBorders>
          <w:bottom w:val="single" w:sz="8" w:space="0" w:color="555759"/>
          <w:insideH w:val="single" w:sz="4" w:space="0" w:color="DCDDDE"/>
        </w:tblBorders>
        <w:tblLayout w:type="fixed"/>
        <w:tblLook w:val="04A0" w:firstRow="1" w:lastRow="0" w:firstColumn="1" w:lastColumn="0" w:noHBand="0" w:noVBand="1"/>
      </w:tblPr>
      <w:tblGrid>
        <w:gridCol w:w="1106"/>
        <w:gridCol w:w="1650"/>
        <w:gridCol w:w="964"/>
        <w:gridCol w:w="1006"/>
        <w:gridCol w:w="1088"/>
        <w:gridCol w:w="924"/>
        <w:gridCol w:w="1362"/>
        <w:gridCol w:w="1350"/>
      </w:tblGrid>
      <w:tr w:rsidR="002544A3" w:rsidRPr="00971600" w14:paraId="00A504D3" w14:textId="77777777" w:rsidTr="00323BFA">
        <w:trPr>
          <w:cantSplit/>
          <w:trHeight w:val="296"/>
          <w:tblHeader/>
          <w:jc w:val="center"/>
        </w:trPr>
        <w:tc>
          <w:tcPr>
            <w:tcW w:w="1106" w:type="dxa"/>
            <w:vMerge w:val="restart"/>
            <w:tcBorders>
              <w:top w:val="nil"/>
              <w:left w:val="nil"/>
              <w:bottom w:val="single" w:sz="12" w:space="0" w:color="95D600"/>
              <w:right w:val="nil"/>
              <w:tl2br w:val="nil"/>
              <w:tr2bl w:val="nil"/>
            </w:tcBorders>
            <w:shd w:val="clear" w:color="auto" w:fill="555759"/>
            <w:hideMark/>
          </w:tcPr>
          <w:p w14:paraId="45B44474" w14:textId="77777777" w:rsidR="0019320C" w:rsidRPr="00D11078" w:rsidRDefault="0019320C" w:rsidP="00494D48">
            <w:pPr>
              <w:spacing w:before="40" w:after="40"/>
              <w:jc w:val="center"/>
              <w:rPr>
                <w:b/>
                <w:color w:val="FFFFFF"/>
              </w:rPr>
            </w:pPr>
            <w:r w:rsidRPr="00D11078">
              <w:rPr>
                <w:b/>
                <w:color w:val="FFFFFF"/>
              </w:rPr>
              <w:t>Sector</w:t>
            </w:r>
          </w:p>
        </w:tc>
        <w:tc>
          <w:tcPr>
            <w:tcW w:w="1650" w:type="dxa"/>
            <w:vMerge w:val="restart"/>
            <w:tcBorders>
              <w:top w:val="nil"/>
              <w:left w:val="nil"/>
              <w:bottom w:val="single" w:sz="12" w:space="0" w:color="95D600"/>
              <w:right w:val="nil"/>
              <w:tl2br w:val="nil"/>
              <w:tr2bl w:val="nil"/>
            </w:tcBorders>
            <w:shd w:val="clear" w:color="auto" w:fill="555759"/>
            <w:hideMark/>
          </w:tcPr>
          <w:p w14:paraId="2FB30230" w14:textId="77777777" w:rsidR="0019320C" w:rsidRPr="00D11078" w:rsidRDefault="0019320C" w:rsidP="00494D48">
            <w:pPr>
              <w:spacing w:before="40" w:after="40"/>
              <w:jc w:val="center"/>
              <w:rPr>
                <w:b/>
                <w:color w:val="FFFFFF"/>
              </w:rPr>
            </w:pPr>
            <w:r w:rsidRPr="00D11078">
              <w:rPr>
                <w:b/>
                <w:color w:val="FFFFFF"/>
              </w:rPr>
              <w:t>Type</w:t>
            </w:r>
          </w:p>
        </w:tc>
        <w:tc>
          <w:tcPr>
            <w:tcW w:w="964" w:type="dxa"/>
            <w:vMerge w:val="restart"/>
            <w:tcBorders>
              <w:top w:val="nil"/>
              <w:left w:val="nil"/>
              <w:bottom w:val="single" w:sz="12" w:space="0" w:color="95D600"/>
              <w:right w:val="nil"/>
              <w:tl2br w:val="nil"/>
              <w:tr2bl w:val="nil"/>
            </w:tcBorders>
            <w:shd w:val="clear" w:color="auto" w:fill="555759"/>
            <w:hideMark/>
          </w:tcPr>
          <w:p w14:paraId="0167C26F" w14:textId="77777777" w:rsidR="0019320C" w:rsidRPr="00D11078" w:rsidRDefault="0019320C" w:rsidP="00494D48">
            <w:pPr>
              <w:spacing w:before="40" w:after="40"/>
              <w:jc w:val="center"/>
              <w:rPr>
                <w:b/>
                <w:color w:val="FFFFFF"/>
              </w:rPr>
            </w:pPr>
            <w:r w:rsidRPr="00D11078">
              <w:rPr>
                <w:b/>
                <w:color w:val="FFFFFF"/>
              </w:rPr>
              <w:t>EUL years</w:t>
            </w:r>
          </w:p>
        </w:tc>
        <w:tc>
          <w:tcPr>
            <w:tcW w:w="2092" w:type="dxa"/>
            <w:gridSpan w:val="2"/>
            <w:tcBorders>
              <w:top w:val="nil"/>
              <w:left w:val="nil"/>
              <w:bottom w:val="single" w:sz="2" w:space="0" w:color="FFFFFF"/>
              <w:right w:val="nil"/>
              <w:tl2br w:val="nil"/>
              <w:tr2bl w:val="nil"/>
            </w:tcBorders>
            <w:shd w:val="clear" w:color="auto" w:fill="555759"/>
            <w:hideMark/>
          </w:tcPr>
          <w:p w14:paraId="049ACB62" w14:textId="77777777" w:rsidR="0019320C" w:rsidRPr="00D11078" w:rsidRDefault="0019320C" w:rsidP="00494D48">
            <w:pPr>
              <w:spacing w:before="40" w:after="40"/>
              <w:jc w:val="center"/>
              <w:rPr>
                <w:b/>
                <w:color w:val="FFFFFF"/>
              </w:rPr>
            </w:pPr>
            <w:r w:rsidRPr="00D11078">
              <w:rPr>
                <w:b/>
                <w:color w:val="FFFFFF"/>
              </w:rPr>
              <w:t>Savings</w:t>
            </w:r>
          </w:p>
        </w:tc>
        <w:tc>
          <w:tcPr>
            <w:tcW w:w="2286" w:type="dxa"/>
            <w:gridSpan w:val="2"/>
            <w:tcBorders>
              <w:top w:val="nil"/>
              <w:left w:val="nil"/>
              <w:bottom w:val="single" w:sz="2" w:space="0" w:color="FFFFFF"/>
              <w:right w:val="nil"/>
              <w:tl2br w:val="nil"/>
              <w:tr2bl w:val="nil"/>
            </w:tcBorders>
            <w:shd w:val="clear" w:color="auto" w:fill="555759"/>
            <w:hideMark/>
          </w:tcPr>
          <w:p w14:paraId="417924C7" w14:textId="77777777" w:rsidR="0019320C" w:rsidRPr="00D11078" w:rsidRDefault="0019320C" w:rsidP="00494D48">
            <w:pPr>
              <w:spacing w:before="40" w:after="40"/>
              <w:jc w:val="center"/>
              <w:rPr>
                <w:b/>
                <w:color w:val="FFFFFF"/>
              </w:rPr>
            </w:pPr>
            <w:r w:rsidRPr="00D11078">
              <w:rPr>
                <w:b/>
                <w:color w:val="FFFFFF"/>
              </w:rPr>
              <w:t>Cost</w:t>
            </w:r>
          </w:p>
        </w:tc>
        <w:tc>
          <w:tcPr>
            <w:tcW w:w="1350" w:type="dxa"/>
            <w:vMerge w:val="restart"/>
            <w:tcBorders>
              <w:top w:val="nil"/>
              <w:left w:val="nil"/>
              <w:bottom w:val="single" w:sz="12" w:space="0" w:color="95D600"/>
              <w:right w:val="nil"/>
              <w:tl2br w:val="nil"/>
              <w:tr2bl w:val="nil"/>
            </w:tcBorders>
            <w:shd w:val="clear" w:color="auto" w:fill="555759"/>
            <w:hideMark/>
          </w:tcPr>
          <w:p w14:paraId="5F84B1C7" w14:textId="77777777" w:rsidR="0019320C" w:rsidRPr="00D11078" w:rsidRDefault="0019320C" w:rsidP="00494D48">
            <w:pPr>
              <w:spacing w:before="40" w:after="40"/>
              <w:jc w:val="center"/>
              <w:rPr>
                <w:b/>
                <w:color w:val="FFFFFF"/>
              </w:rPr>
            </w:pPr>
            <w:r w:rsidRPr="00D11078">
              <w:rPr>
                <w:b/>
                <w:color w:val="FFFFFF"/>
              </w:rPr>
              <w:t>kW/kWh Savings Ratio</w:t>
            </w:r>
          </w:p>
        </w:tc>
      </w:tr>
      <w:tr w:rsidR="002544A3" w:rsidRPr="00971600" w14:paraId="7F31EC46" w14:textId="77777777" w:rsidTr="00323BFA">
        <w:trPr>
          <w:cantSplit/>
          <w:trHeight w:val="144"/>
          <w:tblHeader/>
          <w:jc w:val="center"/>
        </w:trPr>
        <w:tc>
          <w:tcPr>
            <w:tcW w:w="1106" w:type="dxa"/>
            <w:vMerge/>
            <w:tcBorders>
              <w:bottom w:val="single" w:sz="12" w:space="0" w:color="95D600"/>
            </w:tcBorders>
            <w:shd w:val="clear" w:color="auto" w:fill="auto"/>
            <w:hideMark/>
          </w:tcPr>
          <w:p w14:paraId="55B6CAD9" w14:textId="77777777" w:rsidR="0019320C" w:rsidRPr="00971600" w:rsidRDefault="0019320C" w:rsidP="00494D48">
            <w:pPr>
              <w:spacing w:before="40" w:after="40"/>
              <w:jc w:val="center"/>
            </w:pPr>
          </w:p>
        </w:tc>
        <w:tc>
          <w:tcPr>
            <w:tcW w:w="1650" w:type="dxa"/>
            <w:vMerge/>
            <w:tcBorders>
              <w:bottom w:val="single" w:sz="12" w:space="0" w:color="95D600"/>
            </w:tcBorders>
            <w:shd w:val="clear" w:color="auto" w:fill="auto"/>
            <w:hideMark/>
          </w:tcPr>
          <w:p w14:paraId="6090C983" w14:textId="77777777" w:rsidR="0019320C" w:rsidRPr="00971600" w:rsidRDefault="0019320C" w:rsidP="00494D48">
            <w:pPr>
              <w:spacing w:before="40" w:after="40"/>
              <w:jc w:val="center"/>
            </w:pPr>
          </w:p>
        </w:tc>
        <w:tc>
          <w:tcPr>
            <w:tcW w:w="964" w:type="dxa"/>
            <w:vMerge/>
            <w:tcBorders>
              <w:bottom w:val="single" w:sz="12" w:space="0" w:color="95D600"/>
            </w:tcBorders>
            <w:shd w:val="clear" w:color="auto" w:fill="555759"/>
            <w:hideMark/>
          </w:tcPr>
          <w:p w14:paraId="2D8F945C" w14:textId="77777777" w:rsidR="0019320C" w:rsidRPr="00971600" w:rsidRDefault="0019320C" w:rsidP="00494D48">
            <w:pPr>
              <w:spacing w:before="40" w:after="40"/>
              <w:jc w:val="center"/>
            </w:pPr>
          </w:p>
        </w:tc>
        <w:tc>
          <w:tcPr>
            <w:tcW w:w="1006" w:type="dxa"/>
            <w:tcBorders>
              <w:top w:val="single" w:sz="2" w:space="0" w:color="FFFFFF"/>
              <w:bottom w:val="single" w:sz="12" w:space="0" w:color="95D600"/>
            </w:tcBorders>
            <w:shd w:val="clear" w:color="auto" w:fill="555759"/>
            <w:hideMark/>
          </w:tcPr>
          <w:p w14:paraId="783B6B3B" w14:textId="77777777" w:rsidR="0019320C" w:rsidRPr="00D11078" w:rsidRDefault="0019320C" w:rsidP="00494D48">
            <w:pPr>
              <w:spacing w:before="40" w:after="40"/>
              <w:jc w:val="center"/>
              <w:rPr>
                <w:b/>
                <w:color w:val="FFFFFF"/>
              </w:rPr>
            </w:pPr>
            <w:r w:rsidRPr="00D11078">
              <w:rPr>
                <w:b/>
                <w:color w:val="FFFFFF"/>
              </w:rPr>
              <w:t>kWh</w:t>
            </w:r>
          </w:p>
        </w:tc>
        <w:tc>
          <w:tcPr>
            <w:tcW w:w="1088" w:type="dxa"/>
            <w:tcBorders>
              <w:top w:val="single" w:sz="2" w:space="0" w:color="FFFFFF"/>
              <w:bottom w:val="single" w:sz="12" w:space="0" w:color="95D600"/>
            </w:tcBorders>
            <w:shd w:val="clear" w:color="auto" w:fill="555759"/>
            <w:hideMark/>
          </w:tcPr>
          <w:p w14:paraId="1A8DA029" w14:textId="77777777" w:rsidR="0019320C" w:rsidRPr="00D11078" w:rsidRDefault="0019320C" w:rsidP="00494D48">
            <w:pPr>
              <w:spacing w:before="40" w:after="40"/>
              <w:jc w:val="center"/>
              <w:rPr>
                <w:b/>
                <w:color w:val="FFFFFF"/>
              </w:rPr>
            </w:pPr>
            <w:r w:rsidRPr="00D11078">
              <w:rPr>
                <w:b/>
                <w:color w:val="FFFFFF"/>
              </w:rPr>
              <w:t>Therm</w:t>
            </w:r>
          </w:p>
        </w:tc>
        <w:tc>
          <w:tcPr>
            <w:tcW w:w="924" w:type="dxa"/>
            <w:tcBorders>
              <w:top w:val="single" w:sz="2" w:space="0" w:color="FFFFFF"/>
              <w:bottom w:val="single" w:sz="12" w:space="0" w:color="95D600"/>
            </w:tcBorders>
            <w:shd w:val="clear" w:color="auto" w:fill="555759"/>
            <w:hideMark/>
          </w:tcPr>
          <w:p w14:paraId="464603C2" w14:textId="77777777" w:rsidR="0019320C" w:rsidRPr="00D11078" w:rsidRDefault="0019320C" w:rsidP="00494D48">
            <w:pPr>
              <w:spacing w:before="40" w:after="40"/>
              <w:jc w:val="center"/>
              <w:rPr>
                <w:b/>
                <w:color w:val="FFFFFF"/>
              </w:rPr>
            </w:pPr>
            <w:r w:rsidRPr="00D11078">
              <w:rPr>
                <w:b/>
                <w:color w:val="FFFFFF"/>
              </w:rPr>
              <w:t>kWh</w:t>
            </w:r>
          </w:p>
        </w:tc>
        <w:tc>
          <w:tcPr>
            <w:tcW w:w="1362" w:type="dxa"/>
            <w:tcBorders>
              <w:top w:val="single" w:sz="2" w:space="0" w:color="FFFFFF"/>
              <w:bottom w:val="single" w:sz="12" w:space="0" w:color="95D600"/>
            </w:tcBorders>
            <w:shd w:val="clear" w:color="auto" w:fill="555759"/>
            <w:hideMark/>
          </w:tcPr>
          <w:p w14:paraId="070B1288" w14:textId="77777777" w:rsidR="0019320C" w:rsidRPr="00D11078" w:rsidRDefault="0019320C" w:rsidP="00494D48">
            <w:pPr>
              <w:spacing w:before="40" w:after="40"/>
              <w:jc w:val="center"/>
              <w:rPr>
                <w:b/>
                <w:color w:val="FFFFFF"/>
              </w:rPr>
            </w:pPr>
            <w:r w:rsidRPr="00D11078">
              <w:rPr>
                <w:b/>
                <w:color w:val="FFFFFF"/>
              </w:rPr>
              <w:t>Therm</w:t>
            </w:r>
          </w:p>
        </w:tc>
        <w:tc>
          <w:tcPr>
            <w:tcW w:w="1350" w:type="dxa"/>
            <w:vMerge/>
            <w:tcBorders>
              <w:bottom w:val="single" w:sz="12" w:space="0" w:color="95D600"/>
            </w:tcBorders>
            <w:shd w:val="clear" w:color="auto" w:fill="auto"/>
            <w:hideMark/>
          </w:tcPr>
          <w:p w14:paraId="4ED291D8" w14:textId="77777777" w:rsidR="0019320C" w:rsidRPr="00971600" w:rsidRDefault="0019320C" w:rsidP="00494D48">
            <w:pPr>
              <w:spacing w:before="40" w:after="40"/>
              <w:jc w:val="center"/>
            </w:pPr>
          </w:p>
        </w:tc>
      </w:tr>
      <w:tr w:rsidR="002544A3" w:rsidRPr="00971600" w14:paraId="16797327" w14:textId="77777777" w:rsidTr="00122CD3">
        <w:trPr>
          <w:cantSplit/>
          <w:trHeight w:val="738"/>
          <w:jc w:val="center"/>
        </w:trPr>
        <w:tc>
          <w:tcPr>
            <w:tcW w:w="1106" w:type="dxa"/>
            <w:tcBorders>
              <w:top w:val="single" w:sz="12" w:space="0" w:color="95D600"/>
              <w:bottom w:val="single" w:sz="12" w:space="0" w:color="95D600"/>
            </w:tcBorders>
            <w:shd w:val="clear" w:color="auto" w:fill="FFFFFF"/>
            <w:vAlign w:val="center"/>
            <w:hideMark/>
          </w:tcPr>
          <w:p w14:paraId="39422D58" w14:textId="77777777" w:rsidR="0019320C" w:rsidRPr="00971600" w:rsidRDefault="00110EF9" w:rsidP="00110EF9">
            <w:pPr>
              <w:spacing w:before="40" w:after="40"/>
              <w:jc w:val="center"/>
            </w:pPr>
            <w:r>
              <w:t xml:space="preserve"> AIMS (Ind/Ag)</w:t>
            </w:r>
          </w:p>
        </w:tc>
        <w:tc>
          <w:tcPr>
            <w:tcW w:w="1650" w:type="dxa"/>
            <w:tcBorders>
              <w:top w:val="single" w:sz="12" w:space="0" w:color="95D600"/>
              <w:bottom w:val="single" w:sz="12" w:space="0" w:color="95D600"/>
            </w:tcBorders>
            <w:shd w:val="clear" w:color="auto" w:fill="FFFFFF"/>
            <w:vAlign w:val="center"/>
            <w:hideMark/>
          </w:tcPr>
          <w:p w14:paraId="3AD262CF" w14:textId="77777777" w:rsidR="0019320C" w:rsidRPr="00971600" w:rsidRDefault="0019320C" w:rsidP="00110EF9">
            <w:pPr>
              <w:spacing w:before="40" w:after="40"/>
              <w:jc w:val="center"/>
            </w:pPr>
            <w:r>
              <w:t>Strategic Energy Management (SEM)</w:t>
            </w:r>
          </w:p>
        </w:tc>
        <w:tc>
          <w:tcPr>
            <w:tcW w:w="964" w:type="dxa"/>
            <w:tcBorders>
              <w:top w:val="single" w:sz="12" w:space="0" w:color="95D600"/>
              <w:bottom w:val="single" w:sz="12" w:space="0" w:color="95D600"/>
            </w:tcBorders>
            <w:shd w:val="clear" w:color="auto" w:fill="FFFFFF"/>
            <w:vAlign w:val="center"/>
            <w:hideMark/>
          </w:tcPr>
          <w:p w14:paraId="342570DF" w14:textId="77777777" w:rsidR="0019320C" w:rsidRPr="00971600" w:rsidRDefault="0019320C" w:rsidP="00110EF9">
            <w:pPr>
              <w:spacing w:before="40" w:after="40"/>
              <w:jc w:val="center"/>
            </w:pPr>
            <w:r>
              <w:t>5</w:t>
            </w:r>
          </w:p>
        </w:tc>
        <w:tc>
          <w:tcPr>
            <w:tcW w:w="1006" w:type="dxa"/>
            <w:tcBorders>
              <w:top w:val="single" w:sz="12" w:space="0" w:color="95D600"/>
              <w:bottom w:val="single" w:sz="12" w:space="0" w:color="95D600"/>
            </w:tcBorders>
            <w:shd w:val="clear" w:color="auto" w:fill="FFFFFF"/>
            <w:vAlign w:val="center"/>
            <w:hideMark/>
          </w:tcPr>
          <w:p w14:paraId="1B67F467" w14:textId="77777777" w:rsidR="0019320C" w:rsidRPr="00971600" w:rsidRDefault="0019320C" w:rsidP="00110EF9">
            <w:pPr>
              <w:spacing w:before="40" w:after="40"/>
              <w:jc w:val="center"/>
            </w:pPr>
            <w:r>
              <w:t>0.</w:t>
            </w:r>
            <w:r w:rsidR="00110EF9">
              <w:t>4</w:t>
            </w:r>
            <w:r w:rsidRPr="00971600">
              <w:t>%</w:t>
            </w:r>
            <w:r>
              <w:t xml:space="preserve"> - 4.</w:t>
            </w:r>
            <w:r w:rsidR="00110EF9">
              <w:t>1</w:t>
            </w:r>
            <w:r>
              <w:t>%</w:t>
            </w:r>
          </w:p>
        </w:tc>
        <w:tc>
          <w:tcPr>
            <w:tcW w:w="1088" w:type="dxa"/>
            <w:tcBorders>
              <w:top w:val="single" w:sz="12" w:space="0" w:color="95D600"/>
              <w:bottom w:val="single" w:sz="12" w:space="0" w:color="95D600"/>
            </w:tcBorders>
            <w:shd w:val="clear" w:color="auto" w:fill="FFFFFF"/>
            <w:vAlign w:val="center"/>
            <w:hideMark/>
          </w:tcPr>
          <w:p w14:paraId="7E17E1A4" w14:textId="77777777" w:rsidR="0019320C" w:rsidRPr="00971600" w:rsidRDefault="0019320C" w:rsidP="00110EF9">
            <w:pPr>
              <w:spacing w:before="40" w:after="40"/>
              <w:jc w:val="center"/>
            </w:pPr>
            <w:r>
              <w:t>0.</w:t>
            </w:r>
            <w:r w:rsidR="00110EF9">
              <w:t>4</w:t>
            </w:r>
            <w:r w:rsidRPr="00971600">
              <w:t>%</w:t>
            </w:r>
            <w:r>
              <w:t xml:space="preserve"> - 4.</w:t>
            </w:r>
            <w:r w:rsidR="00110EF9">
              <w:t>1</w:t>
            </w:r>
            <w:r>
              <w:t>%</w:t>
            </w:r>
          </w:p>
        </w:tc>
        <w:tc>
          <w:tcPr>
            <w:tcW w:w="924" w:type="dxa"/>
            <w:tcBorders>
              <w:top w:val="single" w:sz="12" w:space="0" w:color="95D600"/>
              <w:bottom w:val="single" w:sz="12" w:space="0" w:color="95D600"/>
            </w:tcBorders>
            <w:shd w:val="clear" w:color="auto" w:fill="FFFFFF"/>
            <w:vAlign w:val="center"/>
            <w:hideMark/>
          </w:tcPr>
          <w:p w14:paraId="753842B1" w14:textId="77777777" w:rsidR="0019320C" w:rsidRPr="00971600" w:rsidRDefault="0019320C" w:rsidP="00110EF9">
            <w:pPr>
              <w:spacing w:before="40" w:after="40"/>
              <w:jc w:val="center"/>
            </w:pPr>
            <w:r w:rsidRPr="00971600">
              <w:t>$0.20</w:t>
            </w:r>
          </w:p>
        </w:tc>
        <w:tc>
          <w:tcPr>
            <w:tcW w:w="1362" w:type="dxa"/>
            <w:tcBorders>
              <w:top w:val="single" w:sz="12" w:space="0" w:color="95D600"/>
              <w:bottom w:val="single" w:sz="12" w:space="0" w:color="95D600"/>
            </w:tcBorders>
            <w:shd w:val="clear" w:color="auto" w:fill="FFFFFF"/>
            <w:vAlign w:val="center"/>
            <w:hideMark/>
          </w:tcPr>
          <w:p w14:paraId="0A6372B8" w14:textId="77777777" w:rsidR="0019320C" w:rsidRPr="00D11078" w:rsidRDefault="0019320C" w:rsidP="00110EF9">
            <w:pPr>
              <w:spacing w:before="40" w:after="40"/>
              <w:jc w:val="center"/>
              <w:rPr>
                <w:highlight w:val="red"/>
              </w:rPr>
            </w:pPr>
            <w:r w:rsidRPr="00971600">
              <w:t>$1</w:t>
            </w:r>
            <w:r>
              <w:t>.35</w:t>
            </w:r>
          </w:p>
        </w:tc>
        <w:tc>
          <w:tcPr>
            <w:tcW w:w="1350" w:type="dxa"/>
            <w:tcBorders>
              <w:top w:val="single" w:sz="12" w:space="0" w:color="95D600"/>
              <w:bottom w:val="single" w:sz="12" w:space="0" w:color="95D600"/>
            </w:tcBorders>
            <w:shd w:val="clear" w:color="auto" w:fill="FFFFFF"/>
            <w:vAlign w:val="center"/>
            <w:hideMark/>
          </w:tcPr>
          <w:p w14:paraId="2434BE68" w14:textId="77777777" w:rsidR="0019320C" w:rsidRPr="00971600" w:rsidRDefault="0019320C" w:rsidP="00110EF9">
            <w:pPr>
              <w:spacing w:before="40" w:after="40"/>
              <w:jc w:val="center"/>
            </w:pPr>
            <w:r w:rsidRPr="00971600">
              <w:t>0.0001</w:t>
            </w:r>
            <w:r>
              <w:t>95</w:t>
            </w:r>
          </w:p>
        </w:tc>
      </w:tr>
    </w:tbl>
    <w:p w14:paraId="4C434AB3" w14:textId="77777777" w:rsidR="0019320C" w:rsidRDefault="0019320C" w:rsidP="00F06724"/>
    <w:p w14:paraId="4C95A352" w14:textId="77777777" w:rsidR="00FE1CC4" w:rsidRPr="008261F5" w:rsidRDefault="00FE1CC4" w:rsidP="00323BFA">
      <w:pPr>
        <w:keepNext/>
        <w:rPr>
          <w:b/>
        </w:rPr>
      </w:pPr>
      <w:r w:rsidRPr="008261F5">
        <w:rPr>
          <w:b/>
        </w:rPr>
        <w:t>Assumptions and Methodology</w:t>
      </w:r>
    </w:p>
    <w:p w14:paraId="23A76904" w14:textId="77777777" w:rsidR="00FE1CC4" w:rsidRPr="008261F5" w:rsidRDefault="00FE1CC4" w:rsidP="00323BFA">
      <w:pPr>
        <w:keepNext/>
        <w:rPr>
          <w:b/>
        </w:rPr>
      </w:pPr>
    </w:p>
    <w:p w14:paraId="68748B54" w14:textId="77777777" w:rsidR="00FE1CC4" w:rsidRPr="008261F5" w:rsidRDefault="00FE1CC4" w:rsidP="00323BFA">
      <w:pPr>
        <w:keepNext/>
        <w:rPr>
          <w:b/>
          <w:i/>
          <w:szCs w:val="20"/>
        </w:rPr>
      </w:pPr>
      <w:r w:rsidRPr="008261F5">
        <w:rPr>
          <w:b/>
          <w:i/>
          <w:szCs w:val="20"/>
        </w:rPr>
        <w:t>Eligibility and Participation</w:t>
      </w:r>
    </w:p>
    <w:bookmarkEnd w:id="1071"/>
    <w:p w14:paraId="5A11FD4A" w14:textId="77777777" w:rsidR="00F93ED8" w:rsidRPr="00F06724" w:rsidRDefault="00F93ED8" w:rsidP="00F93ED8">
      <w:pPr>
        <w:widowControl w:val="0"/>
        <w:rPr>
          <w:rFonts w:cs="Arial"/>
        </w:rPr>
      </w:pPr>
      <w:r w:rsidRPr="00F06724">
        <w:rPr>
          <w:rFonts w:cs="Arial"/>
        </w:rPr>
        <w:t>Eligibility and participation estimates in the 2018 PG model are defined based on guidance provided by the CPUC regarding the IOU</w:t>
      </w:r>
      <w:r w:rsidR="00A84480">
        <w:rPr>
          <w:rFonts w:cs="Arial"/>
        </w:rPr>
        <w:t>s and</w:t>
      </w:r>
      <w:r w:rsidRPr="00F06724">
        <w:rPr>
          <w:rFonts w:cs="Arial"/>
        </w:rPr>
        <w:t xml:space="preserve"> as part of the 2017 SEM Pilot Program development effort</w:t>
      </w:r>
      <w:r w:rsidR="003C3C97">
        <w:rPr>
          <w:rFonts w:cs="Arial"/>
        </w:rPr>
        <w:t>.</w:t>
      </w:r>
      <w:r w:rsidR="000B43D6">
        <w:rPr>
          <w:rFonts w:cs="Arial"/>
        </w:rPr>
        <w:t xml:space="preserve"> The following provides a summary of </w:t>
      </w:r>
      <w:r w:rsidR="00581CAE">
        <w:rPr>
          <w:rFonts w:cs="Arial"/>
        </w:rPr>
        <w:t xml:space="preserve">eligibility and participation considerations from </w:t>
      </w:r>
      <w:r w:rsidR="000B43D6">
        <w:rPr>
          <w:rFonts w:cs="Arial"/>
        </w:rPr>
        <w:t>that guidance.</w:t>
      </w:r>
      <w:r w:rsidRPr="00F06724">
        <w:rPr>
          <w:rStyle w:val="FootnoteReference"/>
          <w:rFonts w:cs="Arial"/>
        </w:rPr>
        <w:footnoteReference w:id="172"/>
      </w:r>
    </w:p>
    <w:p w14:paraId="7F2EEFAC" w14:textId="77777777" w:rsidR="00F93ED8" w:rsidRPr="00F06724" w:rsidRDefault="00F93ED8" w:rsidP="004E4E36">
      <w:pPr>
        <w:pStyle w:val="ListParagraph"/>
        <w:numPr>
          <w:ilvl w:val="0"/>
          <w:numId w:val="55"/>
        </w:numPr>
        <w:spacing w:line="240" w:lineRule="auto"/>
        <w:contextualSpacing/>
        <w:rPr>
          <w:rFonts w:cs="Arial"/>
        </w:rPr>
      </w:pPr>
      <w:r w:rsidRPr="00F06724">
        <w:rPr>
          <w:rFonts w:cs="Arial"/>
        </w:rPr>
        <w:t xml:space="preserve">The SEM model will only be applied to participants enrolled in the official program; programs that offer similar models will not be considered a true SEM program.  </w:t>
      </w:r>
    </w:p>
    <w:p w14:paraId="46AD99FC" w14:textId="77777777" w:rsidR="00F93ED8" w:rsidRPr="00F06724" w:rsidRDefault="00F93ED8" w:rsidP="004E4E36">
      <w:pPr>
        <w:pStyle w:val="ListParagraph"/>
        <w:numPr>
          <w:ilvl w:val="0"/>
          <w:numId w:val="55"/>
        </w:numPr>
        <w:spacing w:line="240" w:lineRule="auto"/>
        <w:contextualSpacing/>
        <w:rPr>
          <w:rFonts w:cs="Arial"/>
        </w:rPr>
      </w:pPr>
      <w:r w:rsidRPr="00F06724">
        <w:rPr>
          <w:rFonts w:cs="Arial"/>
        </w:rPr>
        <w:t>The California SEM program is the only SEM-type program for industrial customers in California. Currently, the SEM program as designed will only live in the Industrial sector with the small exception for facilities that are not defined as Industrial but utilize similar industrial processes (i.e. food processing). The IOU business plans state that SEM will be incorporated into the Commercial and Agriculture sectors in the near future. NAICS codes will be used to determine if facilities are eligible for the Industrial sector.</w:t>
      </w:r>
    </w:p>
    <w:p w14:paraId="0CF9462C" w14:textId="77777777" w:rsidR="00F93ED8" w:rsidRPr="00F06724" w:rsidRDefault="00F93ED8" w:rsidP="004E4E36">
      <w:pPr>
        <w:pStyle w:val="ListParagraph"/>
        <w:numPr>
          <w:ilvl w:val="0"/>
          <w:numId w:val="55"/>
        </w:numPr>
        <w:spacing w:line="240" w:lineRule="auto"/>
        <w:contextualSpacing/>
        <w:rPr>
          <w:rFonts w:cs="Arial"/>
        </w:rPr>
      </w:pPr>
      <w:r w:rsidRPr="00F06724">
        <w:rPr>
          <w:rFonts w:cs="Arial"/>
        </w:rPr>
        <w:t>Not all customers in the Industrial sector will be eligible for SEM.  Savings and incentives for projects participating in the SEM program will be calculated based on this SEM design. Customers that are not enrolled in the SEM program, or customers that have projects that don't qualify as SEM, will not be incentivized through SEM, nor will they qualify for milestone incentives. As SEM grows, it is the IOU goal that more customers will participate in the program and transition into this new way of capturing savings.</w:t>
      </w:r>
    </w:p>
    <w:p w14:paraId="5205AF7E" w14:textId="77777777" w:rsidR="00F93ED8" w:rsidRPr="00F06724" w:rsidRDefault="00F93ED8" w:rsidP="004E4E36">
      <w:pPr>
        <w:pStyle w:val="ListParagraph"/>
        <w:numPr>
          <w:ilvl w:val="0"/>
          <w:numId w:val="56"/>
        </w:numPr>
        <w:spacing w:line="240" w:lineRule="auto"/>
        <w:contextualSpacing/>
        <w:rPr>
          <w:rFonts w:cs="Arial"/>
        </w:rPr>
      </w:pPr>
      <w:r w:rsidRPr="00F06724">
        <w:rPr>
          <w:rFonts w:cs="Arial"/>
        </w:rPr>
        <w:t>Unless explicitly excluded by the program, savings for energy performance improvement actions that are not incented by other programs will be captured under the SEM O&amp;M savings category. Currently</w:t>
      </w:r>
      <w:r w:rsidR="003C3C97">
        <w:rPr>
          <w:rFonts w:cs="Arial"/>
        </w:rPr>
        <w:t>,</w:t>
      </w:r>
      <w:r w:rsidRPr="00F06724">
        <w:rPr>
          <w:rFonts w:cs="Arial"/>
        </w:rPr>
        <w:t xml:space="preserve"> O&amp;M savings in the Industrial sector may only be claimed through the SEM program. SEM incentives are based on the final amount of facility savings achieved minus 'Non-SEM Savings.'  For projects that do not qualify for custom project incentives, O&amp;M savings will be incentivized.</w:t>
      </w:r>
    </w:p>
    <w:p w14:paraId="3F2A66BD" w14:textId="77777777" w:rsidR="00F93ED8" w:rsidRPr="00F06724" w:rsidRDefault="00F93ED8" w:rsidP="004E4E36">
      <w:pPr>
        <w:pStyle w:val="ListParagraph"/>
        <w:widowControl w:val="0"/>
        <w:numPr>
          <w:ilvl w:val="0"/>
          <w:numId w:val="56"/>
        </w:numPr>
        <w:spacing w:line="240" w:lineRule="auto"/>
        <w:contextualSpacing/>
        <w:rPr>
          <w:rFonts w:cs="Arial"/>
        </w:rPr>
      </w:pPr>
      <w:r w:rsidRPr="00F06724">
        <w:rPr>
          <w:rFonts w:cs="Arial"/>
        </w:rPr>
        <w:t>Savings, capital projects</w:t>
      </w:r>
      <w:r w:rsidR="000B43D6">
        <w:rPr>
          <w:rFonts w:cs="Arial"/>
        </w:rPr>
        <w:t>,</w:t>
      </w:r>
      <w:r w:rsidRPr="00F06724">
        <w:rPr>
          <w:rFonts w:cs="Arial"/>
        </w:rPr>
        <w:t xml:space="preserve"> and O&amp;M will only be counted as SEM if they follow the program as designed by the IOUs and implemented by the awarded bidder. Custom capital projects and the associated savings will only be counted as SEM if they follow the program as designed by the IOUs and implemented by the awarded bidder.  Facilities that participate in SEM-type programs will not be </w:t>
      </w:r>
      <w:r w:rsidRPr="00F06724">
        <w:rPr>
          <w:rFonts w:cs="Arial"/>
        </w:rPr>
        <w:lastRenderedPageBreak/>
        <w:t>eligible for the same incentives.</w:t>
      </w:r>
    </w:p>
    <w:p w14:paraId="58B44510" w14:textId="77777777" w:rsidR="000B43D6" w:rsidRDefault="000B43D6" w:rsidP="00F93ED8">
      <w:pPr>
        <w:widowControl w:val="0"/>
        <w:rPr>
          <w:rFonts w:cs="Arial"/>
        </w:rPr>
      </w:pPr>
    </w:p>
    <w:p w14:paraId="16CA5FF1" w14:textId="77777777" w:rsidR="00D522CA" w:rsidRDefault="000B43D6" w:rsidP="00F93ED8">
      <w:pPr>
        <w:widowControl w:val="0"/>
        <w:rPr>
          <w:rFonts w:cs="Arial"/>
        </w:rPr>
      </w:pPr>
      <w:r>
        <w:rPr>
          <w:rFonts w:cs="Arial"/>
        </w:rPr>
        <w:t>The team also reviewed d</w:t>
      </w:r>
      <w:r w:rsidR="00F93ED8" w:rsidRPr="00F06724">
        <w:rPr>
          <w:rFonts w:cs="Arial"/>
        </w:rPr>
        <w:t xml:space="preserve">raft </w:t>
      </w:r>
      <w:r w:rsidR="00581CAE">
        <w:rPr>
          <w:rFonts w:cs="Arial"/>
        </w:rPr>
        <w:t xml:space="preserve">IOU </w:t>
      </w:r>
      <w:r w:rsidR="00F93ED8" w:rsidRPr="00F06724">
        <w:rPr>
          <w:rFonts w:cs="Arial"/>
        </w:rPr>
        <w:t>business plans for insights into eligibility, participation</w:t>
      </w:r>
      <w:r>
        <w:rPr>
          <w:rFonts w:cs="Arial"/>
        </w:rPr>
        <w:t>,</w:t>
      </w:r>
      <w:r w:rsidR="00F93ED8" w:rsidRPr="00F06724">
        <w:rPr>
          <w:rFonts w:cs="Arial"/>
        </w:rPr>
        <w:t xml:space="preserve"> and savings metrics.</w:t>
      </w:r>
    </w:p>
    <w:p w14:paraId="6CCF4DF4" w14:textId="77777777" w:rsidR="00D522CA" w:rsidRDefault="00D522CA" w:rsidP="00F93ED8">
      <w:pPr>
        <w:widowControl w:val="0"/>
        <w:rPr>
          <w:rFonts w:cs="Arial"/>
        </w:rPr>
      </w:pPr>
    </w:p>
    <w:p w14:paraId="67EE8CB0" w14:textId="77777777" w:rsidR="00581CAE" w:rsidRDefault="00581CAE" w:rsidP="00323BFA">
      <w:pPr>
        <w:keepNext/>
        <w:widowControl w:val="0"/>
        <w:rPr>
          <w:rFonts w:cs="Arial"/>
        </w:rPr>
      </w:pPr>
      <w:r w:rsidRPr="00581CAE">
        <w:rPr>
          <w:rFonts w:cs="Arial"/>
        </w:rPr>
        <w:t xml:space="preserve">Select forecast considerations from the PG&amp;E </w:t>
      </w:r>
      <w:r w:rsidR="00D522CA">
        <w:rPr>
          <w:rFonts w:cs="Arial"/>
        </w:rPr>
        <w:t>2018–2025 business plan include</w:t>
      </w:r>
      <w:r w:rsidRPr="00581CAE">
        <w:rPr>
          <w:rFonts w:cs="Arial"/>
        </w:rPr>
        <w:t>:</w:t>
      </w:r>
      <w:r w:rsidR="00D522CA" w:rsidRPr="00F06724">
        <w:rPr>
          <w:rStyle w:val="FootnoteReference"/>
          <w:rFonts w:cs="Arial"/>
        </w:rPr>
        <w:footnoteReference w:id="173"/>
      </w:r>
    </w:p>
    <w:p w14:paraId="4598304D" w14:textId="77777777" w:rsidR="00D522CA" w:rsidRPr="00D522CA" w:rsidRDefault="00D522CA" w:rsidP="004E4E36">
      <w:pPr>
        <w:pStyle w:val="ListParagraph"/>
        <w:widowControl w:val="0"/>
        <w:numPr>
          <w:ilvl w:val="0"/>
          <w:numId w:val="67"/>
        </w:numPr>
        <w:rPr>
          <w:rFonts w:cs="Arial"/>
        </w:rPr>
      </w:pPr>
      <w:r w:rsidRPr="00D522CA">
        <w:rPr>
          <w:rFonts w:cs="Arial"/>
        </w:rPr>
        <w:t>In the short term (1-3 years), PG&amp;E will conduct and analyze market research to ensure that its existing programs remain relevant and cost effective as PG&amp;E explores new tools and services. PG&amp;E will begin the first stage of testing an SEM framework in the market with the launch of the SEM program.</w:t>
      </w:r>
    </w:p>
    <w:p w14:paraId="7A81D72E" w14:textId="77777777" w:rsidR="00D522CA" w:rsidRPr="00D522CA" w:rsidRDefault="00D522CA" w:rsidP="004E4E36">
      <w:pPr>
        <w:pStyle w:val="ListParagraph"/>
        <w:widowControl w:val="0"/>
        <w:numPr>
          <w:ilvl w:val="0"/>
          <w:numId w:val="67"/>
        </w:numPr>
        <w:rPr>
          <w:rFonts w:cs="Arial"/>
        </w:rPr>
      </w:pPr>
      <w:r w:rsidRPr="00D522CA">
        <w:rPr>
          <w:rFonts w:cs="Arial"/>
        </w:rPr>
        <w:t xml:space="preserve">In the midterm (4-7 years), PG&amp;E will continue to expand the use of the SEM framework across key industrial segments. PG&amp;E also plans to engage with partners and experts to establish a benchmarking service and outreach tool based on lessons learned with existing models in </w:t>
      </w:r>
      <w:r>
        <w:rPr>
          <w:rFonts w:cs="Arial"/>
        </w:rPr>
        <w:t xml:space="preserve">the </w:t>
      </w:r>
      <w:r w:rsidRPr="00D522CA">
        <w:rPr>
          <w:rFonts w:cs="Arial"/>
        </w:rPr>
        <w:t>market.</w:t>
      </w:r>
    </w:p>
    <w:p w14:paraId="6228FE6A" w14:textId="77777777" w:rsidR="00F93ED8" w:rsidRPr="00D522CA" w:rsidRDefault="00D522CA" w:rsidP="004E4E36">
      <w:pPr>
        <w:pStyle w:val="ListParagraph"/>
        <w:widowControl w:val="0"/>
        <w:numPr>
          <w:ilvl w:val="0"/>
          <w:numId w:val="67"/>
        </w:numPr>
        <w:rPr>
          <w:rFonts w:cs="Arial"/>
        </w:rPr>
      </w:pPr>
      <w:r w:rsidRPr="00D522CA">
        <w:rPr>
          <w:rFonts w:cs="Arial"/>
        </w:rPr>
        <w:t xml:space="preserve">In the long term (8-10 years), PG&amp;E will incorporate SEM into all channels and services for industrial customers of all sizes. PG&amp;E will offer a variety of SEM levels to meet customer needs, ranging from online management and periodic audits for smaller firms (“low-touch” SEM) to integrated expertise and data-management systems for large customers (“high-touch” SEM). </w:t>
      </w:r>
      <w:r w:rsidR="00581CAE" w:rsidRPr="00D522CA" w:rsidDel="00581CAE">
        <w:rPr>
          <w:rFonts w:cs="Arial"/>
        </w:rPr>
        <w:t xml:space="preserve"> </w:t>
      </w:r>
      <w:bookmarkEnd w:id="1072"/>
    </w:p>
    <w:p w14:paraId="59B50857" w14:textId="77777777" w:rsidR="00D522CA" w:rsidRDefault="00D522CA" w:rsidP="00F93ED8">
      <w:pPr>
        <w:widowControl w:val="0"/>
        <w:rPr>
          <w:rFonts w:cs="Arial"/>
        </w:rPr>
      </w:pPr>
    </w:p>
    <w:p w14:paraId="110DD7A9" w14:textId="77777777" w:rsidR="00D522CA" w:rsidRDefault="00D522CA" w:rsidP="00F93ED8">
      <w:pPr>
        <w:widowControl w:val="0"/>
        <w:rPr>
          <w:rFonts w:cs="Arial"/>
        </w:rPr>
      </w:pPr>
      <w:r w:rsidRPr="00D522CA">
        <w:rPr>
          <w:rFonts w:cs="Arial"/>
        </w:rPr>
        <w:t>Considerations from the SCE 2018–2025 business plan include:</w:t>
      </w:r>
      <w:r w:rsidRPr="00F06724">
        <w:rPr>
          <w:rStyle w:val="FootnoteReference"/>
          <w:rFonts w:cs="Arial"/>
        </w:rPr>
        <w:footnoteReference w:id="174"/>
      </w:r>
    </w:p>
    <w:p w14:paraId="5B173101" w14:textId="77777777" w:rsidR="00D522CA" w:rsidRPr="00D522CA" w:rsidRDefault="00D522CA" w:rsidP="004E4E36">
      <w:pPr>
        <w:pStyle w:val="ListParagraph"/>
        <w:widowControl w:val="0"/>
        <w:numPr>
          <w:ilvl w:val="0"/>
          <w:numId w:val="68"/>
        </w:numPr>
        <w:rPr>
          <w:rFonts w:cs="Arial"/>
        </w:rPr>
      </w:pPr>
      <w:r w:rsidRPr="00D522CA">
        <w:rPr>
          <w:rFonts w:cs="Arial"/>
        </w:rPr>
        <w:t>The Industrial Strategic Energy Management (SEM) Pilot Project uses tailored EE services that are most appropriate for large customers who are interested in EE and capable of implementing it. As a pilot effort, SCE will limit the initial implementation to no more than ten projects. This pilot may be implemented concurrently with other Industrial pilot proposals.</w:t>
      </w:r>
    </w:p>
    <w:p w14:paraId="23BFDF90" w14:textId="77777777" w:rsidR="00D522CA" w:rsidRDefault="00D522CA" w:rsidP="00F93ED8">
      <w:pPr>
        <w:widowControl w:val="0"/>
        <w:rPr>
          <w:rFonts w:cs="Arial"/>
        </w:rPr>
      </w:pPr>
    </w:p>
    <w:p w14:paraId="12F055E1" w14:textId="77777777" w:rsidR="00D522CA" w:rsidRDefault="00D522CA" w:rsidP="00F93ED8">
      <w:pPr>
        <w:widowControl w:val="0"/>
        <w:rPr>
          <w:color w:val="000000" w:themeColor="text1"/>
        </w:rPr>
      </w:pPr>
      <w:r w:rsidRPr="008C4F8B">
        <w:rPr>
          <w:color w:val="000000" w:themeColor="text1"/>
          <w:szCs w:val="20"/>
        </w:rPr>
        <w:t>C</w:t>
      </w:r>
      <w:r w:rsidRPr="008C4F8B">
        <w:rPr>
          <w:color w:val="000000" w:themeColor="text1"/>
        </w:rPr>
        <w:t>onsiderations from the SCG 2018–2025 business plan include challenges faced by smaller customers in implementing SEM:</w:t>
      </w:r>
      <w:r w:rsidRPr="00F06724">
        <w:rPr>
          <w:rStyle w:val="FootnoteReference"/>
          <w:rFonts w:cs="Arial"/>
        </w:rPr>
        <w:footnoteReference w:id="175"/>
      </w:r>
    </w:p>
    <w:p w14:paraId="291B65EB" w14:textId="77777777" w:rsidR="00D522CA" w:rsidRPr="00D522CA" w:rsidRDefault="00D522CA" w:rsidP="004E4E36">
      <w:pPr>
        <w:pStyle w:val="ListParagraph"/>
        <w:widowControl w:val="0"/>
        <w:numPr>
          <w:ilvl w:val="0"/>
          <w:numId w:val="68"/>
        </w:numPr>
        <w:rPr>
          <w:color w:val="000000" w:themeColor="text1"/>
        </w:rPr>
      </w:pPr>
      <w:r w:rsidRPr="00D522CA">
        <w:rPr>
          <w:color w:val="000000" w:themeColor="text1"/>
        </w:rPr>
        <w:t xml:space="preserve">The SEM pilot, as designed, is not an appropriate solution for smaller customers who have historically produced low adoption of energy efficiency solutions because: </w:t>
      </w:r>
    </w:p>
    <w:p w14:paraId="1B219F4C" w14:textId="77777777" w:rsidR="00D522CA" w:rsidRPr="00D522CA" w:rsidRDefault="00D522CA" w:rsidP="004E4E36">
      <w:pPr>
        <w:pStyle w:val="ListParagraph"/>
        <w:widowControl w:val="0"/>
        <w:numPr>
          <w:ilvl w:val="1"/>
          <w:numId w:val="68"/>
        </w:numPr>
        <w:rPr>
          <w:color w:val="000000" w:themeColor="text1"/>
        </w:rPr>
      </w:pPr>
      <w:r w:rsidRPr="00D522CA">
        <w:rPr>
          <w:color w:val="000000" w:themeColor="text1"/>
        </w:rPr>
        <w:t>Many smaller customers are not aware of the energy efficiency benefits. Nor are they aware of programs that promote energy efficiency, especially programs designed to help smaller industrial customers achieve higher levels of energy efficiency.</w:t>
      </w:r>
    </w:p>
    <w:p w14:paraId="73E8DF8D" w14:textId="77777777" w:rsidR="00D522CA" w:rsidRDefault="00D522CA" w:rsidP="00F93ED8">
      <w:pPr>
        <w:widowControl w:val="0"/>
        <w:rPr>
          <w:rFonts w:cs="Arial"/>
        </w:rPr>
      </w:pPr>
    </w:p>
    <w:p w14:paraId="47D52639" w14:textId="77777777" w:rsidR="00FE4CDA" w:rsidRDefault="00FE4CDA" w:rsidP="00F93ED8">
      <w:pPr>
        <w:widowControl w:val="0"/>
        <w:rPr>
          <w:rFonts w:cs="Arial"/>
        </w:rPr>
      </w:pPr>
      <w:r w:rsidRPr="00FE4CDA">
        <w:rPr>
          <w:rFonts w:cs="Arial"/>
        </w:rPr>
        <w:t xml:space="preserve">Per the design of the CPUC SEM pilot and the market considerations expressed in the IOU business plans, savings </w:t>
      </w:r>
      <w:r>
        <w:rPr>
          <w:rFonts w:cs="Arial"/>
        </w:rPr>
        <w:t xml:space="preserve">in the industrial sector </w:t>
      </w:r>
      <w:r w:rsidRPr="00FE4CDA">
        <w:rPr>
          <w:rFonts w:cs="Arial"/>
        </w:rPr>
        <w:t>are initially forecast</w:t>
      </w:r>
      <w:r>
        <w:rPr>
          <w:rFonts w:cs="Arial"/>
        </w:rPr>
        <w:t>ed</w:t>
      </w:r>
      <w:r w:rsidRPr="00FE4CDA">
        <w:rPr>
          <w:rFonts w:cs="Arial"/>
        </w:rPr>
        <w:t xml:space="preserve"> to begin in 2019 for high use market segments, including the petroleum, food, electronics, and chemicals segments, while more widespread implementation for all other industrial segments begins in 2021. Although in theory SEM applies to all customer sizes, in practice applicability of SEM is constrained to large customers. A review of IOU business plans for the 2018-2025 timeframe indicates that most industrial and agricultural energy use comes from large customers in a few market segments. Consequently, </w:t>
      </w:r>
      <w:r>
        <w:rPr>
          <w:rFonts w:cs="Arial"/>
        </w:rPr>
        <w:t xml:space="preserve">the </w:t>
      </w:r>
      <w:r w:rsidRPr="00FE4CDA">
        <w:rPr>
          <w:rFonts w:cs="Arial"/>
        </w:rPr>
        <w:t>applicability</w:t>
      </w:r>
      <w:r>
        <w:rPr>
          <w:rFonts w:cs="Arial"/>
        </w:rPr>
        <w:t xml:space="preserve"> factor for</w:t>
      </w:r>
      <w:r w:rsidRPr="00FE4CDA">
        <w:rPr>
          <w:rFonts w:cs="Arial"/>
        </w:rPr>
        <w:t xml:space="preserve"> SEM was set between 79% and 91% to reflect this concentration. The starting saturation for all segments is </w:t>
      </w:r>
      <w:r w:rsidRPr="00FE4CDA">
        <w:rPr>
          <w:rFonts w:cs="Arial"/>
        </w:rPr>
        <w:lastRenderedPageBreak/>
        <w:t>estimated at 0.20% with a compound annual growth rate (CAGR) of 0.25% for the reference case and 0.50% for the aggressive case. By 2030 this yields a</w:t>
      </w:r>
      <w:r>
        <w:rPr>
          <w:rFonts w:cs="Arial"/>
        </w:rPr>
        <w:t>n industrial sector</w:t>
      </w:r>
      <w:r w:rsidRPr="00FE4CDA">
        <w:rPr>
          <w:rFonts w:cs="Arial"/>
        </w:rPr>
        <w:t xml:space="preserve"> market saturation of 12%</w:t>
      </w:r>
      <w:r>
        <w:rPr>
          <w:rFonts w:cs="Arial"/>
        </w:rPr>
        <w:t xml:space="preserve"> and</w:t>
      </w:r>
      <w:r w:rsidRPr="00FE4CDA">
        <w:rPr>
          <w:rFonts w:cs="Arial"/>
        </w:rPr>
        <w:t xml:space="preserve"> 23% for the reference and aggressive cases, respectively. The model assumes SEM will apply to the agricultural market sector beginning in 2025 and it uses </w:t>
      </w:r>
      <w:r>
        <w:rPr>
          <w:rFonts w:cs="Arial"/>
        </w:rPr>
        <w:t xml:space="preserve">the </w:t>
      </w:r>
      <w:r w:rsidRPr="00FE4CDA">
        <w:rPr>
          <w:rFonts w:cs="Arial"/>
        </w:rPr>
        <w:t>same starting saturation and CAGRs.</w:t>
      </w:r>
    </w:p>
    <w:p w14:paraId="5728383D" w14:textId="77777777" w:rsidR="00FE4CDA" w:rsidRDefault="00FE4CDA" w:rsidP="00F93ED8">
      <w:pPr>
        <w:widowControl w:val="0"/>
        <w:rPr>
          <w:rFonts w:cs="Arial"/>
        </w:rPr>
      </w:pPr>
    </w:p>
    <w:p w14:paraId="3D026CB4" w14:textId="77777777" w:rsidR="00F93ED8" w:rsidRPr="00323BFA" w:rsidRDefault="00FE1CC4" w:rsidP="00122CD3">
      <w:pPr>
        <w:keepNext/>
        <w:rPr>
          <w:b/>
          <w:i/>
        </w:rPr>
      </w:pPr>
      <w:r w:rsidRPr="00122CD3">
        <w:rPr>
          <w:b/>
          <w:i/>
        </w:rPr>
        <w:t>Savings</w:t>
      </w:r>
    </w:p>
    <w:p w14:paraId="2111087D" w14:textId="77777777" w:rsidR="00F93ED8" w:rsidRPr="00F06724" w:rsidRDefault="00F93ED8" w:rsidP="00F93ED8">
      <w:pPr>
        <w:rPr>
          <w:rFonts w:cs="Arial"/>
        </w:rPr>
      </w:pPr>
      <w:r w:rsidRPr="00F06724">
        <w:rPr>
          <w:rFonts w:cs="Arial"/>
        </w:rPr>
        <w:t xml:space="preserve">The savings forecast </w:t>
      </w:r>
      <w:r w:rsidR="00553CBE">
        <w:rPr>
          <w:rFonts w:cs="Arial"/>
        </w:rPr>
        <w:t xml:space="preserve">in the 2018 PG </w:t>
      </w:r>
      <w:r w:rsidR="00113642">
        <w:rPr>
          <w:rFonts w:cs="Arial"/>
        </w:rPr>
        <w:t>study</w:t>
      </w:r>
      <w:r w:rsidRPr="00F06724">
        <w:rPr>
          <w:rFonts w:cs="Arial"/>
        </w:rPr>
        <w:t xml:space="preserve"> is an estimate of O&amp;M savings achieved through SEM. A literature review indicate</w:t>
      </w:r>
      <w:r w:rsidR="00553CBE">
        <w:rPr>
          <w:rFonts w:cs="Arial"/>
        </w:rPr>
        <w:t>s</w:t>
      </w:r>
      <w:r w:rsidRPr="00F06724">
        <w:rPr>
          <w:rFonts w:cs="Arial"/>
        </w:rPr>
        <w:t xml:space="preserve"> that a UES for O&amp;M savings of 2.7</w:t>
      </w:r>
      <w:r w:rsidR="00553CBE">
        <w:rPr>
          <w:rFonts w:cs="Arial"/>
        </w:rPr>
        <w:t xml:space="preserve"> percent</w:t>
      </w:r>
      <w:r w:rsidRPr="00F06724">
        <w:rPr>
          <w:rFonts w:cs="Arial"/>
        </w:rPr>
        <w:t xml:space="preserve"> of annual sector level consumption </w:t>
      </w:r>
      <w:r w:rsidR="00553CBE">
        <w:rPr>
          <w:rFonts w:cs="Arial"/>
        </w:rPr>
        <w:t>is</w:t>
      </w:r>
      <w:r w:rsidR="00553CBE" w:rsidRPr="00F06724">
        <w:rPr>
          <w:rFonts w:cs="Arial"/>
        </w:rPr>
        <w:t xml:space="preserve"> </w:t>
      </w:r>
      <w:r w:rsidRPr="00F06724">
        <w:rPr>
          <w:rFonts w:cs="Arial"/>
        </w:rPr>
        <w:t xml:space="preserve">appropriate for the industrial and agricultural market based on the CPUC SEM pilot program design. In addition, the CEC provided trends on electric energy usage (kWh) per dollar </w:t>
      </w:r>
      <w:r w:rsidR="00553CBE">
        <w:rPr>
          <w:rFonts w:cs="Arial"/>
        </w:rPr>
        <w:t xml:space="preserve">of </w:t>
      </w:r>
      <w:r w:rsidRPr="00F06724">
        <w:rPr>
          <w:rFonts w:cs="Arial"/>
        </w:rPr>
        <w:t>economic output ($) from 1990 through 2015 and the PG team indexed this data to 1990 to identify trends in energy density of economic output over time. This analysis shows that the energy intensity of some industries, such as semiconductor manufacturing has decreased over time to 68</w:t>
      </w:r>
      <w:r w:rsidR="00553CBE">
        <w:rPr>
          <w:rFonts w:cs="Arial"/>
        </w:rPr>
        <w:t xml:space="preserve"> percent</w:t>
      </w:r>
      <w:r w:rsidRPr="00F06724">
        <w:rPr>
          <w:rFonts w:cs="Arial"/>
        </w:rPr>
        <w:t xml:space="preserve"> of 1990 levels, indicating that there may be less potential for SEM type interventions. Other industries such as chemical manufacturing and food and beverage processing have increased over time to approximately 150</w:t>
      </w:r>
      <w:r w:rsidR="00553CBE">
        <w:rPr>
          <w:rFonts w:cs="Arial"/>
        </w:rPr>
        <w:t xml:space="preserve"> percent</w:t>
      </w:r>
      <w:r w:rsidRPr="00F06724">
        <w:rPr>
          <w:rFonts w:cs="Arial"/>
        </w:rPr>
        <w:t xml:space="preserve"> of 1990 levels. The PG </w:t>
      </w:r>
      <w:r w:rsidR="00113642">
        <w:rPr>
          <w:rFonts w:cs="Arial"/>
        </w:rPr>
        <w:t>study</w:t>
      </w:r>
      <w:r w:rsidRPr="00F06724">
        <w:rPr>
          <w:rFonts w:cs="Arial"/>
        </w:rPr>
        <w:t xml:space="preserve"> considers this index to be indicative </w:t>
      </w:r>
      <w:r w:rsidR="00113642">
        <w:rPr>
          <w:rFonts w:cs="Arial"/>
        </w:rPr>
        <w:t>that some market segments would</w:t>
      </w:r>
      <w:r w:rsidRPr="00F06724">
        <w:rPr>
          <w:rFonts w:cs="Arial"/>
        </w:rPr>
        <w:t xml:space="preserve"> benefit</w:t>
      </w:r>
      <w:r w:rsidR="00113642">
        <w:rPr>
          <w:rFonts w:cs="Arial"/>
        </w:rPr>
        <w:t xml:space="preserve"> more</w:t>
      </w:r>
      <w:r w:rsidRPr="00F06724">
        <w:rPr>
          <w:rFonts w:cs="Arial"/>
        </w:rPr>
        <w:t xml:space="preserve"> from SEM activity</w:t>
      </w:r>
      <w:r w:rsidR="00113642">
        <w:rPr>
          <w:rFonts w:cs="Arial"/>
        </w:rPr>
        <w:t xml:space="preserve"> than others in reducing the energy intensity of production</w:t>
      </w:r>
      <w:r w:rsidR="00553CBE">
        <w:rPr>
          <w:rFonts w:cs="Arial"/>
        </w:rPr>
        <w:t>. Therefore,</w:t>
      </w:r>
      <w:r w:rsidRPr="00F06724">
        <w:rPr>
          <w:rFonts w:cs="Arial"/>
        </w:rPr>
        <w:t xml:space="preserve"> the </w:t>
      </w:r>
      <w:r w:rsidR="00553CBE">
        <w:rPr>
          <w:rFonts w:cs="Arial"/>
        </w:rPr>
        <w:t xml:space="preserve">team multiplied the 2.7 percent </w:t>
      </w:r>
      <w:r w:rsidRPr="00F06724">
        <w:rPr>
          <w:rFonts w:cs="Arial"/>
        </w:rPr>
        <w:t xml:space="preserve">average </w:t>
      </w:r>
      <w:r w:rsidR="00553CBE">
        <w:rPr>
          <w:rFonts w:cs="Arial"/>
        </w:rPr>
        <w:t>SEM</w:t>
      </w:r>
      <w:r w:rsidRPr="00F06724">
        <w:rPr>
          <w:rFonts w:cs="Arial"/>
        </w:rPr>
        <w:t xml:space="preserve"> UES by the energy intensity index developed from the CEC data to arrive at segment level SEM </w:t>
      </w:r>
      <w:r w:rsidR="00113642">
        <w:rPr>
          <w:rFonts w:cs="Arial"/>
        </w:rPr>
        <w:t>UES</w:t>
      </w:r>
      <w:r w:rsidRPr="00F06724">
        <w:rPr>
          <w:rFonts w:cs="Arial"/>
        </w:rPr>
        <w:t xml:space="preserve"> multiplier</w:t>
      </w:r>
      <w:r w:rsidR="00217780">
        <w:rPr>
          <w:rFonts w:cs="Arial"/>
        </w:rPr>
        <w:t>s</w:t>
      </w:r>
      <w:r w:rsidRPr="00F06724">
        <w:rPr>
          <w:rFonts w:cs="Arial"/>
        </w:rPr>
        <w:t xml:space="preserve">, as shown in </w:t>
      </w:r>
      <w:r w:rsidR="00F9578C">
        <w:rPr>
          <w:rFonts w:cs="Arial"/>
        </w:rPr>
        <w:fldChar w:fldCharType="begin"/>
      </w:r>
      <w:r w:rsidR="00F9578C">
        <w:rPr>
          <w:rFonts w:cs="Arial"/>
        </w:rPr>
        <w:instrText xml:space="preserve"> REF _Ref484346347 \h </w:instrText>
      </w:r>
      <w:r w:rsidR="00F9578C">
        <w:rPr>
          <w:rFonts w:cs="Arial"/>
        </w:rPr>
      </w:r>
      <w:r w:rsidR="00F9578C">
        <w:rPr>
          <w:rFonts w:cs="Arial"/>
        </w:rPr>
        <w:fldChar w:fldCharType="separate"/>
      </w:r>
      <w:r w:rsidR="007566B9">
        <w:t xml:space="preserve">Table </w:t>
      </w:r>
      <w:r w:rsidR="007566B9">
        <w:rPr>
          <w:noProof/>
        </w:rPr>
        <w:t>C</w:t>
      </w:r>
      <w:r w:rsidR="007566B9">
        <w:noBreakHyphen/>
      </w:r>
      <w:r w:rsidR="007566B9">
        <w:rPr>
          <w:noProof/>
        </w:rPr>
        <w:t>12</w:t>
      </w:r>
      <w:r w:rsidR="00F9578C">
        <w:rPr>
          <w:rFonts w:cs="Arial"/>
        </w:rPr>
        <w:fldChar w:fldCharType="end"/>
      </w:r>
      <w:r w:rsidRPr="00F06724">
        <w:rPr>
          <w:rFonts w:cs="Arial"/>
        </w:rPr>
        <w:t xml:space="preserve">.  </w:t>
      </w:r>
    </w:p>
    <w:p w14:paraId="257F67BF" w14:textId="77777777" w:rsidR="00F93ED8" w:rsidRDefault="00F93ED8" w:rsidP="00F93ED8"/>
    <w:p w14:paraId="23BBD70A" w14:textId="77777777" w:rsidR="00F93ED8" w:rsidRDefault="00BB2A45" w:rsidP="00BB2A45">
      <w:pPr>
        <w:pStyle w:val="Caption"/>
      </w:pPr>
      <w:bookmarkStart w:id="1073" w:name="_Ref484094612"/>
      <w:bookmarkStart w:id="1074" w:name="_Ref484012121"/>
      <w:bookmarkStart w:id="1075" w:name="_Ref484346347"/>
      <w:bookmarkStart w:id="1076" w:name="_Toc484062684"/>
      <w:bookmarkStart w:id="1077" w:name="_Ref484346341"/>
      <w:bookmarkStart w:id="1078" w:name="_Toc490226039"/>
      <w:bookmarkEnd w:id="1073"/>
      <w:bookmarkEnd w:id="1074"/>
      <w:r>
        <w:t xml:space="preserve">Table </w:t>
      </w:r>
      <w:fldSimple w:instr=" STYLEREF 5 \s ">
        <w:r w:rsidR="007566B9">
          <w:rPr>
            <w:noProof/>
          </w:rPr>
          <w:t>C</w:t>
        </w:r>
      </w:fldSimple>
      <w:r>
        <w:noBreakHyphen/>
      </w:r>
      <w:fldSimple w:instr=" SEQ Table_Apx \* ARABIC \s 5 ">
        <w:r w:rsidR="007566B9">
          <w:rPr>
            <w:noProof/>
          </w:rPr>
          <w:t>12</w:t>
        </w:r>
      </w:fldSimple>
      <w:bookmarkEnd w:id="1075"/>
      <w:r>
        <w:t xml:space="preserve">. </w:t>
      </w:r>
      <w:r w:rsidR="00F93ED8">
        <w:t xml:space="preserve">Industrial </w:t>
      </w:r>
      <w:r w:rsidR="002A69B1">
        <w:t>Sector Strategic Energy Management Unit Energy Savings</w:t>
      </w:r>
      <w:r w:rsidR="00F93ED8">
        <w:t xml:space="preserve"> Multiplier</w:t>
      </w:r>
      <w:bookmarkEnd w:id="1076"/>
      <w:bookmarkEnd w:id="1077"/>
      <w:bookmarkEnd w:id="1078"/>
    </w:p>
    <w:tbl>
      <w:tblPr>
        <w:tblStyle w:val="EnergyTable1"/>
        <w:tblW w:w="7250" w:type="dxa"/>
        <w:tblLayout w:type="fixed"/>
        <w:tblLook w:val="04A0" w:firstRow="1" w:lastRow="0" w:firstColumn="1" w:lastColumn="0" w:noHBand="0" w:noVBand="1"/>
      </w:tblPr>
      <w:tblGrid>
        <w:gridCol w:w="2416"/>
        <w:gridCol w:w="2417"/>
        <w:gridCol w:w="2417"/>
      </w:tblGrid>
      <w:tr w:rsidR="00F93ED8" w14:paraId="6B3BC6F9" w14:textId="77777777" w:rsidTr="00AF21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78356D80" w14:textId="77777777" w:rsidR="00F93ED8" w:rsidRPr="00E01C42" w:rsidRDefault="00F93ED8" w:rsidP="00A84480">
            <w:pPr>
              <w:rPr>
                <w:rFonts w:ascii="Arial Narrow" w:hAnsi="Arial Narrow" w:cs="Arial"/>
                <w:color w:val="FFFFFF" w:themeColor="background1"/>
                <w:szCs w:val="18"/>
              </w:rPr>
            </w:pPr>
            <w:r w:rsidRPr="00E01C42">
              <w:rPr>
                <w:rFonts w:ascii="Arial Narrow" w:hAnsi="Arial Narrow" w:cstheme="majorHAnsi"/>
                <w:color w:val="FFFFFF" w:themeColor="background1"/>
                <w:szCs w:val="18"/>
              </w:rPr>
              <w:t>Industrial Segment</w:t>
            </w:r>
          </w:p>
        </w:tc>
        <w:tc>
          <w:tcPr>
            <w:tcW w:w="0" w:type="dxa"/>
          </w:tcPr>
          <w:p w14:paraId="34B6C3A8" w14:textId="77777777" w:rsidR="00F93ED8" w:rsidRPr="00E01C42" w:rsidRDefault="00F93ED8" w:rsidP="00A84480">
            <w:pP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1"/>
                <w:szCs w:val="18"/>
              </w:rPr>
            </w:pPr>
            <w:r w:rsidRPr="00E01C42">
              <w:rPr>
                <w:rFonts w:ascii="Arial Narrow" w:hAnsi="Arial Narrow" w:cstheme="majorHAnsi"/>
                <w:color w:val="FFFFFF" w:themeColor="background1"/>
                <w:szCs w:val="18"/>
              </w:rPr>
              <w:t>Energy Intensity Index to 1990</w:t>
            </w:r>
          </w:p>
        </w:tc>
        <w:tc>
          <w:tcPr>
            <w:tcW w:w="0" w:type="dxa"/>
          </w:tcPr>
          <w:p w14:paraId="627CDD1F" w14:textId="77777777" w:rsidR="00F93ED8" w:rsidRPr="00E01C42" w:rsidRDefault="00F93ED8" w:rsidP="00A84480">
            <w:pP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1"/>
                <w:szCs w:val="18"/>
              </w:rPr>
            </w:pPr>
            <w:r w:rsidRPr="00E01C42">
              <w:rPr>
                <w:rFonts w:ascii="Arial Narrow" w:hAnsi="Arial Narrow" w:cstheme="majorHAnsi"/>
                <w:color w:val="FFFFFF" w:themeColor="background1"/>
                <w:szCs w:val="18"/>
              </w:rPr>
              <w:t>SEM UES Multiplier</w:t>
            </w:r>
          </w:p>
        </w:tc>
      </w:tr>
      <w:tr w:rsidR="00F93ED8" w14:paraId="44C1CD27"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F4D410E"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Chemical manufacturing</w:t>
            </w:r>
          </w:p>
        </w:tc>
        <w:tc>
          <w:tcPr>
            <w:tcW w:w="0" w:type="dxa"/>
          </w:tcPr>
          <w:p w14:paraId="01C5A702"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150.7%</w:t>
            </w:r>
          </w:p>
        </w:tc>
        <w:tc>
          <w:tcPr>
            <w:tcW w:w="0" w:type="dxa"/>
          </w:tcPr>
          <w:p w14:paraId="16A4A104"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4.1%</w:t>
            </w:r>
          </w:p>
        </w:tc>
      </w:tr>
      <w:tr w:rsidR="00F93ED8" w14:paraId="5111471E"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9E83293"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Food and beverage</w:t>
            </w:r>
          </w:p>
        </w:tc>
        <w:tc>
          <w:tcPr>
            <w:tcW w:w="0" w:type="dxa"/>
          </w:tcPr>
          <w:p w14:paraId="3BE91056"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148.2%</w:t>
            </w:r>
          </w:p>
        </w:tc>
        <w:tc>
          <w:tcPr>
            <w:tcW w:w="0" w:type="dxa"/>
          </w:tcPr>
          <w:p w14:paraId="77249266"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4.0%</w:t>
            </w:r>
          </w:p>
        </w:tc>
      </w:tr>
      <w:tr w:rsidR="00F93ED8" w14:paraId="52BCDC01"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EE231AD"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Miscellaneous</w:t>
            </w:r>
          </w:p>
        </w:tc>
        <w:tc>
          <w:tcPr>
            <w:tcW w:w="0" w:type="dxa"/>
          </w:tcPr>
          <w:p w14:paraId="66988346"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142.1%</w:t>
            </w:r>
          </w:p>
        </w:tc>
        <w:tc>
          <w:tcPr>
            <w:tcW w:w="0" w:type="dxa"/>
          </w:tcPr>
          <w:p w14:paraId="03F114F0"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3.8%</w:t>
            </w:r>
          </w:p>
        </w:tc>
      </w:tr>
      <w:tr w:rsidR="00F93ED8" w14:paraId="5868129B"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25101A2"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Nonmetallic minerals</w:t>
            </w:r>
          </w:p>
        </w:tc>
        <w:tc>
          <w:tcPr>
            <w:tcW w:w="0" w:type="dxa"/>
          </w:tcPr>
          <w:p w14:paraId="68B87393"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141.6%</w:t>
            </w:r>
          </w:p>
        </w:tc>
        <w:tc>
          <w:tcPr>
            <w:tcW w:w="0" w:type="dxa"/>
          </w:tcPr>
          <w:p w14:paraId="0736B26F"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3.8%</w:t>
            </w:r>
          </w:p>
        </w:tc>
      </w:tr>
      <w:tr w:rsidR="00F93ED8" w14:paraId="3CFAC9AE"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B9EACAF"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Publishing and broadcasting</w:t>
            </w:r>
          </w:p>
        </w:tc>
        <w:tc>
          <w:tcPr>
            <w:tcW w:w="0" w:type="dxa"/>
          </w:tcPr>
          <w:p w14:paraId="01539064"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113.0%</w:t>
            </w:r>
          </w:p>
        </w:tc>
        <w:tc>
          <w:tcPr>
            <w:tcW w:w="0" w:type="dxa"/>
          </w:tcPr>
          <w:p w14:paraId="7DD7057F"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3.1%</w:t>
            </w:r>
          </w:p>
        </w:tc>
      </w:tr>
      <w:tr w:rsidR="00F93ED8" w14:paraId="678FEA92"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C17F6D8"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Plastics and rubber</w:t>
            </w:r>
          </w:p>
        </w:tc>
        <w:tc>
          <w:tcPr>
            <w:tcW w:w="0" w:type="dxa"/>
          </w:tcPr>
          <w:p w14:paraId="3E65A61E"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90.0%</w:t>
            </w:r>
          </w:p>
        </w:tc>
        <w:tc>
          <w:tcPr>
            <w:tcW w:w="0" w:type="dxa"/>
          </w:tcPr>
          <w:p w14:paraId="5CA2AB3B"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2.4%</w:t>
            </w:r>
          </w:p>
        </w:tc>
      </w:tr>
      <w:tr w:rsidR="00F93ED8" w14:paraId="5BD0CC5D"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726D1B6"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Glass manufacturing</w:t>
            </w:r>
          </w:p>
        </w:tc>
        <w:tc>
          <w:tcPr>
            <w:tcW w:w="0" w:type="dxa"/>
          </w:tcPr>
          <w:p w14:paraId="4747F175"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78.3%</w:t>
            </w:r>
          </w:p>
        </w:tc>
        <w:tc>
          <w:tcPr>
            <w:tcW w:w="0" w:type="dxa"/>
          </w:tcPr>
          <w:p w14:paraId="2E06F424"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2.1%</w:t>
            </w:r>
          </w:p>
        </w:tc>
      </w:tr>
      <w:tr w:rsidR="00F93ED8" w14:paraId="30ECE37D"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43CE9F8"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Fabricated metal manufacturing</w:t>
            </w:r>
          </w:p>
        </w:tc>
        <w:tc>
          <w:tcPr>
            <w:tcW w:w="0" w:type="dxa"/>
          </w:tcPr>
          <w:p w14:paraId="5FE8B54B"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76.4%</w:t>
            </w:r>
          </w:p>
        </w:tc>
        <w:tc>
          <w:tcPr>
            <w:tcW w:w="0" w:type="dxa"/>
          </w:tcPr>
          <w:p w14:paraId="7D7FF527"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2.1%</w:t>
            </w:r>
          </w:p>
        </w:tc>
      </w:tr>
      <w:tr w:rsidR="00F93ED8" w14:paraId="25F1317A"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ADFF1E1"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Paper manufacturing</w:t>
            </w:r>
          </w:p>
        </w:tc>
        <w:tc>
          <w:tcPr>
            <w:tcW w:w="0" w:type="dxa"/>
          </w:tcPr>
          <w:p w14:paraId="4C4EF272"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75.9%</w:t>
            </w:r>
          </w:p>
        </w:tc>
        <w:tc>
          <w:tcPr>
            <w:tcW w:w="0" w:type="dxa"/>
          </w:tcPr>
          <w:p w14:paraId="0BB7D19D"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2.0%</w:t>
            </w:r>
          </w:p>
        </w:tc>
      </w:tr>
      <w:tr w:rsidR="00F93ED8" w14:paraId="0C8B29CD"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103ED10"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Computer and electronics</w:t>
            </w:r>
          </w:p>
        </w:tc>
        <w:tc>
          <w:tcPr>
            <w:tcW w:w="0" w:type="dxa"/>
          </w:tcPr>
          <w:p w14:paraId="7EAA4D2F"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72.3%</w:t>
            </w:r>
          </w:p>
        </w:tc>
        <w:tc>
          <w:tcPr>
            <w:tcW w:w="0" w:type="dxa"/>
          </w:tcPr>
          <w:p w14:paraId="66600420"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2.0%</w:t>
            </w:r>
          </w:p>
        </w:tc>
      </w:tr>
      <w:tr w:rsidR="00F93ED8" w14:paraId="0C7A604B"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1CF5FB5"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Machinery manufacturing</w:t>
            </w:r>
          </w:p>
        </w:tc>
        <w:tc>
          <w:tcPr>
            <w:tcW w:w="0" w:type="dxa"/>
          </w:tcPr>
          <w:p w14:paraId="1B979279"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71.4%</w:t>
            </w:r>
          </w:p>
        </w:tc>
        <w:tc>
          <w:tcPr>
            <w:tcW w:w="0" w:type="dxa"/>
          </w:tcPr>
          <w:p w14:paraId="20DAFF21"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1.9%</w:t>
            </w:r>
          </w:p>
        </w:tc>
      </w:tr>
      <w:tr w:rsidR="00F93ED8" w14:paraId="317CE031"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DCCE5C7"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Semiconductor and related</w:t>
            </w:r>
          </w:p>
        </w:tc>
        <w:tc>
          <w:tcPr>
            <w:tcW w:w="0" w:type="dxa"/>
          </w:tcPr>
          <w:p w14:paraId="4897D68A"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68.5%</w:t>
            </w:r>
          </w:p>
        </w:tc>
        <w:tc>
          <w:tcPr>
            <w:tcW w:w="0" w:type="dxa"/>
          </w:tcPr>
          <w:p w14:paraId="040E3E68"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1.9%</w:t>
            </w:r>
          </w:p>
        </w:tc>
      </w:tr>
      <w:tr w:rsidR="00F93ED8" w14:paraId="51DB32F9"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EB18B6C"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Food processing</w:t>
            </w:r>
          </w:p>
        </w:tc>
        <w:tc>
          <w:tcPr>
            <w:tcW w:w="0" w:type="dxa"/>
          </w:tcPr>
          <w:p w14:paraId="1C3E7CFD"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66.9%</w:t>
            </w:r>
          </w:p>
        </w:tc>
        <w:tc>
          <w:tcPr>
            <w:tcW w:w="0" w:type="dxa"/>
          </w:tcPr>
          <w:p w14:paraId="244DA5B7"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1.8%</w:t>
            </w:r>
          </w:p>
        </w:tc>
      </w:tr>
      <w:tr w:rsidR="00F93ED8" w14:paraId="6A5DAB3D"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13F5DF6"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Printing and support</w:t>
            </w:r>
          </w:p>
        </w:tc>
        <w:tc>
          <w:tcPr>
            <w:tcW w:w="0" w:type="dxa"/>
          </w:tcPr>
          <w:p w14:paraId="57048899"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42.9%</w:t>
            </w:r>
          </w:p>
        </w:tc>
        <w:tc>
          <w:tcPr>
            <w:tcW w:w="0" w:type="dxa"/>
          </w:tcPr>
          <w:p w14:paraId="63F93470"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1.2%</w:t>
            </w:r>
          </w:p>
        </w:tc>
      </w:tr>
      <w:tr w:rsidR="00F93ED8" w14:paraId="040BAEE0"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67F3B59"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Textile product mills</w:t>
            </w:r>
          </w:p>
        </w:tc>
        <w:tc>
          <w:tcPr>
            <w:tcW w:w="0" w:type="dxa"/>
          </w:tcPr>
          <w:p w14:paraId="7A14864B"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42.9%</w:t>
            </w:r>
          </w:p>
        </w:tc>
        <w:tc>
          <w:tcPr>
            <w:tcW w:w="0" w:type="dxa"/>
          </w:tcPr>
          <w:p w14:paraId="0070D799"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1.2%</w:t>
            </w:r>
          </w:p>
        </w:tc>
      </w:tr>
      <w:tr w:rsidR="00F93ED8" w14:paraId="21B3CCB6"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F4073E2"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Cement</w:t>
            </w:r>
          </w:p>
        </w:tc>
        <w:tc>
          <w:tcPr>
            <w:tcW w:w="0" w:type="dxa"/>
          </w:tcPr>
          <w:p w14:paraId="76AA8663"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36.8%</w:t>
            </w:r>
          </w:p>
        </w:tc>
        <w:tc>
          <w:tcPr>
            <w:tcW w:w="0" w:type="dxa"/>
          </w:tcPr>
          <w:p w14:paraId="06F28A64"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1.0%</w:t>
            </w:r>
          </w:p>
        </w:tc>
      </w:tr>
      <w:tr w:rsidR="00F93ED8" w14:paraId="2B9344CA"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9C1264E"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Transportation equipment</w:t>
            </w:r>
          </w:p>
        </w:tc>
        <w:tc>
          <w:tcPr>
            <w:tcW w:w="0" w:type="dxa"/>
          </w:tcPr>
          <w:p w14:paraId="51E73D0D"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35.9%</w:t>
            </w:r>
          </w:p>
        </w:tc>
        <w:tc>
          <w:tcPr>
            <w:tcW w:w="0" w:type="dxa"/>
          </w:tcPr>
          <w:p w14:paraId="2F1DF6D6"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1.0%</w:t>
            </w:r>
          </w:p>
        </w:tc>
      </w:tr>
      <w:tr w:rsidR="00F93ED8" w14:paraId="43187CBA"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BC2B314"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lastRenderedPageBreak/>
              <w:t>Primary metal manufacturing</w:t>
            </w:r>
          </w:p>
        </w:tc>
        <w:tc>
          <w:tcPr>
            <w:tcW w:w="0" w:type="dxa"/>
          </w:tcPr>
          <w:p w14:paraId="075CDADD"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33.0%</w:t>
            </w:r>
          </w:p>
        </w:tc>
        <w:tc>
          <w:tcPr>
            <w:tcW w:w="0" w:type="dxa"/>
          </w:tcPr>
          <w:p w14:paraId="10450689"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0.9%</w:t>
            </w:r>
          </w:p>
        </w:tc>
      </w:tr>
      <w:tr w:rsidR="00F93ED8" w14:paraId="24555013"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D75C5F0"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Furniture and related</w:t>
            </w:r>
          </w:p>
        </w:tc>
        <w:tc>
          <w:tcPr>
            <w:tcW w:w="0" w:type="dxa"/>
          </w:tcPr>
          <w:p w14:paraId="4A373DE9"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32.7%</w:t>
            </w:r>
          </w:p>
        </w:tc>
        <w:tc>
          <w:tcPr>
            <w:tcW w:w="0" w:type="dxa"/>
          </w:tcPr>
          <w:p w14:paraId="444EF68D"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0.9%</w:t>
            </w:r>
          </w:p>
        </w:tc>
      </w:tr>
      <w:tr w:rsidR="00F93ED8" w14:paraId="2F75606E"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7ED9C00"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Apparel and leather</w:t>
            </w:r>
          </w:p>
        </w:tc>
        <w:tc>
          <w:tcPr>
            <w:tcW w:w="0" w:type="dxa"/>
          </w:tcPr>
          <w:p w14:paraId="7186A78E"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27.6%</w:t>
            </w:r>
          </w:p>
        </w:tc>
        <w:tc>
          <w:tcPr>
            <w:tcW w:w="0" w:type="dxa"/>
          </w:tcPr>
          <w:p w14:paraId="55D6E0A8"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0.7%</w:t>
            </w:r>
          </w:p>
        </w:tc>
      </w:tr>
      <w:tr w:rsidR="00F93ED8" w14:paraId="14E8AA07"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50115CE"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Electrical equipment, appliances</w:t>
            </w:r>
          </w:p>
        </w:tc>
        <w:tc>
          <w:tcPr>
            <w:tcW w:w="0" w:type="dxa"/>
          </w:tcPr>
          <w:p w14:paraId="55AE625E"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22.8%</w:t>
            </w:r>
          </w:p>
        </w:tc>
        <w:tc>
          <w:tcPr>
            <w:tcW w:w="0" w:type="dxa"/>
          </w:tcPr>
          <w:p w14:paraId="1E008485"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0.6%</w:t>
            </w:r>
          </w:p>
        </w:tc>
      </w:tr>
      <w:tr w:rsidR="00F93ED8" w14:paraId="6AFE6C34"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CCF7B80"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Petroleum and coal products</w:t>
            </w:r>
          </w:p>
        </w:tc>
        <w:tc>
          <w:tcPr>
            <w:tcW w:w="0" w:type="dxa"/>
          </w:tcPr>
          <w:p w14:paraId="7EC1B6BC"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21.7%</w:t>
            </w:r>
          </w:p>
        </w:tc>
        <w:tc>
          <w:tcPr>
            <w:tcW w:w="0" w:type="dxa"/>
          </w:tcPr>
          <w:p w14:paraId="688C574F" w14:textId="77777777" w:rsidR="00F93ED8" w:rsidRPr="00E01C42"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0.6%</w:t>
            </w:r>
          </w:p>
        </w:tc>
      </w:tr>
      <w:tr w:rsidR="00F93ED8" w14:paraId="1710212E"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D8A066B" w14:textId="77777777" w:rsidR="00F93ED8" w:rsidRPr="00E01C42" w:rsidRDefault="00F93ED8" w:rsidP="00A84480">
            <w:pPr>
              <w:rPr>
                <w:rFonts w:ascii="Arial Narrow" w:hAnsi="Arial Narrow" w:cs="Arial"/>
                <w:szCs w:val="18"/>
              </w:rPr>
            </w:pPr>
            <w:r w:rsidRPr="00E01C42">
              <w:rPr>
                <w:rFonts w:ascii="Arial Narrow" w:hAnsi="Arial Narrow" w:cstheme="majorHAnsi"/>
                <w:b/>
                <w:color w:val="000000"/>
                <w:szCs w:val="18"/>
              </w:rPr>
              <w:t>Logging, wood products</w:t>
            </w:r>
          </w:p>
        </w:tc>
        <w:tc>
          <w:tcPr>
            <w:tcW w:w="0" w:type="dxa"/>
          </w:tcPr>
          <w:p w14:paraId="732516B4"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16.3%</w:t>
            </w:r>
          </w:p>
        </w:tc>
        <w:tc>
          <w:tcPr>
            <w:tcW w:w="0" w:type="dxa"/>
          </w:tcPr>
          <w:p w14:paraId="70E4DD71" w14:textId="77777777" w:rsidR="00F93ED8" w:rsidRPr="00E01C42"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0.4%</w:t>
            </w:r>
          </w:p>
        </w:tc>
      </w:tr>
      <w:tr w:rsidR="00F93ED8" w14:paraId="459D9564"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0D58F31" w14:textId="77777777" w:rsidR="00F93ED8" w:rsidRPr="00E01C42" w:rsidRDefault="00F93ED8" w:rsidP="00323BFA">
            <w:pPr>
              <w:keepLines/>
              <w:rPr>
                <w:rFonts w:ascii="Arial Narrow" w:hAnsi="Arial Narrow" w:cs="Arial"/>
                <w:szCs w:val="18"/>
              </w:rPr>
            </w:pPr>
            <w:r w:rsidRPr="00E01C42">
              <w:rPr>
                <w:rFonts w:ascii="Arial Narrow" w:hAnsi="Arial Narrow" w:cstheme="majorHAnsi"/>
                <w:b/>
                <w:color w:val="000000"/>
                <w:szCs w:val="18"/>
              </w:rPr>
              <w:t>Pulp and paper</w:t>
            </w:r>
          </w:p>
        </w:tc>
        <w:tc>
          <w:tcPr>
            <w:tcW w:w="0" w:type="dxa"/>
          </w:tcPr>
          <w:p w14:paraId="7BE32E74" w14:textId="77777777" w:rsidR="00F93ED8" w:rsidRPr="00E01C42" w:rsidRDefault="00F93ED8" w:rsidP="00323BFA">
            <w:pPr>
              <w:keepLines/>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16.3%</w:t>
            </w:r>
          </w:p>
        </w:tc>
        <w:tc>
          <w:tcPr>
            <w:tcW w:w="0" w:type="dxa"/>
          </w:tcPr>
          <w:p w14:paraId="557A084F" w14:textId="77777777" w:rsidR="00F93ED8" w:rsidRPr="00E01C42" w:rsidRDefault="00F93ED8" w:rsidP="00323BFA">
            <w:pPr>
              <w:keepLines/>
              <w:cnfStyle w:val="000000010000" w:firstRow="0" w:lastRow="0" w:firstColumn="0" w:lastColumn="0" w:oddVBand="0" w:evenVBand="0" w:oddHBand="0" w:evenHBand="1" w:firstRowFirstColumn="0" w:firstRowLastColumn="0" w:lastRowFirstColumn="0" w:lastRowLastColumn="0"/>
              <w:rPr>
                <w:rFonts w:ascii="Arial Narrow" w:hAnsi="Arial Narrow" w:cs="Arial"/>
                <w:szCs w:val="18"/>
              </w:rPr>
            </w:pPr>
            <w:r w:rsidRPr="00E01C42">
              <w:rPr>
                <w:rFonts w:ascii="Arial Narrow" w:hAnsi="Arial Narrow" w:cstheme="majorHAnsi"/>
                <w:color w:val="000000"/>
                <w:szCs w:val="18"/>
              </w:rPr>
              <w:t>0.4%</w:t>
            </w:r>
          </w:p>
        </w:tc>
      </w:tr>
      <w:tr w:rsidR="00F93ED8" w14:paraId="78A5DDC7"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Pr>
          <w:p w14:paraId="4978FD3C" w14:textId="77777777" w:rsidR="00F93ED8" w:rsidRPr="00E01C42" w:rsidRDefault="00F93ED8" w:rsidP="00323BFA">
            <w:pPr>
              <w:keepLines/>
              <w:rPr>
                <w:rFonts w:ascii="Arial Narrow" w:hAnsi="Arial Narrow" w:cs="Arial"/>
                <w:b/>
                <w:szCs w:val="18"/>
              </w:rPr>
            </w:pPr>
            <w:r w:rsidRPr="00E01C42">
              <w:rPr>
                <w:rFonts w:ascii="Arial Narrow" w:hAnsi="Arial Narrow" w:cs="Arial"/>
                <w:b/>
                <w:szCs w:val="18"/>
              </w:rPr>
              <w:t>Average</w:t>
            </w:r>
          </w:p>
        </w:tc>
        <w:tc>
          <w:tcPr>
            <w:tcW w:w="0" w:type="dxa"/>
          </w:tcPr>
          <w:p w14:paraId="4197D3D1" w14:textId="77777777" w:rsidR="00F93ED8" w:rsidRPr="00E01C42" w:rsidRDefault="00F93ED8" w:rsidP="00323BFA">
            <w:pPr>
              <w:keepLines/>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8"/>
              </w:rPr>
            </w:pPr>
            <w:r w:rsidRPr="00E01C42">
              <w:rPr>
                <w:rFonts w:ascii="Arial Narrow" w:hAnsi="Arial Narrow" w:cs="Arial"/>
                <w:b/>
                <w:szCs w:val="18"/>
              </w:rPr>
              <w:t>1.8%</w:t>
            </w:r>
          </w:p>
        </w:tc>
      </w:tr>
    </w:tbl>
    <w:p w14:paraId="0E3A07DE" w14:textId="77777777" w:rsidR="00A84480" w:rsidRPr="001A5D37" w:rsidRDefault="00A84480" w:rsidP="00323BFA">
      <w:pPr>
        <w:keepLines/>
        <w:jc w:val="center"/>
        <w:rPr>
          <w:rFonts w:cs="Arial"/>
          <w:i/>
          <w:sz w:val="16"/>
          <w:szCs w:val="16"/>
        </w:rPr>
      </w:pPr>
      <w:r w:rsidRPr="001A5D37">
        <w:rPr>
          <w:rFonts w:cs="Arial"/>
          <w:i/>
          <w:sz w:val="16"/>
          <w:szCs w:val="16"/>
        </w:rPr>
        <w:t>Source: Navigant analysis</w:t>
      </w:r>
    </w:p>
    <w:p w14:paraId="634C8AC4" w14:textId="77777777" w:rsidR="002A69B1" w:rsidRDefault="002A69B1" w:rsidP="00F93ED8"/>
    <w:p w14:paraId="0A74671C" w14:textId="77777777" w:rsidR="00F93ED8" w:rsidRDefault="00F93ED8" w:rsidP="00F93ED8">
      <w:r>
        <w:t xml:space="preserve">For the agricultural sector, </w:t>
      </w:r>
      <w:r w:rsidR="00217780">
        <w:t xml:space="preserve">the team defined </w:t>
      </w:r>
      <w:r>
        <w:t>SEM UES multipliers using industrial se</w:t>
      </w:r>
      <w:r w:rsidR="00217780">
        <w:t>gment</w:t>
      </w:r>
      <w:r>
        <w:t xml:space="preserve"> proxies</w:t>
      </w:r>
      <w:r w:rsidR="00217780">
        <w:t>. The team used averages</w:t>
      </w:r>
      <w:r>
        <w:t xml:space="preserve"> of select industrial se</w:t>
      </w:r>
      <w:r w:rsidR="00217780">
        <w:t>gment</w:t>
      </w:r>
      <w:r>
        <w:t xml:space="preserve"> multipliers (</w:t>
      </w:r>
      <w:r w:rsidR="00217780">
        <w:t>i.e.,</w:t>
      </w:r>
      <w:r>
        <w:t xml:space="preserve"> food related segments) or the average </w:t>
      </w:r>
      <w:r w:rsidR="00217780">
        <w:t xml:space="preserve">for the entire </w:t>
      </w:r>
      <w:r w:rsidR="00836556">
        <w:t>I</w:t>
      </w:r>
      <w:r>
        <w:t>ndustrial sector</w:t>
      </w:r>
      <w:r w:rsidR="00836556">
        <w:t xml:space="preserve"> </w:t>
      </w:r>
      <w:r w:rsidR="00836556" w:rsidRPr="00836556">
        <w:t>to develop the Agricultural sector SEM UES multipliers</w:t>
      </w:r>
      <w:r>
        <w:t xml:space="preserve"> shown</w:t>
      </w:r>
      <w:r w:rsidR="00836556">
        <w:t xml:space="preserve"> in</w:t>
      </w:r>
      <w:r>
        <w:t xml:space="preserve"> </w:t>
      </w:r>
      <w:r w:rsidR="00217780">
        <w:fldChar w:fldCharType="begin"/>
      </w:r>
      <w:r w:rsidR="00217780">
        <w:instrText xml:space="preserve"> REF _Ref484095082 \h </w:instrText>
      </w:r>
      <w:r w:rsidR="00217780">
        <w:fldChar w:fldCharType="separate"/>
      </w:r>
      <w:r w:rsidR="007566B9" w:rsidRPr="00122CD3">
        <w:t xml:space="preserve">Table </w:t>
      </w:r>
      <w:r w:rsidR="007566B9">
        <w:rPr>
          <w:noProof/>
        </w:rPr>
        <w:t>C</w:t>
      </w:r>
      <w:r w:rsidR="007566B9" w:rsidRPr="00323BFA">
        <w:noBreakHyphen/>
      </w:r>
      <w:r w:rsidR="007566B9">
        <w:rPr>
          <w:noProof/>
        </w:rPr>
        <w:t>13</w:t>
      </w:r>
      <w:r w:rsidR="00217780">
        <w:fldChar w:fldCharType="end"/>
      </w:r>
      <w:r>
        <w:t>.</w:t>
      </w:r>
    </w:p>
    <w:p w14:paraId="2EA451D9" w14:textId="77777777" w:rsidR="002A69B1" w:rsidRDefault="002A69B1" w:rsidP="00F93ED8">
      <w:pPr>
        <w:rPr>
          <w:rFonts w:ascii="Calibri Light" w:hAnsi="Calibri Light"/>
          <w:sz w:val="22"/>
        </w:rPr>
      </w:pPr>
    </w:p>
    <w:p w14:paraId="70E4BFE8" w14:textId="77777777" w:rsidR="00F93ED8" w:rsidRPr="006F2DA9" w:rsidRDefault="00F9578C">
      <w:pPr>
        <w:pStyle w:val="Caption"/>
      </w:pPr>
      <w:bookmarkStart w:id="1079" w:name="_Ref484013435"/>
      <w:bookmarkStart w:id="1080" w:name="_Ref484095082"/>
      <w:bookmarkStart w:id="1081" w:name="_Toc484062685"/>
      <w:bookmarkStart w:id="1082" w:name="_Toc490226040"/>
      <w:r w:rsidRPr="00122CD3">
        <w:t xml:space="preserve">Table </w:t>
      </w:r>
      <w:fldSimple w:instr=" STYLEREF 5 \s ">
        <w:r w:rsidR="007566B9">
          <w:rPr>
            <w:noProof/>
          </w:rPr>
          <w:t>C</w:t>
        </w:r>
      </w:fldSimple>
      <w:r w:rsidRPr="00323BFA">
        <w:noBreakHyphen/>
      </w:r>
      <w:fldSimple w:instr=" SEQ Table_Apx \* ARABIC \s 5 ">
        <w:r w:rsidR="007566B9">
          <w:rPr>
            <w:noProof/>
          </w:rPr>
          <w:t>13</w:t>
        </w:r>
      </w:fldSimple>
      <w:bookmarkEnd w:id="1079"/>
      <w:bookmarkEnd w:id="1080"/>
      <w:r w:rsidRPr="006F2DA9">
        <w:t xml:space="preserve">. </w:t>
      </w:r>
      <w:r w:rsidR="00F93ED8" w:rsidRPr="006F2DA9">
        <w:t xml:space="preserve">Agricultural </w:t>
      </w:r>
      <w:r w:rsidR="002A69B1" w:rsidRPr="006F2DA9">
        <w:t>Sector Strategic Energy Management Unit Energy Savings</w:t>
      </w:r>
      <w:r w:rsidR="00F93ED8" w:rsidRPr="006F2DA9">
        <w:t xml:space="preserve"> Multiplier</w:t>
      </w:r>
      <w:bookmarkEnd w:id="1081"/>
      <w:bookmarkEnd w:id="1082"/>
    </w:p>
    <w:tbl>
      <w:tblPr>
        <w:tblStyle w:val="EnergyTable1"/>
        <w:tblW w:w="6768" w:type="dxa"/>
        <w:tblLayout w:type="fixed"/>
        <w:tblLook w:val="04A0" w:firstRow="1" w:lastRow="0" w:firstColumn="1" w:lastColumn="0" w:noHBand="0" w:noVBand="1"/>
      </w:tblPr>
      <w:tblGrid>
        <w:gridCol w:w="2256"/>
        <w:gridCol w:w="2256"/>
        <w:gridCol w:w="2256"/>
      </w:tblGrid>
      <w:tr w:rsidR="00F93ED8" w14:paraId="22331F15" w14:textId="77777777" w:rsidTr="00AF21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2A30B77" w14:textId="77777777" w:rsidR="00F93ED8" w:rsidRPr="00A84480" w:rsidRDefault="00F93ED8" w:rsidP="00A84480">
            <w:pPr>
              <w:rPr>
                <w:rFonts w:ascii="Arial Narrow" w:hAnsi="Arial Narrow" w:cs="Arial"/>
                <w:color w:val="FFFFFF" w:themeColor="background1"/>
                <w:sz w:val="18"/>
                <w:szCs w:val="18"/>
              </w:rPr>
            </w:pPr>
            <w:r w:rsidRPr="00A84480">
              <w:rPr>
                <w:rFonts w:ascii="Arial Narrow" w:hAnsi="Arial Narrow"/>
                <w:sz w:val="18"/>
                <w:szCs w:val="18"/>
              </w:rPr>
              <w:t>Agricultural Segment</w:t>
            </w:r>
          </w:p>
        </w:tc>
        <w:tc>
          <w:tcPr>
            <w:tcW w:w="0" w:type="dxa"/>
          </w:tcPr>
          <w:p w14:paraId="13FB822A" w14:textId="77777777" w:rsidR="00F93ED8" w:rsidRPr="00A84480" w:rsidRDefault="00F93ED8" w:rsidP="00A84480">
            <w:pP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1"/>
                <w:sz w:val="18"/>
                <w:szCs w:val="18"/>
              </w:rPr>
            </w:pPr>
            <w:r w:rsidRPr="00A84480">
              <w:rPr>
                <w:rFonts w:ascii="Arial Narrow" w:hAnsi="Arial Narrow"/>
                <w:sz w:val="18"/>
                <w:szCs w:val="18"/>
              </w:rPr>
              <w:t>Industrial Sector Proxy</w:t>
            </w:r>
          </w:p>
        </w:tc>
        <w:tc>
          <w:tcPr>
            <w:tcW w:w="0" w:type="dxa"/>
          </w:tcPr>
          <w:p w14:paraId="32BD45FF" w14:textId="77777777" w:rsidR="00F93ED8" w:rsidRPr="00A84480" w:rsidRDefault="00F93ED8" w:rsidP="00A84480">
            <w:pP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1"/>
                <w:sz w:val="18"/>
                <w:szCs w:val="18"/>
              </w:rPr>
            </w:pPr>
            <w:r w:rsidRPr="00A84480">
              <w:rPr>
                <w:rFonts w:ascii="Arial Narrow" w:hAnsi="Arial Narrow"/>
                <w:sz w:val="18"/>
                <w:szCs w:val="18"/>
              </w:rPr>
              <w:t>SEM UES Multiplier</w:t>
            </w:r>
          </w:p>
        </w:tc>
      </w:tr>
      <w:tr w:rsidR="00F93ED8" w14:paraId="26AFCD7F"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E3C1B22" w14:textId="77777777" w:rsidR="00F93ED8" w:rsidRPr="00A84480" w:rsidRDefault="00F93ED8">
            <w:pPr>
              <w:rPr>
                <w:rFonts w:ascii="Arial Narrow" w:hAnsi="Arial Narrow" w:cs="Arial"/>
                <w:sz w:val="18"/>
                <w:szCs w:val="18"/>
              </w:rPr>
            </w:pPr>
            <w:r w:rsidRPr="00A84480">
              <w:rPr>
                <w:rFonts w:ascii="Arial Narrow" w:hAnsi="Arial Narrow"/>
                <w:sz w:val="18"/>
                <w:szCs w:val="18"/>
              </w:rPr>
              <w:t>Irrigated Agriculture</w:t>
            </w:r>
          </w:p>
        </w:tc>
        <w:tc>
          <w:tcPr>
            <w:tcW w:w="0" w:type="dxa"/>
          </w:tcPr>
          <w:p w14:paraId="02E9AB2A" w14:textId="77777777" w:rsidR="00F93ED8" w:rsidRPr="00A84480" w:rsidRDefault="00F93ED8">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Average</w:t>
            </w:r>
          </w:p>
        </w:tc>
        <w:tc>
          <w:tcPr>
            <w:tcW w:w="0" w:type="dxa"/>
          </w:tcPr>
          <w:p w14:paraId="59582C7E" w14:textId="77777777" w:rsidR="00F93ED8" w:rsidRPr="00A84480"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1.8%</w:t>
            </w:r>
          </w:p>
        </w:tc>
      </w:tr>
      <w:tr w:rsidR="00F93ED8" w14:paraId="66C336DE"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16B44F2" w14:textId="77777777" w:rsidR="00F93ED8" w:rsidRPr="00A84480" w:rsidRDefault="00F93ED8">
            <w:pPr>
              <w:rPr>
                <w:rFonts w:ascii="Arial Narrow" w:hAnsi="Arial Narrow" w:cs="Arial"/>
                <w:sz w:val="18"/>
                <w:szCs w:val="18"/>
              </w:rPr>
            </w:pPr>
            <w:r w:rsidRPr="00A84480">
              <w:rPr>
                <w:rFonts w:ascii="Arial Narrow" w:hAnsi="Arial Narrow"/>
                <w:sz w:val="18"/>
                <w:szCs w:val="18"/>
              </w:rPr>
              <w:t>Post-Harvest Processing</w:t>
            </w:r>
          </w:p>
        </w:tc>
        <w:tc>
          <w:tcPr>
            <w:tcW w:w="0" w:type="dxa"/>
          </w:tcPr>
          <w:p w14:paraId="4B40E083" w14:textId="77777777" w:rsidR="00F93ED8" w:rsidRPr="00A84480" w:rsidRDefault="00F93ED8">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Food related</w:t>
            </w:r>
          </w:p>
        </w:tc>
        <w:tc>
          <w:tcPr>
            <w:tcW w:w="0" w:type="dxa"/>
          </w:tcPr>
          <w:p w14:paraId="12F1F150" w14:textId="77777777" w:rsidR="00F93ED8" w:rsidRPr="00A84480"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2.9%</w:t>
            </w:r>
          </w:p>
        </w:tc>
      </w:tr>
      <w:tr w:rsidR="00F93ED8" w14:paraId="2BD13299"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A1CD450" w14:textId="77777777" w:rsidR="00F93ED8" w:rsidRPr="00A84480" w:rsidRDefault="00F93ED8">
            <w:pPr>
              <w:rPr>
                <w:rFonts w:ascii="Arial Narrow" w:hAnsi="Arial Narrow" w:cs="Arial"/>
                <w:sz w:val="18"/>
                <w:szCs w:val="18"/>
              </w:rPr>
            </w:pPr>
            <w:r w:rsidRPr="00A84480">
              <w:rPr>
                <w:rFonts w:ascii="Arial Narrow" w:hAnsi="Arial Narrow"/>
                <w:sz w:val="18"/>
                <w:szCs w:val="18"/>
              </w:rPr>
              <w:t>Dairies</w:t>
            </w:r>
          </w:p>
        </w:tc>
        <w:tc>
          <w:tcPr>
            <w:tcW w:w="0" w:type="dxa"/>
          </w:tcPr>
          <w:p w14:paraId="6F09EFF4" w14:textId="77777777" w:rsidR="00F93ED8" w:rsidRPr="00A84480" w:rsidRDefault="00F93ED8">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Food related</w:t>
            </w:r>
          </w:p>
        </w:tc>
        <w:tc>
          <w:tcPr>
            <w:tcW w:w="0" w:type="dxa"/>
          </w:tcPr>
          <w:p w14:paraId="6B475D3F" w14:textId="77777777" w:rsidR="00F93ED8" w:rsidRPr="00A84480"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2.9%</w:t>
            </w:r>
          </w:p>
        </w:tc>
      </w:tr>
      <w:tr w:rsidR="00F93ED8" w14:paraId="775C2BDA"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38EE30A" w14:textId="77777777" w:rsidR="00F93ED8" w:rsidRPr="00A84480" w:rsidRDefault="00F93ED8">
            <w:pPr>
              <w:rPr>
                <w:rFonts w:ascii="Arial Narrow" w:hAnsi="Arial Narrow" w:cs="Arial"/>
                <w:sz w:val="18"/>
                <w:szCs w:val="18"/>
              </w:rPr>
            </w:pPr>
            <w:r w:rsidRPr="00A84480">
              <w:rPr>
                <w:rFonts w:ascii="Arial Narrow" w:hAnsi="Arial Narrow"/>
                <w:sz w:val="18"/>
                <w:szCs w:val="18"/>
              </w:rPr>
              <w:t>Refrigerated Warehouses</w:t>
            </w:r>
          </w:p>
        </w:tc>
        <w:tc>
          <w:tcPr>
            <w:tcW w:w="0" w:type="dxa"/>
          </w:tcPr>
          <w:p w14:paraId="6BA8A6BC" w14:textId="77777777" w:rsidR="00F93ED8" w:rsidRPr="00A84480" w:rsidRDefault="00F93ED8">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Average</w:t>
            </w:r>
          </w:p>
        </w:tc>
        <w:tc>
          <w:tcPr>
            <w:tcW w:w="0" w:type="dxa"/>
          </w:tcPr>
          <w:p w14:paraId="40116BAA" w14:textId="77777777" w:rsidR="00F93ED8" w:rsidRPr="00A84480"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1.9%</w:t>
            </w:r>
          </w:p>
        </w:tc>
      </w:tr>
      <w:tr w:rsidR="00F93ED8" w14:paraId="4E097566"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60B34E5" w14:textId="77777777" w:rsidR="00F93ED8" w:rsidRPr="00A84480" w:rsidRDefault="00F93ED8">
            <w:pPr>
              <w:rPr>
                <w:rFonts w:ascii="Arial Narrow" w:hAnsi="Arial Narrow" w:cs="Arial"/>
                <w:sz w:val="18"/>
                <w:szCs w:val="18"/>
              </w:rPr>
            </w:pPr>
            <w:r w:rsidRPr="00A84480">
              <w:rPr>
                <w:rFonts w:ascii="Arial Narrow" w:hAnsi="Arial Narrow"/>
                <w:sz w:val="18"/>
                <w:szCs w:val="18"/>
              </w:rPr>
              <w:t>Wineries and Vineyards</w:t>
            </w:r>
          </w:p>
        </w:tc>
        <w:tc>
          <w:tcPr>
            <w:tcW w:w="0" w:type="dxa"/>
          </w:tcPr>
          <w:p w14:paraId="16F901D9" w14:textId="77777777" w:rsidR="00F93ED8" w:rsidRPr="00A84480" w:rsidRDefault="00F93ED8">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Food related</w:t>
            </w:r>
          </w:p>
        </w:tc>
        <w:tc>
          <w:tcPr>
            <w:tcW w:w="0" w:type="dxa"/>
          </w:tcPr>
          <w:p w14:paraId="69C88E56" w14:textId="77777777" w:rsidR="00F93ED8" w:rsidRPr="00A84480"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2.9%</w:t>
            </w:r>
          </w:p>
        </w:tc>
      </w:tr>
      <w:tr w:rsidR="00F93ED8" w14:paraId="573FE4D7"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BE9A311" w14:textId="77777777" w:rsidR="00F93ED8" w:rsidRPr="00A84480" w:rsidRDefault="00F93ED8">
            <w:pPr>
              <w:rPr>
                <w:rFonts w:ascii="Arial Narrow" w:hAnsi="Arial Narrow" w:cs="Arial"/>
                <w:sz w:val="18"/>
                <w:szCs w:val="18"/>
              </w:rPr>
            </w:pPr>
            <w:r w:rsidRPr="00A84480">
              <w:rPr>
                <w:rFonts w:ascii="Arial Narrow" w:hAnsi="Arial Narrow"/>
                <w:sz w:val="18"/>
                <w:szCs w:val="18"/>
              </w:rPr>
              <w:t>Concentrated Animal Feeding Operation</w:t>
            </w:r>
          </w:p>
        </w:tc>
        <w:tc>
          <w:tcPr>
            <w:tcW w:w="0" w:type="dxa"/>
          </w:tcPr>
          <w:p w14:paraId="2D21BB4A" w14:textId="77777777" w:rsidR="00F93ED8" w:rsidRPr="00A84480" w:rsidRDefault="00F93ED8">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Average</w:t>
            </w:r>
          </w:p>
        </w:tc>
        <w:tc>
          <w:tcPr>
            <w:tcW w:w="0" w:type="dxa"/>
          </w:tcPr>
          <w:p w14:paraId="021ABFE2" w14:textId="77777777" w:rsidR="00F93ED8" w:rsidRPr="00A84480" w:rsidRDefault="00F93ED8" w:rsidP="00A84480">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1.8%</w:t>
            </w:r>
          </w:p>
        </w:tc>
      </w:tr>
      <w:tr w:rsidR="00F93ED8" w14:paraId="21F2D88C"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93AFE99" w14:textId="77777777" w:rsidR="00F93ED8" w:rsidRPr="00A84480" w:rsidRDefault="00F93ED8">
            <w:pPr>
              <w:rPr>
                <w:rFonts w:ascii="Arial Narrow" w:hAnsi="Arial Narrow" w:cs="Arial"/>
                <w:sz w:val="18"/>
                <w:szCs w:val="18"/>
              </w:rPr>
            </w:pPr>
            <w:r w:rsidRPr="00A84480">
              <w:rPr>
                <w:rFonts w:ascii="Arial Narrow" w:hAnsi="Arial Narrow"/>
                <w:sz w:val="18"/>
                <w:szCs w:val="18"/>
              </w:rPr>
              <w:t>Greenhouses</w:t>
            </w:r>
          </w:p>
        </w:tc>
        <w:tc>
          <w:tcPr>
            <w:tcW w:w="0" w:type="dxa"/>
          </w:tcPr>
          <w:p w14:paraId="7746130A" w14:textId="77777777" w:rsidR="00F93ED8" w:rsidRPr="00A84480" w:rsidRDefault="00F93ED8">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Average</w:t>
            </w:r>
          </w:p>
        </w:tc>
        <w:tc>
          <w:tcPr>
            <w:tcW w:w="0" w:type="dxa"/>
          </w:tcPr>
          <w:p w14:paraId="56555035" w14:textId="77777777" w:rsidR="00F93ED8" w:rsidRPr="00A84480" w:rsidRDefault="00F93ED8" w:rsidP="00A84480">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84480">
              <w:rPr>
                <w:rFonts w:ascii="Arial Narrow" w:hAnsi="Arial Narrow"/>
                <w:sz w:val="18"/>
                <w:szCs w:val="18"/>
              </w:rPr>
              <w:t>1.8%</w:t>
            </w:r>
          </w:p>
        </w:tc>
      </w:tr>
    </w:tbl>
    <w:p w14:paraId="7C6A3DC9" w14:textId="77777777" w:rsidR="002A69B1" w:rsidRDefault="00A84480" w:rsidP="00A84480">
      <w:pPr>
        <w:jc w:val="center"/>
        <w:rPr>
          <w:rFonts w:cs="Arial"/>
          <w:i/>
          <w:sz w:val="16"/>
          <w:szCs w:val="16"/>
        </w:rPr>
      </w:pPr>
      <w:r>
        <w:rPr>
          <w:rFonts w:cs="Arial"/>
          <w:i/>
          <w:sz w:val="16"/>
          <w:szCs w:val="16"/>
        </w:rPr>
        <w:t>Source: Navigant analysis</w:t>
      </w:r>
    </w:p>
    <w:p w14:paraId="12D13A70" w14:textId="77777777" w:rsidR="00E01C42" w:rsidRPr="00A84480" w:rsidRDefault="00E01C42" w:rsidP="00A84480">
      <w:pPr>
        <w:jc w:val="center"/>
        <w:rPr>
          <w:rFonts w:cs="Arial"/>
          <w:i/>
          <w:sz w:val="16"/>
          <w:szCs w:val="16"/>
        </w:rPr>
      </w:pPr>
    </w:p>
    <w:p w14:paraId="7FBB9C3F" w14:textId="77777777" w:rsidR="00F93ED8" w:rsidRDefault="00F93ED8" w:rsidP="00323BFA">
      <w:r>
        <w:t xml:space="preserve">The 2018 PG </w:t>
      </w:r>
      <w:r w:rsidR="00836556">
        <w:t>study</w:t>
      </w:r>
      <w:r>
        <w:t xml:space="preserve"> uses the SEM UES multiplier to </w:t>
      </w:r>
      <w:r w:rsidR="00836556">
        <w:t>forecast</w:t>
      </w:r>
      <w:r>
        <w:t xml:space="preserve"> segment level potential net savings using the following equation:</w:t>
      </w:r>
    </w:p>
    <w:p w14:paraId="5B661A9D" w14:textId="77777777" w:rsidR="001839BE" w:rsidRDefault="001839BE" w:rsidP="00122CD3"/>
    <w:p w14:paraId="7717F171" w14:textId="77777777" w:rsidR="00F93ED8" w:rsidRPr="006B655B" w:rsidRDefault="00F93ED8" w:rsidP="00122CD3">
      <w:pPr>
        <w:ind w:left="720"/>
        <w:jc w:val="center"/>
        <w:rPr>
          <w:rFonts w:cs="Arial"/>
        </w:rPr>
      </w:pPr>
      <w:r w:rsidRPr="006B655B">
        <w:rPr>
          <w:rFonts w:cs="Arial"/>
        </w:rPr>
        <w:t xml:space="preserve">SEM segment level EE net </w:t>
      </w:r>
      <w:r w:rsidRPr="006B655B">
        <w:rPr>
          <w:rFonts w:cs="Arial"/>
          <w:szCs w:val="20"/>
        </w:rPr>
        <w:t>savings</w:t>
      </w:r>
      <w:r w:rsidRPr="006B655B">
        <w:rPr>
          <w:rFonts w:cs="Arial"/>
        </w:rPr>
        <w:t xml:space="preserve"> potential = </w:t>
      </w:r>
      <w:r w:rsidR="00E01C42" w:rsidRPr="006B655B">
        <w:rPr>
          <w:rFonts w:cs="Arial"/>
        </w:rPr>
        <w:br/>
      </w:r>
      <w:r w:rsidRPr="006B655B">
        <w:rPr>
          <w:rFonts w:cs="Arial"/>
        </w:rPr>
        <w:t>SEM UES Multiplier x Annual Segment Consumption</w:t>
      </w:r>
      <w:r w:rsidR="002A69B1" w:rsidRPr="006B655B">
        <w:rPr>
          <w:rFonts w:cs="Arial"/>
          <w:vertAlign w:val="superscript"/>
        </w:rPr>
        <w:footnoteReference w:id="176"/>
      </w:r>
    </w:p>
    <w:p w14:paraId="6C967848" w14:textId="77777777" w:rsidR="002A69B1" w:rsidRDefault="002A69B1" w:rsidP="00122CD3"/>
    <w:p w14:paraId="6391424A" w14:textId="77777777" w:rsidR="004B3191" w:rsidRDefault="00F93ED8" w:rsidP="00122CD3">
      <w:r>
        <w:t>The model holds the industrial and agricultural segment UES multiplier constant throughout the 2018 PG model forecast horizon.</w:t>
      </w:r>
    </w:p>
    <w:p w14:paraId="56A8EC85" w14:textId="77777777" w:rsidR="00FE1CC4" w:rsidRDefault="00FE1CC4" w:rsidP="00122CD3"/>
    <w:p w14:paraId="298689C7" w14:textId="77777777" w:rsidR="00FE1CC4" w:rsidRPr="008261F5" w:rsidRDefault="00FE1CC4" w:rsidP="00FE1CC4">
      <w:pPr>
        <w:keepNext/>
        <w:rPr>
          <w:szCs w:val="20"/>
        </w:rPr>
      </w:pPr>
      <w:r w:rsidRPr="008261F5">
        <w:rPr>
          <w:b/>
          <w:i/>
          <w:szCs w:val="20"/>
        </w:rPr>
        <w:lastRenderedPageBreak/>
        <w:t>Cost</w:t>
      </w:r>
    </w:p>
    <w:p w14:paraId="29605A81" w14:textId="77777777" w:rsidR="00FE1CC4" w:rsidRDefault="00836556" w:rsidP="00FE1CC4">
      <w:pPr>
        <w:keepNext/>
        <w:keepLines/>
      </w:pPr>
      <w:r w:rsidRPr="00836556">
        <w:rPr>
          <w:szCs w:val="20"/>
        </w:rPr>
        <w:t>Costs for electricity and natural gas savings are estimated at $0.20/kWh and $1.35/therm, and are applied consistently by building and fuel type across utilities. Costs are based on an analysis of third party Industrial sector programs operating in California during the 2014-2015 portfolio. These costs are lower than those for emerging technology and generic custom type measures, reflecting that SEM savings are O&amp;M based and do not include rebate measures for large capital investments.</w:t>
      </w:r>
    </w:p>
    <w:p w14:paraId="707CDE14" w14:textId="77777777" w:rsidR="00E01C42" w:rsidRPr="002113DB" w:rsidRDefault="00E01C42" w:rsidP="00E01C42">
      <w:pPr>
        <w:pStyle w:val="Heading6"/>
        <w:numPr>
          <w:ilvl w:val="5"/>
          <w:numId w:val="8"/>
        </w:numPr>
        <w:ind w:left="0" w:firstLine="0"/>
      </w:pPr>
      <w:bookmarkStart w:id="1083" w:name="_Toc480271816"/>
      <w:bookmarkStart w:id="1084" w:name="_Toc484183074"/>
      <w:bookmarkStart w:id="1085" w:name="_Toc490225840"/>
      <w:r w:rsidRPr="002113DB">
        <w:t xml:space="preserve">Other </w:t>
      </w:r>
      <w:r w:rsidRPr="00DF089C">
        <w:t>Data Sources and References</w:t>
      </w:r>
      <w:bookmarkEnd w:id="1083"/>
      <w:bookmarkEnd w:id="1084"/>
      <w:bookmarkEnd w:id="1085"/>
    </w:p>
    <w:p w14:paraId="01608F98" w14:textId="77777777" w:rsidR="00E01C42" w:rsidRDefault="00E01C42" w:rsidP="00E01C42">
      <w:pPr>
        <w:rPr>
          <w:szCs w:val="20"/>
        </w:rPr>
      </w:pPr>
      <w:r w:rsidRPr="00D11078">
        <w:t xml:space="preserve">Where possible, estimates and forecasts were calculated based on formal evaluated performance of California IOUs between 2011 and 2014, and footnoted </w:t>
      </w:r>
      <w:r>
        <w:rPr>
          <w:szCs w:val="20"/>
        </w:rPr>
        <w:t>in each individual methodology description. The model inputs and other</w:t>
      </w:r>
      <w:r w:rsidRPr="00163B53">
        <w:rPr>
          <w:szCs w:val="20"/>
        </w:rPr>
        <w:t xml:space="preserve"> resulting calculations were compared with professional judgement of relevant findings regarding participation rates, gross and adjusted savings, persistence, cost, and interactive effects as reported in a variety of sources</w:t>
      </w:r>
      <w:r>
        <w:rPr>
          <w:szCs w:val="20"/>
        </w:rPr>
        <w:t xml:space="preserve"> as specified in the footnotes. Additional sources are listed below.</w:t>
      </w:r>
    </w:p>
    <w:p w14:paraId="7071641A" w14:textId="77777777" w:rsidR="00E01C42" w:rsidRPr="0071580B" w:rsidRDefault="00E01C42" w:rsidP="004E4E36">
      <w:pPr>
        <w:pStyle w:val="ListParagraph"/>
        <w:numPr>
          <w:ilvl w:val="0"/>
          <w:numId w:val="59"/>
        </w:numPr>
        <w:rPr>
          <w:szCs w:val="20"/>
        </w:rPr>
      </w:pPr>
      <w:r w:rsidRPr="0071580B">
        <w:rPr>
          <w:szCs w:val="20"/>
        </w:rPr>
        <w:t>Brown, R. “Bringing It All Together: Design and Evaluation Innovations in the Alameda County Residential Behavior Pilot.” In BECC 2014 Conference Proceedings. beccconference.org/wp-content/uploads/2014/12/presentation_Brown.pd</w:t>
      </w:r>
    </w:p>
    <w:p w14:paraId="491A27E4" w14:textId="77777777" w:rsidR="00E01C42" w:rsidRPr="0071580B" w:rsidRDefault="00E01C42" w:rsidP="004E4E36">
      <w:pPr>
        <w:pStyle w:val="ListParagraph"/>
        <w:numPr>
          <w:ilvl w:val="0"/>
          <w:numId w:val="59"/>
        </w:numPr>
        <w:rPr>
          <w:szCs w:val="20"/>
        </w:rPr>
      </w:pPr>
      <w:r w:rsidRPr="0071580B">
        <w:rPr>
          <w:szCs w:val="20"/>
        </w:rPr>
        <w:t>Stern, S., and D. Bates. “Achieving Residential Energy Savings: Combining Behavior Change and Home Upgrades.” In Proceedings of the 2014 ACEEE Summer Study on Energy Efficiency in Buildings 7: 317–27. Washington DC: ACEEE. aceee.org/files/proceedings/2014/data/papers/7-925.pdf - page=1</w:t>
      </w:r>
    </w:p>
    <w:p w14:paraId="0B79312B" w14:textId="77777777" w:rsidR="00146A54" w:rsidRPr="00E01C42" w:rsidRDefault="00E01C42" w:rsidP="004E4E36">
      <w:pPr>
        <w:pStyle w:val="ListParagraph"/>
        <w:numPr>
          <w:ilvl w:val="0"/>
          <w:numId w:val="59"/>
        </w:numPr>
        <w:rPr>
          <w:szCs w:val="20"/>
        </w:rPr>
      </w:pPr>
      <w:r w:rsidRPr="0071580B">
        <w:rPr>
          <w:szCs w:val="20"/>
        </w:rPr>
        <w:t>Malatest. Greater Sudbury Hydro 2014 Electric Space Heating and Occupancy Load Feedback Program Evaluation. 2014. Prepared for Ecotagious Inc. Victoria, BC</w:t>
      </w:r>
      <w:r>
        <w:rPr>
          <w:szCs w:val="20"/>
        </w:rPr>
        <w:t>.</w:t>
      </w:r>
    </w:p>
    <w:p w14:paraId="43600235" w14:textId="77777777" w:rsidR="00146A54" w:rsidRDefault="00146A54" w:rsidP="00146A54">
      <w:pPr>
        <w:sectPr w:rsidR="00146A54" w:rsidSect="00146A54">
          <w:pgSz w:w="12240" w:h="15840" w:code="1"/>
          <w:pgMar w:top="1440" w:right="1440" w:bottom="1440" w:left="1440" w:header="720" w:footer="720" w:gutter="0"/>
          <w:pgNumType w:start="1" w:chapStyle="5"/>
          <w:cols w:space="720"/>
          <w:docGrid w:linePitch="360"/>
        </w:sectPr>
      </w:pPr>
    </w:p>
    <w:p w14:paraId="55417EF3" w14:textId="77777777" w:rsidR="005669E4" w:rsidRDefault="005669E4" w:rsidP="005669E4">
      <w:pPr>
        <w:pStyle w:val="Heading5"/>
      </w:pPr>
      <w:bookmarkStart w:id="1086" w:name="_Ref477255092"/>
      <w:bookmarkStart w:id="1087" w:name="_Ref477256994"/>
      <w:bookmarkStart w:id="1088" w:name="_Toc478990541"/>
      <w:bookmarkStart w:id="1089" w:name="_Toc479768619"/>
      <w:bookmarkStart w:id="1090" w:name="_Toc482357340"/>
      <w:bookmarkStart w:id="1091" w:name="_Toc482634315"/>
      <w:bookmarkStart w:id="1092" w:name="_Toc482626447"/>
      <w:bookmarkStart w:id="1093" w:name="_Toc484092523"/>
      <w:bookmarkStart w:id="1094" w:name="_Toc484172728"/>
      <w:bookmarkStart w:id="1095" w:name="_Toc484183075"/>
      <w:bookmarkStart w:id="1096" w:name="_Toc490225841"/>
      <w:r>
        <w:lastRenderedPageBreak/>
        <w:t>AIMS Sectors</w:t>
      </w:r>
      <w:bookmarkEnd w:id="1086"/>
      <w:bookmarkEnd w:id="1087"/>
      <w:bookmarkEnd w:id="1088"/>
      <w:bookmarkEnd w:id="1089"/>
      <w:bookmarkEnd w:id="1090"/>
      <w:bookmarkEnd w:id="1091"/>
      <w:bookmarkEnd w:id="1092"/>
      <w:bookmarkEnd w:id="1093"/>
      <w:bookmarkEnd w:id="1094"/>
      <w:bookmarkEnd w:id="1095"/>
      <w:bookmarkEnd w:id="1096"/>
    </w:p>
    <w:p w14:paraId="4CB005FF" w14:textId="7A1D9A10" w:rsidR="00035ABC" w:rsidRDefault="00035ABC" w:rsidP="00035ABC">
      <w:r>
        <w:t>This appendix provides additional detail and data for the industrial</w:t>
      </w:r>
      <w:r w:rsidR="00260768">
        <w:t xml:space="preserve"> and agriculture </w:t>
      </w:r>
      <w:r>
        <w:t>sectors.</w:t>
      </w:r>
      <w:r w:rsidR="00260768">
        <w:t xml:space="preserve">  Industrial and Agricultural building types are classified by grouping buildings</w:t>
      </w:r>
      <w:bookmarkStart w:id="1097" w:name="_GoBack"/>
      <w:bookmarkEnd w:id="1097"/>
      <w:r w:rsidR="00260768">
        <w:t xml:space="preserve"> in NAICS codes. The table below references the building types used in this study with their associated NAICS codes.</w:t>
      </w:r>
    </w:p>
    <w:p w14:paraId="052EF30D" w14:textId="475D1FB8" w:rsidR="00260768" w:rsidRDefault="00260768" w:rsidP="00035ABC"/>
    <w:tbl>
      <w:tblPr>
        <w:tblStyle w:val="EnergyTable1"/>
        <w:tblW w:w="7160" w:type="dxa"/>
        <w:tblLook w:val="04A0" w:firstRow="1" w:lastRow="0" w:firstColumn="1" w:lastColumn="0" w:noHBand="0" w:noVBand="1"/>
      </w:tblPr>
      <w:tblGrid>
        <w:gridCol w:w="1088"/>
        <w:gridCol w:w="3930"/>
        <w:gridCol w:w="2142"/>
      </w:tblGrid>
      <w:tr w:rsidR="00260768" w:rsidRPr="00260768" w14:paraId="58C97E52" w14:textId="77777777" w:rsidTr="00260768">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noWrap/>
            <w:hideMark/>
          </w:tcPr>
          <w:p w14:paraId="40AE99DE" w14:textId="36B1B3D3" w:rsidR="00260768" w:rsidRPr="00260768" w:rsidRDefault="00260768" w:rsidP="00260768">
            <w:pPr>
              <w:spacing w:line="240" w:lineRule="auto"/>
              <w:rPr>
                <w:rFonts w:ascii="Arial Narrow" w:hAnsi="Arial Narrow" w:cs="Arial"/>
                <w:color w:val="FFFFFF" w:themeColor="background1"/>
                <w:sz w:val="18"/>
                <w:szCs w:val="18"/>
              </w:rPr>
            </w:pPr>
            <w:r w:rsidRPr="00260768">
              <w:rPr>
                <w:rFonts w:ascii="Arial Narrow" w:hAnsi="Arial Narrow" w:cs="Arial"/>
                <w:color w:val="FFFFFF" w:themeColor="background1"/>
                <w:sz w:val="18"/>
                <w:szCs w:val="18"/>
              </w:rPr>
              <w:t>Sector</w:t>
            </w:r>
          </w:p>
        </w:tc>
        <w:tc>
          <w:tcPr>
            <w:tcW w:w="3930" w:type="dxa"/>
            <w:noWrap/>
            <w:hideMark/>
          </w:tcPr>
          <w:p w14:paraId="0551C04E" w14:textId="1B254D44" w:rsidR="00260768" w:rsidRPr="00260768" w:rsidRDefault="00260768" w:rsidP="00260768">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 w:val="18"/>
                <w:szCs w:val="18"/>
              </w:rPr>
            </w:pPr>
            <w:r w:rsidRPr="00260768">
              <w:rPr>
                <w:rFonts w:ascii="Arial Narrow" w:hAnsi="Arial Narrow" w:cs="Calibri"/>
                <w:bCs/>
                <w:color w:val="FFFFFF" w:themeColor="background1"/>
                <w:sz w:val="18"/>
                <w:szCs w:val="18"/>
              </w:rPr>
              <w:t>Subsector (</w:t>
            </w:r>
            <w:r w:rsidR="00462374" w:rsidRPr="00260768">
              <w:rPr>
                <w:rFonts w:ascii="Arial Narrow" w:hAnsi="Arial Narrow" w:cs="Calibri"/>
                <w:bCs/>
                <w:color w:val="FFFFFF" w:themeColor="background1"/>
                <w:sz w:val="18"/>
                <w:szCs w:val="18"/>
              </w:rPr>
              <w:t>Building</w:t>
            </w:r>
            <w:r w:rsidRPr="00260768">
              <w:rPr>
                <w:rFonts w:ascii="Arial Narrow" w:hAnsi="Arial Narrow" w:cs="Calibri"/>
                <w:bCs/>
                <w:color w:val="FFFFFF" w:themeColor="background1"/>
                <w:sz w:val="18"/>
                <w:szCs w:val="18"/>
              </w:rPr>
              <w:t xml:space="preserve"> Type)</w:t>
            </w:r>
          </w:p>
        </w:tc>
        <w:tc>
          <w:tcPr>
            <w:tcW w:w="2142" w:type="dxa"/>
            <w:noWrap/>
            <w:hideMark/>
          </w:tcPr>
          <w:p w14:paraId="2C4B1DF8" w14:textId="77777777" w:rsidR="00260768" w:rsidRPr="00260768" w:rsidRDefault="00260768" w:rsidP="00260768">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bCs/>
                <w:color w:val="FFFFFF" w:themeColor="background1"/>
                <w:sz w:val="18"/>
                <w:szCs w:val="18"/>
              </w:rPr>
            </w:pPr>
            <w:r w:rsidRPr="00260768">
              <w:rPr>
                <w:rFonts w:ascii="Arial Narrow" w:hAnsi="Arial Narrow" w:cs="Calibri"/>
                <w:bCs/>
                <w:color w:val="FFFFFF" w:themeColor="background1"/>
                <w:sz w:val="18"/>
                <w:szCs w:val="18"/>
              </w:rPr>
              <w:t>NAICS</w:t>
            </w:r>
          </w:p>
        </w:tc>
      </w:tr>
      <w:tr w:rsidR="00260768" w:rsidRPr="00260768" w14:paraId="257079DE" w14:textId="77777777" w:rsidTr="00260768">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vMerge w:val="restart"/>
            <w:noWrap/>
            <w:hideMark/>
          </w:tcPr>
          <w:p w14:paraId="44FFF7B7" w14:textId="77777777" w:rsidR="00260768" w:rsidRPr="00260768" w:rsidRDefault="00260768" w:rsidP="00260768">
            <w:pPr>
              <w:spacing w:line="240" w:lineRule="auto"/>
              <w:rPr>
                <w:rFonts w:ascii="Arial Narrow" w:hAnsi="Arial Narrow" w:cs="Arial"/>
                <w:color w:val="555759"/>
                <w:sz w:val="18"/>
                <w:szCs w:val="18"/>
              </w:rPr>
            </w:pPr>
            <w:r w:rsidRPr="00260768">
              <w:rPr>
                <w:rFonts w:ascii="Arial Narrow" w:hAnsi="Arial Narrow" w:cs="Arial"/>
                <w:color w:val="555759"/>
                <w:sz w:val="18"/>
                <w:szCs w:val="18"/>
              </w:rPr>
              <w:t>Industrial</w:t>
            </w:r>
          </w:p>
        </w:tc>
        <w:tc>
          <w:tcPr>
            <w:tcW w:w="3930" w:type="dxa"/>
            <w:noWrap/>
            <w:hideMark/>
          </w:tcPr>
          <w:p w14:paraId="2ACEFED9" w14:textId="77777777" w:rsidR="00260768" w:rsidRPr="00260768" w:rsidRDefault="00260768" w:rsidP="0026076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Chemicals</w:t>
            </w:r>
          </w:p>
        </w:tc>
        <w:tc>
          <w:tcPr>
            <w:tcW w:w="2142" w:type="dxa"/>
            <w:noWrap/>
            <w:hideMark/>
          </w:tcPr>
          <w:p w14:paraId="62139CBA" w14:textId="77777777" w:rsidR="00260768" w:rsidRPr="00260768" w:rsidRDefault="00260768" w:rsidP="0026076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325</w:t>
            </w:r>
          </w:p>
        </w:tc>
      </w:tr>
      <w:tr w:rsidR="00260768" w:rsidRPr="00260768" w14:paraId="350A0428" w14:textId="77777777" w:rsidTr="00260768">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vMerge/>
            <w:hideMark/>
          </w:tcPr>
          <w:p w14:paraId="66FFFB82" w14:textId="77777777" w:rsidR="00260768" w:rsidRPr="00260768" w:rsidRDefault="00260768" w:rsidP="00260768">
            <w:pPr>
              <w:spacing w:line="240" w:lineRule="auto"/>
              <w:rPr>
                <w:rFonts w:ascii="Arial Narrow" w:hAnsi="Arial Narrow" w:cs="Arial"/>
                <w:color w:val="555759"/>
                <w:sz w:val="18"/>
                <w:szCs w:val="18"/>
              </w:rPr>
            </w:pPr>
          </w:p>
        </w:tc>
        <w:tc>
          <w:tcPr>
            <w:tcW w:w="3930" w:type="dxa"/>
            <w:noWrap/>
            <w:hideMark/>
          </w:tcPr>
          <w:p w14:paraId="05609D78" w14:textId="77777777" w:rsidR="00260768" w:rsidRPr="00260768" w:rsidRDefault="00260768" w:rsidP="00260768">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Electronics</w:t>
            </w:r>
          </w:p>
        </w:tc>
        <w:tc>
          <w:tcPr>
            <w:tcW w:w="2142" w:type="dxa"/>
            <w:noWrap/>
            <w:hideMark/>
          </w:tcPr>
          <w:p w14:paraId="6685C601" w14:textId="77777777" w:rsidR="00260768" w:rsidRPr="00260768" w:rsidRDefault="00260768" w:rsidP="00260768">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334x, 335</w:t>
            </w:r>
          </w:p>
        </w:tc>
      </w:tr>
      <w:tr w:rsidR="00260768" w:rsidRPr="00260768" w14:paraId="42DD3244" w14:textId="77777777" w:rsidTr="00260768">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vMerge/>
            <w:hideMark/>
          </w:tcPr>
          <w:p w14:paraId="5C4E4CAB" w14:textId="77777777" w:rsidR="00260768" w:rsidRPr="00260768" w:rsidRDefault="00260768" w:rsidP="00260768">
            <w:pPr>
              <w:spacing w:line="240" w:lineRule="auto"/>
              <w:rPr>
                <w:rFonts w:ascii="Arial Narrow" w:hAnsi="Arial Narrow" w:cs="Arial"/>
                <w:color w:val="555759"/>
                <w:sz w:val="18"/>
                <w:szCs w:val="18"/>
              </w:rPr>
            </w:pPr>
          </w:p>
        </w:tc>
        <w:tc>
          <w:tcPr>
            <w:tcW w:w="3930" w:type="dxa"/>
            <w:noWrap/>
            <w:hideMark/>
          </w:tcPr>
          <w:p w14:paraId="42E029AB" w14:textId="77777777" w:rsidR="00260768" w:rsidRPr="00260768" w:rsidRDefault="00260768" w:rsidP="0026076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Fabricated Metals</w:t>
            </w:r>
          </w:p>
        </w:tc>
        <w:tc>
          <w:tcPr>
            <w:tcW w:w="2142" w:type="dxa"/>
            <w:noWrap/>
            <w:hideMark/>
          </w:tcPr>
          <w:p w14:paraId="2CAB4E07" w14:textId="77777777" w:rsidR="00260768" w:rsidRPr="00260768" w:rsidRDefault="00260768" w:rsidP="0026076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332</w:t>
            </w:r>
          </w:p>
        </w:tc>
      </w:tr>
      <w:tr w:rsidR="00260768" w:rsidRPr="00260768" w14:paraId="28AC75F8" w14:textId="77777777" w:rsidTr="00260768">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vMerge/>
            <w:hideMark/>
          </w:tcPr>
          <w:p w14:paraId="3ADE3EBC" w14:textId="77777777" w:rsidR="00260768" w:rsidRPr="00260768" w:rsidRDefault="00260768" w:rsidP="00260768">
            <w:pPr>
              <w:spacing w:line="240" w:lineRule="auto"/>
              <w:rPr>
                <w:rFonts w:ascii="Arial Narrow" w:hAnsi="Arial Narrow" w:cs="Arial"/>
                <w:color w:val="555759"/>
                <w:sz w:val="18"/>
                <w:szCs w:val="18"/>
              </w:rPr>
            </w:pPr>
          </w:p>
        </w:tc>
        <w:tc>
          <w:tcPr>
            <w:tcW w:w="3930" w:type="dxa"/>
            <w:noWrap/>
            <w:hideMark/>
          </w:tcPr>
          <w:p w14:paraId="7B197894" w14:textId="77777777" w:rsidR="00260768" w:rsidRPr="00260768" w:rsidRDefault="00260768" w:rsidP="00260768">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Food</w:t>
            </w:r>
          </w:p>
        </w:tc>
        <w:tc>
          <w:tcPr>
            <w:tcW w:w="2142" w:type="dxa"/>
            <w:noWrap/>
            <w:hideMark/>
          </w:tcPr>
          <w:p w14:paraId="1B33AE25" w14:textId="77777777" w:rsidR="00260768" w:rsidRPr="00260768" w:rsidRDefault="00260768" w:rsidP="00260768">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311x, 312</w:t>
            </w:r>
          </w:p>
        </w:tc>
      </w:tr>
      <w:tr w:rsidR="00260768" w:rsidRPr="00260768" w14:paraId="2FD8F6AB" w14:textId="77777777" w:rsidTr="00260768">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vMerge/>
            <w:hideMark/>
          </w:tcPr>
          <w:p w14:paraId="7B366B3B" w14:textId="77777777" w:rsidR="00260768" w:rsidRPr="00260768" w:rsidRDefault="00260768" w:rsidP="00260768">
            <w:pPr>
              <w:spacing w:line="240" w:lineRule="auto"/>
              <w:rPr>
                <w:rFonts w:ascii="Arial Narrow" w:hAnsi="Arial Narrow" w:cs="Arial"/>
                <w:color w:val="555759"/>
                <w:sz w:val="18"/>
                <w:szCs w:val="18"/>
              </w:rPr>
            </w:pPr>
          </w:p>
        </w:tc>
        <w:tc>
          <w:tcPr>
            <w:tcW w:w="3930" w:type="dxa"/>
            <w:noWrap/>
            <w:hideMark/>
          </w:tcPr>
          <w:p w14:paraId="71BCA2DA" w14:textId="77777777" w:rsidR="00260768" w:rsidRPr="00260768" w:rsidRDefault="00260768" w:rsidP="0026076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Industrial Machinery</w:t>
            </w:r>
          </w:p>
        </w:tc>
        <w:tc>
          <w:tcPr>
            <w:tcW w:w="2142" w:type="dxa"/>
            <w:noWrap/>
            <w:hideMark/>
          </w:tcPr>
          <w:p w14:paraId="6CC07F1A" w14:textId="77777777" w:rsidR="00260768" w:rsidRPr="00260768" w:rsidRDefault="00260768" w:rsidP="0026076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333</w:t>
            </w:r>
          </w:p>
        </w:tc>
      </w:tr>
      <w:tr w:rsidR="00260768" w:rsidRPr="00260768" w14:paraId="47418FF1" w14:textId="77777777" w:rsidTr="00260768">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vMerge/>
            <w:hideMark/>
          </w:tcPr>
          <w:p w14:paraId="317BB917" w14:textId="77777777" w:rsidR="00260768" w:rsidRPr="00260768" w:rsidRDefault="00260768" w:rsidP="00260768">
            <w:pPr>
              <w:spacing w:line="240" w:lineRule="auto"/>
              <w:rPr>
                <w:rFonts w:ascii="Arial Narrow" w:hAnsi="Arial Narrow" w:cs="Arial"/>
                <w:color w:val="555759"/>
                <w:sz w:val="18"/>
                <w:szCs w:val="18"/>
              </w:rPr>
            </w:pPr>
          </w:p>
        </w:tc>
        <w:tc>
          <w:tcPr>
            <w:tcW w:w="3930" w:type="dxa"/>
            <w:noWrap/>
            <w:hideMark/>
          </w:tcPr>
          <w:p w14:paraId="72787F52" w14:textId="77777777" w:rsidR="00260768" w:rsidRPr="00260768" w:rsidRDefault="00260768" w:rsidP="00260768">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Lumber &amp; Furniture</w:t>
            </w:r>
          </w:p>
        </w:tc>
        <w:tc>
          <w:tcPr>
            <w:tcW w:w="2142" w:type="dxa"/>
            <w:noWrap/>
            <w:hideMark/>
          </w:tcPr>
          <w:p w14:paraId="13B95012" w14:textId="77777777" w:rsidR="00260768" w:rsidRPr="00260768" w:rsidRDefault="00260768" w:rsidP="00260768">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337, 321, 1133</w:t>
            </w:r>
          </w:p>
        </w:tc>
      </w:tr>
      <w:tr w:rsidR="00260768" w:rsidRPr="00260768" w14:paraId="3B2459A3" w14:textId="77777777" w:rsidTr="00260768">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vMerge/>
            <w:hideMark/>
          </w:tcPr>
          <w:p w14:paraId="393BDC61" w14:textId="77777777" w:rsidR="00260768" w:rsidRPr="00260768" w:rsidRDefault="00260768" w:rsidP="00260768">
            <w:pPr>
              <w:spacing w:line="240" w:lineRule="auto"/>
              <w:rPr>
                <w:rFonts w:ascii="Arial Narrow" w:hAnsi="Arial Narrow" w:cs="Arial"/>
                <w:color w:val="555759"/>
                <w:sz w:val="18"/>
                <w:szCs w:val="18"/>
              </w:rPr>
            </w:pPr>
          </w:p>
        </w:tc>
        <w:tc>
          <w:tcPr>
            <w:tcW w:w="3930" w:type="dxa"/>
            <w:noWrap/>
            <w:hideMark/>
          </w:tcPr>
          <w:p w14:paraId="4882482F" w14:textId="77777777" w:rsidR="00260768" w:rsidRPr="00260768" w:rsidRDefault="00260768" w:rsidP="0026076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Paper</w:t>
            </w:r>
          </w:p>
        </w:tc>
        <w:tc>
          <w:tcPr>
            <w:tcW w:w="2142" w:type="dxa"/>
            <w:noWrap/>
            <w:hideMark/>
          </w:tcPr>
          <w:p w14:paraId="49180FD6" w14:textId="77777777" w:rsidR="00260768" w:rsidRPr="00260768" w:rsidRDefault="00260768" w:rsidP="0026076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322x</w:t>
            </w:r>
          </w:p>
        </w:tc>
      </w:tr>
      <w:tr w:rsidR="00260768" w:rsidRPr="00260768" w14:paraId="6ABED2DB" w14:textId="77777777" w:rsidTr="00260768">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vMerge/>
            <w:hideMark/>
          </w:tcPr>
          <w:p w14:paraId="7C8F9455" w14:textId="77777777" w:rsidR="00260768" w:rsidRPr="00260768" w:rsidRDefault="00260768" w:rsidP="00260768">
            <w:pPr>
              <w:spacing w:line="240" w:lineRule="auto"/>
              <w:rPr>
                <w:rFonts w:ascii="Arial Narrow" w:hAnsi="Arial Narrow" w:cs="Arial"/>
                <w:color w:val="555759"/>
                <w:sz w:val="18"/>
                <w:szCs w:val="18"/>
              </w:rPr>
            </w:pPr>
          </w:p>
        </w:tc>
        <w:tc>
          <w:tcPr>
            <w:tcW w:w="3930" w:type="dxa"/>
            <w:noWrap/>
            <w:hideMark/>
          </w:tcPr>
          <w:p w14:paraId="2B3A8414" w14:textId="77777777" w:rsidR="00260768" w:rsidRPr="00260768" w:rsidRDefault="00260768" w:rsidP="00260768">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Petroleum</w:t>
            </w:r>
          </w:p>
        </w:tc>
        <w:tc>
          <w:tcPr>
            <w:tcW w:w="2142" w:type="dxa"/>
            <w:noWrap/>
            <w:hideMark/>
          </w:tcPr>
          <w:p w14:paraId="7EE9CF33" w14:textId="77777777" w:rsidR="00260768" w:rsidRPr="00260768" w:rsidRDefault="00260768" w:rsidP="00260768">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324</w:t>
            </w:r>
          </w:p>
        </w:tc>
      </w:tr>
      <w:tr w:rsidR="00260768" w:rsidRPr="00260768" w14:paraId="43909CC9" w14:textId="77777777" w:rsidTr="00260768">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vMerge/>
            <w:hideMark/>
          </w:tcPr>
          <w:p w14:paraId="35AC1B2A" w14:textId="77777777" w:rsidR="00260768" w:rsidRPr="00260768" w:rsidRDefault="00260768" w:rsidP="00260768">
            <w:pPr>
              <w:spacing w:line="240" w:lineRule="auto"/>
              <w:rPr>
                <w:rFonts w:ascii="Arial Narrow" w:hAnsi="Arial Narrow" w:cs="Arial"/>
                <w:color w:val="555759"/>
                <w:sz w:val="18"/>
                <w:szCs w:val="18"/>
              </w:rPr>
            </w:pPr>
          </w:p>
        </w:tc>
        <w:tc>
          <w:tcPr>
            <w:tcW w:w="3930" w:type="dxa"/>
            <w:noWrap/>
            <w:hideMark/>
          </w:tcPr>
          <w:p w14:paraId="269ADA8C" w14:textId="77777777" w:rsidR="00260768" w:rsidRPr="00260768" w:rsidRDefault="00260768" w:rsidP="0026076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Plastics</w:t>
            </w:r>
          </w:p>
        </w:tc>
        <w:tc>
          <w:tcPr>
            <w:tcW w:w="2142" w:type="dxa"/>
            <w:noWrap/>
            <w:hideMark/>
          </w:tcPr>
          <w:p w14:paraId="1DBF00DB" w14:textId="77777777" w:rsidR="00260768" w:rsidRPr="00260768" w:rsidRDefault="00260768" w:rsidP="0026076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326</w:t>
            </w:r>
          </w:p>
        </w:tc>
      </w:tr>
      <w:tr w:rsidR="00260768" w:rsidRPr="00260768" w14:paraId="21A23A05" w14:textId="77777777" w:rsidTr="00260768">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vMerge/>
            <w:hideMark/>
          </w:tcPr>
          <w:p w14:paraId="1DDBB2F3" w14:textId="77777777" w:rsidR="00260768" w:rsidRPr="00260768" w:rsidRDefault="00260768" w:rsidP="00260768">
            <w:pPr>
              <w:spacing w:line="240" w:lineRule="auto"/>
              <w:rPr>
                <w:rFonts w:ascii="Arial Narrow" w:hAnsi="Arial Narrow" w:cs="Arial"/>
                <w:color w:val="555759"/>
                <w:sz w:val="18"/>
                <w:szCs w:val="18"/>
              </w:rPr>
            </w:pPr>
          </w:p>
        </w:tc>
        <w:tc>
          <w:tcPr>
            <w:tcW w:w="3930" w:type="dxa"/>
            <w:noWrap/>
            <w:hideMark/>
          </w:tcPr>
          <w:p w14:paraId="106CC549" w14:textId="77777777" w:rsidR="00260768" w:rsidRPr="00260768" w:rsidRDefault="00260768" w:rsidP="00260768">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Primary Metals</w:t>
            </w:r>
          </w:p>
        </w:tc>
        <w:tc>
          <w:tcPr>
            <w:tcW w:w="2142" w:type="dxa"/>
            <w:noWrap/>
            <w:hideMark/>
          </w:tcPr>
          <w:p w14:paraId="37D92D0E" w14:textId="77777777" w:rsidR="00260768" w:rsidRPr="00260768" w:rsidRDefault="00260768" w:rsidP="00260768">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331</w:t>
            </w:r>
          </w:p>
        </w:tc>
      </w:tr>
      <w:tr w:rsidR="00260768" w:rsidRPr="00260768" w14:paraId="5E5794FF" w14:textId="77777777" w:rsidTr="00260768">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vMerge/>
            <w:hideMark/>
          </w:tcPr>
          <w:p w14:paraId="679893AD" w14:textId="77777777" w:rsidR="00260768" w:rsidRPr="00260768" w:rsidRDefault="00260768" w:rsidP="00260768">
            <w:pPr>
              <w:spacing w:line="240" w:lineRule="auto"/>
              <w:rPr>
                <w:rFonts w:ascii="Arial Narrow" w:hAnsi="Arial Narrow" w:cs="Arial"/>
                <w:color w:val="555759"/>
                <w:sz w:val="18"/>
                <w:szCs w:val="18"/>
              </w:rPr>
            </w:pPr>
          </w:p>
        </w:tc>
        <w:tc>
          <w:tcPr>
            <w:tcW w:w="3930" w:type="dxa"/>
            <w:noWrap/>
            <w:hideMark/>
          </w:tcPr>
          <w:p w14:paraId="63664716" w14:textId="77777777" w:rsidR="00260768" w:rsidRPr="00260768" w:rsidRDefault="00260768" w:rsidP="0026076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Printing &amp; Publishing</w:t>
            </w:r>
          </w:p>
        </w:tc>
        <w:tc>
          <w:tcPr>
            <w:tcW w:w="2142" w:type="dxa"/>
            <w:noWrap/>
            <w:hideMark/>
          </w:tcPr>
          <w:p w14:paraId="65C1FEC4" w14:textId="77777777" w:rsidR="00260768" w:rsidRPr="00260768" w:rsidRDefault="00260768" w:rsidP="0026076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323, 511, 516</w:t>
            </w:r>
          </w:p>
        </w:tc>
      </w:tr>
      <w:tr w:rsidR="00260768" w:rsidRPr="00260768" w14:paraId="5ED6F2CB" w14:textId="77777777" w:rsidTr="00260768">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vMerge/>
            <w:hideMark/>
          </w:tcPr>
          <w:p w14:paraId="60FBD4C6" w14:textId="77777777" w:rsidR="00260768" w:rsidRPr="00260768" w:rsidRDefault="00260768" w:rsidP="00260768">
            <w:pPr>
              <w:spacing w:line="240" w:lineRule="auto"/>
              <w:rPr>
                <w:rFonts w:ascii="Arial Narrow" w:hAnsi="Arial Narrow" w:cs="Arial"/>
                <w:color w:val="555759"/>
                <w:sz w:val="18"/>
                <w:szCs w:val="18"/>
              </w:rPr>
            </w:pPr>
          </w:p>
        </w:tc>
        <w:tc>
          <w:tcPr>
            <w:tcW w:w="3930" w:type="dxa"/>
            <w:noWrap/>
            <w:hideMark/>
          </w:tcPr>
          <w:p w14:paraId="381E9D7A" w14:textId="77777777" w:rsidR="00260768" w:rsidRPr="00260768" w:rsidRDefault="00260768" w:rsidP="00260768">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Stone-Glass-Clay</w:t>
            </w:r>
          </w:p>
        </w:tc>
        <w:tc>
          <w:tcPr>
            <w:tcW w:w="2142" w:type="dxa"/>
            <w:noWrap/>
            <w:hideMark/>
          </w:tcPr>
          <w:p w14:paraId="098C1A3B" w14:textId="77777777" w:rsidR="00260768" w:rsidRPr="00260768" w:rsidRDefault="00260768" w:rsidP="00260768">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327x</w:t>
            </w:r>
          </w:p>
        </w:tc>
      </w:tr>
      <w:tr w:rsidR="00260768" w:rsidRPr="00260768" w14:paraId="786EB4D8" w14:textId="77777777" w:rsidTr="00260768">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vMerge/>
            <w:hideMark/>
          </w:tcPr>
          <w:p w14:paraId="772D39C6" w14:textId="77777777" w:rsidR="00260768" w:rsidRPr="00260768" w:rsidRDefault="00260768" w:rsidP="00260768">
            <w:pPr>
              <w:spacing w:line="240" w:lineRule="auto"/>
              <w:rPr>
                <w:rFonts w:ascii="Arial Narrow" w:hAnsi="Arial Narrow" w:cs="Arial"/>
                <w:color w:val="555759"/>
                <w:sz w:val="18"/>
                <w:szCs w:val="18"/>
              </w:rPr>
            </w:pPr>
          </w:p>
        </w:tc>
        <w:tc>
          <w:tcPr>
            <w:tcW w:w="3930" w:type="dxa"/>
            <w:noWrap/>
            <w:hideMark/>
          </w:tcPr>
          <w:p w14:paraId="1D0E4D94" w14:textId="77777777" w:rsidR="00260768" w:rsidRPr="00260768" w:rsidRDefault="00260768" w:rsidP="0026076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Textiles</w:t>
            </w:r>
          </w:p>
        </w:tc>
        <w:tc>
          <w:tcPr>
            <w:tcW w:w="2142" w:type="dxa"/>
            <w:noWrap/>
            <w:hideMark/>
          </w:tcPr>
          <w:p w14:paraId="48C2E8ED" w14:textId="77777777" w:rsidR="00260768" w:rsidRPr="00260768" w:rsidRDefault="00260768" w:rsidP="0026076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313, 314, 315, 316</w:t>
            </w:r>
          </w:p>
        </w:tc>
      </w:tr>
      <w:tr w:rsidR="00260768" w:rsidRPr="00260768" w14:paraId="42BB2BF5" w14:textId="77777777" w:rsidTr="00260768">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vMerge/>
            <w:hideMark/>
          </w:tcPr>
          <w:p w14:paraId="4A1CC020" w14:textId="77777777" w:rsidR="00260768" w:rsidRPr="00260768" w:rsidRDefault="00260768" w:rsidP="00260768">
            <w:pPr>
              <w:spacing w:line="240" w:lineRule="auto"/>
              <w:rPr>
                <w:rFonts w:ascii="Arial Narrow" w:hAnsi="Arial Narrow" w:cs="Arial"/>
                <w:color w:val="555759"/>
                <w:sz w:val="18"/>
                <w:szCs w:val="18"/>
              </w:rPr>
            </w:pPr>
          </w:p>
        </w:tc>
        <w:tc>
          <w:tcPr>
            <w:tcW w:w="3930" w:type="dxa"/>
            <w:noWrap/>
            <w:hideMark/>
          </w:tcPr>
          <w:p w14:paraId="4C0356A1" w14:textId="77777777" w:rsidR="00260768" w:rsidRPr="00260768" w:rsidRDefault="00260768" w:rsidP="00260768">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Transportation Equipment</w:t>
            </w:r>
          </w:p>
        </w:tc>
        <w:tc>
          <w:tcPr>
            <w:tcW w:w="2142" w:type="dxa"/>
            <w:noWrap/>
            <w:hideMark/>
          </w:tcPr>
          <w:p w14:paraId="371F3182" w14:textId="77777777" w:rsidR="00260768" w:rsidRPr="00260768" w:rsidRDefault="00260768" w:rsidP="00260768">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336</w:t>
            </w:r>
          </w:p>
        </w:tc>
      </w:tr>
      <w:tr w:rsidR="00260768" w:rsidRPr="00260768" w14:paraId="335F0249" w14:textId="77777777" w:rsidTr="00260768">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vMerge/>
            <w:hideMark/>
          </w:tcPr>
          <w:p w14:paraId="219226C7" w14:textId="77777777" w:rsidR="00260768" w:rsidRPr="00260768" w:rsidRDefault="00260768" w:rsidP="00260768">
            <w:pPr>
              <w:spacing w:line="240" w:lineRule="auto"/>
              <w:rPr>
                <w:rFonts w:ascii="Arial Narrow" w:hAnsi="Arial Narrow" w:cs="Arial"/>
                <w:color w:val="555759"/>
                <w:sz w:val="18"/>
                <w:szCs w:val="18"/>
              </w:rPr>
            </w:pPr>
          </w:p>
        </w:tc>
        <w:tc>
          <w:tcPr>
            <w:tcW w:w="3930" w:type="dxa"/>
            <w:noWrap/>
            <w:hideMark/>
          </w:tcPr>
          <w:p w14:paraId="7EE672C9" w14:textId="77777777" w:rsidR="00260768" w:rsidRPr="00260768" w:rsidRDefault="00260768" w:rsidP="0026076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All Other Industrial</w:t>
            </w:r>
          </w:p>
        </w:tc>
        <w:tc>
          <w:tcPr>
            <w:tcW w:w="2142" w:type="dxa"/>
            <w:noWrap/>
            <w:hideMark/>
          </w:tcPr>
          <w:p w14:paraId="69CE88B2" w14:textId="77777777" w:rsidR="00260768" w:rsidRPr="00260768" w:rsidRDefault="00260768" w:rsidP="0026076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339</w:t>
            </w:r>
          </w:p>
        </w:tc>
      </w:tr>
      <w:tr w:rsidR="00260768" w:rsidRPr="00260768" w14:paraId="4149066E" w14:textId="77777777" w:rsidTr="00260768">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vMerge w:val="restart"/>
            <w:noWrap/>
            <w:hideMark/>
          </w:tcPr>
          <w:p w14:paraId="5EE77A64" w14:textId="77777777" w:rsidR="00260768" w:rsidRPr="00260768" w:rsidRDefault="00260768" w:rsidP="00260768">
            <w:pPr>
              <w:spacing w:line="240" w:lineRule="auto"/>
              <w:rPr>
                <w:rFonts w:ascii="Arial Narrow" w:hAnsi="Arial Narrow" w:cs="Arial"/>
                <w:color w:val="555759"/>
                <w:sz w:val="18"/>
                <w:szCs w:val="18"/>
              </w:rPr>
            </w:pPr>
            <w:r w:rsidRPr="00260768">
              <w:rPr>
                <w:rFonts w:ascii="Arial Narrow" w:hAnsi="Arial Narrow" w:cs="Arial"/>
                <w:color w:val="555759"/>
                <w:sz w:val="18"/>
                <w:szCs w:val="18"/>
              </w:rPr>
              <w:t>Agriculture</w:t>
            </w:r>
          </w:p>
        </w:tc>
        <w:tc>
          <w:tcPr>
            <w:tcW w:w="3930" w:type="dxa"/>
            <w:noWrap/>
            <w:hideMark/>
          </w:tcPr>
          <w:p w14:paraId="714F404B" w14:textId="77777777" w:rsidR="00260768" w:rsidRPr="00260768" w:rsidRDefault="00260768" w:rsidP="00260768">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Concentrated Animal Feeding Operation</w:t>
            </w:r>
          </w:p>
        </w:tc>
        <w:tc>
          <w:tcPr>
            <w:tcW w:w="2142" w:type="dxa"/>
            <w:noWrap/>
            <w:hideMark/>
          </w:tcPr>
          <w:p w14:paraId="086261A7" w14:textId="77777777" w:rsidR="00260768" w:rsidRPr="00260768" w:rsidRDefault="00260768" w:rsidP="00260768">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112</w:t>
            </w:r>
          </w:p>
        </w:tc>
      </w:tr>
      <w:tr w:rsidR="00260768" w:rsidRPr="00260768" w14:paraId="7FA1962D" w14:textId="77777777" w:rsidTr="00260768">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vMerge/>
            <w:hideMark/>
          </w:tcPr>
          <w:p w14:paraId="29887DBC" w14:textId="77777777" w:rsidR="00260768" w:rsidRPr="00260768" w:rsidRDefault="00260768" w:rsidP="00260768">
            <w:pPr>
              <w:spacing w:line="240" w:lineRule="auto"/>
              <w:rPr>
                <w:rFonts w:ascii="Arial Narrow" w:hAnsi="Arial Narrow" w:cs="Arial"/>
                <w:color w:val="555759"/>
                <w:sz w:val="18"/>
                <w:szCs w:val="18"/>
              </w:rPr>
            </w:pPr>
          </w:p>
        </w:tc>
        <w:tc>
          <w:tcPr>
            <w:tcW w:w="3930" w:type="dxa"/>
            <w:noWrap/>
            <w:hideMark/>
          </w:tcPr>
          <w:p w14:paraId="744C4B9E" w14:textId="77777777" w:rsidR="00260768" w:rsidRPr="00260768" w:rsidRDefault="00260768" w:rsidP="0026076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Dairies</w:t>
            </w:r>
          </w:p>
        </w:tc>
        <w:tc>
          <w:tcPr>
            <w:tcW w:w="2142" w:type="dxa"/>
            <w:noWrap/>
            <w:hideMark/>
          </w:tcPr>
          <w:p w14:paraId="2DFDE0B0" w14:textId="77777777" w:rsidR="00260768" w:rsidRPr="00260768" w:rsidRDefault="00260768" w:rsidP="0026076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112120</w:t>
            </w:r>
          </w:p>
        </w:tc>
      </w:tr>
      <w:tr w:rsidR="00260768" w:rsidRPr="00260768" w14:paraId="3AE93D1A" w14:textId="77777777" w:rsidTr="00260768">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vMerge/>
            <w:hideMark/>
          </w:tcPr>
          <w:p w14:paraId="750B3F2B" w14:textId="77777777" w:rsidR="00260768" w:rsidRPr="00260768" w:rsidRDefault="00260768" w:rsidP="00260768">
            <w:pPr>
              <w:spacing w:line="240" w:lineRule="auto"/>
              <w:rPr>
                <w:rFonts w:ascii="Arial Narrow" w:hAnsi="Arial Narrow" w:cs="Arial"/>
                <w:color w:val="555759"/>
                <w:sz w:val="18"/>
                <w:szCs w:val="18"/>
              </w:rPr>
            </w:pPr>
          </w:p>
        </w:tc>
        <w:tc>
          <w:tcPr>
            <w:tcW w:w="3930" w:type="dxa"/>
            <w:noWrap/>
            <w:hideMark/>
          </w:tcPr>
          <w:p w14:paraId="4B835A84" w14:textId="77777777" w:rsidR="00260768" w:rsidRPr="00260768" w:rsidRDefault="00260768" w:rsidP="00260768">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Greenhouses</w:t>
            </w:r>
          </w:p>
        </w:tc>
        <w:tc>
          <w:tcPr>
            <w:tcW w:w="2142" w:type="dxa"/>
            <w:noWrap/>
            <w:hideMark/>
          </w:tcPr>
          <w:p w14:paraId="09346A93" w14:textId="77777777" w:rsidR="00260768" w:rsidRPr="00260768" w:rsidRDefault="00260768" w:rsidP="00260768">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1114</w:t>
            </w:r>
          </w:p>
        </w:tc>
      </w:tr>
      <w:tr w:rsidR="00260768" w:rsidRPr="00260768" w14:paraId="48C00F7F" w14:textId="77777777" w:rsidTr="00260768">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vMerge/>
            <w:hideMark/>
          </w:tcPr>
          <w:p w14:paraId="20D9F506" w14:textId="77777777" w:rsidR="00260768" w:rsidRPr="00260768" w:rsidRDefault="00260768" w:rsidP="00260768">
            <w:pPr>
              <w:spacing w:line="240" w:lineRule="auto"/>
              <w:rPr>
                <w:rFonts w:ascii="Arial Narrow" w:hAnsi="Arial Narrow" w:cs="Arial"/>
                <w:color w:val="555759"/>
                <w:sz w:val="18"/>
                <w:szCs w:val="18"/>
              </w:rPr>
            </w:pPr>
          </w:p>
        </w:tc>
        <w:tc>
          <w:tcPr>
            <w:tcW w:w="3930" w:type="dxa"/>
            <w:noWrap/>
            <w:hideMark/>
          </w:tcPr>
          <w:p w14:paraId="6499B434" w14:textId="77777777" w:rsidR="00260768" w:rsidRPr="00260768" w:rsidRDefault="00260768" w:rsidP="0026076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Irrigated Agriculture</w:t>
            </w:r>
          </w:p>
        </w:tc>
        <w:tc>
          <w:tcPr>
            <w:tcW w:w="2142" w:type="dxa"/>
            <w:noWrap/>
            <w:hideMark/>
          </w:tcPr>
          <w:p w14:paraId="77A3249A" w14:textId="77777777" w:rsidR="00260768" w:rsidRPr="00260768" w:rsidRDefault="00260768" w:rsidP="0026076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1111, 1119, 1112, 1113</w:t>
            </w:r>
          </w:p>
        </w:tc>
      </w:tr>
      <w:tr w:rsidR="00260768" w:rsidRPr="00260768" w14:paraId="7F0037B9" w14:textId="77777777" w:rsidTr="00260768">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vMerge/>
            <w:hideMark/>
          </w:tcPr>
          <w:p w14:paraId="0B1F562E" w14:textId="77777777" w:rsidR="00260768" w:rsidRPr="00260768" w:rsidRDefault="00260768" w:rsidP="00260768">
            <w:pPr>
              <w:spacing w:line="240" w:lineRule="auto"/>
              <w:rPr>
                <w:rFonts w:ascii="Arial Narrow" w:hAnsi="Arial Narrow" w:cs="Arial"/>
                <w:color w:val="555759"/>
                <w:sz w:val="18"/>
                <w:szCs w:val="18"/>
              </w:rPr>
            </w:pPr>
          </w:p>
        </w:tc>
        <w:tc>
          <w:tcPr>
            <w:tcW w:w="3930" w:type="dxa"/>
            <w:noWrap/>
            <w:hideMark/>
          </w:tcPr>
          <w:p w14:paraId="4C39CA6C" w14:textId="77777777" w:rsidR="00260768" w:rsidRPr="00260768" w:rsidRDefault="00260768" w:rsidP="00260768">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Post-Harvest Processing</w:t>
            </w:r>
          </w:p>
        </w:tc>
        <w:tc>
          <w:tcPr>
            <w:tcW w:w="2142" w:type="dxa"/>
            <w:noWrap/>
            <w:hideMark/>
          </w:tcPr>
          <w:p w14:paraId="60177569" w14:textId="77777777" w:rsidR="00260768" w:rsidRPr="00260768" w:rsidRDefault="00260768" w:rsidP="00260768">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115114, 115111</w:t>
            </w:r>
          </w:p>
        </w:tc>
      </w:tr>
      <w:tr w:rsidR="00260768" w:rsidRPr="00260768" w14:paraId="14FC84BA" w14:textId="77777777" w:rsidTr="00260768">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vMerge/>
            <w:hideMark/>
          </w:tcPr>
          <w:p w14:paraId="4666BAB4" w14:textId="77777777" w:rsidR="00260768" w:rsidRPr="00260768" w:rsidRDefault="00260768" w:rsidP="00260768">
            <w:pPr>
              <w:spacing w:line="240" w:lineRule="auto"/>
              <w:rPr>
                <w:rFonts w:ascii="Arial Narrow" w:hAnsi="Arial Narrow" w:cs="Arial"/>
                <w:color w:val="555759"/>
                <w:sz w:val="18"/>
                <w:szCs w:val="18"/>
              </w:rPr>
            </w:pPr>
          </w:p>
        </w:tc>
        <w:tc>
          <w:tcPr>
            <w:tcW w:w="3930" w:type="dxa"/>
            <w:noWrap/>
            <w:hideMark/>
          </w:tcPr>
          <w:p w14:paraId="6E156707" w14:textId="77777777" w:rsidR="00260768" w:rsidRPr="00260768" w:rsidRDefault="00260768" w:rsidP="0026076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Refrigerated Warehouses</w:t>
            </w:r>
          </w:p>
        </w:tc>
        <w:tc>
          <w:tcPr>
            <w:tcW w:w="2142" w:type="dxa"/>
            <w:noWrap/>
            <w:hideMark/>
          </w:tcPr>
          <w:p w14:paraId="461E5700" w14:textId="77777777" w:rsidR="00260768" w:rsidRPr="00260768" w:rsidRDefault="00260768" w:rsidP="0026076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493120</w:t>
            </w:r>
          </w:p>
        </w:tc>
      </w:tr>
      <w:tr w:rsidR="00260768" w:rsidRPr="00260768" w14:paraId="01048D75" w14:textId="77777777" w:rsidTr="00260768">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88" w:type="dxa"/>
            <w:vMerge/>
            <w:hideMark/>
          </w:tcPr>
          <w:p w14:paraId="367C925C" w14:textId="77777777" w:rsidR="00260768" w:rsidRPr="00260768" w:rsidRDefault="00260768" w:rsidP="00260768">
            <w:pPr>
              <w:spacing w:line="240" w:lineRule="auto"/>
              <w:rPr>
                <w:rFonts w:ascii="Arial Narrow" w:hAnsi="Arial Narrow" w:cs="Arial"/>
                <w:color w:val="555759"/>
                <w:sz w:val="18"/>
                <w:szCs w:val="18"/>
              </w:rPr>
            </w:pPr>
          </w:p>
        </w:tc>
        <w:tc>
          <w:tcPr>
            <w:tcW w:w="3930" w:type="dxa"/>
            <w:noWrap/>
            <w:hideMark/>
          </w:tcPr>
          <w:p w14:paraId="6407B580" w14:textId="77777777" w:rsidR="00260768" w:rsidRPr="00260768" w:rsidRDefault="00260768" w:rsidP="00260768">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Wineries and Vineyards</w:t>
            </w:r>
          </w:p>
        </w:tc>
        <w:tc>
          <w:tcPr>
            <w:tcW w:w="2142" w:type="dxa"/>
            <w:noWrap/>
            <w:hideMark/>
          </w:tcPr>
          <w:p w14:paraId="16CAE6CA" w14:textId="77777777" w:rsidR="00260768" w:rsidRPr="00260768" w:rsidRDefault="00260768" w:rsidP="00260768">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18"/>
                <w:szCs w:val="18"/>
              </w:rPr>
            </w:pPr>
            <w:r w:rsidRPr="00260768">
              <w:rPr>
                <w:rFonts w:ascii="Arial Narrow" w:hAnsi="Arial Narrow" w:cs="Calibri"/>
                <w:color w:val="000000"/>
                <w:sz w:val="18"/>
                <w:szCs w:val="18"/>
              </w:rPr>
              <w:t>111332</w:t>
            </w:r>
          </w:p>
        </w:tc>
      </w:tr>
    </w:tbl>
    <w:p w14:paraId="5A96BA79" w14:textId="77777777" w:rsidR="00260768" w:rsidRDefault="00260768" w:rsidP="00035ABC"/>
    <w:p w14:paraId="17E2D9B0" w14:textId="77777777" w:rsidR="00035ABC" w:rsidRDefault="00035ABC" w:rsidP="00035ABC">
      <w:pPr>
        <w:pStyle w:val="Heading6"/>
      </w:pPr>
      <w:bookmarkStart w:id="1098" w:name="_Toc478990542"/>
      <w:bookmarkStart w:id="1099" w:name="_Toc479768620"/>
      <w:bookmarkStart w:id="1100" w:name="_Toc482357341"/>
      <w:bookmarkStart w:id="1101" w:name="_Toc482634316"/>
      <w:bookmarkStart w:id="1102" w:name="_Toc482626448"/>
      <w:bookmarkStart w:id="1103" w:name="_Toc484092524"/>
      <w:bookmarkStart w:id="1104" w:name="_Toc484172729"/>
      <w:bookmarkStart w:id="1105" w:name="_Toc484183076"/>
      <w:bookmarkStart w:id="1106" w:name="_Toc490225842"/>
      <w:r>
        <w:t>Industrial</w:t>
      </w:r>
      <w:bookmarkEnd w:id="1098"/>
      <w:bookmarkEnd w:id="1099"/>
      <w:bookmarkEnd w:id="1100"/>
      <w:bookmarkEnd w:id="1101"/>
      <w:bookmarkEnd w:id="1102"/>
      <w:bookmarkEnd w:id="1103"/>
      <w:bookmarkEnd w:id="1104"/>
      <w:bookmarkEnd w:id="1105"/>
      <w:bookmarkEnd w:id="1106"/>
    </w:p>
    <w:p w14:paraId="74C5E470" w14:textId="77777777" w:rsidR="00035ABC" w:rsidRDefault="00473CD3" w:rsidP="002D1286">
      <w:r>
        <w:t>The following t</w:t>
      </w:r>
      <w:r w:rsidR="002D1286">
        <w:t>able displays the industrial measure list used in the diffusion model.</w:t>
      </w:r>
    </w:p>
    <w:p w14:paraId="66D9A308" w14:textId="77777777" w:rsidR="002D1286" w:rsidRPr="00035ABC" w:rsidRDefault="002D1286" w:rsidP="002D1286"/>
    <w:tbl>
      <w:tblPr>
        <w:tblStyle w:val="EnergyTable1"/>
        <w:tblW w:w="9990" w:type="dxa"/>
        <w:jc w:val="left"/>
        <w:tblInd w:w="-180" w:type="dxa"/>
        <w:tblLayout w:type="fixed"/>
        <w:tblLook w:val="04A0" w:firstRow="1" w:lastRow="0" w:firstColumn="1" w:lastColumn="0" w:noHBand="0" w:noVBand="1"/>
      </w:tblPr>
      <w:tblGrid>
        <w:gridCol w:w="3330"/>
        <w:gridCol w:w="3330"/>
        <w:gridCol w:w="3330"/>
      </w:tblGrid>
      <w:tr w:rsidR="00D81CD9" w:rsidRPr="006A5F2F" w14:paraId="376E6D4D" w14:textId="77777777" w:rsidTr="00AF21BE">
        <w:trPr>
          <w:cnfStyle w:val="100000000000" w:firstRow="1" w:lastRow="0" w:firstColumn="0" w:lastColumn="0" w:oddVBand="0" w:evenVBand="0" w:oddHBand="0" w:evenHBand="0" w:firstRowFirstColumn="0" w:firstRowLastColumn="0" w:lastRowFirstColumn="0" w:lastRowLastColumn="0"/>
          <w:trHeight w:val="603"/>
          <w:tblHeader/>
          <w:jc w:val="left"/>
        </w:trPr>
        <w:tc>
          <w:tcPr>
            <w:cnfStyle w:val="001000000000" w:firstRow="0" w:lastRow="0" w:firstColumn="1" w:lastColumn="0" w:oddVBand="0" w:evenVBand="0" w:oddHBand="0" w:evenHBand="0" w:firstRowFirstColumn="0" w:firstRowLastColumn="0" w:lastRowFirstColumn="0" w:lastRowLastColumn="0"/>
            <w:tcW w:w="0" w:type="dxa"/>
          </w:tcPr>
          <w:p w14:paraId="46505DF8" w14:textId="77777777" w:rsidR="00D81CD9" w:rsidRPr="006A5F2F" w:rsidRDefault="00D81CD9" w:rsidP="004A758F">
            <w:pPr>
              <w:keepNext/>
              <w:keepLines/>
              <w:spacing w:line="240" w:lineRule="auto"/>
              <w:jc w:val="left"/>
              <w:rPr>
                <w:rFonts w:cs="Arial"/>
                <w:sz w:val="18"/>
                <w:szCs w:val="18"/>
              </w:rPr>
            </w:pPr>
            <w:r w:rsidRPr="006A5F2F">
              <w:rPr>
                <w:rFonts w:cs="Arial"/>
                <w:sz w:val="18"/>
                <w:szCs w:val="18"/>
              </w:rPr>
              <w:t>Measure Name</w:t>
            </w:r>
          </w:p>
        </w:tc>
        <w:tc>
          <w:tcPr>
            <w:tcW w:w="0" w:type="dxa"/>
          </w:tcPr>
          <w:p w14:paraId="1431DACC" w14:textId="77777777" w:rsidR="00D81CD9" w:rsidRPr="006A5F2F" w:rsidRDefault="00D81CD9" w:rsidP="004A758F">
            <w:pPr>
              <w:keepNext/>
              <w:keepLines/>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6A5F2F">
              <w:rPr>
                <w:rFonts w:cs="Arial"/>
                <w:sz w:val="18"/>
                <w:szCs w:val="18"/>
              </w:rPr>
              <w:t>End-Use Category</w:t>
            </w:r>
          </w:p>
        </w:tc>
        <w:tc>
          <w:tcPr>
            <w:tcW w:w="0" w:type="dxa"/>
          </w:tcPr>
          <w:p w14:paraId="57A38692" w14:textId="77777777" w:rsidR="00D81CD9" w:rsidRPr="006A5F2F" w:rsidRDefault="00D81CD9" w:rsidP="004A758F">
            <w:pPr>
              <w:keepNext/>
              <w:keepLines/>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6A5F2F">
              <w:rPr>
                <w:rFonts w:cs="Arial"/>
                <w:sz w:val="18"/>
                <w:szCs w:val="18"/>
              </w:rPr>
              <w:t>Description</w:t>
            </w:r>
          </w:p>
        </w:tc>
      </w:tr>
      <w:tr w:rsidR="00D81CD9" w:rsidRPr="00952591" w14:paraId="795C183B" w14:textId="77777777" w:rsidTr="00AF21BE">
        <w:trPr>
          <w:cnfStyle w:val="000000100000" w:firstRow="0" w:lastRow="0" w:firstColumn="0" w:lastColumn="0" w:oddVBand="0" w:evenVBand="0" w:oddHBand="1" w:evenHBand="0" w:firstRowFirstColumn="0" w:firstRowLastColumn="0" w:lastRowFirstColumn="0" w:lastRowLastColumn="0"/>
          <w:trHeight w:val="375"/>
          <w:jc w:val="left"/>
        </w:trPr>
        <w:tc>
          <w:tcPr>
            <w:cnfStyle w:val="001000000000" w:firstRow="0" w:lastRow="0" w:firstColumn="1" w:lastColumn="0" w:oddVBand="0" w:evenVBand="0" w:oddHBand="0" w:evenHBand="0" w:firstRowFirstColumn="0" w:firstRowLastColumn="0" w:lastRowFirstColumn="0" w:lastRowLastColumn="0"/>
            <w:tcW w:w="0" w:type="dxa"/>
          </w:tcPr>
          <w:p w14:paraId="2263E9C8"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HVAC Chiller Upgrade</w:t>
            </w:r>
          </w:p>
        </w:tc>
        <w:tc>
          <w:tcPr>
            <w:tcW w:w="0" w:type="dxa"/>
          </w:tcPr>
          <w:p w14:paraId="6E0C6A15"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HVAC</w:t>
            </w:r>
          </w:p>
        </w:tc>
        <w:tc>
          <w:tcPr>
            <w:tcW w:w="0" w:type="dxa"/>
          </w:tcPr>
          <w:p w14:paraId="6D4E8BF5"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Chiller upgrades including advanced controls, higher efficiency equipment, and overall system efficiency improvements</w:t>
            </w:r>
          </w:p>
        </w:tc>
      </w:tr>
      <w:tr w:rsidR="00D81CD9" w:rsidRPr="00952591" w14:paraId="3DCE1977" w14:textId="77777777" w:rsidTr="00AF21BE">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5D1A94BB"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lastRenderedPageBreak/>
              <w:t>HVAC Equipment Upgrade (Electric and Gas)</w:t>
            </w:r>
          </w:p>
        </w:tc>
        <w:tc>
          <w:tcPr>
            <w:tcW w:w="0" w:type="dxa"/>
          </w:tcPr>
          <w:p w14:paraId="5FC8A92A"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highlight w:val="yellow"/>
              </w:rPr>
            </w:pPr>
            <w:r w:rsidRPr="00952591">
              <w:rPr>
                <w:rFonts w:cs="Arial"/>
                <w:sz w:val="18"/>
                <w:szCs w:val="18"/>
              </w:rPr>
              <w:t>HVAC</w:t>
            </w:r>
          </w:p>
        </w:tc>
        <w:tc>
          <w:tcPr>
            <w:tcW w:w="0" w:type="dxa"/>
          </w:tcPr>
          <w:p w14:paraId="300EAB4B"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52591">
              <w:rPr>
                <w:rFonts w:cs="Arial"/>
                <w:sz w:val="18"/>
                <w:szCs w:val="18"/>
              </w:rPr>
              <w:t>Upgrades to electric and gas HVAC equipment (using better than code energy-efficiency rating [EER] or coefficient of performance [COP]), and heat recovery</w:t>
            </w:r>
          </w:p>
        </w:tc>
      </w:tr>
      <w:tr w:rsidR="00D81CD9" w:rsidRPr="00952591" w14:paraId="072FF1B5" w14:textId="77777777" w:rsidTr="00AF21BE">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26B3AD12"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HVAC System Controls</w:t>
            </w:r>
          </w:p>
        </w:tc>
        <w:tc>
          <w:tcPr>
            <w:tcW w:w="0" w:type="dxa"/>
          </w:tcPr>
          <w:p w14:paraId="56033FEA"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952591">
              <w:rPr>
                <w:rFonts w:cs="Arial"/>
                <w:sz w:val="18"/>
                <w:szCs w:val="18"/>
              </w:rPr>
              <w:t>HVAC</w:t>
            </w:r>
          </w:p>
        </w:tc>
        <w:tc>
          <w:tcPr>
            <w:tcW w:w="0" w:type="dxa"/>
          </w:tcPr>
          <w:p w14:paraId="55B7CC92"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Includes temperature setback, advanced controls, variable air volume (VAV), sensors, system optimization, and other custom process controls on HVAC systems</w:t>
            </w:r>
          </w:p>
        </w:tc>
      </w:tr>
      <w:tr w:rsidR="00D81CD9" w:rsidRPr="00952591" w14:paraId="6764717D" w14:textId="77777777" w:rsidTr="00AF21BE">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5558591C" w14:textId="77777777" w:rsidR="00D81CD9" w:rsidRPr="00952591" w:rsidRDefault="00D81CD9" w:rsidP="004A758F">
            <w:pPr>
              <w:spacing w:before="80" w:after="80" w:line="240" w:lineRule="auto"/>
              <w:jc w:val="left"/>
              <w:rPr>
                <w:rFonts w:cs="Arial"/>
                <w:sz w:val="18"/>
                <w:szCs w:val="18"/>
              </w:rPr>
            </w:pPr>
            <w:r w:rsidRPr="00952591">
              <w:rPr>
                <w:rFonts w:cs="Arial"/>
                <w:sz w:val="18"/>
                <w:szCs w:val="18"/>
              </w:rPr>
              <w:t>HVAC VFD Upgrade</w:t>
            </w:r>
          </w:p>
        </w:tc>
        <w:tc>
          <w:tcPr>
            <w:tcW w:w="0" w:type="dxa"/>
          </w:tcPr>
          <w:p w14:paraId="395F7564"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highlight w:val="yellow"/>
              </w:rPr>
            </w:pPr>
            <w:r w:rsidRPr="00952591">
              <w:rPr>
                <w:rFonts w:cs="Arial"/>
                <w:sz w:val="18"/>
                <w:szCs w:val="18"/>
              </w:rPr>
              <w:t>HVAC</w:t>
            </w:r>
          </w:p>
        </w:tc>
        <w:tc>
          <w:tcPr>
            <w:tcW w:w="0" w:type="dxa"/>
          </w:tcPr>
          <w:p w14:paraId="1E275E96"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52591">
              <w:rPr>
                <w:rFonts w:cs="Arial"/>
                <w:sz w:val="18"/>
                <w:szCs w:val="18"/>
              </w:rPr>
              <w:t>VFD controls on HVAC fans and equipment to take advantage of weather sensitive partial load conditions</w:t>
            </w:r>
          </w:p>
        </w:tc>
      </w:tr>
      <w:tr w:rsidR="00D81CD9" w:rsidRPr="00952591" w14:paraId="55911B8D" w14:textId="77777777" w:rsidTr="00AF21BE">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1362AFD0"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Lighting Controls</w:t>
            </w:r>
          </w:p>
        </w:tc>
        <w:tc>
          <w:tcPr>
            <w:tcW w:w="0" w:type="dxa"/>
          </w:tcPr>
          <w:p w14:paraId="4BFF8B83"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952591">
              <w:rPr>
                <w:rFonts w:cs="Arial"/>
                <w:sz w:val="18"/>
                <w:szCs w:val="18"/>
              </w:rPr>
              <w:t>Lighting</w:t>
            </w:r>
          </w:p>
        </w:tc>
        <w:tc>
          <w:tcPr>
            <w:tcW w:w="0" w:type="dxa"/>
          </w:tcPr>
          <w:p w14:paraId="25980F56"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Occupancy sensors, photocells, timers, and other controls for lighting fixtures and systems</w:t>
            </w:r>
          </w:p>
        </w:tc>
      </w:tr>
      <w:tr w:rsidR="00D81CD9" w:rsidRPr="00952591" w14:paraId="532E7FE3" w14:textId="77777777" w:rsidTr="00AF21BE">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3ADACABD"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Lighting Upgrades- LED</w:t>
            </w:r>
          </w:p>
        </w:tc>
        <w:tc>
          <w:tcPr>
            <w:tcW w:w="0" w:type="dxa"/>
          </w:tcPr>
          <w:p w14:paraId="76A07851"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highlight w:val="yellow"/>
              </w:rPr>
            </w:pPr>
            <w:r w:rsidRPr="00952591">
              <w:rPr>
                <w:rFonts w:cs="Arial"/>
                <w:sz w:val="18"/>
                <w:szCs w:val="18"/>
              </w:rPr>
              <w:t>Lighting</w:t>
            </w:r>
          </w:p>
        </w:tc>
        <w:tc>
          <w:tcPr>
            <w:tcW w:w="0" w:type="dxa"/>
          </w:tcPr>
          <w:p w14:paraId="0534BC75"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52591">
              <w:rPr>
                <w:rFonts w:cs="Arial"/>
                <w:sz w:val="18"/>
                <w:szCs w:val="18"/>
              </w:rPr>
              <w:t>Upgrades to efficient LED lighting systems (normally replacing T12 and high-intensity discharge [HID] systems), often on a site-by-site custom basis</w:t>
            </w:r>
          </w:p>
        </w:tc>
      </w:tr>
      <w:tr w:rsidR="00D81CD9" w:rsidRPr="00952591" w14:paraId="7B0C73C3" w14:textId="77777777" w:rsidTr="00AF21BE">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39ED07D3"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Lighting Upgrades- Other</w:t>
            </w:r>
          </w:p>
        </w:tc>
        <w:tc>
          <w:tcPr>
            <w:tcW w:w="0" w:type="dxa"/>
          </w:tcPr>
          <w:p w14:paraId="5551F3C1"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952591">
              <w:rPr>
                <w:rFonts w:cs="Arial"/>
                <w:sz w:val="18"/>
                <w:szCs w:val="18"/>
              </w:rPr>
              <w:t>Lighting</w:t>
            </w:r>
          </w:p>
        </w:tc>
        <w:tc>
          <w:tcPr>
            <w:tcW w:w="0" w:type="dxa"/>
          </w:tcPr>
          <w:p w14:paraId="4401259B"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Upgrades to efficient high-output (HO) T5 or efficient T8 fluorescent lighting systems (normally replacing T12 and high-intensity discharge [HID] systems), often on a site-by-site custom basis</w:t>
            </w:r>
          </w:p>
        </w:tc>
      </w:tr>
      <w:tr w:rsidR="00D81CD9" w:rsidRPr="00952591" w14:paraId="41A8F2E5" w14:textId="77777777" w:rsidTr="00AF21BE">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27C1F27B"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Air Compressor Control and Optimization</w:t>
            </w:r>
          </w:p>
        </w:tc>
        <w:tc>
          <w:tcPr>
            <w:tcW w:w="0" w:type="dxa"/>
          </w:tcPr>
          <w:p w14:paraId="56802F3A"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highlight w:val="yellow"/>
              </w:rPr>
            </w:pPr>
            <w:r w:rsidRPr="00952591">
              <w:rPr>
                <w:rFonts w:cs="Arial"/>
                <w:color w:val="000000"/>
                <w:sz w:val="18"/>
                <w:szCs w:val="18"/>
              </w:rPr>
              <w:t>Machine Drive</w:t>
            </w:r>
          </w:p>
        </w:tc>
        <w:tc>
          <w:tcPr>
            <w:tcW w:w="0" w:type="dxa"/>
          </w:tcPr>
          <w:p w14:paraId="0EA0960C"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52591">
              <w:rPr>
                <w:rFonts w:cs="Arial"/>
                <w:sz w:val="18"/>
                <w:szCs w:val="18"/>
              </w:rPr>
              <w:t>Air compressor adjustments such as pressure reduction, staging, system controls, and leak identification and repair</w:t>
            </w:r>
          </w:p>
        </w:tc>
      </w:tr>
      <w:tr w:rsidR="00D81CD9" w:rsidRPr="00952591" w14:paraId="2771D08A" w14:textId="77777777" w:rsidTr="00AF21BE">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097B1F4D"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Air Compressor VFD</w:t>
            </w:r>
          </w:p>
        </w:tc>
        <w:tc>
          <w:tcPr>
            <w:tcW w:w="0" w:type="dxa"/>
          </w:tcPr>
          <w:p w14:paraId="536C73DC"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952591">
              <w:rPr>
                <w:rFonts w:cs="Arial"/>
                <w:color w:val="000000"/>
                <w:sz w:val="18"/>
                <w:szCs w:val="18"/>
              </w:rPr>
              <w:t>Machine Drive</w:t>
            </w:r>
          </w:p>
        </w:tc>
        <w:tc>
          <w:tcPr>
            <w:tcW w:w="0" w:type="dxa"/>
          </w:tcPr>
          <w:p w14:paraId="02A5A32E"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VFD controls on air compressors to allow for loading/unloading of the compressed air system, and to replace any inefficient throttling devices</w:t>
            </w:r>
          </w:p>
        </w:tc>
      </w:tr>
      <w:tr w:rsidR="00D81CD9" w:rsidRPr="00952591" w14:paraId="525AE5F6" w14:textId="77777777" w:rsidTr="00AF21BE">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5459F3C8"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Fan VFD</w:t>
            </w:r>
          </w:p>
        </w:tc>
        <w:tc>
          <w:tcPr>
            <w:tcW w:w="0" w:type="dxa"/>
          </w:tcPr>
          <w:p w14:paraId="19EA3299"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highlight w:val="yellow"/>
              </w:rPr>
            </w:pPr>
            <w:r w:rsidRPr="00952591">
              <w:rPr>
                <w:rFonts w:cs="Arial"/>
                <w:color w:val="000000"/>
                <w:sz w:val="18"/>
                <w:szCs w:val="18"/>
              </w:rPr>
              <w:t>Machine Drive</w:t>
            </w:r>
          </w:p>
        </w:tc>
        <w:tc>
          <w:tcPr>
            <w:tcW w:w="0" w:type="dxa"/>
          </w:tcPr>
          <w:p w14:paraId="48A3E37C"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52591">
              <w:rPr>
                <w:rFonts w:cs="Arial"/>
                <w:sz w:val="18"/>
                <w:szCs w:val="18"/>
              </w:rPr>
              <w:t>Variable frequency drive (VFD) controls on fans (not including HVAC fans) to take advantage of partial load conditions</w:t>
            </w:r>
          </w:p>
        </w:tc>
      </w:tr>
      <w:tr w:rsidR="00D81CD9" w:rsidRPr="00952591" w14:paraId="6B892977" w14:textId="77777777" w:rsidTr="00AF21BE">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0434E703"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Pump VFD</w:t>
            </w:r>
          </w:p>
        </w:tc>
        <w:tc>
          <w:tcPr>
            <w:tcW w:w="0" w:type="dxa"/>
          </w:tcPr>
          <w:p w14:paraId="7C8F0CFE"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952591">
              <w:rPr>
                <w:rFonts w:cs="Arial"/>
                <w:color w:val="000000"/>
                <w:sz w:val="18"/>
                <w:szCs w:val="18"/>
              </w:rPr>
              <w:t>Machine Drive</w:t>
            </w:r>
          </w:p>
        </w:tc>
        <w:tc>
          <w:tcPr>
            <w:tcW w:w="0" w:type="dxa"/>
          </w:tcPr>
          <w:p w14:paraId="16F2613D"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VFD controls on pumps to take advantage of partial load conditions</w:t>
            </w:r>
          </w:p>
        </w:tc>
      </w:tr>
      <w:tr w:rsidR="00D81CD9" w:rsidRPr="00952591" w14:paraId="73159D5A" w14:textId="77777777" w:rsidTr="00AF21BE">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08089EF0"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Pump Sizing and Optimization</w:t>
            </w:r>
          </w:p>
        </w:tc>
        <w:tc>
          <w:tcPr>
            <w:tcW w:w="0" w:type="dxa"/>
          </w:tcPr>
          <w:p w14:paraId="4DC61575"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highlight w:val="yellow"/>
              </w:rPr>
            </w:pPr>
            <w:r w:rsidRPr="00952591">
              <w:rPr>
                <w:rFonts w:cs="Arial"/>
                <w:color w:val="000000"/>
                <w:sz w:val="18"/>
                <w:szCs w:val="18"/>
              </w:rPr>
              <w:t>Machine Drive</w:t>
            </w:r>
          </w:p>
        </w:tc>
        <w:tc>
          <w:tcPr>
            <w:tcW w:w="0" w:type="dxa"/>
          </w:tcPr>
          <w:p w14:paraId="43321327"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52591">
              <w:rPr>
                <w:rFonts w:cs="Arial"/>
                <w:sz w:val="18"/>
                <w:szCs w:val="18"/>
              </w:rPr>
              <w:t>Proper sizing and operation of pumps to increase pump efficiency</w:t>
            </w:r>
          </w:p>
        </w:tc>
      </w:tr>
      <w:tr w:rsidR="00D81CD9" w:rsidRPr="00952591" w14:paraId="1736D2BC" w14:textId="77777777" w:rsidTr="00AF21BE">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1F426BE6"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Premium Motors</w:t>
            </w:r>
          </w:p>
        </w:tc>
        <w:tc>
          <w:tcPr>
            <w:tcW w:w="0" w:type="dxa"/>
          </w:tcPr>
          <w:p w14:paraId="5232271A"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952591">
              <w:rPr>
                <w:rFonts w:cs="Arial"/>
                <w:color w:val="000000"/>
                <w:sz w:val="18"/>
                <w:szCs w:val="18"/>
              </w:rPr>
              <w:t>Machine Drive</w:t>
            </w:r>
          </w:p>
        </w:tc>
        <w:tc>
          <w:tcPr>
            <w:tcW w:w="0" w:type="dxa"/>
          </w:tcPr>
          <w:p w14:paraId="6912F466"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Installation of higher efficient or premium motors across all industry processes</w:t>
            </w:r>
          </w:p>
        </w:tc>
      </w:tr>
      <w:tr w:rsidR="00D81CD9" w:rsidRPr="00952591" w14:paraId="7C77BF1A" w14:textId="77777777" w:rsidTr="00AF21BE">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2D3F3C6E"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lastRenderedPageBreak/>
              <w:t>Injection Molding</w:t>
            </w:r>
          </w:p>
        </w:tc>
        <w:tc>
          <w:tcPr>
            <w:tcW w:w="0" w:type="dxa"/>
          </w:tcPr>
          <w:p w14:paraId="6DFE2266"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highlight w:val="yellow"/>
              </w:rPr>
            </w:pPr>
            <w:r w:rsidRPr="00952591">
              <w:rPr>
                <w:rFonts w:cs="Arial"/>
                <w:color w:val="000000"/>
                <w:sz w:val="18"/>
                <w:szCs w:val="18"/>
              </w:rPr>
              <w:t>Machine Drive</w:t>
            </w:r>
          </w:p>
        </w:tc>
        <w:tc>
          <w:tcPr>
            <w:tcW w:w="0" w:type="dxa"/>
          </w:tcPr>
          <w:p w14:paraId="497A861C"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52591">
              <w:rPr>
                <w:rFonts w:cs="Arial"/>
                <w:sz w:val="18"/>
                <w:szCs w:val="18"/>
              </w:rPr>
              <w:t>Upgrading to all electric (versus hydraulic) injection molding machines, including barrel insulation</w:t>
            </w:r>
          </w:p>
        </w:tc>
      </w:tr>
      <w:tr w:rsidR="00D81CD9" w:rsidRPr="00952591" w14:paraId="13106906" w14:textId="77777777" w:rsidTr="00AF21BE">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18EB4DF8"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Wastewater Aerators</w:t>
            </w:r>
          </w:p>
        </w:tc>
        <w:tc>
          <w:tcPr>
            <w:tcW w:w="0" w:type="dxa"/>
          </w:tcPr>
          <w:p w14:paraId="161AF0F2"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952591">
              <w:rPr>
                <w:rFonts w:cs="Arial"/>
                <w:color w:val="000000"/>
                <w:sz w:val="18"/>
                <w:szCs w:val="18"/>
              </w:rPr>
              <w:t>Machine Drive</w:t>
            </w:r>
          </w:p>
        </w:tc>
        <w:tc>
          <w:tcPr>
            <w:tcW w:w="0" w:type="dxa"/>
          </w:tcPr>
          <w:p w14:paraId="229A4331"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Replacing existing inefficient aerators on wastewater systems with higher efficiency aerator technologies</w:t>
            </w:r>
          </w:p>
        </w:tc>
      </w:tr>
      <w:tr w:rsidR="00D81CD9" w:rsidRPr="00952591" w14:paraId="312DB2BF" w14:textId="77777777" w:rsidTr="00AF21BE">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7799C3D3"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Boiler Controls and Optimization</w:t>
            </w:r>
          </w:p>
        </w:tc>
        <w:tc>
          <w:tcPr>
            <w:tcW w:w="0" w:type="dxa"/>
          </w:tcPr>
          <w:p w14:paraId="60FA5BC7"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highlight w:val="yellow"/>
              </w:rPr>
            </w:pPr>
            <w:r w:rsidRPr="00952591">
              <w:rPr>
                <w:rFonts w:cs="Arial"/>
                <w:color w:val="000000"/>
                <w:sz w:val="18"/>
                <w:szCs w:val="18"/>
              </w:rPr>
              <w:t>Process Heating</w:t>
            </w:r>
          </w:p>
        </w:tc>
        <w:tc>
          <w:tcPr>
            <w:tcW w:w="0" w:type="dxa"/>
          </w:tcPr>
          <w:p w14:paraId="7F9FD14F"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52591">
              <w:rPr>
                <w:rFonts w:cs="Arial"/>
                <w:sz w:val="18"/>
                <w:szCs w:val="18"/>
              </w:rPr>
              <w:t>Pressure reduction, leak reduction, steam trap maintenance, and advanced controls on boilers</w:t>
            </w:r>
          </w:p>
        </w:tc>
      </w:tr>
      <w:tr w:rsidR="00D81CD9" w:rsidRPr="00952591" w14:paraId="619B2831" w14:textId="77777777" w:rsidTr="00AF21BE">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412F045B"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High Efficiency Furnace/Oven</w:t>
            </w:r>
          </w:p>
        </w:tc>
        <w:tc>
          <w:tcPr>
            <w:tcW w:w="0" w:type="dxa"/>
          </w:tcPr>
          <w:p w14:paraId="43C6EF06"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952591">
              <w:rPr>
                <w:rFonts w:cs="Arial"/>
                <w:color w:val="000000"/>
                <w:sz w:val="18"/>
                <w:szCs w:val="18"/>
              </w:rPr>
              <w:t>Process Heating</w:t>
            </w:r>
          </w:p>
        </w:tc>
        <w:tc>
          <w:tcPr>
            <w:tcW w:w="0" w:type="dxa"/>
          </w:tcPr>
          <w:p w14:paraId="41CC9C76"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Upgrades and add-ons to gas furnaces and ovens, including infrared (IR), furnace configuration, and advanced controls</w:t>
            </w:r>
          </w:p>
        </w:tc>
      </w:tr>
      <w:tr w:rsidR="00D81CD9" w:rsidRPr="00952591" w14:paraId="5872AAEB" w14:textId="77777777" w:rsidTr="00AF21BE">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1861CB07"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Industrial Heat Recovery</w:t>
            </w:r>
          </w:p>
        </w:tc>
        <w:tc>
          <w:tcPr>
            <w:tcW w:w="0" w:type="dxa"/>
          </w:tcPr>
          <w:p w14:paraId="7AB67C3E"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highlight w:val="yellow"/>
              </w:rPr>
            </w:pPr>
            <w:r w:rsidRPr="00952591">
              <w:rPr>
                <w:rFonts w:cs="Arial"/>
                <w:color w:val="000000"/>
                <w:sz w:val="18"/>
                <w:szCs w:val="18"/>
              </w:rPr>
              <w:t>Process Heating</w:t>
            </w:r>
          </w:p>
        </w:tc>
        <w:tc>
          <w:tcPr>
            <w:tcW w:w="0" w:type="dxa"/>
          </w:tcPr>
          <w:p w14:paraId="45C95946"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52591">
              <w:rPr>
                <w:rFonts w:cs="Arial"/>
                <w:sz w:val="18"/>
                <w:szCs w:val="18"/>
              </w:rPr>
              <w:t>Capturing “waste heat,” produced primarily from gas boilers, and using it in other phases of the industrial process</w:t>
            </w:r>
          </w:p>
        </w:tc>
      </w:tr>
      <w:tr w:rsidR="00D81CD9" w:rsidRPr="00952591" w14:paraId="25139164" w14:textId="77777777" w:rsidTr="00AF21BE">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4213E711"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Industrial Insulation</w:t>
            </w:r>
          </w:p>
        </w:tc>
        <w:tc>
          <w:tcPr>
            <w:tcW w:w="0" w:type="dxa"/>
          </w:tcPr>
          <w:p w14:paraId="10944E05"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952591">
              <w:rPr>
                <w:rFonts w:cs="Arial"/>
                <w:color w:val="000000"/>
                <w:sz w:val="18"/>
                <w:szCs w:val="18"/>
              </w:rPr>
              <w:t>Process Heating</w:t>
            </w:r>
          </w:p>
        </w:tc>
        <w:tc>
          <w:tcPr>
            <w:tcW w:w="0" w:type="dxa"/>
          </w:tcPr>
          <w:p w14:paraId="2481DD4D"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Insulation or improved insulation on boiler equipment, storage tanks, and other process piping</w:t>
            </w:r>
          </w:p>
        </w:tc>
      </w:tr>
      <w:tr w:rsidR="00D81CD9" w:rsidRPr="00952591" w14:paraId="57FB0B54" w14:textId="77777777" w:rsidTr="00AF21BE">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7ABD6890"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Refrigeration System Optimization</w:t>
            </w:r>
          </w:p>
        </w:tc>
        <w:tc>
          <w:tcPr>
            <w:tcW w:w="0" w:type="dxa"/>
          </w:tcPr>
          <w:p w14:paraId="4F616834"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52591">
              <w:rPr>
                <w:rFonts w:cs="Arial"/>
                <w:color w:val="000000"/>
                <w:sz w:val="18"/>
                <w:szCs w:val="18"/>
              </w:rPr>
              <w:t>Process Refrigeration</w:t>
            </w:r>
          </w:p>
        </w:tc>
        <w:tc>
          <w:tcPr>
            <w:tcW w:w="0" w:type="dxa"/>
          </w:tcPr>
          <w:p w14:paraId="66E77186" w14:textId="77777777" w:rsidR="00D81CD9" w:rsidRPr="00952591" w:rsidRDefault="00D81CD9" w:rsidP="004A758F">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52591">
              <w:rPr>
                <w:rFonts w:cs="Arial"/>
                <w:sz w:val="18"/>
                <w:szCs w:val="18"/>
              </w:rPr>
              <w:t>Advanced controls on refrigeration systems including floating head controls, evaporator fan controls, and condenser controls</w:t>
            </w:r>
          </w:p>
        </w:tc>
      </w:tr>
      <w:tr w:rsidR="00D81CD9" w:rsidRPr="00952591" w14:paraId="111FAC24" w14:textId="77777777" w:rsidTr="00AF21BE">
        <w:trPr>
          <w:cnfStyle w:val="000000100000" w:firstRow="0" w:lastRow="0" w:firstColumn="0" w:lastColumn="0" w:oddVBand="0" w:evenVBand="0" w:oddHBand="1" w:evenHBand="0" w:firstRowFirstColumn="0" w:firstRowLastColumn="0" w:lastRowFirstColumn="0" w:lastRowLastColumn="0"/>
          <w:trHeight w:val="375"/>
          <w:jc w:val="left"/>
        </w:trPr>
        <w:tc>
          <w:tcPr>
            <w:cnfStyle w:val="001000000000" w:firstRow="0" w:lastRow="0" w:firstColumn="1" w:lastColumn="0" w:oddVBand="0" w:evenVBand="0" w:oddHBand="0" w:evenHBand="0" w:firstRowFirstColumn="0" w:firstRowLastColumn="0" w:lastRowFirstColumn="0" w:lastRowLastColumn="0"/>
            <w:tcW w:w="0" w:type="dxa"/>
          </w:tcPr>
          <w:p w14:paraId="54EE73B3" w14:textId="77777777" w:rsidR="00D81CD9" w:rsidRPr="00952591" w:rsidRDefault="00D81CD9" w:rsidP="004A758F">
            <w:pPr>
              <w:spacing w:before="80" w:after="80" w:line="240" w:lineRule="auto"/>
              <w:jc w:val="left"/>
              <w:rPr>
                <w:rFonts w:cs="Arial"/>
                <w:b/>
                <w:sz w:val="18"/>
                <w:szCs w:val="18"/>
              </w:rPr>
            </w:pPr>
            <w:r w:rsidRPr="00952591">
              <w:rPr>
                <w:rFonts w:cs="Arial"/>
                <w:sz w:val="18"/>
                <w:szCs w:val="18"/>
              </w:rPr>
              <w:t>Process Optimization Controls</w:t>
            </w:r>
          </w:p>
        </w:tc>
        <w:tc>
          <w:tcPr>
            <w:tcW w:w="0" w:type="dxa"/>
          </w:tcPr>
          <w:p w14:paraId="5AD9803A"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Other</w:t>
            </w:r>
          </w:p>
        </w:tc>
        <w:tc>
          <w:tcPr>
            <w:tcW w:w="0" w:type="dxa"/>
          </w:tcPr>
          <w:p w14:paraId="651927FB" w14:textId="77777777" w:rsidR="00D81CD9" w:rsidRPr="00952591" w:rsidRDefault="00D81CD9" w:rsidP="004A758F">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2591">
              <w:rPr>
                <w:rFonts w:cs="Arial"/>
                <w:sz w:val="18"/>
                <w:szCs w:val="18"/>
              </w:rPr>
              <w:t>Optimizing process activities, such as proper shut down and start up procedures, to reduce energy usage not specific equipment upgrades</w:t>
            </w:r>
          </w:p>
        </w:tc>
      </w:tr>
    </w:tbl>
    <w:p w14:paraId="071BA065" w14:textId="77777777" w:rsidR="00D81CD9" w:rsidRPr="00473CD3" w:rsidRDefault="00D81CD9" w:rsidP="00D81CD9">
      <w:pPr>
        <w:spacing w:after="180"/>
        <w:rPr>
          <w:i/>
          <w:sz w:val="18"/>
          <w:szCs w:val="18"/>
        </w:rPr>
      </w:pPr>
      <w:r w:rsidRPr="00473CD3">
        <w:rPr>
          <w:i/>
          <w:sz w:val="18"/>
          <w:szCs w:val="18"/>
        </w:rPr>
        <w:t>Source: Navigant 2016</w:t>
      </w:r>
    </w:p>
    <w:p w14:paraId="49E508D3" w14:textId="77777777" w:rsidR="00161BC3" w:rsidRDefault="00161BC3" w:rsidP="00161BC3">
      <w:pPr>
        <w:pStyle w:val="Heading6"/>
      </w:pPr>
      <w:bookmarkStart w:id="1107" w:name="_Toc478990543"/>
      <w:bookmarkStart w:id="1108" w:name="_Toc479768621"/>
      <w:bookmarkStart w:id="1109" w:name="_Toc482357342"/>
      <w:bookmarkStart w:id="1110" w:name="_Toc482634317"/>
      <w:bookmarkStart w:id="1111" w:name="_Toc482626449"/>
      <w:bookmarkStart w:id="1112" w:name="_Toc484092525"/>
      <w:bookmarkStart w:id="1113" w:name="_Toc484172730"/>
      <w:bookmarkStart w:id="1114" w:name="_Toc484183077"/>
      <w:bookmarkStart w:id="1115" w:name="_Toc490225843"/>
      <w:r>
        <w:t>Agriculture</w:t>
      </w:r>
      <w:bookmarkEnd w:id="1107"/>
      <w:bookmarkEnd w:id="1108"/>
      <w:bookmarkEnd w:id="1109"/>
      <w:bookmarkEnd w:id="1110"/>
      <w:bookmarkEnd w:id="1111"/>
      <w:bookmarkEnd w:id="1112"/>
      <w:bookmarkEnd w:id="1113"/>
      <w:bookmarkEnd w:id="1114"/>
      <w:bookmarkEnd w:id="1115"/>
    </w:p>
    <w:p w14:paraId="72906117" w14:textId="77777777" w:rsidR="00454F4B" w:rsidRDefault="00473CD3" w:rsidP="00454F4B">
      <w:r>
        <w:t>The following table describes the list of agricultural measures used in the diffusion model.</w:t>
      </w:r>
    </w:p>
    <w:p w14:paraId="27E9926A" w14:textId="77777777" w:rsidR="00454F4B" w:rsidRDefault="00454F4B" w:rsidP="00454F4B"/>
    <w:tbl>
      <w:tblPr>
        <w:tblStyle w:val="EnergyTable1"/>
        <w:tblW w:w="9990" w:type="dxa"/>
        <w:jc w:val="left"/>
        <w:tblInd w:w="-180" w:type="dxa"/>
        <w:tblLayout w:type="fixed"/>
        <w:tblLook w:val="04A0" w:firstRow="1" w:lastRow="0" w:firstColumn="1" w:lastColumn="0" w:noHBand="0" w:noVBand="1"/>
      </w:tblPr>
      <w:tblGrid>
        <w:gridCol w:w="3330"/>
        <w:gridCol w:w="3330"/>
        <w:gridCol w:w="3330"/>
      </w:tblGrid>
      <w:tr w:rsidR="00454F4B" w:rsidRPr="006A5F2F" w14:paraId="5150894F" w14:textId="77777777" w:rsidTr="00AF21BE">
        <w:trPr>
          <w:cnfStyle w:val="100000000000" w:firstRow="1" w:lastRow="0" w:firstColumn="0" w:lastColumn="0" w:oddVBand="0" w:evenVBand="0" w:oddHBand="0" w:evenHBand="0" w:firstRowFirstColumn="0" w:firstRowLastColumn="0" w:lastRowFirstColumn="0" w:lastRowLastColumn="0"/>
          <w:trHeight w:val="603"/>
          <w:tblHeader/>
          <w:jc w:val="left"/>
        </w:trPr>
        <w:tc>
          <w:tcPr>
            <w:cnfStyle w:val="001000000000" w:firstRow="0" w:lastRow="0" w:firstColumn="1" w:lastColumn="0" w:oddVBand="0" w:evenVBand="0" w:oddHBand="0" w:evenHBand="0" w:firstRowFirstColumn="0" w:firstRowLastColumn="0" w:lastRowFirstColumn="0" w:lastRowLastColumn="0"/>
            <w:tcW w:w="0" w:type="dxa"/>
          </w:tcPr>
          <w:p w14:paraId="46A2A514" w14:textId="77777777" w:rsidR="00454F4B" w:rsidRPr="006A5F2F" w:rsidRDefault="00454F4B" w:rsidP="00454F4B">
            <w:pPr>
              <w:keepNext/>
              <w:keepLines/>
              <w:spacing w:line="240" w:lineRule="auto"/>
              <w:jc w:val="left"/>
              <w:rPr>
                <w:rFonts w:cs="Arial"/>
                <w:sz w:val="18"/>
                <w:szCs w:val="18"/>
              </w:rPr>
            </w:pPr>
            <w:r w:rsidRPr="006A5F2F">
              <w:rPr>
                <w:rFonts w:cs="Arial"/>
                <w:sz w:val="18"/>
                <w:szCs w:val="18"/>
              </w:rPr>
              <w:t>Measure Name</w:t>
            </w:r>
          </w:p>
        </w:tc>
        <w:tc>
          <w:tcPr>
            <w:tcW w:w="0" w:type="dxa"/>
          </w:tcPr>
          <w:p w14:paraId="68A3CF6C" w14:textId="77777777" w:rsidR="00454F4B" w:rsidRPr="006A5F2F" w:rsidRDefault="00454F4B" w:rsidP="00454F4B">
            <w:pPr>
              <w:keepNext/>
              <w:keepLines/>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6A5F2F">
              <w:rPr>
                <w:rFonts w:cs="Arial"/>
                <w:sz w:val="18"/>
                <w:szCs w:val="18"/>
              </w:rPr>
              <w:t>End-Use Category</w:t>
            </w:r>
          </w:p>
        </w:tc>
        <w:tc>
          <w:tcPr>
            <w:tcW w:w="0" w:type="dxa"/>
          </w:tcPr>
          <w:p w14:paraId="6F59564C" w14:textId="77777777" w:rsidR="00454F4B" w:rsidRPr="006A5F2F" w:rsidRDefault="00454F4B" w:rsidP="00454F4B">
            <w:pPr>
              <w:keepNext/>
              <w:keepLines/>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6A5F2F">
              <w:rPr>
                <w:rFonts w:cs="Arial"/>
                <w:sz w:val="18"/>
                <w:szCs w:val="18"/>
              </w:rPr>
              <w:t>Description</w:t>
            </w:r>
          </w:p>
        </w:tc>
      </w:tr>
      <w:tr w:rsidR="00454F4B" w:rsidRPr="00952591" w14:paraId="1ECFFFDA" w14:textId="77777777" w:rsidTr="00AF21BE">
        <w:trPr>
          <w:cnfStyle w:val="000000100000" w:firstRow="0" w:lastRow="0" w:firstColumn="0" w:lastColumn="0" w:oddVBand="0" w:evenVBand="0" w:oddHBand="1" w:evenHBand="0" w:firstRowFirstColumn="0" w:firstRowLastColumn="0" w:lastRowFirstColumn="0" w:lastRowLastColumn="0"/>
          <w:trHeight w:val="375"/>
          <w:jc w:val="left"/>
        </w:trPr>
        <w:tc>
          <w:tcPr>
            <w:cnfStyle w:val="001000000000" w:firstRow="0" w:lastRow="0" w:firstColumn="1" w:lastColumn="0" w:oddVBand="0" w:evenVBand="0" w:oddHBand="0" w:evenHBand="0" w:firstRowFirstColumn="0" w:firstRowLastColumn="0" w:lastRowFirstColumn="0" w:lastRowLastColumn="0"/>
            <w:tcW w:w="0" w:type="dxa"/>
          </w:tcPr>
          <w:p w14:paraId="19B08487" w14:textId="77777777" w:rsidR="00454F4B" w:rsidRPr="00C16093" w:rsidRDefault="00454F4B" w:rsidP="00454F4B">
            <w:pPr>
              <w:spacing w:before="80" w:after="80" w:line="240" w:lineRule="auto"/>
              <w:jc w:val="left"/>
              <w:rPr>
                <w:rFonts w:cs="Arial"/>
                <w:b/>
                <w:sz w:val="18"/>
                <w:szCs w:val="18"/>
              </w:rPr>
            </w:pPr>
            <w:r w:rsidRPr="00C16093">
              <w:rPr>
                <w:rFonts w:cs="Arial"/>
                <w:sz w:val="18"/>
                <w:szCs w:val="18"/>
              </w:rPr>
              <w:t>HVAC Ventilation (Fan Ventilation Improvement)</w:t>
            </w:r>
          </w:p>
        </w:tc>
        <w:tc>
          <w:tcPr>
            <w:tcW w:w="0" w:type="dxa"/>
          </w:tcPr>
          <w:p w14:paraId="23D8E6F1" w14:textId="77777777" w:rsidR="00454F4B" w:rsidRPr="00C1609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16093">
              <w:rPr>
                <w:rFonts w:cs="Arial"/>
                <w:sz w:val="18"/>
                <w:szCs w:val="18"/>
              </w:rPr>
              <w:t>HVAC</w:t>
            </w:r>
          </w:p>
        </w:tc>
        <w:tc>
          <w:tcPr>
            <w:tcW w:w="0" w:type="dxa"/>
          </w:tcPr>
          <w:p w14:paraId="5320725B" w14:textId="77777777" w:rsidR="00454F4B" w:rsidRPr="00473CD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473CD3">
              <w:rPr>
                <w:rFonts w:cs="Arial"/>
                <w:sz w:val="18"/>
                <w:szCs w:val="18"/>
              </w:rPr>
              <w:t>Upgrade to more efficient fans, temperature and humidity controls, VFDs (includes post-harvest process fan aeration improvements)</w:t>
            </w:r>
          </w:p>
        </w:tc>
      </w:tr>
      <w:tr w:rsidR="00454F4B" w:rsidRPr="00952591" w14:paraId="6CEE8058" w14:textId="77777777" w:rsidTr="00AF21BE">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2C970C2A" w14:textId="77777777" w:rsidR="00454F4B" w:rsidRPr="00C16093" w:rsidRDefault="00454F4B" w:rsidP="00454F4B">
            <w:pPr>
              <w:spacing w:before="80" w:after="80" w:line="240" w:lineRule="auto"/>
              <w:jc w:val="left"/>
              <w:rPr>
                <w:rFonts w:cs="Arial"/>
                <w:b/>
                <w:sz w:val="18"/>
                <w:szCs w:val="18"/>
              </w:rPr>
            </w:pPr>
            <w:r w:rsidRPr="00C16093">
              <w:rPr>
                <w:rFonts w:cs="Arial"/>
                <w:sz w:val="18"/>
                <w:szCs w:val="18"/>
              </w:rPr>
              <w:t>Ag Pump Retrofit - Irrigation</w:t>
            </w:r>
          </w:p>
        </w:tc>
        <w:tc>
          <w:tcPr>
            <w:tcW w:w="0" w:type="dxa"/>
          </w:tcPr>
          <w:p w14:paraId="39BA630D" w14:textId="77777777" w:rsidR="00454F4B" w:rsidRPr="00C1609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highlight w:val="yellow"/>
              </w:rPr>
            </w:pPr>
            <w:r w:rsidRPr="00C16093">
              <w:rPr>
                <w:rFonts w:cs="Arial"/>
                <w:sz w:val="18"/>
                <w:szCs w:val="18"/>
              </w:rPr>
              <w:t>Irrigation Drive</w:t>
            </w:r>
          </w:p>
        </w:tc>
        <w:tc>
          <w:tcPr>
            <w:tcW w:w="0" w:type="dxa"/>
          </w:tcPr>
          <w:p w14:paraId="3E76C19D" w14:textId="77777777" w:rsidR="00454F4B" w:rsidRPr="00473CD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473CD3">
              <w:rPr>
                <w:rFonts w:cs="Arial"/>
                <w:sz w:val="18"/>
                <w:szCs w:val="18"/>
              </w:rPr>
              <w:t>Irrigation specific pump improvement, maintenance, and replacement designed to increase pump efficiency</w:t>
            </w:r>
          </w:p>
        </w:tc>
      </w:tr>
      <w:tr w:rsidR="00454F4B" w:rsidRPr="00952591" w14:paraId="78B05FC9" w14:textId="77777777" w:rsidTr="00AF21BE">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14BEA7C8"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lastRenderedPageBreak/>
              <w:t>Ag Pump VFD - Irrigation</w:t>
            </w:r>
          </w:p>
        </w:tc>
        <w:tc>
          <w:tcPr>
            <w:tcW w:w="0" w:type="dxa"/>
          </w:tcPr>
          <w:p w14:paraId="71376837" w14:textId="77777777" w:rsidR="00454F4B" w:rsidRPr="00C1609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16093">
              <w:rPr>
                <w:rFonts w:cs="Arial"/>
                <w:sz w:val="18"/>
                <w:szCs w:val="18"/>
              </w:rPr>
              <w:t>Irrigation Drive</w:t>
            </w:r>
          </w:p>
        </w:tc>
        <w:tc>
          <w:tcPr>
            <w:tcW w:w="0" w:type="dxa"/>
          </w:tcPr>
          <w:p w14:paraId="75A5E789" w14:textId="77777777" w:rsidR="00454F4B" w:rsidRPr="00473CD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473CD3">
              <w:rPr>
                <w:rFonts w:cs="Arial"/>
                <w:sz w:val="18"/>
                <w:szCs w:val="18"/>
              </w:rPr>
              <w:t>VFD for irrigation specific pumps (well, irrigation, booster, etc.)</w:t>
            </w:r>
          </w:p>
        </w:tc>
      </w:tr>
      <w:tr w:rsidR="00454F4B" w:rsidRPr="00952591" w14:paraId="2AFFB69D" w14:textId="77777777" w:rsidTr="00AF21BE">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2157AD50"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Low Pressure Irrigation</w:t>
            </w:r>
          </w:p>
        </w:tc>
        <w:tc>
          <w:tcPr>
            <w:tcW w:w="0" w:type="dxa"/>
          </w:tcPr>
          <w:p w14:paraId="3BA0A350" w14:textId="77777777" w:rsidR="00454F4B" w:rsidRPr="00C1609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16093">
              <w:rPr>
                <w:rFonts w:cs="Arial"/>
                <w:sz w:val="18"/>
                <w:szCs w:val="18"/>
              </w:rPr>
              <w:t>Irrigation Drive</w:t>
            </w:r>
          </w:p>
        </w:tc>
        <w:tc>
          <w:tcPr>
            <w:tcW w:w="0" w:type="dxa"/>
          </w:tcPr>
          <w:p w14:paraId="1CA61852" w14:textId="77777777" w:rsidR="00454F4B" w:rsidRPr="00473CD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473CD3">
              <w:rPr>
                <w:rFonts w:cs="Arial"/>
                <w:sz w:val="18"/>
                <w:szCs w:val="18"/>
              </w:rPr>
              <w:t>Conversion from high to low pressure irrigation (sprinkler to drip, low pressure nozzles, etc.)</w:t>
            </w:r>
          </w:p>
        </w:tc>
      </w:tr>
      <w:tr w:rsidR="00454F4B" w:rsidRPr="00952591" w14:paraId="3ED4CBDB" w14:textId="77777777" w:rsidTr="00AF21BE">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2F0D810C"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Exterior Lighting Upgrades</w:t>
            </w:r>
          </w:p>
        </w:tc>
        <w:tc>
          <w:tcPr>
            <w:tcW w:w="0" w:type="dxa"/>
          </w:tcPr>
          <w:p w14:paraId="341C854C" w14:textId="77777777" w:rsidR="00454F4B" w:rsidRPr="00C1609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16093">
              <w:rPr>
                <w:rFonts w:cs="Arial"/>
                <w:sz w:val="18"/>
                <w:szCs w:val="18"/>
              </w:rPr>
              <w:t>Lighting</w:t>
            </w:r>
          </w:p>
        </w:tc>
        <w:tc>
          <w:tcPr>
            <w:tcW w:w="0" w:type="dxa"/>
          </w:tcPr>
          <w:p w14:paraId="45328994" w14:textId="77777777" w:rsidR="00454F4B" w:rsidRPr="00473CD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473CD3">
              <w:rPr>
                <w:rFonts w:cs="Arial"/>
                <w:sz w:val="18"/>
                <w:szCs w:val="18"/>
              </w:rPr>
              <w:t>Includes typical C&amp;I exterior LED lighting measures as well as exterior security lights</w:t>
            </w:r>
          </w:p>
        </w:tc>
      </w:tr>
      <w:tr w:rsidR="00454F4B" w:rsidRPr="00952591" w14:paraId="30F94C8D" w14:textId="77777777" w:rsidTr="00AF21BE">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049D6947"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Hort</w:t>
            </w:r>
            <w:r>
              <w:rPr>
                <w:rFonts w:cs="Arial"/>
                <w:sz w:val="18"/>
                <w:szCs w:val="18"/>
              </w:rPr>
              <w:t>iculture</w:t>
            </w:r>
            <w:r w:rsidRPr="00C16093">
              <w:rPr>
                <w:rFonts w:cs="Arial"/>
                <w:sz w:val="18"/>
                <w:szCs w:val="18"/>
              </w:rPr>
              <w:t xml:space="preserve"> Interior LED </w:t>
            </w:r>
            <w:r>
              <w:rPr>
                <w:rFonts w:cs="Arial"/>
                <w:sz w:val="18"/>
                <w:szCs w:val="18"/>
              </w:rPr>
              <w:t>G</w:t>
            </w:r>
            <w:r w:rsidRPr="00C16093">
              <w:rPr>
                <w:rFonts w:cs="Arial"/>
                <w:sz w:val="18"/>
                <w:szCs w:val="18"/>
              </w:rPr>
              <w:t xml:space="preserve">row </w:t>
            </w:r>
            <w:r>
              <w:rPr>
                <w:rFonts w:cs="Arial"/>
                <w:sz w:val="18"/>
                <w:szCs w:val="18"/>
              </w:rPr>
              <w:t>L</w:t>
            </w:r>
            <w:r w:rsidRPr="00C16093">
              <w:rPr>
                <w:rFonts w:cs="Arial"/>
                <w:sz w:val="18"/>
                <w:szCs w:val="18"/>
              </w:rPr>
              <w:t>ighting</w:t>
            </w:r>
          </w:p>
        </w:tc>
        <w:tc>
          <w:tcPr>
            <w:tcW w:w="0" w:type="dxa"/>
          </w:tcPr>
          <w:p w14:paraId="25DC7EAB" w14:textId="77777777" w:rsidR="00454F4B" w:rsidRPr="00C1609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16093">
              <w:rPr>
                <w:rFonts w:cs="Arial"/>
                <w:sz w:val="18"/>
                <w:szCs w:val="18"/>
              </w:rPr>
              <w:t>Lighting</w:t>
            </w:r>
          </w:p>
        </w:tc>
        <w:tc>
          <w:tcPr>
            <w:tcW w:w="0" w:type="dxa"/>
          </w:tcPr>
          <w:p w14:paraId="16F4309A" w14:textId="77777777" w:rsidR="00454F4B" w:rsidRPr="00473CD3" w:rsidRDefault="00473CD3"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473CD3">
              <w:rPr>
                <w:rFonts w:cs="Arial"/>
                <w:sz w:val="18"/>
                <w:szCs w:val="18"/>
              </w:rPr>
              <w:t>Indoor LED lamps and fixtures used for growing a variety of plants.</w:t>
            </w:r>
          </w:p>
        </w:tc>
      </w:tr>
      <w:tr w:rsidR="00454F4B" w:rsidRPr="00952591" w14:paraId="71C43FEC" w14:textId="77777777" w:rsidTr="00AF21BE">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66FA976F"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Interior Lighting Upgrades - LED</w:t>
            </w:r>
          </w:p>
        </w:tc>
        <w:tc>
          <w:tcPr>
            <w:tcW w:w="0" w:type="dxa"/>
          </w:tcPr>
          <w:p w14:paraId="369071D7" w14:textId="77777777" w:rsidR="00454F4B" w:rsidRPr="00C1609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16093">
              <w:rPr>
                <w:rFonts w:cs="Arial"/>
                <w:sz w:val="18"/>
                <w:szCs w:val="18"/>
              </w:rPr>
              <w:t>Lighting</w:t>
            </w:r>
          </w:p>
        </w:tc>
        <w:tc>
          <w:tcPr>
            <w:tcW w:w="0" w:type="dxa"/>
          </w:tcPr>
          <w:p w14:paraId="5E6C09E3" w14:textId="77777777" w:rsidR="00454F4B" w:rsidRPr="00473CD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473CD3">
              <w:rPr>
                <w:rFonts w:cs="Arial"/>
                <w:sz w:val="18"/>
                <w:szCs w:val="18"/>
              </w:rPr>
              <w:t>Includes typical C&amp;I LED lighting measures and applications as well as agriculture-rated LEDs for animal health and animal-specific purposes</w:t>
            </w:r>
          </w:p>
        </w:tc>
      </w:tr>
      <w:tr w:rsidR="00454F4B" w:rsidRPr="00952591" w14:paraId="306AE256" w14:textId="77777777" w:rsidTr="00AF21BE">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10D5479C"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Interior Lighting Upgrades - Other</w:t>
            </w:r>
          </w:p>
        </w:tc>
        <w:tc>
          <w:tcPr>
            <w:tcW w:w="0" w:type="dxa"/>
          </w:tcPr>
          <w:p w14:paraId="6128DD59" w14:textId="77777777" w:rsidR="00454F4B" w:rsidRPr="00C1609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16093">
              <w:rPr>
                <w:rFonts w:cs="Arial"/>
                <w:sz w:val="18"/>
                <w:szCs w:val="18"/>
              </w:rPr>
              <w:t>Lighting</w:t>
            </w:r>
          </w:p>
        </w:tc>
        <w:tc>
          <w:tcPr>
            <w:tcW w:w="0" w:type="dxa"/>
          </w:tcPr>
          <w:p w14:paraId="77C08994" w14:textId="77777777" w:rsidR="00454F4B" w:rsidRPr="00473CD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473CD3">
              <w:rPr>
                <w:rFonts w:cs="Arial"/>
                <w:sz w:val="18"/>
                <w:szCs w:val="18"/>
              </w:rPr>
              <w:t>Includes typical C&amp;I non-LED lighting measures and applications</w:t>
            </w:r>
          </w:p>
        </w:tc>
      </w:tr>
      <w:tr w:rsidR="00454F4B" w:rsidRPr="00952591" w14:paraId="0E37FF75" w14:textId="77777777" w:rsidTr="00AF21BE">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0F79C28E"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Lighting Controls</w:t>
            </w:r>
          </w:p>
        </w:tc>
        <w:tc>
          <w:tcPr>
            <w:tcW w:w="0" w:type="dxa"/>
          </w:tcPr>
          <w:p w14:paraId="4D2975BC" w14:textId="77777777" w:rsidR="00454F4B" w:rsidRPr="00C1609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16093">
              <w:rPr>
                <w:rFonts w:cs="Arial"/>
                <w:sz w:val="18"/>
                <w:szCs w:val="18"/>
              </w:rPr>
              <w:t>Lighting</w:t>
            </w:r>
          </w:p>
        </w:tc>
        <w:tc>
          <w:tcPr>
            <w:tcW w:w="0" w:type="dxa"/>
          </w:tcPr>
          <w:p w14:paraId="4A969752" w14:textId="77777777" w:rsidR="00454F4B" w:rsidRPr="00473CD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473CD3">
              <w:rPr>
                <w:rFonts w:cs="Arial"/>
                <w:sz w:val="18"/>
                <w:szCs w:val="18"/>
              </w:rPr>
              <w:t>Occupancy sensors, photocells/timers, etc.</w:t>
            </w:r>
          </w:p>
        </w:tc>
      </w:tr>
      <w:tr w:rsidR="00454F4B" w:rsidRPr="00952591" w14:paraId="49073833" w14:textId="77777777" w:rsidTr="00AF21BE">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154FD6BE"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Ag Pump Retrofit - Other</w:t>
            </w:r>
          </w:p>
        </w:tc>
        <w:tc>
          <w:tcPr>
            <w:tcW w:w="0" w:type="dxa"/>
          </w:tcPr>
          <w:p w14:paraId="32EDE315" w14:textId="77777777" w:rsidR="00454F4B" w:rsidRPr="00C1609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16093">
              <w:rPr>
                <w:rFonts w:cs="Arial"/>
                <w:sz w:val="18"/>
                <w:szCs w:val="18"/>
              </w:rPr>
              <w:t>Machine Drive</w:t>
            </w:r>
          </w:p>
        </w:tc>
        <w:tc>
          <w:tcPr>
            <w:tcW w:w="0" w:type="dxa"/>
          </w:tcPr>
          <w:p w14:paraId="6B2D6EF9" w14:textId="77777777" w:rsidR="00454F4B" w:rsidRPr="00473CD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473CD3">
              <w:rPr>
                <w:rFonts w:cs="Arial"/>
                <w:sz w:val="18"/>
                <w:szCs w:val="18"/>
              </w:rPr>
              <w:t>Pump retrofits geared to all other pumps besides irrigation specific pumps</w:t>
            </w:r>
          </w:p>
        </w:tc>
      </w:tr>
      <w:tr w:rsidR="00454F4B" w:rsidRPr="00952591" w14:paraId="35A93FF0" w14:textId="77777777" w:rsidTr="00AF21BE">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3503CC2D"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Ag Pump VFD - Dairy</w:t>
            </w:r>
          </w:p>
        </w:tc>
        <w:tc>
          <w:tcPr>
            <w:tcW w:w="0" w:type="dxa"/>
          </w:tcPr>
          <w:p w14:paraId="6DBCB768" w14:textId="77777777" w:rsidR="00454F4B" w:rsidRPr="00C1609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16093">
              <w:rPr>
                <w:rFonts w:cs="Arial"/>
                <w:sz w:val="18"/>
                <w:szCs w:val="18"/>
              </w:rPr>
              <w:t>Machine Drive</w:t>
            </w:r>
          </w:p>
        </w:tc>
        <w:tc>
          <w:tcPr>
            <w:tcW w:w="0" w:type="dxa"/>
          </w:tcPr>
          <w:p w14:paraId="7BD5018C" w14:textId="77777777" w:rsidR="00454F4B" w:rsidRPr="00473CD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473CD3">
              <w:rPr>
                <w:rFonts w:cs="Arial"/>
                <w:sz w:val="18"/>
                <w:szCs w:val="18"/>
              </w:rPr>
              <w:t>VFD for dairy specific pumps (vacuum, transfer, etc.)</w:t>
            </w:r>
          </w:p>
        </w:tc>
      </w:tr>
      <w:tr w:rsidR="00454F4B" w:rsidRPr="00952591" w14:paraId="49010F25" w14:textId="77777777" w:rsidTr="00AF21BE">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39069934"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Ag Pump VFD - Other</w:t>
            </w:r>
          </w:p>
        </w:tc>
        <w:tc>
          <w:tcPr>
            <w:tcW w:w="0" w:type="dxa"/>
          </w:tcPr>
          <w:p w14:paraId="4D303083" w14:textId="77777777" w:rsidR="00454F4B" w:rsidRPr="00C1609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16093">
              <w:rPr>
                <w:rFonts w:cs="Arial"/>
                <w:sz w:val="18"/>
                <w:szCs w:val="18"/>
              </w:rPr>
              <w:t>Machine Drive</w:t>
            </w:r>
          </w:p>
        </w:tc>
        <w:tc>
          <w:tcPr>
            <w:tcW w:w="0" w:type="dxa"/>
          </w:tcPr>
          <w:p w14:paraId="4CC1FC83" w14:textId="77777777" w:rsidR="00454F4B" w:rsidRPr="00473CD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473CD3">
              <w:rPr>
                <w:rFonts w:cs="Arial"/>
                <w:sz w:val="18"/>
                <w:szCs w:val="18"/>
              </w:rPr>
              <w:t>VFD for all other agriculture pumps besides those designed for irrigation or dairy purposes</w:t>
            </w:r>
          </w:p>
        </w:tc>
      </w:tr>
      <w:tr w:rsidR="00454F4B" w:rsidRPr="00952591" w14:paraId="439F4896" w14:textId="77777777" w:rsidTr="00AF21BE">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48AEEB50"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Greenhouse Process Improvement (Heating Optimization)</w:t>
            </w:r>
          </w:p>
        </w:tc>
        <w:tc>
          <w:tcPr>
            <w:tcW w:w="0" w:type="dxa"/>
          </w:tcPr>
          <w:p w14:paraId="798632FA" w14:textId="77777777" w:rsidR="00454F4B" w:rsidRPr="00C1609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16093">
              <w:rPr>
                <w:rFonts w:cs="Arial"/>
                <w:sz w:val="18"/>
                <w:szCs w:val="18"/>
              </w:rPr>
              <w:t>Process Heating</w:t>
            </w:r>
          </w:p>
        </w:tc>
        <w:tc>
          <w:tcPr>
            <w:tcW w:w="0" w:type="dxa"/>
          </w:tcPr>
          <w:p w14:paraId="2C5E95A3" w14:textId="77777777" w:rsidR="00454F4B" w:rsidRPr="00473CD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473CD3">
              <w:rPr>
                <w:rFonts w:cs="Arial"/>
                <w:sz w:val="18"/>
                <w:szCs w:val="18"/>
              </w:rPr>
              <w:t>Heating optimization and equipment improvements for greenhouses (unit to bench heating conversion, boiler improvement measures, dynamic temperature controls, etc.)</w:t>
            </w:r>
          </w:p>
        </w:tc>
      </w:tr>
      <w:tr w:rsidR="00454F4B" w:rsidRPr="00952591" w14:paraId="71348D26" w14:textId="77777777" w:rsidTr="00AF21BE">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50B06913"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Greenhouse Process Improvement (Shell Improvements)</w:t>
            </w:r>
          </w:p>
        </w:tc>
        <w:tc>
          <w:tcPr>
            <w:tcW w:w="0" w:type="dxa"/>
          </w:tcPr>
          <w:p w14:paraId="1ABBDBCA" w14:textId="77777777" w:rsidR="00454F4B" w:rsidRPr="00C1609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16093">
              <w:rPr>
                <w:rFonts w:cs="Arial"/>
                <w:sz w:val="18"/>
                <w:szCs w:val="18"/>
              </w:rPr>
              <w:t>Process Heating</w:t>
            </w:r>
          </w:p>
        </w:tc>
        <w:tc>
          <w:tcPr>
            <w:tcW w:w="0" w:type="dxa"/>
          </w:tcPr>
          <w:p w14:paraId="33EB9EB6" w14:textId="77777777" w:rsidR="00454F4B" w:rsidRPr="00473CD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473CD3">
              <w:rPr>
                <w:rFonts w:cs="Arial"/>
                <w:sz w:val="18"/>
                <w:szCs w:val="18"/>
              </w:rPr>
              <w:t>Heating optimization improvements for greenhouses centered around shell improvements (thermal and shade curtains, insulation upgrades, IRAC film, etc.)</w:t>
            </w:r>
          </w:p>
        </w:tc>
      </w:tr>
      <w:tr w:rsidR="00454F4B" w:rsidRPr="00952591" w14:paraId="3818D5EC" w14:textId="77777777" w:rsidTr="00AF21BE">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0817CD44"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Post-Harvesting Process Improvement</w:t>
            </w:r>
          </w:p>
        </w:tc>
        <w:tc>
          <w:tcPr>
            <w:tcW w:w="0" w:type="dxa"/>
          </w:tcPr>
          <w:p w14:paraId="142A50E5" w14:textId="77777777" w:rsidR="00454F4B" w:rsidRPr="00C1609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16093">
              <w:rPr>
                <w:rFonts w:cs="Arial"/>
                <w:sz w:val="18"/>
                <w:szCs w:val="18"/>
              </w:rPr>
              <w:t>Process Heating</w:t>
            </w:r>
          </w:p>
        </w:tc>
        <w:tc>
          <w:tcPr>
            <w:tcW w:w="0" w:type="dxa"/>
          </w:tcPr>
          <w:p w14:paraId="366E1498" w14:textId="77777777" w:rsidR="00454F4B" w:rsidRPr="00473CD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473CD3">
              <w:rPr>
                <w:rFonts w:cs="Arial"/>
                <w:sz w:val="18"/>
                <w:szCs w:val="18"/>
              </w:rPr>
              <w:t>Gas improvements to post-harvesting such as more efficient heated grain drying, heat recovery, process controls</w:t>
            </w:r>
          </w:p>
        </w:tc>
      </w:tr>
      <w:tr w:rsidR="00454F4B" w:rsidRPr="00952591" w14:paraId="4746688E" w14:textId="77777777" w:rsidTr="00AF21BE">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2BD39C3F"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Process Refrigeration Retrofit - Dairy</w:t>
            </w:r>
          </w:p>
        </w:tc>
        <w:tc>
          <w:tcPr>
            <w:tcW w:w="0" w:type="dxa"/>
          </w:tcPr>
          <w:p w14:paraId="701DEABC" w14:textId="77777777" w:rsidR="00454F4B" w:rsidRPr="00C1609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16093">
              <w:rPr>
                <w:rFonts w:cs="Arial"/>
                <w:sz w:val="18"/>
                <w:szCs w:val="18"/>
              </w:rPr>
              <w:t>Process Refrigeration</w:t>
            </w:r>
          </w:p>
        </w:tc>
        <w:tc>
          <w:tcPr>
            <w:tcW w:w="0" w:type="dxa"/>
          </w:tcPr>
          <w:p w14:paraId="46C323EF" w14:textId="77777777" w:rsidR="00454F4B" w:rsidRPr="00473CD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473CD3">
              <w:rPr>
                <w:rFonts w:cs="Arial"/>
                <w:sz w:val="18"/>
                <w:szCs w:val="18"/>
              </w:rPr>
              <w:t>Refrigeration improvements to process milk cooling on dairies (plate coolers, scroll compressors)</w:t>
            </w:r>
          </w:p>
        </w:tc>
      </w:tr>
      <w:tr w:rsidR="00454F4B" w:rsidRPr="00952591" w14:paraId="7E25B64D" w14:textId="77777777" w:rsidTr="00AF21BE">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7325FC87"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lastRenderedPageBreak/>
              <w:t>Process Refrigeration Retrofit - Other</w:t>
            </w:r>
          </w:p>
        </w:tc>
        <w:tc>
          <w:tcPr>
            <w:tcW w:w="0" w:type="dxa"/>
          </w:tcPr>
          <w:p w14:paraId="1355CB4B" w14:textId="77777777" w:rsidR="00454F4B" w:rsidRPr="00C1609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16093">
              <w:rPr>
                <w:rFonts w:cs="Arial"/>
                <w:sz w:val="18"/>
                <w:szCs w:val="18"/>
              </w:rPr>
              <w:t>Process Refrigeration</w:t>
            </w:r>
          </w:p>
        </w:tc>
        <w:tc>
          <w:tcPr>
            <w:tcW w:w="0" w:type="dxa"/>
          </w:tcPr>
          <w:p w14:paraId="5D64C6A6" w14:textId="77777777" w:rsidR="00454F4B" w:rsidRPr="00473CD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473CD3">
              <w:rPr>
                <w:rFonts w:cs="Arial"/>
                <w:sz w:val="18"/>
                <w:szCs w:val="18"/>
              </w:rPr>
              <w:t>Refrigeration improvements to process cooling on all other agriculture facilities (i.e. wine cooling)</w:t>
            </w:r>
          </w:p>
        </w:tc>
      </w:tr>
      <w:tr w:rsidR="00454F4B" w:rsidRPr="00952591" w14:paraId="25DEE28A" w14:textId="77777777" w:rsidTr="00AF21BE">
        <w:trPr>
          <w:cnfStyle w:val="000000010000" w:firstRow="0" w:lastRow="0" w:firstColumn="0" w:lastColumn="0" w:oddVBand="0" w:evenVBand="0" w:oddHBand="0" w:evenHBand="1"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07CFACAD" w14:textId="77777777" w:rsidR="00454F4B" w:rsidRPr="00C16093" w:rsidRDefault="00454F4B" w:rsidP="00454F4B">
            <w:pPr>
              <w:spacing w:before="80" w:after="80" w:line="240" w:lineRule="auto"/>
              <w:jc w:val="left"/>
              <w:rPr>
                <w:rFonts w:cs="Arial"/>
                <w:sz w:val="18"/>
                <w:szCs w:val="18"/>
              </w:rPr>
            </w:pPr>
            <w:r w:rsidRPr="00C16093">
              <w:rPr>
                <w:rFonts w:cs="Arial"/>
                <w:sz w:val="18"/>
                <w:szCs w:val="18"/>
              </w:rPr>
              <w:t>Refrigeration Retrofit (Refrigeration System Optimization)</w:t>
            </w:r>
          </w:p>
        </w:tc>
        <w:tc>
          <w:tcPr>
            <w:tcW w:w="0" w:type="dxa"/>
          </w:tcPr>
          <w:p w14:paraId="45201056" w14:textId="77777777" w:rsidR="00454F4B" w:rsidRPr="00C1609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16093">
              <w:rPr>
                <w:rFonts w:cs="Arial"/>
                <w:sz w:val="18"/>
                <w:szCs w:val="18"/>
              </w:rPr>
              <w:t>Process Refrigeration</w:t>
            </w:r>
          </w:p>
        </w:tc>
        <w:tc>
          <w:tcPr>
            <w:tcW w:w="0" w:type="dxa"/>
          </w:tcPr>
          <w:p w14:paraId="7A1F8283" w14:textId="77777777" w:rsidR="00454F4B" w:rsidRPr="00473CD3" w:rsidRDefault="00454F4B" w:rsidP="00454F4B">
            <w:pPr>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473CD3">
              <w:rPr>
                <w:rFonts w:cs="Arial"/>
                <w:sz w:val="18"/>
                <w:szCs w:val="18"/>
              </w:rPr>
              <w:t>Includes typical C&amp;I refrigeration improvements to cold storage areas (floating head pressure controls, evaporator fan controls, evaporator fan ECMs, etc.)</w:t>
            </w:r>
          </w:p>
        </w:tc>
      </w:tr>
      <w:tr w:rsidR="00454F4B" w:rsidRPr="00952591" w14:paraId="746C73D6" w14:textId="77777777" w:rsidTr="00AF21BE">
        <w:trPr>
          <w:cnfStyle w:val="000000100000" w:firstRow="0" w:lastRow="0" w:firstColumn="0" w:lastColumn="0" w:oddVBand="0" w:evenVBand="0" w:oddHBand="1" w:evenHBand="0" w:firstRowFirstColumn="0" w:firstRowLastColumn="0" w:lastRowFirstColumn="0" w:lastRowLastColumn="0"/>
          <w:trHeight w:val="252"/>
          <w:jc w:val="left"/>
        </w:trPr>
        <w:tc>
          <w:tcPr>
            <w:cnfStyle w:val="001000000000" w:firstRow="0" w:lastRow="0" w:firstColumn="1" w:lastColumn="0" w:oddVBand="0" w:evenVBand="0" w:oddHBand="0" w:evenHBand="0" w:firstRowFirstColumn="0" w:firstRowLastColumn="0" w:lastRowFirstColumn="0" w:lastRowLastColumn="0"/>
            <w:tcW w:w="0" w:type="dxa"/>
          </w:tcPr>
          <w:p w14:paraId="72A580DA" w14:textId="77777777" w:rsidR="00454F4B" w:rsidRPr="00473CD3" w:rsidRDefault="00454F4B" w:rsidP="00454F4B">
            <w:pPr>
              <w:spacing w:before="80" w:after="80" w:line="240" w:lineRule="auto"/>
              <w:jc w:val="left"/>
              <w:rPr>
                <w:rFonts w:cs="Arial"/>
                <w:b/>
                <w:sz w:val="18"/>
                <w:szCs w:val="18"/>
              </w:rPr>
            </w:pPr>
            <w:r w:rsidRPr="00473CD3">
              <w:rPr>
                <w:rFonts w:cs="Arial"/>
                <w:sz w:val="18"/>
                <w:szCs w:val="18"/>
              </w:rPr>
              <w:t>Compressed Air Optimization</w:t>
            </w:r>
          </w:p>
        </w:tc>
        <w:tc>
          <w:tcPr>
            <w:tcW w:w="0" w:type="dxa"/>
          </w:tcPr>
          <w:p w14:paraId="524D184A" w14:textId="77777777" w:rsidR="00454F4B" w:rsidRPr="00473CD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473CD3">
              <w:rPr>
                <w:rFonts w:cs="Arial"/>
                <w:sz w:val="18"/>
                <w:szCs w:val="18"/>
              </w:rPr>
              <w:t>Other</w:t>
            </w:r>
          </w:p>
        </w:tc>
        <w:tc>
          <w:tcPr>
            <w:tcW w:w="0" w:type="dxa"/>
          </w:tcPr>
          <w:p w14:paraId="72A9BAB4" w14:textId="77777777" w:rsidR="00454F4B" w:rsidRPr="00473CD3" w:rsidRDefault="00454F4B" w:rsidP="00454F4B">
            <w:pPr>
              <w:spacing w:before="80" w:after="8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473CD3">
              <w:rPr>
                <w:rFonts w:cs="Arial"/>
                <w:sz w:val="18"/>
                <w:szCs w:val="18"/>
              </w:rPr>
              <w:t>Includes typical C&amp;I compressed air technologies and measures (leak repair, controls, VFD, O&amp;M, etc.)</w:t>
            </w:r>
          </w:p>
        </w:tc>
      </w:tr>
    </w:tbl>
    <w:p w14:paraId="7FA4E108" w14:textId="77777777" w:rsidR="00454F4B" w:rsidRPr="00C15745" w:rsidRDefault="00454F4B" w:rsidP="00454F4B">
      <w:pPr>
        <w:spacing w:after="180"/>
        <w:rPr>
          <w:i/>
          <w:sz w:val="18"/>
          <w:szCs w:val="18"/>
        </w:rPr>
      </w:pPr>
      <w:r w:rsidRPr="00C15745">
        <w:rPr>
          <w:i/>
          <w:sz w:val="18"/>
          <w:szCs w:val="18"/>
        </w:rPr>
        <w:t>Source: Navigant 2016</w:t>
      </w:r>
    </w:p>
    <w:p w14:paraId="7359FFB1" w14:textId="77777777" w:rsidR="00454F4B" w:rsidRDefault="00454F4B" w:rsidP="00454F4B"/>
    <w:p w14:paraId="5EB31904" w14:textId="77777777" w:rsidR="00454F4B" w:rsidRDefault="00454F4B" w:rsidP="00454F4B"/>
    <w:p w14:paraId="17D3A811" w14:textId="77777777" w:rsidR="00454F4B" w:rsidRPr="00454F4B" w:rsidRDefault="00454F4B" w:rsidP="00454F4B"/>
    <w:p w14:paraId="2DE34016" w14:textId="77777777" w:rsidR="00161BC3" w:rsidRDefault="00161BC3" w:rsidP="00146A54">
      <w:pPr>
        <w:sectPr w:rsidR="00161BC3" w:rsidSect="00146A54">
          <w:pgSz w:w="12240" w:h="15840" w:code="1"/>
          <w:pgMar w:top="1440" w:right="1440" w:bottom="1440" w:left="1440" w:header="720" w:footer="720" w:gutter="0"/>
          <w:pgNumType w:start="1" w:chapStyle="5"/>
          <w:cols w:space="720"/>
          <w:docGrid w:linePitch="360"/>
        </w:sectPr>
      </w:pPr>
    </w:p>
    <w:p w14:paraId="021E5068" w14:textId="77777777" w:rsidR="001F576C" w:rsidRDefault="001F576C" w:rsidP="001F576C">
      <w:pPr>
        <w:pStyle w:val="Heading5"/>
      </w:pPr>
      <w:bookmarkStart w:id="1116" w:name="_Ref477351442"/>
      <w:bookmarkStart w:id="1117" w:name="_Ref477351445"/>
      <w:bookmarkStart w:id="1118" w:name="_Ref477351448"/>
      <w:bookmarkStart w:id="1119" w:name="_Toc478990544"/>
      <w:bookmarkStart w:id="1120" w:name="_Toc479768622"/>
      <w:bookmarkStart w:id="1121" w:name="_Toc482357343"/>
      <w:bookmarkStart w:id="1122" w:name="_Toc482634318"/>
      <w:bookmarkStart w:id="1123" w:name="_Toc482626450"/>
      <w:bookmarkStart w:id="1124" w:name="_Toc484092526"/>
      <w:bookmarkStart w:id="1125" w:name="_Toc484172731"/>
      <w:bookmarkStart w:id="1126" w:name="_Toc484183078"/>
      <w:bookmarkStart w:id="1127" w:name="_Toc490225844"/>
      <w:r>
        <w:lastRenderedPageBreak/>
        <w:t>Codes &amp; Standards</w:t>
      </w:r>
      <w:bookmarkEnd w:id="1116"/>
      <w:bookmarkEnd w:id="1117"/>
      <w:bookmarkEnd w:id="1118"/>
      <w:bookmarkEnd w:id="1119"/>
      <w:bookmarkEnd w:id="1120"/>
      <w:bookmarkEnd w:id="1121"/>
      <w:bookmarkEnd w:id="1122"/>
      <w:bookmarkEnd w:id="1123"/>
      <w:bookmarkEnd w:id="1124"/>
      <w:bookmarkEnd w:id="1125"/>
      <w:bookmarkEnd w:id="1126"/>
      <w:bookmarkEnd w:id="1127"/>
    </w:p>
    <w:p w14:paraId="5FFF5309" w14:textId="77777777" w:rsidR="008D4574" w:rsidRDefault="00B5177D" w:rsidP="00483510">
      <w:pPr>
        <w:pStyle w:val="Caption"/>
      </w:pPr>
      <w:bookmarkStart w:id="1128" w:name="_Toc482634238"/>
      <w:bookmarkStart w:id="1129" w:name="_Toc484436979"/>
      <w:bookmarkStart w:id="1130" w:name="_Toc490226041"/>
      <w:r>
        <w:t xml:space="preserve">Table </w:t>
      </w:r>
      <w:fldSimple w:instr=" STYLEREF 5 \s ">
        <w:r w:rsidR="007566B9">
          <w:rPr>
            <w:noProof/>
          </w:rPr>
          <w:t>E</w:t>
        </w:r>
      </w:fldSimple>
      <w:r>
        <w:noBreakHyphen/>
      </w:r>
      <w:fldSimple w:instr=" SEQ Table_Apx \* ARABIC \s 5 ">
        <w:r w:rsidR="007566B9">
          <w:rPr>
            <w:noProof/>
          </w:rPr>
          <w:t>1</w:t>
        </w:r>
      </w:fldSimple>
      <w:r>
        <w:t xml:space="preserve">. </w:t>
      </w:r>
      <w:r w:rsidR="008D4574">
        <w:t>C&amp;S Modeled</w:t>
      </w:r>
      <w:bookmarkEnd w:id="1128"/>
      <w:bookmarkEnd w:id="1129"/>
      <w:bookmarkEnd w:id="1130"/>
    </w:p>
    <w:tbl>
      <w:tblPr>
        <w:tblStyle w:val="EnergyTable1"/>
        <w:tblpPr w:leftFromText="180" w:rightFromText="180" w:vertAnchor="text" w:tblpXSpec="center" w:tblpY="1"/>
        <w:tblW w:w="4745" w:type="pct"/>
        <w:tblLook w:val="0620" w:firstRow="1" w:lastRow="0" w:firstColumn="0" w:lastColumn="0" w:noHBand="1" w:noVBand="1"/>
      </w:tblPr>
      <w:tblGrid>
        <w:gridCol w:w="1064"/>
        <w:gridCol w:w="3745"/>
        <w:gridCol w:w="1148"/>
        <w:gridCol w:w="1217"/>
        <w:gridCol w:w="1709"/>
      </w:tblGrid>
      <w:tr w:rsidR="002544A3" w:rsidRPr="00483510" w14:paraId="06BA5928" w14:textId="77777777" w:rsidTr="00110120">
        <w:trPr>
          <w:cnfStyle w:val="100000000000" w:firstRow="1" w:lastRow="0" w:firstColumn="0" w:lastColumn="0" w:oddVBand="0" w:evenVBand="0" w:oddHBand="0" w:evenHBand="0" w:firstRowFirstColumn="0" w:firstRowLastColumn="0" w:lastRowFirstColumn="0" w:lastRowLastColumn="0"/>
          <w:tblHeader/>
        </w:trPr>
        <w:tc>
          <w:tcPr>
            <w:tcW w:w="599" w:type="pct"/>
          </w:tcPr>
          <w:p w14:paraId="61217562" w14:textId="77777777" w:rsidR="006B44D0" w:rsidRPr="00483510" w:rsidRDefault="006B44D0" w:rsidP="006B44D0">
            <w:pPr>
              <w:rPr>
                <w:rFonts w:ascii="Arial Narrow" w:hAnsi="Arial Narrow"/>
                <w:color w:val="FF0000"/>
                <w:sz w:val="18"/>
                <w:szCs w:val="18"/>
              </w:rPr>
            </w:pPr>
            <w:r w:rsidRPr="00483510">
              <w:rPr>
                <w:rFonts w:ascii="Arial Narrow" w:hAnsi="Arial Narrow"/>
                <w:sz w:val="18"/>
                <w:szCs w:val="18"/>
              </w:rPr>
              <w:t>Regulation</w:t>
            </w:r>
          </w:p>
        </w:tc>
        <w:tc>
          <w:tcPr>
            <w:tcW w:w="2108" w:type="pct"/>
          </w:tcPr>
          <w:p w14:paraId="5BA11DC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Code or Standard Name</w:t>
            </w:r>
          </w:p>
        </w:tc>
        <w:tc>
          <w:tcPr>
            <w:tcW w:w="646" w:type="pct"/>
          </w:tcPr>
          <w:p w14:paraId="4F00015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Compliance Rate</w:t>
            </w:r>
            <w:r w:rsidRPr="00483510">
              <w:rPr>
                <w:rStyle w:val="FootnoteReference"/>
                <w:color w:val="FFFFFF" w:themeColor="background1"/>
                <w:sz w:val="18"/>
                <w:szCs w:val="18"/>
              </w:rPr>
              <w:footnoteReference w:id="177"/>
            </w:r>
          </w:p>
        </w:tc>
        <w:tc>
          <w:tcPr>
            <w:tcW w:w="685" w:type="pct"/>
          </w:tcPr>
          <w:p w14:paraId="4E40E46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Effective Date</w:t>
            </w:r>
          </w:p>
        </w:tc>
        <w:tc>
          <w:tcPr>
            <w:tcW w:w="962" w:type="pct"/>
          </w:tcPr>
          <w:p w14:paraId="2A868C1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Policy View</w:t>
            </w:r>
          </w:p>
        </w:tc>
      </w:tr>
      <w:tr w:rsidR="006B44D0" w:rsidRPr="00483510" w14:paraId="26FE5D8D" w14:textId="77777777" w:rsidTr="00AF21BE">
        <w:tc>
          <w:tcPr>
            <w:tcW w:w="0" w:type="pct"/>
          </w:tcPr>
          <w:p w14:paraId="35FB097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0" w:type="pct"/>
          </w:tcPr>
          <w:p w14:paraId="7AA7852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Commercial Refrigeration Equipment, Solid Door</w:t>
            </w:r>
          </w:p>
        </w:tc>
        <w:tc>
          <w:tcPr>
            <w:tcW w:w="0" w:type="pct"/>
          </w:tcPr>
          <w:p w14:paraId="07AB2DD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70%</w:t>
            </w:r>
          </w:p>
        </w:tc>
        <w:tc>
          <w:tcPr>
            <w:tcW w:w="0" w:type="pct"/>
          </w:tcPr>
          <w:p w14:paraId="4D0A457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1E18584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28563B5" w14:textId="77777777" w:rsidTr="00AF21BE">
        <w:tc>
          <w:tcPr>
            <w:tcW w:w="0" w:type="pct"/>
          </w:tcPr>
          <w:p w14:paraId="0757BCF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0" w:type="pct"/>
          </w:tcPr>
          <w:p w14:paraId="4BF857C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Commercial Refrigeration Equipment, Transparent Door</w:t>
            </w:r>
          </w:p>
        </w:tc>
        <w:tc>
          <w:tcPr>
            <w:tcW w:w="0" w:type="pct"/>
          </w:tcPr>
          <w:p w14:paraId="114C01D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70%</w:t>
            </w:r>
          </w:p>
        </w:tc>
        <w:tc>
          <w:tcPr>
            <w:tcW w:w="0" w:type="pct"/>
          </w:tcPr>
          <w:p w14:paraId="2BEECCA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1/1/2007</w:t>
            </w:r>
          </w:p>
        </w:tc>
        <w:tc>
          <w:tcPr>
            <w:tcW w:w="0" w:type="pct"/>
          </w:tcPr>
          <w:p w14:paraId="032DE3B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63FB2CE" w14:textId="77777777" w:rsidTr="00AF21BE">
        <w:tc>
          <w:tcPr>
            <w:tcW w:w="0" w:type="pct"/>
          </w:tcPr>
          <w:p w14:paraId="224EDF2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0" w:type="pct"/>
          </w:tcPr>
          <w:p w14:paraId="46D31E0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Commercial Ice Maker Equipment</w:t>
            </w:r>
          </w:p>
        </w:tc>
        <w:tc>
          <w:tcPr>
            <w:tcW w:w="0" w:type="pct"/>
          </w:tcPr>
          <w:p w14:paraId="2C33C3F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70%</w:t>
            </w:r>
          </w:p>
        </w:tc>
        <w:tc>
          <w:tcPr>
            <w:tcW w:w="0" w:type="pct"/>
          </w:tcPr>
          <w:p w14:paraId="58F2ABC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1/1/2008</w:t>
            </w:r>
          </w:p>
        </w:tc>
        <w:tc>
          <w:tcPr>
            <w:tcW w:w="0" w:type="pct"/>
          </w:tcPr>
          <w:p w14:paraId="70B40C1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69650AC" w14:textId="77777777" w:rsidTr="00AF21BE">
        <w:tc>
          <w:tcPr>
            <w:tcW w:w="0" w:type="pct"/>
          </w:tcPr>
          <w:p w14:paraId="14BB5F6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0" w:type="pct"/>
          </w:tcPr>
          <w:p w14:paraId="7346DE3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Walk-In Refrigerators / Freezers</w:t>
            </w:r>
          </w:p>
        </w:tc>
        <w:tc>
          <w:tcPr>
            <w:tcW w:w="0" w:type="pct"/>
          </w:tcPr>
          <w:p w14:paraId="00C78C8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w:t>
            </w:r>
          </w:p>
        </w:tc>
        <w:tc>
          <w:tcPr>
            <w:tcW w:w="0" w:type="pct"/>
          </w:tcPr>
          <w:p w14:paraId="0266882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3281549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93F2CBB" w14:textId="77777777" w:rsidTr="00AF21BE">
        <w:tc>
          <w:tcPr>
            <w:tcW w:w="0" w:type="pct"/>
          </w:tcPr>
          <w:p w14:paraId="6FA1A9B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0" w:type="pct"/>
          </w:tcPr>
          <w:p w14:paraId="27F7CD4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Refrigerated Beverage Vending Machines</w:t>
            </w:r>
          </w:p>
        </w:tc>
        <w:tc>
          <w:tcPr>
            <w:tcW w:w="0" w:type="pct"/>
          </w:tcPr>
          <w:p w14:paraId="688AA9C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37%</w:t>
            </w:r>
          </w:p>
        </w:tc>
        <w:tc>
          <w:tcPr>
            <w:tcW w:w="0" w:type="pct"/>
          </w:tcPr>
          <w:p w14:paraId="2A9F3B3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39AF684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9F57202" w14:textId="77777777" w:rsidTr="00AF21BE">
        <w:tc>
          <w:tcPr>
            <w:tcW w:w="0" w:type="pct"/>
          </w:tcPr>
          <w:p w14:paraId="27A3AE5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0" w:type="pct"/>
          </w:tcPr>
          <w:p w14:paraId="4D651AF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Large Packaged Commercial Air-Conditioners, Tier 1</w:t>
            </w:r>
          </w:p>
        </w:tc>
        <w:tc>
          <w:tcPr>
            <w:tcW w:w="0" w:type="pct"/>
          </w:tcPr>
          <w:p w14:paraId="3AC89F9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70%</w:t>
            </w:r>
          </w:p>
        </w:tc>
        <w:tc>
          <w:tcPr>
            <w:tcW w:w="0" w:type="pct"/>
          </w:tcPr>
          <w:p w14:paraId="3D9F5B9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10/1/2006</w:t>
            </w:r>
          </w:p>
        </w:tc>
        <w:tc>
          <w:tcPr>
            <w:tcW w:w="0" w:type="pct"/>
          </w:tcPr>
          <w:p w14:paraId="258993B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4EAEAB5" w14:textId="77777777" w:rsidTr="00AF21BE">
        <w:tc>
          <w:tcPr>
            <w:tcW w:w="0" w:type="pct"/>
          </w:tcPr>
          <w:p w14:paraId="482380F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0" w:type="pct"/>
          </w:tcPr>
          <w:p w14:paraId="1517F74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Large Packaged Commercial Air-Conditioners, Tier 2</w:t>
            </w:r>
          </w:p>
        </w:tc>
        <w:tc>
          <w:tcPr>
            <w:tcW w:w="0" w:type="pct"/>
          </w:tcPr>
          <w:p w14:paraId="5375127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70%</w:t>
            </w:r>
          </w:p>
        </w:tc>
        <w:tc>
          <w:tcPr>
            <w:tcW w:w="0" w:type="pct"/>
          </w:tcPr>
          <w:p w14:paraId="4D522C4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1/1/2010</w:t>
            </w:r>
          </w:p>
        </w:tc>
        <w:tc>
          <w:tcPr>
            <w:tcW w:w="0" w:type="pct"/>
          </w:tcPr>
          <w:p w14:paraId="6478AF5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E1C5951" w14:textId="77777777" w:rsidTr="00AF21BE">
        <w:tc>
          <w:tcPr>
            <w:tcW w:w="0" w:type="pct"/>
          </w:tcPr>
          <w:p w14:paraId="433AD64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0" w:type="pct"/>
          </w:tcPr>
          <w:p w14:paraId="433B484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Pool Pumps, High Eff Motor, Tier 1</w:t>
            </w:r>
          </w:p>
        </w:tc>
        <w:tc>
          <w:tcPr>
            <w:tcW w:w="0" w:type="pct"/>
          </w:tcPr>
          <w:p w14:paraId="545151A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0" w:type="pct"/>
          </w:tcPr>
          <w:p w14:paraId="4EB6E09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58D2E80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09F4852" w14:textId="77777777" w:rsidTr="00AF21BE">
        <w:tc>
          <w:tcPr>
            <w:tcW w:w="0" w:type="pct"/>
          </w:tcPr>
          <w:p w14:paraId="109B4D2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0" w:type="pct"/>
          </w:tcPr>
          <w:p w14:paraId="30EC552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Portable Electric Spas</w:t>
            </w:r>
          </w:p>
        </w:tc>
        <w:tc>
          <w:tcPr>
            <w:tcW w:w="0" w:type="pct"/>
          </w:tcPr>
          <w:p w14:paraId="758C37B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70%</w:t>
            </w:r>
          </w:p>
        </w:tc>
        <w:tc>
          <w:tcPr>
            <w:tcW w:w="0" w:type="pct"/>
          </w:tcPr>
          <w:p w14:paraId="1F41A92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35029F1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851E99A" w14:textId="77777777" w:rsidTr="00AF21BE">
        <w:tc>
          <w:tcPr>
            <w:tcW w:w="0" w:type="pct"/>
          </w:tcPr>
          <w:p w14:paraId="39A6466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0" w:type="pct"/>
          </w:tcPr>
          <w:p w14:paraId="3AE6FA3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General Service Incandescent Lamps, Tier 1</w:t>
            </w:r>
          </w:p>
        </w:tc>
        <w:tc>
          <w:tcPr>
            <w:tcW w:w="0" w:type="pct"/>
          </w:tcPr>
          <w:p w14:paraId="4A19D6F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69%</w:t>
            </w:r>
          </w:p>
        </w:tc>
        <w:tc>
          <w:tcPr>
            <w:tcW w:w="0" w:type="pct"/>
          </w:tcPr>
          <w:p w14:paraId="5C578F8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262AF05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D09524E" w14:textId="77777777" w:rsidTr="00AF21BE">
        <w:tc>
          <w:tcPr>
            <w:tcW w:w="0" w:type="pct"/>
          </w:tcPr>
          <w:p w14:paraId="597BB02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0" w:type="pct"/>
          </w:tcPr>
          <w:p w14:paraId="7921C7F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Pulse Start Metal Halide HID Luminaires, Tier 1(Vertical Lamps)</w:t>
            </w:r>
          </w:p>
        </w:tc>
        <w:tc>
          <w:tcPr>
            <w:tcW w:w="0" w:type="pct"/>
          </w:tcPr>
          <w:p w14:paraId="200256D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0" w:type="pct"/>
          </w:tcPr>
          <w:p w14:paraId="14C9F11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2232AC5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277AF70" w14:textId="77777777" w:rsidTr="00AF21BE">
        <w:tc>
          <w:tcPr>
            <w:tcW w:w="0" w:type="pct"/>
          </w:tcPr>
          <w:p w14:paraId="39A73AA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0" w:type="pct"/>
          </w:tcPr>
          <w:p w14:paraId="5F80E01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Pulse Start Metal Halide HID Luminaires, Tier 2(All other MH</w:t>
            </w:r>
          </w:p>
        </w:tc>
        <w:tc>
          <w:tcPr>
            <w:tcW w:w="0" w:type="pct"/>
          </w:tcPr>
          <w:p w14:paraId="6E22D07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0" w:type="pct"/>
          </w:tcPr>
          <w:p w14:paraId="48A5335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1/1/2008</w:t>
            </w:r>
          </w:p>
        </w:tc>
        <w:tc>
          <w:tcPr>
            <w:tcW w:w="0" w:type="pct"/>
          </w:tcPr>
          <w:p w14:paraId="04AF41B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7DDA0AA" w14:textId="77777777" w:rsidTr="00AF21BE">
        <w:tc>
          <w:tcPr>
            <w:tcW w:w="0" w:type="pct"/>
          </w:tcPr>
          <w:p w14:paraId="549245D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0" w:type="pct"/>
          </w:tcPr>
          <w:p w14:paraId="0A8EF18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Modular Furniture Task Lighting Fixtures </w:t>
            </w:r>
          </w:p>
        </w:tc>
        <w:tc>
          <w:tcPr>
            <w:tcW w:w="0" w:type="pct"/>
          </w:tcPr>
          <w:p w14:paraId="28D46B0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70%</w:t>
            </w:r>
          </w:p>
        </w:tc>
        <w:tc>
          <w:tcPr>
            <w:tcW w:w="0" w:type="pct"/>
          </w:tcPr>
          <w:p w14:paraId="781B0B7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1/1/2008</w:t>
            </w:r>
          </w:p>
        </w:tc>
        <w:tc>
          <w:tcPr>
            <w:tcW w:w="0" w:type="pct"/>
          </w:tcPr>
          <w:p w14:paraId="4092B95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429F463" w14:textId="77777777" w:rsidTr="00AF21BE">
        <w:tc>
          <w:tcPr>
            <w:tcW w:w="0" w:type="pct"/>
          </w:tcPr>
          <w:p w14:paraId="6C6973F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0" w:type="pct"/>
          </w:tcPr>
          <w:p w14:paraId="2492E59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Hot Food Holding Cabinets</w:t>
            </w:r>
          </w:p>
        </w:tc>
        <w:tc>
          <w:tcPr>
            <w:tcW w:w="0" w:type="pct"/>
          </w:tcPr>
          <w:p w14:paraId="327F568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70%</w:t>
            </w:r>
          </w:p>
        </w:tc>
        <w:tc>
          <w:tcPr>
            <w:tcW w:w="0" w:type="pct"/>
          </w:tcPr>
          <w:p w14:paraId="5A27767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36F8DC5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1A4F69A" w14:textId="77777777" w:rsidTr="00AF21BE">
        <w:tc>
          <w:tcPr>
            <w:tcW w:w="0" w:type="pct"/>
          </w:tcPr>
          <w:p w14:paraId="58913A5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0" w:type="pct"/>
          </w:tcPr>
          <w:p w14:paraId="5677837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External Power Supplies, Tier 1 </w:t>
            </w:r>
          </w:p>
        </w:tc>
        <w:tc>
          <w:tcPr>
            <w:tcW w:w="0" w:type="pct"/>
          </w:tcPr>
          <w:p w14:paraId="41FBCCC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0" w:type="pct"/>
          </w:tcPr>
          <w:p w14:paraId="73EC49A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1/1/2007</w:t>
            </w:r>
          </w:p>
        </w:tc>
        <w:tc>
          <w:tcPr>
            <w:tcW w:w="0" w:type="pct"/>
          </w:tcPr>
          <w:p w14:paraId="4AD3926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E85FA59" w14:textId="77777777" w:rsidTr="00AF21BE">
        <w:tc>
          <w:tcPr>
            <w:tcW w:w="0" w:type="pct"/>
          </w:tcPr>
          <w:p w14:paraId="209542B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0" w:type="pct"/>
          </w:tcPr>
          <w:p w14:paraId="192D5F5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External Power Supplies, Tier 2</w:t>
            </w:r>
          </w:p>
        </w:tc>
        <w:tc>
          <w:tcPr>
            <w:tcW w:w="0" w:type="pct"/>
          </w:tcPr>
          <w:p w14:paraId="7CAF65E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99%</w:t>
            </w:r>
          </w:p>
        </w:tc>
        <w:tc>
          <w:tcPr>
            <w:tcW w:w="0" w:type="pct"/>
          </w:tcPr>
          <w:p w14:paraId="6FE5D5F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7/1/2008</w:t>
            </w:r>
          </w:p>
        </w:tc>
        <w:tc>
          <w:tcPr>
            <w:tcW w:w="0" w:type="pct"/>
          </w:tcPr>
          <w:p w14:paraId="5F4F413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EACDF08" w14:textId="77777777" w:rsidTr="00AF21BE">
        <w:tc>
          <w:tcPr>
            <w:tcW w:w="0" w:type="pct"/>
          </w:tcPr>
          <w:p w14:paraId="74E235F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0" w:type="pct"/>
          </w:tcPr>
          <w:p w14:paraId="253C6A7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Consumer Electronics - Audio Players</w:t>
            </w:r>
          </w:p>
        </w:tc>
        <w:tc>
          <w:tcPr>
            <w:tcW w:w="0" w:type="pct"/>
          </w:tcPr>
          <w:p w14:paraId="19CC4FB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0" w:type="pct"/>
          </w:tcPr>
          <w:p w14:paraId="4E19D63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1/1/2007</w:t>
            </w:r>
          </w:p>
        </w:tc>
        <w:tc>
          <w:tcPr>
            <w:tcW w:w="0" w:type="pct"/>
          </w:tcPr>
          <w:p w14:paraId="503C26E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115646E" w14:textId="77777777" w:rsidTr="00AF21BE">
        <w:tc>
          <w:tcPr>
            <w:tcW w:w="0" w:type="pct"/>
          </w:tcPr>
          <w:p w14:paraId="38F5067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0" w:type="pct"/>
          </w:tcPr>
          <w:p w14:paraId="2B05741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Consumer Electronics - TVs</w:t>
            </w:r>
          </w:p>
        </w:tc>
        <w:tc>
          <w:tcPr>
            <w:tcW w:w="0" w:type="pct"/>
          </w:tcPr>
          <w:p w14:paraId="0B43A26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96%</w:t>
            </w:r>
          </w:p>
        </w:tc>
        <w:tc>
          <w:tcPr>
            <w:tcW w:w="0" w:type="pct"/>
          </w:tcPr>
          <w:p w14:paraId="3CB9E93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4333B0E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B90F39E" w14:textId="77777777" w:rsidTr="00AF21BE">
        <w:tc>
          <w:tcPr>
            <w:tcW w:w="0" w:type="pct"/>
          </w:tcPr>
          <w:p w14:paraId="1CBAAEB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0" w:type="pct"/>
          </w:tcPr>
          <w:p w14:paraId="40CEA69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Consumer Electronics - DVDs</w:t>
            </w:r>
          </w:p>
        </w:tc>
        <w:tc>
          <w:tcPr>
            <w:tcW w:w="0" w:type="pct"/>
          </w:tcPr>
          <w:p w14:paraId="52DA849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31%</w:t>
            </w:r>
          </w:p>
        </w:tc>
        <w:tc>
          <w:tcPr>
            <w:tcW w:w="0" w:type="pct"/>
          </w:tcPr>
          <w:p w14:paraId="241E61F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3CA1F06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CB4DC54" w14:textId="77777777" w:rsidTr="00AF21BE">
        <w:tc>
          <w:tcPr>
            <w:tcW w:w="0" w:type="pct"/>
          </w:tcPr>
          <w:p w14:paraId="72DEB77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0" w:type="pct"/>
          </w:tcPr>
          <w:p w14:paraId="6530F32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Water Dispensers</w:t>
            </w:r>
          </w:p>
        </w:tc>
        <w:tc>
          <w:tcPr>
            <w:tcW w:w="0" w:type="pct"/>
          </w:tcPr>
          <w:p w14:paraId="21ECC52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70%</w:t>
            </w:r>
          </w:p>
        </w:tc>
        <w:tc>
          <w:tcPr>
            <w:tcW w:w="0" w:type="pct"/>
          </w:tcPr>
          <w:p w14:paraId="13546CE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28E24D1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B1E61AB" w14:textId="77777777" w:rsidTr="00AF21BE">
        <w:tc>
          <w:tcPr>
            <w:tcW w:w="0" w:type="pct"/>
          </w:tcPr>
          <w:p w14:paraId="11753BF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0" w:type="pct"/>
          </w:tcPr>
          <w:p w14:paraId="598B189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Unit Heaters and Duct Furnaces</w:t>
            </w:r>
          </w:p>
        </w:tc>
        <w:tc>
          <w:tcPr>
            <w:tcW w:w="0" w:type="pct"/>
          </w:tcPr>
          <w:p w14:paraId="483B8E8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0" w:type="pct"/>
          </w:tcPr>
          <w:p w14:paraId="2FD8C9C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2AC1E29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F8ABBAF" w14:textId="77777777" w:rsidTr="00AF21BE">
        <w:tc>
          <w:tcPr>
            <w:tcW w:w="0" w:type="pct"/>
          </w:tcPr>
          <w:p w14:paraId="0795BA6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T-20</w:t>
            </w:r>
          </w:p>
        </w:tc>
        <w:tc>
          <w:tcPr>
            <w:tcW w:w="0" w:type="pct"/>
          </w:tcPr>
          <w:p w14:paraId="161D072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Commercial Dishwasher Pre-Rinse Spray Valves</w:t>
            </w:r>
          </w:p>
        </w:tc>
        <w:tc>
          <w:tcPr>
            <w:tcW w:w="0" w:type="pct"/>
          </w:tcPr>
          <w:p w14:paraId="72A8B8D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0" w:type="pct"/>
          </w:tcPr>
          <w:p w14:paraId="4DC8D19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2C1EAAC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6624981" w14:textId="77777777" w:rsidTr="00AF21BE">
        <w:tc>
          <w:tcPr>
            <w:tcW w:w="0" w:type="pct"/>
          </w:tcPr>
          <w:p w14:paraId="784EFA2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2006 T-20</w:t>
            </w:r>
          </w:p>
        </w:tc>
        <w:tc>
          <w:tcPr>
            <w:tcW w:w="0" w:type="pct"/>
          </w:tcPr>
          <w:p w14:paraId="08E03C6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Pool Pumps, 2-speed Motors, Tier 2</w:t>
            </w:r>
          </w:p>
        </w:tc>
        <w:tc>
          <w:tcPr>
            <w:tcW w:w="0" w:type="pct"/>
          </w:tcPr>
          <w:p w14:paraId="1D7A342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86%</w:t>
            </w:r>
          </w:p>
        </w:tc>
        <w:tc>
          <w:tcPr>
            <w:tcW w:w="0" w:type="pct"/>
          </w:tcPr>
          <w:p w14:paraId="742EA15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1/1/2008</w:t>
            </w:r>
          </w:p>
        </w:tc>
        <w:tc>
          <w:tcPr>
            <w:tcW w:w="0" w:type="pct"/>
          </w:tcPr>
          <w:p w14:paraId="3BF162A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F1753F7" w14:textId="77777777" w:rsidTr="00AF21BE">
        <w:tc>
          <w:tcPr>
            <w:tcW w:w="0" w:type="pct"/>
          </w:tcPr>
          <w:p w14:paraId="73AAB37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2006 T-20</w:t>
            </w:r>
          </w:p>
        </w:tc>
        <w:tc>
          <w:tcPr>
            <w:tcW w:w="0" w:type="pct"/>
          </w:tcPr>
          <w:p w14:paraId="76B4327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General Service Incandescent Lamps, Tier 2 #1</w:t>
            </w:r>
          </w:p>
        </w:tc>
        <w:tc>
          <w:tcPr>
            <w:tcW w:w="0" w:type="pct"/>
          </w:tcPr>
          <w:p w14:paraId="7A004B9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87%</w:t>
            </w:r>
          </w:p>
        </w:tc>
        <w:tc>
          <w:tcPr>
            <w:tcW w:w="0" w:type="pct"/>
          </w:tcPr>
          <w:p w14:paraId="78614D7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1/1/2008</w:t>
            </w:r>
          </w:p>
        </w:tc>
        <w:tc>
          <w:tcPr>
            <w:tcW w:w="0" w:type="pct"/>
          </w:tcPr>
          <w:p w14:paraId="47E5346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17AA3F8" w14:textId="77777777" w:rsidTr="00AF21BE">
        <w:tc>
          <w:tcPr>
            <w:tcW w:w="0" w:type="pct"/>
          </w:tcPr>
          <w:p w14:paraId="7CFD05B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2006 T-20</w:t>
            </w:r>
          </w:p>
        </w:tc>
        <w:tc>
          <w:tcPr>
            <w:tcW w:w="0" w:type="pct"/>
          </w:tcPr>
          <w:p w14:paraId="11D044C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General Service Incandescent Lamps, Tier 2 #2</w:t>
            </w:r>
          </w:p>
        </w:tc>
        <w:tc>
          <w:tcPr>
            <w:tcW w:w="0" w:type="pct"/>
          </w:tcPr>
          <w:p w14:paraId="7DEB21F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87%</w:t>
            </w:r>
          </w:p>
        </w:tc>
        <w:tc>
          <w:tcPr>
            <w:tcW w:w="0" w:type="pct"/>
          </w:tcPr>
          <w:p w14:paraId="4081F55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1/1/2008</w:t>
            </w:r>
          </w:p>
        </w:tc>
        <w:tc>
          <w:tcPr>
            <w:tcW w:w="0" w:type="pct"/>
          </w:tcPr>
          <w:p w14:paraId="54AED05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57582C2" w14:textId="77777777" w:rsidTr="00AF21BE">
        <w:tc>
          <w:tcPr>
            <w:tcW w:w="0" w:type="pct"/>
          </w:tcPr>
          <w:p w14:paraId="68F1343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2006 T-20</w:t>
            </w:r>
          </w:p>
        </w:tc>
        <w:tc>
          <w:tcPr>
            <w:tcW w:w="0" w:type="pct"/>
          </w:tcPr>
          <w:p w14:paraId="086C002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General Service Incandescent Lamps, Tier 2 #3</w:t>
            </w:r>
          </w:p>
        </w:tc>
        <w:tc>
          <w:tcPr>
            <w:tcW w:w="0" w:type="pct"/>
          </w:tcPr>
          <w:p w14:paraId="324E0B5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89%</w:t>
            </w:r>
          </w:p>
        </w:tc>
        <w:tc>
          <w:tcPr>
            <w:tcW w:w="0" w:type="pct"/>
          </w:tcPr>
          <w:p w14:paraId="7716E80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1/1/2008</w:t>
            </w:r>
          </w:p>
        </w:tc>
        <w:tc>
          <w:tcPr>
            <w:tcW w:w="0" w:type="pct"/>
          </w:tcPr>
          <w:p w14:paraId="44CFDD9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766CE7F" w14:textId="77777777" w:rsidTr="00AF21BE">
        <w:tc>
          <w:tcPr>
            <w:tcW w:w="0" w:type="pct"/>
          </w:tcPr>
          <w:p w14:paraId="38264B8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2006 T-20</w:t>
            </w:r>
          </w:p>
        </w:tc>
        <w:tc>
          <w:tcPr>
            <w:tcW w:w="0" w:type="pct"/>
          </w:tcPr>
          <w:p w14:paraId="302D62D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BR, ER and R20 Incandescent Reflector Lamps: Residential</w:t>
            </w:r>
          </w:p>
        </w:tc>
        <w:tc>
          <w:tcPr>
            <w:tcW w:w="0" w:type="pct"/>
          </w:tcPr>
          <w:p w14:paraId="5835032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82%</w:t>
            </w:r>
          </w:p>
        </w:tc>
        <w:tc>
          <w:tcPr>
            <w:tcW w:w="0" w:type="pct"/>
          </w:tcPr>
          <w:p w14:paraId="04C5F7F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1/8/2008</w:t>
            </w:r>
          </w:p>
        </w:tc>
        <w:tc>
          <w:tcPr>
            <w:tcW w:w="0" w:type="pct"/>
          </w:tcPr>
          <w:p w14:paraId="39C64C3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3EA6EBD" w14:textId="77777777" w:rsidTr="00AF21BE">
        <w:tc>
          <w:tcPr>
            <w:tcW w:w="0" w:type="pct"/>
          </w:tcPr>
          <w:p w14:paraId="0E0CA2E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lastRenderedPageBreak/>
              <w:t>2006 T-20</w:t>
            </w:r>
          </w:p>
        </w:tc>
        <w:tc>
          <w:tcPr>
            <w:tcW w:w="0" w:type="pct"/>
          </w:tcPr>
          <w:p w14:paraId="15D307D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BR, ER and R20 Incandescent Reflector Lamps: Commercial</w:t>
            </w:r>
          </w:p>
        </w:tc>
        <w:tc>
          <w:tcPr>
            <w:tcW w:w="0" w:type="pct"/>
          </w:tcPr>
          <w:p w14:paraId="5BE056E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82%</w:t>
            </w:r>
          </w:p>
        </w:tc>
        <w:tc>
          <w:tcPr>
            <w:tcW w:w="0" w:type="pct"/>
          </w:tcPr>
          <w:p w14:paraId="48721A8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1/8/2008</w:t>
            </w:r>
          </w:p>
        </w:tc>
        <w:tc>
          <w:tcPr>
            <w:tcW w:w="0" w:type="pct"/>
          </w:tcPr>
          <w:p w14:paraId="5C6FB11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61BB634" w14:textId="77777777" w:rsidTr="00AF21BE">
        <w:tc>
          <w:tcPr>
            <w:tcW w:w="0" w:type="pct"/>
          </w:tcPr>
          <w:p w14:paraId="13A7344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T-20</w:t>
            </w:r>
          </w:p>
        </w:tc>
        <w:tc>
          <w:tcPr>
            <w:tcW w:w="0" w:type="pct"/>
          </w:tcPr>
          <w:p w14:paraId="108C9B8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Metal Halide Fixtures</w:t>
            </w:r>
          </w:p>
        </w:tc>
        <w:tc>
          <w:tcPr>
            <w:tcW w:w="0" w:type="pct"/>
          </w:tcPr>
          <w:p w14:paraId="7D372B7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95%</w:t>
            </w:r>
          </w:p>
        </w:tc>
        <w:tc>
          <w:tcPr>
            <w:tcW w:w="0" w:type="pct"/>
          </w:tcPr>
          <w:p w14:paraId="488B282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1/1/2010</w:t>
            </w:r>
          </w:p>
        </w:tc>
        <w:tc>
          <w:tcPr>
            <w:tcW w:w="0" w:type="pct"/>
          </w:tcPr>
          <w:p w14:paraId="1D905BB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D3984F8" w14:textId="77777777" w:rsidTr="00AF21BE">
        <w:tc>
          <w:tcPr>
            <w:tcW w:w="0" w:type="pct"/>
          </w:tcPr>
          <w:p w14:paraId="3029B53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T-20</w:t>
            </w:r>
          </w:p>
        </w:tc>
        <w:tc>
          <w:tcPr>
            <w:tcW w:w="0" w:type="pct"/>
          </w:tcPr>
          <w:p w14:paraId="4B1AE8E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Portable Lighting Fixtures</w:t>
            </w:r>
          </w:p>
        </w:tc>
        <w:tc>
          <w:tcPr>
            <w:tcW w:w="0" w:type="pct"/>
          </w:tcPr>
          <w:p w14:paraId="62650C6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93%</w:t>
            </w:r>
          </w:p>
        </w:tc>
        <w:tc>
          <w:tcPr>
            <w:tcW w:w="0" w:type="pct"/>
          </w:tcPr>
          <w:p w14:paraId="5998BCC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1/1/2010</w:t>
            </w:r>
          </w:p>
        </w:tc>
        <w:tc>
          <w:tcPr>
            <w:tcW w:w="0" w:type="pct"/>
          </w:tcPr>
          <w:p w14:paraId="538E17F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F07FC46" w14:textId="77777777" w:rsidTr="00AF21BE">
        <w:tc>
          <w:tcPr>
            <w:tcW w:w="0" w:type="pct"/>
          </w:tcPr>
          <w:p w14:paraId="72AEE0B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T-20</w:t>
            </w:r>
          </w:p>
        </w:tc>
        <w:tc>
          <w:tcPr>
            <w:tcW w:w="0" w:type="pct"/>
          </w:tcPr>
          <w:p w14:paraId="39EF459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General Purpose Lighting -- 100 watt</w:t>
            </w:r>
          </w:p>
        </w:tc>
        <w:tc>
          <w:tcPr>
            <w:tcW w:w="0" w:type="pct"/>
          </w:tcPr>
          <w:p w14:paraId="2B4D706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88%</w:t>
            </w:r>
          </w:p>
        </w:tc>
        <w:tc>
          <w:tcPr>
            <w:tcW w:w="0" w:type="pct"/>
          </w:tcPr>
          <w:p w14:paraId="54DEAC6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1/1/2011</w:t>
            </w:r>
          </w:p>
        </w:tc>
        <w:tc>
          <w:tcPr>
            <w:tcW w:w="0" w:type="pct"/>
          </w:tcPr>
          <w:p w14:paraId="7D89156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98C7D9D" w14:textId="77777777" w:rsidTr="00AF21BE">
        <w:tc>
          <w:tcPr>
            <w:tcW w:w="0" w:type="pct"/>
          </w:tcPr>
          <w:p w14:paraId="4065BEB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T-20</w:t>
            </w:r>
          </w:p>
        </w:tc>
        <w:tc>
          <w:tcPr>
            <w:tcW w:w="0" w:type="pct"/>
          </w:tcPr>
          <w:p w14:paraId="1A51DED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General Purpose Lighting -- 75 watt</w:t>
            </w:r>
          </w:p>
        </w:tc>
        <w:tc>
          <w:tcPr>
            <w:tcW w:w="0" w:type="pct"/>
          </w:tcPr>
          <w:p w14:paraId="51DF146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40%</w:t>
            </w:r>
          </w:p>
        </w:tc>
        <w:tc>
          <w:tcPr>
            <w:tcW w:w="0" w:type="pct"/>
          </w:tcPr>
          <w:p w14:paraId="761EB0F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1/1/2012</w:t>
            </w:r>
          </w:p>
        </w:tc>
        <w:tc>
          <w:tcPr>
            <w:tcW w:w="0" w:type="pct"/>
          </w:tcPr>
          <w:p w14:paraId="127910F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89038A6" w14:textId="77777777" w:rsidTr="00AF21BE">
        <w:tc>
          <w:tcPr>
            <w:tcW w:w="0" w:type="pct"/>
          </w:tcPr>
          <w:p w14:paraId="2DBBDE7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T-20</w:t>
            </w:r>
          </w:p>
        </w:tc>
        <w:tc>
          <w:tcPr>
            <w:tcW w:w="0" w:type="pct"/>
          </w:tcPr>
          <w:p w14:paraId="1B52E47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General Purpose Lighting -- 60 and 40 watt</w:t>
            </w:r>
          </w:p>
        </w:tc>
        <w:tc>
          <w:tcPr>
            <w:tcW w:w="0" w:type="pct"/>
          </w:tcPr>
          <w:p w14:paraId="56142DA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5F2954B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1/1/2013</w:t>
            </w:r>
          </w:p>
        </w:tc>
        <w:tc>
          <w:tcPr>
            <w:tcW w:w="0" w:type="pct"/>
          </w:tcPr>
          <w:p w14:paraId="4FA4990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B4C8EE9" w14:textId="77777777" w:rsidTr="00AF21BE">
        <w:tc>
          <w:tcPr>
            <w:tcW w:w="0" w:type="pct"/>
          </w:tcPr>
          <w:p w14:paraId="4FDA299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2009 T-20</w:t>
            </w:r>
          </w:p>
        </w:tc>
        <w:tc>
          <w:tcPr>
            <w:tcW w:w="0" w:type="pct"/>
          </w:tcPr>
          <w:p w14:paraId="7F7A9EA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Televisions - Tier 1</w:t>
            </w:r>
          </w:p>
        </w:tc>
        <w:tc>
          <w:tcPr>
            <w:tcW w:w="0" w:type="pct"/>
          </w:tcPr>
          <w:p w14:paraId="1E2494B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98%</w:t>
            </w:r>
          </w:p>
        </w:tc>
        <w:tc>
          <w:tcPr>
            <w:tcW w:w="0" w:type="pct"/>
          </w:tcPr>
          <w:p w14:paraId="7C698DE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1/1/2011</w:t>
            </w:r>
          </w:p>
        </w:tc>
        <w:tc>
          <w:tcPr>
            <w:tcW w:w="0" w:type="pct"/>
          </w:tcPr>
          <w:p w14:paraId="7877142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E201CD0" w14:textId="77777777" w:rsidTr="00AF21BE">
        <w:tc>
          <w:tcPr>
            <w:tcW w:w="0" w:type="pct"/>
          </w:tcPr>
          <w:p w14:paraId="13132E6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2009 T-20</w:t>
            </w:r>
          </w:p>
        </w:tc>
        <w:tc>
          <w:tcPr>
            <w:tcW w:w="0" w:type="pct"/>
          </w:tcPr>
          <w:p w14:paraId="61E8E4C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Televisions - Tier 2</w:t>
            </w:r>
          </w:p>
        </w:tc>
        <w:tc>
          <w:tcPr>
            <w:tcW w:w="0" w:type="pct"/>
          </w:tcPr>
          <w:p w14:paraId="3E9CEC8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99%</w:t>
            </w:r>
          </w:p>
        </w:tc>
        <w:tc>
          <w:tcPr>
            <w:tcW w:w="0" w:type="pct"/>
          </w:tcPr>
          <w:p w14:paraId="252AA8C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1/1/2013</w:t>
            </w:r>
          </w:p>
        </w:tc>
        <w:tc>
          <w:tcPr>
            <w:tcW w:w="0" w:type="pct"/>
          </w:tcPr>
          <w:p w14:paraId="709A64F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811F1E7" w14:textId="77777777" w:rsidTr="00AF21BE">
        <w:tc>
          <w:tcPr>
            <w:tcW w:w="0" w:type="pct"/>
          </w:tcPr>
          <w:p w14:paraId="60FE43A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2011 T-20</w:t>
            </w:r>
          </w:p>
        </w:tc>
        <w:tc>
          <w:tcPr>
            <w:tcW w:w="0" w:type="pct"/>
          </w:tcPr>
          <w:p w14:paraId="15776E9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Small Battery Chargers – Tier 1 (consumer with no USB charger or USB charger &lt;20 watt-hours)</w:t>
            </w:r>
          </w:p>
        </w:tc>
        <w:tc>
          <w:tcPr>
            <w:tcW w:w="0" w:type="pct"/>
          </w:tcPr>
          <w:p w14:paraId="21DB2EF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90%</w:t>
            </w:r>
          </w:p>
        </w:tc>
        <w:tc>
          <w:tcPr>
            <w:tcW w:w="0" w:type="pct"/>
          </w:tcPr>
          <w:p w14:paraId="70A485F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2/1/2013</w:t>
            </w:r>
          </w:p>
        </w:tc>
        <w:tc>
          <w:tcPr>
            <w:tcW w:w="0" w:type="pct"/>
          </w:tcPr>
          <w:p w14:paraId="72B4AB0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37B9353" w14:textId="77777777" w:rsidTr="00AF21BE">
        <w:tc>
          <w:tcPr>
            <w:tcW w:w="0" w:type="pct"/>
          </w:tcPr>
          <w:p w14:paraId="0379F3F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2011 T-20</w:t>
            </w:r>
          </w:p>
        </w:tc>
        <w:tc>
          <w:tcPr>
            <w:tcW w:w="0" w:type="pct"/>
          </w:tcPr>
          <w:p w14:paraId="7891751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Small Battery Chargers – Tier 2 (consumer with USB charger ≥20 watt-hours)</w:t>
            </w:r>
          </w:p>
        </w:tc>
        <w:tc>
          <w:tcPr>
            <w:tcW w:w="0" w:type="pct"/>
          </w:tcPr>
          <w:p w14:paraId="7F46DBA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88%</w:t>
            </w:r>
          </w:p>
        </w:tc>
        <w:tc>
          <w:tcPr>
            <w:tcW w:w="0" w:type="pct"/>
          </w:tcPr>
          <w:p w14:paraId="5C66B60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1/1/2014</w:t>
            </w:r>
          </w:p>
        </w:tc>
        <w:tc>
          <w:tcPr>
            <w:tcW w:w="0" w:type="pct"/>
          </w:tcPr>
          <w:p w14:paraId="6B62AC5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135D573" w14:textId="77777777" w:rsidTr="00AF21BE">
        <w:tc>
          <w:tcPr>
            <w:tcW w:w="0" w:type="pct"/>
          </w:tcPr>
          <w:p w14:paraId="76CFB6A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2011 T-20</w:t>
            </w:r>
          </w:p>
        </w:tc>
        <w:tc>
          <w:tcPr>
            <w:tcW w:w="0" w:type="pct"/>
          </w:tcPr>
          <w:p w14:paraId="19A0481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Small Battery Chargers – Tier 3 (non-consumer)</w:t>
            </w:r>
          </w:p>
        </w:tc>
        <w:tc>
          <w:tcPr>
            <w:tcW w:w="0" w:type="pct"/>
          </w:tcPr>
          <w:p w14:paraId="34FB7A2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2E89AFB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1/1/2017</w:t>
            </w:r>
          </w:p>
        </w:tc>
        <w:tc>
          <w:tcPr>
            <w:tcW w:w="0" w:type="pct"/>
          </w:tcPr>
          <w:p w14:paraId="7326C3E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F45BF88" w14:textId="77777777" w:rsidTr="00AF21BE">
        <w:tc>
          <w:tcPr>
            <w:tcW w:w="0" w:type="pct"/>
          </w:tcPr>
          <w:p w14:paraId="794A6B8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2011 T-20</w:t>
            </w:r>
          </w:p>
        </w:tc>
        <w:tc>
          <w:tcPr>
            <w:tcW w:w="0" w:type="pct"/>
          </w:tcPr>
          <w:p w14:paraId="370BF03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Large Battery Chargers (≥2kW rated input)</w:t>
            </w:r>
          </w:p>
        </w:tc>
        <w:tc>
          <w:tcPr>
            <w:tcW w:w="0" w:type="pct"/>
          </w:tcPr>
          <w:p w14:paraId="600B1D4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78%</w:t>
            </w:r>
          </w:p>
        </w:tc>
        <w:tc>
          <w:tcPr>
            <w:tcW w:w="0" w:type="pct"/>
          </w:tcPr>
          <w:p w14:paraId="256E5E6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1/1/2014</w:t>
            </w:r>
          </w:p>
        </w:tc>
        <w:tc>
          <w:tcPr>
            <w:tcW w:w="0" w:type="pct"/>
          </w:tcPr>
          <w:p w14:paraId="162908D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2B60896" w14:textId="77777777" w:rsidTr="00AF21BE">
        <w:tc>
          <w:tcPr>
            <w:tcW w:w="0" w:type="pct"/>
          </w:tcPr>
          <w:p w14:paraId="71D1958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2015 T-20</w:t>
            </w:r>
          </w:p>
        </w:tc>
        <w:tc>
          <w:tcPr>
            <w:tcW w:w="0" w:type="pct"/>
          </w:tcPr>
          <w:p w14:paraId="1063379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Faucets &amp; Aerators - Lavatory w/ Natural Gas Water Heating  - Tier 1  (2.2 –1.5 gpm)</w:t>
            </w:r>
          </w:p>
        </w:tc>
        <w:tc>
          <w:tcPr>
            <w:tcW w:w="0" w:type="pct"/>
          </w:tcPr>
          <w:p w14:paraId="4957542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3644F30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9/1/2015</w:t>
            </w:r>
          </w:p>
        </w:tc>
        <w:tc>
          <w:tcPr>
            <w:tcW w:w="0" w:type="pct"/>
          </w:tcPr>
          <w:p w14:paraId="0E2D161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364E6EB" w14:textId="77777777" w:rsidTr="00AF21BE">
        <w:tc>
          <w:tcPr>
            <w:tcW w:w="0" w:type="pct"/>
          </w:tcPr>
          <w:p w14:paraId="4C74493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2015 T-20</w:t>
            </w:r>
          </w:p>
        </w:tc>
        <w:tc>
          <w:tcPr>
            <w:tcW w:w="0" w:type="pct"/>
          </w:tcPr>
          <w:p w14:paraId="2429C46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Faucets &amp; Aerators - Lavatory w/ Electric Water Heating   - Tier 1  (2.2 –1.5 gpm)</w:t>
            </w:r>
          </w:p>
        </w:tc>
        <w:tc>
          <w:tcPr>
            <w:tcW w:w="0" w:type="pct"/>
          </w:tcPr>
          <w:p w14:paraId="715FB1A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7F301E0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9/1/2015</w:t>
            </w:r>
          </w:p>
        </w:tc>
        <w:tc>
          <w:tcPr>
            <w:tcW w:w="0" w:type="pct"/>
          </w:tcPr>
          <w:p w14:paraId="73FCC6D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4B7F5F0" w14:textId="77777777" w:rsidTr="00AF21BE">
        <w:tc>
          <w:tcPr>
            <w:tcW w:w="0" w:type="pct"/>
          </w:tcPr>
          <w:p w14:paraId="10FBA3D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0" w:type="pct"/>
          </w:tcPr>
          <w:p w14:paraId="20C9E44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Air Filter Labeling</w:t>
            </w:r>
          </w:p>
        </w:tc>
        <w:tc>
          <w:tcPr>
            <w:tcW w:w="0" w:type="pct"/>
          </w:tcPr>
          <w:p w14:paraId="7C47117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4D76F43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7/1/2016</w:t>
            </w:r>
          </w:p>
        </w:tc>
        <w:tc>
          <w:tcPr>
            <w:tcW w:w="0" w:type="pct"/>
          </w:tcPr>
          <w:p w14:paraId="67842CC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20B03AC" w14:textId="77777777" w:rsidTr="00AF21BE">
        <w:tc>
          <w:tcPr>
            <w:tcW w:w="0" w:type="pct"/>
          </w:tcPr>
          <w:p w14:paraId="3062D1E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0" w:type="pct"/>
          </w:tcPr>
          <w:p w14:paraId="5A1A687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Dimming Ballasts</w:t>
            </w:r>
          </w:p>
        </w:tc>
        <w:tc>
          <w:tcPr>
            <w:tcW w:w="0" w:type="pct"/>
          </w:tcPr>
          <w:p w14:paraId="4226CB9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655D2D5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7/1/2016</w:t>
            </w:r>
          </w:p>
        </w:tc>
        <w:tc>
          <w:tcPr>
            <w:tcW w:w="0" w:type="pct"/>
          </w:tcPr>
          <w:p w14:paraId="42A0E8A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5F4C122" w14:textId="77777777" w:rsidTr="00AF21BE">
        <w:tc>
          <w:tcPr>
            <w:tcW w:w="0" w:type="pct"/>
          </w:tcPr>
          <w:p w14:paraId="6B98BA9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0" w:type="pct"/>
          </w:tcPr>
          <w:p w14:paraId="5D3C372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Faucets &amp; Aerators - Kitchen w/ Natural Gas Water Heating (1.8 gpm)</w:t>
            </w:r>
          </w:p>
        </w:tc>
        <w:tc>
          <w:tcPr>
            <w:tcW w:w="0" w:type="pct"/>
          </w:tcPr>
          <w:p w14:paraId="6A1BF76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4DEE30E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1/1/2016</w:t>
            </w:r>
          </w:p>
        </w:tc>
        <w:tc>
          <w:tcPr>
            <w:tcW w:w="0" w:type="pct"/>
          </w:tcPr>
          <w:p w14:paraId="45D6367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E35DE56" w14:textId="77777777" w:rsidTr="00AF21BE">
        <w:tc>
          <w:tcPr>
            <w:tcW w:w="0" w:type="pct"/>
          </w:tcPr>
          <w:p w14:paraId="59A214E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0" w:type="pct"/>
          </w:tcPr>
          <w:p w14:paraId="3A0812A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Faucets &amp; Aerators - Kitchen w/ Electric Water Heating (1.8 gpm)</w:t>
            </w:r>
          </w:p>
        </w:tc>
        <w:tc>
          <w:tcPr>
            <w:tcW w:w="0" w:type="pct"/>
          </w:tcPr>
          <w:p w14:paraId="62C0170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7E409EF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1/1/2016</w:t>
            </w:r>
          </w:p>
        </w:tc>
        <w:tc>
          <w:tcPr>
            <w:tcW w:w="0" w:type="pct"/>
          </w:tcPr>
          <w:p w14:paraId="101F5CC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D055C91" w14:textId="77777777" w:rsidTr="00AF21BE">
        <w:tc>
          <w:tcPr>
            <w:tcW w:w="0" w:type="pct"/>
          </w:tcPr>
          <w:p w14:paraId="139F3FA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0" w:type="pct"/>
          </w:tcPr>
          <w:p w14:paraId="5F594B7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Public Lavatory Faucets (.5 gpm)</w:t>
            </w:r>
          </w:p>
        </w:tc>
        <w:tc>
          <w:tcPr>
            <w:tcW w:w="0" w:type="pct"/>
          </w:tcPr>
          <w:p w14:paraId="7FB1331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4C01631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1/1/2016</w:t>
            </w:r>
          </w:p>
        </w:tc>
        <w:tc>
          <w:tcPr>
            <w:tcW w:w="0" w:type="pct"/>
          </w:tcPr>
          <w:p w14:paraId="6C43B86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362EF6C" w14:textId="77777777" w:rsidTr="00AF21BE">
        <w:tc>
          <w:tcPr>
            <w:tcW w:w="0" w:type="pct"/>
          </w:tcPr>
          <w:p w14:paraId="51BD264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0" w:type="pct"/>
          </w:tcPr>
          <w:p w14:paraId="6072588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Faucets &amp; Aerators - Lavatory w/ Natural Gas Water Heating   - Tier 2  (1.5 –1.2 gpm)</w:t>
            </w:r>
          </w:p>
        </w:tc>
        <w:tc>
          <w:tcPr>
            <w:tcW w:w="0" w:type="pct"/>
          </w:tcPr>
          <w:p w14:paraId="1DBAC14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2095AE4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7/1/2016</w:t>
            </w:r>
          </w:p>
        </w:tc>
        <w:tc>
          <w:tcPr>
            <w:tcW w:w="0" w:type="pct"/>
          </w:tcPr>
          <w:p w14:paraId="294B28A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5FEE356" w14:textId="77777777" w:rsidTr="00AF21BE">
        <w:tc>
          <w:tcPr>
            <w:tcW w:w="0" w:type="pct"/>
          </w:tcPr>
          <w:p w14:paraId="4587E5E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0" w:type="pct"/>
          </w:tcPr>
          <w:p w14:paraId="098B25A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Faucets &amp; Aerators - Lavatory w/ Electric Water Heating - Tier 2  (1.5 –1.2 gpm)</w:t>
            </w:r>
          </w:p>
        </w:tc>
        <w:tc>
          <w:tcPr>
            <w:tcW w:w="0" w:type="pct"/>
          </w:tcPr>
          <w:p w14:paraId="3A2F8E7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4D796A8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7/1/2016</w:t>
            </w:r>
          </w:p>
        </w:tc>
        <w:tc>
          <w:tcPr>
            <w:tcW w:w="0" w:type="pct"/>
          </w:tcPr>
          <w:p w14:paraId="45F8D48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CD60B71" w14:textId="77777777" w:rsidTr="00AF21BE">
        <w:tc>
          <w:tcPr>
            <w:tcW w:w="0" w:type="pct"/>
          </w:tcPr>
          <w:p w14:paraId="4E644A5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0" w:type="pct"/>
          </w:tcPr>
          <w:p w14:paraId="788494E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Showerheads w/ Natural Gas Water Heaters  - Tier 1  (2..5 to 2.0 gpm)</w:t>
            </w:r>
          </w:p>
        </w:tc>
        <w:tc>
          <w:tcPr>
            <w:tcW w:w="0" w:type="pct"/>
          </w:tcPr>
          <w:p w14:paraId="1150CBE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63AAB46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7/1/2016</w:t>
            </w:r>
          </w:p>
        </w:tc>
        <w:tc>
          <w:tcPr>
            <w:tcW w:w="0" w:type="pct"/>
          </w:tcPr>
          <w:p w14:paraId="26D6E32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2F3FC37" w14:textId="77777777" w:rsidTr="00AF21BE">
        <w:tc>
          <w:tcPr>
            <w:tcW w:w="0" w:type="pct"/>
          </w:tcPr>
          <w:p w14:paraId="5A81BC9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0" w:type="pct"/>
          </w:tcPr>
          <w:p w14:paraId="3E2C3B0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Showerheads w/ Electric Water Heaters  - Tier 1 (2..5 to 2.0 gpm)</w:t>
            </w:r>
          </w:p>
        </w:tc>
        <w:tc>
          <w:tcPr>
            <w:tcW w:w="0" w:type="pct"/>
          </w:tcPr>
          <w:p w14:paraId="41E15D6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7DC8F46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7/1/2016</w:t>
            </w:r>
          </w:p>
        </w:tc>
        <w:tc>
          <w:tcPr>
            <w:tcW w:w="0" w:type="pct"/>
          </w:tcPr>
          <w:p w14:paraId="2156331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F6252F2" w14:textId="77777777" w:rsidTr="00AF21BE">
        <w:tc>
          <w:tcPr>
            <w:tcW w:w="0" w:type="pct"/>
          </w:tcPr>
          <w:p w14:paraId="651F763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0" w:type="pct"/>
          </w:tcPr>
          <w:p w14:paraId="0305EFB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Toilets - Commercial (1.28 gpf)</w:t>
            </w:r>
          </w:p>
        </w:tc>
        <w:tc>
          <w:tcPr>
            <w:tcW w:w="0" w:type="pct"/>
          </w:tcPr>
          <w:p w14:paraId="15CA665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10C52B8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1/1/2016</w:t>
            </w:r>
          </w:p>
        </w:tc>
        <w:tc>
          <w:tcPr>
            <w:tcW w:w="0" w:type="pct"/>
          </w:tcPr>
          <w:p w14:paraId="772346D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1AF1CBC" w14:textId="77777777" w:rsidTr="00AF21BE">
        <w:tc>
          <w:tcPr>
            <w:tcW w:w="0" w:type="pct"/>
          </w:tcPr>
          <w:p w14:paraId="1A14CC7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0" w:type="pct"/>
          </w:tcPr>
          <w:p w14:paraId="2AF557D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Toilets - Residential (1.28 gpf)</w:t>
            </w:r>
          </w:p>
        </w:tc>
        <w:tc>
          <w:tcPr>
            <w:tcW w:w="0" w:type="pct"/>
          </w:tcPr>
          <w:p w14:paraId="2138703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0D35809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1/1/2016</w:t>
            </w:r>
          </w:p>
        </w:tc>
        <w:tc>
          <w:tcPr>
            <w:tcW w:w="0" w:type="pct"/>
          </w:tcPr>
          <w:p w14:paraId="5891EFF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B27B44D" w14:textId="77777777" w:rsidTr="00AF21BE">
        <w:tc>
          <w:tcPr>
            <w:tcW w:w="0" w:type="pct"/>
          </w:tcPr>
          <w:p w14:paraId="65EE41D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2016 T-20</w:t>
            </w:r>
          </w:p>
        </w:tc>
        <w:tc>
          <w:tcPr>
            <w:tcW w:w="0" w:type="pct"/>
          </w:tcPr>
          <w:p w14:paraId="0061DF4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Urinals (.125 gpf)</w:t>
            </w:r>
          </w:p>
        </w:tc>
        <w:tc>
          <w:tcPr>
            <w:tcW w:w="0" w:type="pct"/>
          </w:tcPr>
          <w:p w14:paraId="45C07E4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04B8C2C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1/1/2016</w:t>
            </w:r>
          </w:p>
        </w:tc>
        <w:tc>
          <w:tcPr>
            <w:tcW w:w="0" w:type="pct"/>
          </w:tcPr>
          <w:p w14:paraId="3F145C5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11A6DEE" w14:textId="77777777" w:rsidTr="00AF21BE">
        <w:tc>
          <w:tcPr>
            <w:tcW w:w="0" w:type="pct"/>
          </w:tcPr>
          <w:p w14:paraId="0D3CAC0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0" w:type="pct"/>
          </w:tcPr>
          <w:p w14:paraId="6B9FD83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Commercial Clothes Dryers</w:t>
            </w:r>
          </w:p>
        </w:tc>
        <w:tc>
          <w:tcPr>
            <w:tcW w:w="0" w:type="pct"/>
          </w:tcPr>
          <w:p w14:paraId="6E3689B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3D4F679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1/1/2019</w:t>
            </w:r>
          </w:p>
        </w:tc>
        <w:tc>
          <w:tcPr>
            <w:tcW w:w="0" w:type="pct"/>
          </w:tcPr>
          <w:p w14:paraId="2A45C16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54F0C3F7" w14:textId="77777777" w:rsidTr="00AF21BE">
        <w:tc>
          <w:tcPr>
            <w:tcW w:w="0" w:type="pct"/>
          </w:tcPr>
          <w:p w14:paraId="7DF81C8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0" w:type="pct"/>
          </w:tcPr>
          <w:p w14:paraId="326C25F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Computers - Workstations</w:t>
            </w:r>
          </w:p>
        </w:tc>
        <w:tc>
          <w:tcPr>
            <w:tcW w:w="0" w:type="pct"/>
          </w:tcPr>
          <w:p w14:paraId="79F8446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4465D41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1/1/2018</w:t>
            </w:r>
          </w:p>
        </w:tc>
        <w:tc>
          <w:tcPr>
            <w:tcW w:w="0" w:type="pct"/>
          </w:tcPr>
          <w:p w14:paraId="1185CC0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1FB0A328" w14:textId="77777777" w:rsidTr="00AF21BE">
        <w:tc>
          <w:tcPr>
            <w:tcW w:w="0" w:type="pct"/>
          </w:tcPr>
          <w:p w14:paraId="339AC70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0" w:type="pct"/>
          </w:tcPr>
          <w:p w14:paraId="53D136E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Computers - Small Scale Servers</w:t>
            </w:r>
          </w:p>
        </w:tc>
        <w:tc>
          <w:tcPr>
            <w:tcW w:w="0" w:type="pct"/>
          </w:tcPr>
          <w:p w14:paraId="1C33DE9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0CEFE45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1/1/2018</w:t>
            </w:r>
          </w:p>
        </w:tc>
        <w:tc>
          <w:tcPr>
            <w:tcW w:w="0" w:type="pct"/>
          </w:tcPr>
          <w:p w14:paraId="6A176CA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3B624680" w14:textId="77777777" w:rsidTr="00AF21BE">
        <w:tc>
          <w:tcPr>
            <w:tcW w:w="0" w:type="pct"/>
          </w:tcPr>
          <w:p w14:paraId="566FF08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lastRenderedPageBreak/>
              <w:t>Future Title 20</w:t>
            </w:r>
          </w:p>
        </w:tc>
        <w:tc>
          <w:tcPr>
            <w:tcW w:w="0" w:type="pct"/>
          </w:tcPr>
          <w:p w14:paraId="1F6A367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Computers - Notebooks</w:t>
            </w:r>
          </w:p>
        </w:tc>
        <w:tc>
          <w:tcPr>
            <w:tcW w:w="0" w:type="pct"/>
          </w:tcPr>
          <w:p w14:paraId="48B8568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62DBACE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1/1/2019</w:t>
            </w:r>
          </w:p>
        </w:tc>
        <w:tc>
          <w:tcPr>
            <w:tcW w:w="0" w:type="pct"/>
          </w:tcPr>
          <w:p w14:paraId="2085783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63590A1B" w14:textId="77777777" w:rsidTr="00AF21BE">
        <w:tc>
          <w:tcPr>
            <w:tcW w:w="0" w:type="pct"/>
          </w:tcPr>
          <w:p w14:paraId="443778E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0" w:type="pct"/>
          </w:tcPr>
          <w:p w14:paraId="1F2574E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Computers - Desktops - Tier 1</w:t>
            </w:r>
          </w:p>
        </w:tc>
        <w:tc>
          <w:tcPr>
            <w:tcW w:w="0" w:type="pct"/>
          </w:tcPr>
          <w:p w14:paraId="7B01C27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0D8E2A3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1/1/2019</w:t>
            </w:r>
          </w:p>
        </w:tc>
        <w:tc>
          <w:tcPr>
            <w:tcW w:w="0" w:type="pct"/>
          </w:tcPr>
          <w:p w14:paraId="21F5876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5FEC99A2" w14:textId="77777777" w:rsidTr="00AF21BE">
        <w:tc>
          <w:tcPr>
            <w:tcW w:w="0" w:type="pct"/>
          </w:tcPr>
          <w:p w14:paraId="69E59FC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0" w:type="pct"/>
          </w:tcPr>
          <w:p w14:paraId="292F535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Computers - Desktops - Tier 2</w:t>
            </w:r>
          </w:p>
        </w:tc>
        <w:tc>
          <w:tcPr>
            <w:tcW w:w="0" w:type="pct"/>
          </w:tcPr>
          <w:p w14:paraId="179CCD0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7571732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7/1/2021</w:t>
            </w:r>
          </w:p>
        </w:tc>
        <w:tc>
          <w:tcPr>
            <w:tcW w:w="0" w:type="pct"/>
          </w:tcPr>
          <w:p w14:paraId="1C5ABC0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3D6FE8A9" w14:textId="77777777" w:rsidTr="00AF21BE">
        <w:tc>
          <w:tcPr>
            <w:tcW w:w="0" w:type="pct"/>
          </w:tcPr>
          <w:p w14:paraId="12CEB91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0" w:type="pct"/>
          </w:tcPr>
          <w:p w14:paraId="1F9E732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Displays - Monitors</w:t>
            </w:r>
          </w:p>
        </w:tc>
        <w:tc>
          <w:tcPr>
            <w:tcW w:w="0" w:type="pct"/>
          </w:tcPr>
          <w:p w14:paraId="1CB47EE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5376292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7/1/2019</w:t>
            </w:r>
          </w:p>
        </w:tc>
        <w:tc>
          <w:tcPr>
            <w:tcW w:w="0" w:type="pct"/>
          </w:tcPr>
          <w:p w14:paraId="7716B6C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19E6F71E" w14:textId="77777777" w:rsidTr="00AF21BE">
        <w:tc>
          <w:tcPr>
            <w:tcW w:w="0" w:type="pct"/>
          </w:tcPr>
          <w:p w14:paraId="093D5D8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0" w:type="pct"/>
          </w:tcPr>
          <w:p w14:paraId="123AF95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Game Consoles (Tier 1)</w:t>
            </w:r>
          </w:p>
        </w:tc>
        <w:tc>
          <w:tcPr>
            <w:tcW w:w="0" w:type="pct"/>
          </w:tcPr>
          <w:p w14:paraId="7B7C2F8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663865B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1/1/2021</w:t>
            </w:r>
          </w:p>
        </w:tc>
        <w:tc>
          <w:tcPr>
            <w:tcW w:w="0" w:type="pct"/>
          </w:tcPr>
          <w:p w14:paraId="1CA2501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57F518C4" w14:textId="77777777" w:rsidTr="00AF21BE">
        <w:tc>
          <w:tcPr>
            <w:tcW w:w="0" w:type="pct"/>
          </w:tcPr>
          <w:p w14:paraId="4CA30A4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0" w:type="pct"/>
          </w:tcPr>
          <w:p w14:paraId="25CEDBA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Game Consoles (Tier 2)</w:t>
            </w:r>
          </w:p>
        </w:tc>
        <w:tc>
          <w:tcPr>
            <w:tcW w:w="0" w:type="pct"/>
          </w:tcPr>
          <w:p w14:paraId="0BCC770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3DFFCCB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1/1/2024</w:t>
            </w:r>
          </w:p>
        </w:tc>
        <w:tc>
          <w:tcPr>
            <w:tcW w:w="0" w:type="pct"/>
          </w:tcPr>
          <w:p w14:paraId="195E768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5542BED7" w14:textId="77777777" w:rsidTr="00AF21BE">
        <w:tc>
          <w:tcPr>
            <w:tcW w:w="0" w:type="pct"/>
          </w:tcPr>
          <w:p w14:paraId="70C3F23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0" w:type="pct"/>
          </w:tcPr>
          <w:p w14:paraId="2831029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Pool Pumps &amp; Spas</w:t>
            </w:r>
          </w:p>
        </w:tc>
        <w:tc>
          <w:tcPr>
            <w:tcW w:w="0" w:type="pct"/>
          </w:tcPr>
          <w:p w14:paraId="7B3D8BE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032D4BC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1/1/2018</w:t>
            </w:r>
          </w:p>
        </w:tc>
        <w:tc>
          <w:tcPr>
            <w:tcW w:w="0" w:type="pct"/>
          </w:tcPr>
          <w:p w14:paraId="7BC1CF8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59FE51FF" w14:textId="77777777" w:rsidTr="00AF21BE">
        <w:tc>
          <w:tcPr>
            <w:tcW w:w="0" w:type="pct"/>
          </w:tcPr>
          <w:p w14:paraId="7CA01E6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0" w:type="pct"/>
          </w:tcPr>
          <w:p w14:paraId="25BAA57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Set Top Boxes (Tier 1)</w:t>
            </w:r>
          </w:p>
        </w:tc>
        <w:tc>
          <w:tcPr>
            <w:tcW w:w="0" w:type="pct"/>
          </w:tcPr>
          <w:p w14:paraId="046A967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081BB4C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1/1/2019</w:t>
            </w:r>
          </w:p>
        </w:tc>
        <w:tc>
          <w:tcPr>
            <w:tcW w:w="0" w:type="pct"/>
          </w:tcPr>
          <w:p w14:paraId="29F2930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15DF5A82" w14:textId="77777777" w:rsidTr="00AF21BE">
        <w:tc>
          <w:tcPr>
            <w:tcW w:w="0" w:type="pct"/>
          </w:tcPr>
          <w:p w14:paraId="0C9C8C2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0" w:type="pct"/>
          </w:tcPr>
          <w:p w14:paraId="6CB9E9A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Small Diameter Directional Lamps (Tier 1)</w:t>
            </w:r>
          </w:p>
        </w:tc>
        <w:tc>
          <w:tcPr>
            <w:tcW w:w="0" w:type="pct"/>
          </w:tcPr>
          <w:p w14:paraId="3345363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013E66C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1/1/2018</w:t>
            </w:r>
          </w:p>
        </w:tc>
        <w:tc>
          <w:tcPr>
            <w:tcW w:w="0" w:type="pct"/>
          </w:tcPr>
          <w:p w14:paraId="51FA997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67C9F28A" w14:textId="77777777" w:rsidTr="00AF21BE">
        <w:tc>
          <w:tcPr>
            <w:tcW w:w="0" w:type="pct"/>
          </w:tcPr>
          <w:p w14:paraId="349FE31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0" w:type="pct"/>
          </w:tcPr>
          <w:p w14:paraId="74D826E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Small Network Equipment</w:t>
            </w:r>
          </w:p>
        </w:tc>
        <w:tc>
          <w:tcPr>
            <w:tcW w:w="0" w:type="pct"/>
          </w:tcPr>
          <w:p w14:paraId="235A1AB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52BF45A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1/1/2023</w:t>
            </w:r>
          </w:p>
        </w:tc>
        <w:tc>
          <w:tcPr>
            <w:tcW w:w="0" w:type="pct"/>
          </w:tcPr>
          <w:p w14:paraId="0EE0F95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236F7952" w14:textId="77777777" w:rsidTr="00AF21BE">
        <w:tc>
          <w:tcPr>
            <w:tcW w:w="0" w:type="pct"/>
          </w:tcPr>
          <w:p w14:paraId="496A8EF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0" w:type="pct"/>
          </w:tcPr>
          <w:p w14:paraId="17FB9D1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Water Meters</w:t>
            </w:r>
          </w:p>
        </w:tc>
        <w:tc>
          <w:tcPr>
            <w:tcW w:w="0" w:type="pct"/>
          </w:tcPr>
          <w:p w14:paraId="2AC5F21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06E43BF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1/1/2019</w:t>
            </w:r>
          </w:p>
        </w:tc>
        <w:tc>
          <w:tcPr>
            <w:tcW w:w="0" w:type="pct"/>
          </w:tcPr>
          <w:p w14:paraId="7CDC1DC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7BB3E7C4" w14:textId="77777777" w:rsidTr="00AF21BE">
        <w:tc>
          <w:tcPr>
            <w:tcW w:w="0" w:type="pct"/>
          </w:tcPr>
          <w:p w14:paraId="068DF56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Future Title 20</w:t>
            </w:r>
          </w:p>
        </w:tc>
        <w:tc>
          <w:tcPr>
            <w:tcW w:w="0" w:type="pct"/>
          </w:tcPr>
          <w:p w14:paraId="0F0CA6F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State-Regulated General Service Lamps – Tier II</w:t>
            </w:r>
          </w:p>
        </w:tc>
        <w:tc>
          <w:tcPr>
            <w:tcW w:w="0" w:type="pct"/>
          </w:tcPr>
          <w:p w14:paraId="736D57AB" w14:textId="77777777" w:rsidR="006B44D0" w:rsidRPr="00483510" w:rsidRDefault="00ED04DD" w:rsidP="006B44D0">
            <w:pPr>
              <w:rPr>
                <w:rFonts w:ascii="Arial Narrow" w:hAnsi="Arial Narrow"/>
                <w:sz w:val="18"/>
                <w:szCs w:val="18"/>
              </w:rPr>
            </w:pPr>
            <w:r>
              <w:rPr>
                <w:rFonts w:ascii="Arial Narrow" w:hAnsi="Arial Narrow"/>
                <w:sz w:val="18"/>
                <w:szCs w:val="18"/>
              </w:rPr>
              <w:t>8</w:t>
            </w:r>
            <w:r w:rsidR="00315029">
              <w:rPr>
                <w:rFonts w:ascii="Arial Narrow" w:hAnsi="Arial Narrow"/>
                <w:sz w:val="18"/>
                <w:szCs w:val="18"/>
              </w:rPr>
              <w:t>0</w:t>
            </w:r>
            <w:r>
              <w:rPr>
                <w:rFonts w:ascii="Arial Narrow" w:hAnsi="Arial Narrow"/>
                <w:sz w:val="18"/>
                <w:szCs w:val="18"/>
              </w:rPr>
              <w:t>%</w:t>
            </w:r>
          </w:p>
        </w:tc>
        <w:tc>
          <w:tcPr>
            <w:tcW w:w="0" w:type="pct"/>
          </w:tcPr>
          <w:p w14:paraId="44C93F7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1/1/2018</w:t>
            </w:r>
          </w:p>
        </w:tc>
        <w:tc>
          <w:tcPr>
            <w:tcW w:w="0" w:type="pct"/>
          </w:tcPr>
          <w:p w14:paraId="7793C9D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1043189" w14:textId="77777777" w:rsidTr="00AF21BE">
        <w:tc>
          <w:tcPr>
            <w:tcW w:w="0" w:type="pct"/>
          </w:tcPr>
          <w:p w14:paraId="3FCF4B4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0E88C7F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Electric Motors 1-200HP</w:t>
            </w:r>
          </w:p>
        </w:tc>
        <w:tc>
          <w:tcPr>
            <w:tcW w:w="0" w:type="pct"/>
          </w:tcPr>
          <w:p w14:paraId="306C971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w:t>
            </w:r>
          </w:p>
        </w:tc>
        <w:tc>
          <w:tcPr>
            <w:tcW w:w="0" w:type="pct"/>
          </w:tcPr>
          <w:p w14:paraId="50ED1BF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12/1/2010</w:t>
            </w:r>
          </w:p>
        </w:tc>
        <w:tc>
          <w:tcPr>
            <w:tcW w:w="0" w:type="pct"/>
          </w:tcPr>
          <w:p w14:paraId="33564E3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435F532" w14:textId="77777777" w:rsidTr="00AF21BE">
        <w:tc>
          <w:tcPr>
            <w:tcW w:w="0" w:type="pct"/>
          </w:tcPr>
          <w:p w14:paraId="68ED112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69B83B2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Refrigerated Beverage Vending Machines</w:t>
            </w:r>
          </w:p>
        </w:tc>
        <w:tc>
          <w:tcPr>
            <w:tcW w:w="0" w:type="pct"/>
          </w:tcPr>
          <w:p w14:paraId="5BC2C25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37%</w:t>
            </w:r>
          </w:p>
        </w:tc>
        <w:tc>
          <w:tcPr>
            <w:tcW w:w="0" w:type="pct"/>
          </w:tcPr>
          <w:p w14:paraId="59A5E4F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8/31/2011</w:t>
            </w:r>
          </w:p>
        </w:tc>
        <w:tc>
          <w:tcPr>
            <w:tcW w:w="0" w:type="pct"/>
          </w:tcPr>
          <w:p w14:paraId="4C4D800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1A24E35" w14:textId="77777777" w:rsidTr="00AF21BE">
        <w:tc>
          <w:tcPr>
            <w:tcW w:w="0" w:type="pct"/>
          </w:tcPr>
          <w:p w14:paraId="350C58C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35B6AD6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Commercial Refrigeration</w:t>
            </w:r>
          </w:p>
        </w:tc>
        <w:tc>
          <w:tcPr>
            <w:tcW w:w="0" w:type="pct"/>
          </w:tcPr>
          <w:p w14:paraId="3C27EDF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70%</w:t>
            </w:r>
          </w:p>
        </w:tc>
        <w:tc>
          <w:tcPr>
            <w:tcW w:w="0" w:type="pct"/>
          </w:tcPr>
          <w:p w14:paraId="62E1D00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1/1/2012</w:t>
            </w:r>
          </w:p>
        </w:tc>
        <w:tc>
          <w:tcPr>
            <w:tcW w:w="0" w:type="pct"/>
          </w:tcPr>
          <w:p w14:paraId="0BF5D96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1FBBE3B" w14:textId="77777777" w:rsidTr="00AF21BE">
        <w:tc>
          <w:tcPr>
            <w:tcW w:w="0" w:type="pct"/>
          </w:tcPr>
          <w:p w14:paraId="7A9F48E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4BBBC2D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Electric &amp; Gas Ranges</w:t>
            </w:r>
          </w:p>
        </w:tc>
        <w:tc>
          <w:tcPr>
            <w:tcW w:w="0" w:type="pct"/>
          </w:tcPr>
          <w:p w14:paraId="7D2FA47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0" w:type="pct"/>
          </w:tcPr>
          <w:p w14:paraId="27C5B06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4/9/2012</w:t>
            </w:r>
          </w:p>
        </w:tc>
        <w:tc>
          <w:tcPr>
            <w:tcW w:w="0" w:type="pct"/>
          </w:tcPr>
          <w:p w14:paraId="660CBEA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EF5240F" w14:textId="77777777" w:rsidTr="00AF21BE">
        <w:tc>
          <w:tcPr>
            <w:tcW w:w="0" w:type="pct"/>
          </w:tcPr>
          <w:p w14:paraId="01BD869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5EE05E2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General Service Fluorescent Lamps #1</w:t>
            </w:r>
          </w:p>
        </w:tc>
        <w:tc>
          <w:tcPr>
            <w:tcW w:w="0" w:type="pct"/>
          </w:tcPr>
          <w:p w14:paraId="608943E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95%</w:t>
            </w:r>
          </w:p>
        </w:tc>
        <w:tc>
          <w:tcPr>
            <w:tcW w:w="0" w:type="pct"/>
          </w:tcPr>
          <w:p w14:paraId="0CFEF32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7/14/2012</w:t>
            </w:r>
          </w:p>
        </w:tc>
        <w:tc>
          <w:tcPr>
            <w:tcW w:w="0" w:type="pct"/>
          </w:tcPr>
          <w:p w14:paraId="2BC3BB4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BD90E61" w14:textId="77777777" w:rsidTr="00AF21BE">
        <w:tc>
          <w:tcPr>
            <w:tcW w:w="0" w:type="pct"/>
          </w:tcPr>
          <w:p w14:paraId="6D7517E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4024066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Incandescent Reflector Lamps </w:t>
            </w:r>
          </w:p>
        </w:tc>
        <w:tc>
          <w:tcPr>
            <w:tcW w:w="0" w:type="pct"/>
          </w:tcPr>
          <w:p w14:paraId="4116DB36" w14:textId="77777777" w:rsidR="006B44D0" w:rsidRPr="00483510" w:rsidRDefault="00315029" w:rsidP="006B44D0">
            <w:pPr>
              <w:rPr>
                <w:rFonts w:ascii="Arial Narrow" w:hAnsi="Arial Narrow"/>
                <w:sz w:val="18"/>
                <w:szCs w:val="18"/>
              </w:rPr>
            </w:pPr>
            <w:r>
              <w:rPr>
                <w:rFonts w:ascii="Arial Narrow" w:hAnsi="Arial Narrow"/>
                <w:sz w:val="18"/>
                <w:szCs w:val="18"/>
              </w:rPr>
              <w:t>65</w:t>
            </w:r>
            <w:r w:rsidR="006B44D0" w:rsidRPr="00483510">
              <w:rPr>
                <w:rFonts w:ascii="Arial Narrow" w:hAnsi="Arial Narrow"/>
                <w:sz w:val="18"/>
                <w:szCs w:val="18"/>
              </w:rPr>
              <w:t>%</w:t>
            </w:r>
          </w:p>
        </w:tc>
        <w:tc>
          <w:tcPr>
            <w:tcW w:w="0" w:type="pct"/>
          </w:tcPr>
          <w:p w14:paraId="24E4842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7/14/2012</w:t>
            </w:r>
          </w:p>
        </w:tc>
        <w:tc>
          <w:tcPr>
            <w:tcW w:w="0" w:type="pct"/>
          </w:tcPr>
          <w:p w14:paraId="6DADB3D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C63C7FC" w14:textId="77777777" w:rsidTr="00AF21BE">
        <w:tc>
          <w:tcPr>
            <w:tcW w:w="0" w:type="pct"/>
          </w:tcPr>
          <w:p w14:paraId="11097FF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347F3A0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Commercial Clothes Washers #1</w:t>
            </w:r>
          </w:p>
        </w:tc>
        <w:tc>
          <w:tcPr>
            <w:tcW w:w="0" w:type="pct"/>
          </w:tcPr>
          <w:p w14:paraId="0FE26F85" w14:textId="77777777" w:rsidR="006B44D0" w:rsidRPr="00483510" w:rsidRDefault="00315029" w:rsidP="006B44D0">
            <w:pPr>
              <w:rPr>
                <w:rFonts w:ascii="Arial Narrow" w:hAnsi="Arial Narrow"/>
                <w:sz w:val="18"/>
                <w:szCs w:val="18"/>
              </w:rPr>
            </w:pPr>
            <w:r>
              <w:rPr>
                <w:rFonts w:ascii="Arial Narrow" w:hAnsi="Arial Narrow"/>
                <w:sz w:val="18"/>
                <w:szCs w:val="18"/>
              </w:rPr>
              <w:t>94</w:t>
            </w:r>
            <w:r w:rsidR="006B44D0" w:rsidRPr="00483510">
              <w:rPr>
                <w:rFonts w:ascii="Arial Narrow" w:hAnsi="Arial Narrow"/>
                <w:sz w:val="18"/>
                <w:szCs w:val="18"/>
              </w:rPr>
              <w:t>%</w:t>
            </w:r>
          </w:p>
        </w:tc>
        <w:tc>
          <w:tcPr>
            <w:tcW w:w="0" w:type="pct"/>
          </w:tcPr>
          <w:p w14:paraId="7CDD0BA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1/8/2013</w:t>
            </w:r>
          </w:p>
        </w:tc>
        <w:tc>
          <w:tcPr>
            <w:tcW w:w="0" w:type="pct"/>
          </w:tcPr>
          <w:p w14:paraId="471499F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2261732" w14:textId="77777777" w:rsidTr="00AF21BE">
        <w:tc>
          <w:tcPr>
            <w:tcW w:w="0" w:type="pct"/>
          </w:tcPr>
          <w:p w14:paraId="1AFC094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51FCD70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Pool Heaters</w:t>
            </w:r>
          </w:p>
        </w:tc>
        <w:tc>
          <w:tcPr>
            <w:tcW w:w="0" w:type="pct"/>
          </w:tcPr>
          <w:p w14:paraId="6BD16F5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95%</w:t>
            </w:r>
          </w:p>
        </w:tc>
        <w:tc>
          <w:tcPr>
            <w:tcW w:w="0" w:type="pct"/>
          </w:tcPr>
          <w:p w14:paraId="5CA97A5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4/16/2013</w:t>
            </w:r>
          </w:p>
        </w:tc>
        <w:tc>
          <w:tcPr>
            <w:tcW w:w="0" w:type="pct"/>
          </w:tcPr>
          <w:p w14:paraId="6CC6CFF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9DD23E0" w14:textId="77777777" w:rsidTr="00AF21BE">
        <w:tc>
          <w:tcPr>
            <w:tcW w:w="0" w:type="pct"/>
          </w:tcPr>
          <w:p w14:paraId="2A549D6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0B28244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Direct Heating Equipment</w:t>
            </w:r>
          </w:p>
        </w:tc>
        <w:tc>
          <w:tcPr>
            <w:tcW w:w="0" w:type="pct"/>
          </w:tcPr>
          <w:p w14:paraId="1E04B52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95%</w:t>
            </w:r>
          </w:p>
        </w:tc>
        <w:tc>
          <w:tcPr>
            <w:tcW w:w="0" w:type="pct"/>
          </w:tcPr>
          <w:p w14:paraId="35A6483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4/16/2013</w:t>
            </w:r>
          </w:p>
        </w:tc>
        <w:tc>
          <w:tcPr>
            <w:tcW w:w="0" w:type="pct"/>
          </w:tcPr>
          <w:p w14:paraId="472D8F3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F45F9EF" w14:textId="77777777" w:rsidTr="00AF21BE">
        <w:tc>
          <w:tcPr>
            <w:tcW w:w="0" w:type="pct"/>
          </w:tcPr>
          <w:p w14:paraId="73B626D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2DFDA1A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Refrigerators &amp; Freezers</w:t>
            </w:r>
          </w:p>
        </w:tc>
        <w:tc>
          <w:tcPr>
            <w:tcW w:w="0" w:type="pct"/>
          </w:tcPr>
          <w:p w14:paraId="762EAA4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95%</w:t>
            </w:r>
          </w:p>
        </w:tc>
        <w:tc>
          <w:tcPr>
            <w:tcW w:w="0" w:type="pct"/>
          </w:tcPr>
          <w:p w14:paraId="77474B3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9/15/2014</w:t>
            </w:r>
          </w:p>
        </w:tc>
        <w:tc>
          <w:tcPr>
            <w:tcW w:w="0" w:type="pct"/>
          </w:tcPr>
          <w:p w14:paraId="051E87A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B9164B6" w14:textId="77777777" w:rsidTr="00AF21BE">
        <w:tc>
          <w:tcPr>
            <w:tcW w:w="0" w:type="pct"/>
          </w:tcPr>
          <w:p w14:paraId="3A924CD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199AE09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Room AC</w:t>
            </w:r>
          </w:p>
        </w:tc>
        <w:tc>
          <w:tcPr>
            <w:tcW w:w="0" w:type="pct"/>
          </w:tcPr>
          <w:p w14:paraId="65A7172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w:t>
            </w:r>
          </w:p>
        </w:tc>
        <w:tc>
          <w:tcPr>
            <w:tcW w:w="0" w:type="pct"/>
          </w:tcPr>
          <w:p w14:paraId="563067F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6/1/2014</w:t>
            </w:r>
          </w:p>
        </w:tc>
        <w:tc>
          <w:tcPr>
            <w:tcW w:w="0" w:type="pct"/>
          </w:tcPr>
          <w:p w14:paraId="1A117A6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978613E" w14:textId="77777777" w:rsidTr="00AF21BE">
        <w:tc>
          <w:tcPr>
            <w:tcW w:w="0" w:type="pct"/>
          </w:tcPr>
          <w:p w14:paraId="03D162C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12C80D4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Fluorescent Ballasts</w:t>
            </w:r>
          </w:p>
        </w:tc>
        <w:tc>
          <w:tcPr>
            <w:tcW w:w="0" w:type="pct"/>
          </w:tcPr>
          <w:p w14:paraId="1FB2C04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80%</w:t>
            </w:r>
          </w:p>
        </w:tc>
        <w:tc>
          <w:tcPr>
            <w:tcW w:w="0" w:type="pct"/>
          </w:tcPr>
          <w:p w14:paraId="278728F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11/14/2014</w:t>
            </w:r>
          </w:p>
        </w:tc>
        <w:tc>
          <w:tcPr>
            <w:tcW w:w="0" w:type="pct"/>
          </w:tcPr>
          <w:p w14:paraId="073AE53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D43771C" w14:textId="77777777" w:rsidTr="00AF21BE">
        <w:tc>
          <w:tcPr>
            <w:tcW w:w="0" w:type="pct"/>
          </w:tcPr>
          <w:p w14:paraId="1A3787C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5F619C1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Small Commercial Package Air-Conditioners ≥65 and &lt;135 kBtu/h</w:t>
            </w:r>
          </w:p>
        </w:tc>
        <w:tc>
          <w:tcPr>
            <w:tcW w:w="0" w:type="pct"/>
          </w:tcPr>
          <w:p w14:paraId="3EAED9C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0" w:type="pct"/>
          </w:tcPr>
          <w:p w14:paraId="54E6826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6/1/2013</w:t>
            </w:r>
          </w:p>
        </w:tc>
        <w:tc>
          <w:tcPr>
            <w:tcW w:w="0" w:type="pct"/>
          </w:tcPr>
          <w:p w14:paraId="2A26CAE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84A308D" w14:textId="77777777" w:rsidTr="00AF21BE">
        <w:tc>
          <w:tcPr>
            <w:tcW w:w="0" w:type="pct"/>
          </w:tcPr>
          <w:p w14:paraId="103D299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1570629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Large and Very Large Commercial Package Air-Conditioners ≥135 kBtu/h</w:t>
            </w:r>
          </w:p>
        </w:tc>
        <w:tc>
          <w:tcPr>
            <w:tcW w:w="0" w:type="pct"/>
          </w:tcPr>
          <w:p w14:paraId="1382F63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0" w:type="pct"/>
          </w:tcPr>
          <w:p w14:paraId="222BD6F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6/1/2014</w:t>
            </w:r>
          </w:p>
        </w:tc>
        <w:tc>
          <w:tcPr>
            <w:tcW w:w="0" w:type="pct"/>
          </w:tcPr>
          <w:p w14:paraId="06E2DD2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21FEA0C" w14:textId="77777777" w:rsidTr="00AF21BE">
        <w:tc>
          <w:tcPr>
            <w:tcW w:w="0" w:type="pct"/>
          </w:tcPr>
          <w:p w14:paraId="61356AD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595076D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Computer Room Acs &gt;=65,000 Btu/h and &lt; 760,000 Btu/h</w:t>
            </w:r>
          </w:p>
        </w:tc>
        <w:tc>
          <w:tcPr>
            <w:tcW w:w="0" w:type="pct"/>
          </w:tcPr>
          <w:p w14:paraId="7EED2EC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0" w:type="pct"/>
          </w:tcPr>
          <w:p w14:paraId="6C27E24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10/29/2013</w:t>
            </w:r>
          </w:p>
        </w:tc>
        <w:tc>
          <w:tcPr>
            <w:tcW w:w="0" w:type="pct"/>
          </w:tcPr>
          <w:p w14:paraId="5121A0B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EB2EFE2" w14:textId="77777777" w:rsidTr="00AF21BE">
        <w:tc>
          <w:tcPr>
            <w:tcW w:w="0" w:type="pct"/>
          </w:tcPr>
          <w:p w14:paraId="6D62861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77BF990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Dishwashers</w:t>
            </w:r>
          </w:p>
        </w:tc>
        <w:tc>
          <w:tcPr>
            <w:tcW w:w="0" w:type="pct"/>
          </w:tcPr>
          <w:p w14:paraId="0C5F0FB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99%</w:t>
            </w:r>
          </w:p>
        </w:tc>
        <w:tc>
          <w:tcPr>
            <w:tcW w:w="0" w:type="pct"/>
          </w:tcPr>
          <w:p w14:paraId="35EBB04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5/30/2013</w:t>
            </w:r>
          </w:p>
        </w:tc>
        <w:tc>
          <w:tcPr>
            <w:tcW w:w="0" w:type="pct"/>
          </w:tcPr>
          <w:p w14:paraId="2DD6A63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723FA92" w14:textId="77777777" w:rsidTr="00AF21BE">
        <w:tc>
          <w:tcPr>
            <w:tcW w:w="0" w:type="pct"/>
          </w:tcPr>
          <w:p w14:paraId="51A9868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lastRenderedPageBreak/>
              <w:t>Federal</w:t>
            </w:r>
          </w:p>
        </w:tc>
        <w:tc>
          <w:tcPr>
            <w:tcW w:w="0" w:type="pct"/>
          </w:tcPr>
          <w:p w14:paraId="6F9A78D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Clothes Dryers</w:t>
            </w:r>
          </w:p>
        </w:tc>
        <w:tc>
          <w:tcPr>
            <w:tcW w:w="0" w:type="pct"/>
          </w:tcPr>
          <w:p w14:paraId="141B298D" w14:textId="77777777" w:rsidR="006B44D0" w:rsidRPr="00483510" w:rsidRDefault="00315029" w:rsidP="006B44D0">
            <w:pPr>
              <w:rPr>
                <w:rFonts w:ascii="Arial Narrow" w:hAnsi="Arial Narrow"/>
                <w:sz w:val="18"/>
                <w:szCs w:val="18"/>
              </w:rPr>
            </w:pPr>
            <w:r>
              <w:rPr>
                <w:rFonts w:ascii="Arial Narrow" w:hAnsi="Arial Narrow"/>
                <w:sz w:val="18"/>
                <w:szCs w:val="18"/>
              </w:rPr>
              <w:t>99</w:t>
            </w:r>
            <w:r w:rsidR="006B44D0" w:rsidRPr="00483510">
              <w:rPr>
                <w:rFonts w:ascii="Arial Narrow" w:hAnsi="Arial Narrow"/>
                <w:sz w:val="18"/>
                <w:szCs w:val="18"/>
              </w:rPr>
              <w:t>%</w:t>
            </w:r>
          </w:p>
        </w:tc>
        <w:tc>
          <w:tcPr>
            <w:tcW w:w="0" w:type="pct"/>
          </w:tcPr>
          <w:p w14:paraId="7115BE7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1/15/2015</w:t>
            </w:r>
          </w:p>
        </w:tc>
        <w:tc>
          <w:tcPr>
            <w:tcW w:w="0" w:type="pct"/>
          </w:tcPr>
          <w:p w14:paraId="6A39D16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B01895F" w14:textId="77777777" w:rsidTr="00AF21BE">
        <w:tc>
          <w:tcPr>
            <w:tcW w:w="0" w:type="pct"/>
          </w:tcPr>
          <w:p w14:paraId="4A5080D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0D6A9A3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Gas-fired water heater</w:t>
            </w:r>
          </w:p>
        </w:tc>
        <w:tc>
          <w:tcPr>
            <w:tcW w:w="0" w:type="pct"/>
          </w:tcPr>
          <w:p w14:paraId="4DABAE23" w14:textId="77777777" w:rsidR="006B44D0" w:rsidRPr="00483510" w:rsidRDefault="00315029" w:rsidP="006B44D0">
            <w:pPr>
              <w:rPr>
                <w:rFonts w:ascii="Arial Narrow" w:hAnsi="Arial Narrow"/>
                <w:sz w:val="18"/>
                <w:szCs w:val="18"/>
              </w:rPr>
            </w:pPr>
            <w:r>
              <w:rPr>
                <w:rFonts w:ascii="Arial Narrow" w:hAnsi="Arial Narrow"/>
                <w:sz w:val="18"/>
                <w:szCs w:val="18"/>
              </w:rPr>
              <w:t>98</w:t>
            </w:r>
            <w:r w:rsidR="006B44D0" w:rsidRPr="00483510">
              <w:rPr>
                <w:rFonts w:ascii="Arial Narrow" w:hAnsi="Arial Narrow"/>
                <w:sz w:val="18"/>
                <w:szCs w:val="18"/>
              </w:rPr>
              <w:t>%</w:t>
            </w:r>
          </w:p>
        </w:tc>
        <w:tc>
          <w:tcPr>
            <w:tcW w:w="0" w:type="pct"/>
          </w:tcPr>
          <w:p w14:paraId="4E44535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4/1</w:t>
            </w:r>
            <w:r w:rsidR="00C76CBD">
              <w:rPr>
                <w:rFonts w:ascii="Arial Narrow" w:hAnsi="Arial Narrow"/>
                <w:sz w:val="18"/>
                <w:szCs w:val="18"/>
              </w:rPr>
              <w:t>6</w:t>
            </w:r>
            <w:r w:rsidRPr="00483510">
              <w:rPr>
                <w:rFonts w:ascii="Arial Narrow" w:hAnsi="Arial Narrow"/>
                <w:sz w:val="18"/>
                <w:szCs w:val="18"/>
              </w:rPr>
              <w:t>/2015</w:t>
            </w:r>
          </w:p>
        </w:tc>
        <w:tc>
          <w:tcPr>
            <w:tcW w:w="0" w:type="pct"/>
          </w:tcPr>
          <w:p w14:paraId="2E3E66F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52BBEFE" w14:textId="77777777" w:rsidTr="00AF21BE">
        <w:tc>
          <w:tcPr>
            <w:tcW w:w="0" w:type="pct"/>
          </w:tcPr>
          <w:p w14:paraId="74FFC15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12A96A3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Electric storage water heater</w:t>
            </w:r>
          </w:p>
        </w:tc>
        <w:tc>
          <w:tcPr>
            <w:tcW w:w="0" w:type="pct"/>
          </w:tcPr>
          <w:p w14:paraId="085DB08E" w14:textId="77777777" w:rsidR="006B44D0" w:rsidRPr="00483510" w:rsidRDefault="00315029" w:rsidP="006B44D0">
            <w:pPr>
              <w:rPr>
                <w:rFonts w:ascii="Arial Narrow" w:hAnsi="Arial Narrow"/>
                <w:sz w:val="18"/>
                <w:szCs w:val="18"/>
              </w:rPr>
            </w:pPr>
            <w:r>
              <w:rPr>
                <w:rFonts w:ascii="Arial Narrow" w:hAnsi="Arial Narrow"/>
                <w:sz w:val="18"/>
                <w:szCs w:val="18"/>
              </w:rPr>
              <w:t>88</w:t>
            </w:r>
            <w:r w:rsidR="006B44D0" w:rsidRPr="00483510">
              <w:rPr>
                <w:rFonts w:ascii="Arial Narrow" w:hAnsi="Arial Narrow"/>
                <w:sz w:val="18"/>
                <w:szCs w:val="18"/>
              </w:rPr>
              <w:t>%</w:t>
            </w:r>
          </w:p>
        </w:tc>
        <w:tc>
          <w:tcPr>
            <w:tcW w:w="0" w:type="pct"/>
          </w:tcPr>
          <w:p w14:paraId="0D4AFDD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4/1</w:t>
            </w:r>
            <w:r w:rsidR="00C76CBD">
              <w:rPr>
                <w:rFonts w:ascii="Arial Narrow" w:hAnsi="Arial Narrow"/>
                <w:sz w:val="18"/>
                <w:szCs w:val="18"/>
              </w:rPr>
              <w:t>6</w:t>
            </w:r>
            <w:r w:rsidRPr="00483510">
              <w:rPr>
                <w:rFonts w:ascii="Arial Narrow" w:hAnsi="Arial Narrow"/>
                <w:sz w:val="18"/>
                <w:szCs w:val="18"/>
              </w:rPr>
              <w:t>/2015</w:t>
            </w:r>
          </w:p>
        </w:tc>
        <w:tc>
          <w:tcPr>
            <w:tcW w:w="0" w:type="pct"/>
          </w:tcPr>
          <w:p w14:paraId="10FA160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C237436" w14:textId="77777777" w:rsidTr="00AF21BE">
        <w:tc>
          <w:tcPr>
            <w:tcW w:w="0" w:type="pct"/>
          </w:tcPr>
          <w:p w14:paraId="5A4AF5C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08C4D06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Gas-fired instantaneous water heater</w:t>
            </w:r>
          </w:p>
        </w:tc>
        <w:tc>
          <w:tcPr>
            <w:tcW w:w="0" w:type="pct"/>
          </w:tcPr>
          <w:p w14:paraId="017AEC5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w:t>
            </w:r>
            <w:r w:rsidR="00315029">
              <w:rPr>
                <w:rFonts w:ascii="Arial Narrow" w:hAnsi="Arial Narrow"/>
                <w:sz w:val="18"/>
                <w:szCs w:val="18"/>
              </w:rPr>
              <w:t>7</w:t>
            </w:r>
            <w:r w:rsidRPr="00483510">
              <w:rPr>
                <w:rFonts w:ascii="Arial Narrow" w:hAnsi="Arial Narrow"/>
                <w:sz w:val="18"/>
                <w:szCs w:val="18"/>
              </w:rPr>
              <w:t>%</w:t>
            </w:r>
          </w:p>
        </w:tc>
        <w:tc>
          <w:tcPr>
            <w:tcW w:w="0" w:type="pct"/>
          </w:tcPr>
          <w:p w14:paraId="63C9639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4/1</w:t>
            </w:r>
            <w:r w:rsidR="00C76CBD">
              <w:rPr>
                <w:rFonts w:ascii="Arial Narrow" w:hAnsi="Arial Narrow"/>
                <w:sz w:val="18"/>
                <w:szCs w:val="18"/>
              </w:rPr>
              <w:t>6</w:t>
            </w:r>
            <w:r w:rsidRPr="00483510">
              <w:rPr>
                <w:rFonts w:ascii="Arial Narrow" w:hAnsi="Arial Narrow"/>
                <w:sz w:val="18"/>
                <w:szCs w:val="18"/>
              </w:rPr>
              <w:t>/2015</w:t>
            </w:r>
          </w:p>
        </w:tc>
        <w:tc>
          <w:tcPr>
            <w:tcW w:w="0" w:type="pct"/>
          </w:tcPr>
          <w:p w14:paraId="3FFDF16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077DA4A" w14:textId="77777777" w:rsidTr="00AF21BE">
        <w:tc>
          <w:tcPr>
            <w:tcW w:w="0" w:type="pct"/>
          </w:tcPr>
          <w:p w14:paraId="472DE30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466B723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Oil-fired storage water heater</w:t>
            </w:r>
          </w:p>
        </w:tc>
        <w:tc>
          <w:tcPr>
            <w:tcW w:w="0" w:type="pct"/>
          </w:tcPr>
          <w:p w14:paraId="2309665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3AA7366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4/1</w:t>
            </w:r>
            <w:r w:rsidR="00C76CBD">
              <w:rPr>
                <w:rFonts w:ascii="Arial Narrow" w:hAnsi="Arial Narrow"/>
                <w:sz w:val="18"/>
                <w:szCs w:val="18"/>
              </w:rPr>
              <w:t>6</w:t>
            </w:r>
            <w:r w:rsidRPr="00483510">
              <w:rPr>
                <w:rFonts w:ascii="Arial Narrow" w:hAnsi="Arial Narrow"/>
                <w:sz w:val="18"/>
                <w:szCs w:val="18"/>
              </w:rPr>
              <w:t>/2015</w:t>
            </w:r>
          </w:p>
        </w:tc>
        <w:tc>
          <w:tcPr>
            <w:tcW w:w="0" w:type="pct"/>
          </w:tcPr>
          <w:p w14:paraId="3BDFB6E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A4345BD" w14:textId="77777777" w:rsidTr="00AF21BE">
        <w:tc>
          <w:tcPr>
            <w:tcW w:w="0" w:type="pct"/>
          </w:tcPr>
          <w:p w14:paraId="60FE08B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0CA171C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Small Electric Motors</w:t>
            </w:r>
          </w:p>
        </w:tc>
        <w:tc>
          <w:tcPr>
            <w:tcW w:w="0" w:type="pct"/>
          </w:tcPr>
          <w:p w14:paraId="2895DD12" w14:textId="77777777" w:rsidR="006B44D0" w:rsidRPr="00483510" w:rsidRDefault="00315029" w:rsidP="006B44D0">
            <w:pPr>
              <w:rPr>
                <w:rFonts w:ascii="Arial Narrow" w:hAnsi="Arial Narrow"/>
                <w:sz w:val="18"/>
                <w:szCs w:val="18"/>
              </w:rPr>
            </w:pPr>
            <w:r>
              <w:rPr>
                <w:rFonts w:ascii="Arial Narrow" w:hAnsi="Arial Narrow"/>
                <w:sz w:val="18"/>
                <w:szCs w:val="18"/>
              </w:rPr>
              <w:t>3</w:t>
            </w:r>
            <w:r w:rsidR="006B44D0" w:rsidRPr="00483510">
              <w:rPr>
                <w:rFonts w:ascii="Arial Narrow" w:hAnsi="Arial Narrow"/>
                <w:sz w:val="18"/>
                <w:szCs w:val="18"/>
              </w:rPr>
              <w:t>5%</w:t>
            </w:r>
          </w:p>
        </w:tc>
        <w:tc>
          <w:tcPr>
            <w:tcW w:w="0" w:type="pct"/>
          </w:tcPr>
          <w:p w14:paraId="184EBAD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w:t>
            </w:r>
            <w:r w:rsidR="00C76CBD">
              <w:rPr>
                <w:rFonts w:ascii="Arial Narrow" w:hAnsi="Arial Narrow"/>
                <w:sz w:val="18"/>
                <w:szCs w:val="18"/>
              </w:rPr>
              <w:t>9</w:t>
            </w:r>
            <w:r w:rsidRPr="00483510">
              <w:rPr>
                <w:rFonts w:ascii="Arial Narrow" w:hAnsi="Arial Narrow"/>
                <w:sz w:val="18"/>
                <w:szCs w:val="18"/>
              </w:rPr>
              <w:t>/2015</w:t>
            </w:r>
          </w:p>
        </w:tc>
        <w:tc>
          <w:tcPr>
            <w:tcW w:w="0" w:type="pct"/>
          </w:tcPr>
          <w:p w14:paraId="1F6329B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8EC09FE" w14:textId="77777777" w:rsidTr="00AF21BE">
        <w:tc>
          <w:tcPr>
            <w:tcW w:w="0" w:type="pct"/>
          </w:tcPr>
          <w:p w14:paraId="41D746B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7AC0B94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Clothes Washers (Front Loading)</w:t>
            </w:r>
          </w:p>
        </w:tc>
        <w:tc>
          <w:tcPr>
            <w:tcW w:w="0" w:type="pct"/>
          </w:tcPr>
          <w:p w14:paraId="4E9036ED" w14:textId="77777777" w:rsidR="006B44D0" w:rsidRPr="00483510" w:rsidRDefault="00315029" w:rsidP="006B44D0">
            <w:pPr>
              <w:rPr>
                <w:rFonts w:ascii="Arial Narrow" w:hAnsi="Arial Narrow"/>
                <w:sz w:val="18"/>
                <w:szCs w:val="18"/>
              </w:rPr>
            </w:pPr>
            <w:r>
              <w:rPr>
                <w:rFonts w:ascii="Arial Narrow" w:hAnsi="Arial Narrow"/>
                <w:sz w:val="18"/>
                <w:szCs w:val="18"/>
              </w:rPr>
              <w:t>100</w:t>
            </w:r>
            <w:r w:rsidR="006B44D0" w:rsidRPr="00483510">
              <w:rPr>
                <w:rFonts w:ascii="Arial Narrow" w:hAnsi="Arial Narrow"/>
                <w:sz w:val="18"/>
                <w:szCs w:val="18"/>
              </w:rPr>
              <w:t>%</w:t>
            </w:r>
          </w:p>
        </w:tc>
        <w:tc>
          <w:tcPr>
            <w:tcW w:w="0" w:type="pct"/>
          </w:tcPr>
          <w:p w14:paraId="0D97F80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w:t>
            </w:r>
            <w:r w:rsidR="00C76CBD">
              <w:rPr>
                <w:rFonts w:ascii="Arial Narrow" w:hAnsi="Arial Narrow"/>
                <w:sz w:val="18"/>
                <w:szCs w:val="18"/>
              </w:rPr>
              <w:t>7</w:t>
            </w:r>
            <w:r w:rsidRPr="00483510">
              <w:rPr>
                <w:rFonts w:ascii="Arial Narrow" w:hAnsi="Arial Narrow"/>
                <w:sz w:val="18"/>
                <w:szCs w:val="18"/>
              </w:rPr>
              <w:t>/2015</w:t>
            </w:r>
          </w:p>
        </w:tc>
        <w:tc>
          <w:tcPr>
            <w:tcW w:w="0" w:type="pct"/>
          </w:tcPr>
          <w:p w14:paraId="1A137E9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750DCA8" w14:textId="77777777" w:rsidTr="00AF21BE">
        <w:tc>
          <w:tcPr>
            <w:tcW w:w="0" w:type="pct"/>
          </w:tcPr>
          <w:p w14:paraId="12485CB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7D1ACE7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Residential Clothes Washers (Top Loading) Tier I </w:t>
            </w:r>
          </w:p>
        </w:tc>
        <w:tc>
          <w:tcPr>
            <w:tcW w:w="0" w:type="pct"/>
          </w:tcPr>
          <w:p w14:paraId="086EDB10" w14:textId="77777777" w:rsidR="006B44D0" w:rsidRPr="00483510" w:rsidRDefault="00315029" w:rsidP="006B44D0">
            <w:pPr>
              <w:rPr>
                <w:rFonts w:ascii="Arial Narrow" w:hAnsi="Arial Narrow"/>
                <w:sz w:val="18"/>
                <w:szCs w:val="18"/>
              </w:rPr>
            </w:pPr>
            <w:r>
              <w:rPr>
                <w:rFonts w:ascii="Arial Narrow" w:hAnsi="Arial Narrow"/>
                <w:sz w:val="18"/>
                <w:szCs w:val="18"/>
              </w:rPr>
              <w:t>100</w:t>
            </w:r>
            <w:r w:rsidR="006B44D0" w:rsidRPr="00483510">
              <w:rPr>
                <w:rFonts w:ascii="Arial Narrow" w:hAnsi="Arial Narrow"/>
                <w:sz w:val="18"/>
                <w:szCs w:val="18"/>
              </w:rPr>
              <w:t>%</w:t>
            </w:r>
          </w:p>
        </w:tc>
        <w:tc>
          <w:tcPr>
            <w:tcW w:w="0" w:type="pct"/>
          </w:tcPr>
          <w:p w14:paraId="1FD69AC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w:t>
            </w:r>
            <w:r w:rsidR="00C76CBD">
              <w:rPr>
                <w:rFonts w:ascii="Arial Narrow" w:hAnsi="Arial Narrow"/>
                <w:sz w:val="18"/>
                <w:szCs w:val="18"/>
              </w:rPr>
              <w:t>7</w:t>
            </w:r>
            <w:r w:rsidRPr="00483510">
              <w:rPr>
                <w:rFonts w:ascii="Arial Narrow" w:hAnsi="Arial Narrow"/>
                <w:sz w:val="18"/>
                <w:szCs w:val="18"/>
              </w:rPr>
              <w:t>/2015</w:t>
            </w:r>
          </w:p>
        </w:tc>
        <w:tc>
          <w:tcPr>
            <w:tcW w:w="0" w:type="pct"/>
          </w:tcPr>
          <w:p w14:paraId="06FD87D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4FE4B23" w14:textId="77777777" w:rsidTr="00AF21BE">
        <w:tc>
          <w:tcPr>
            <w:tcW w:w="0" w:type="pct"/>
          </w:tcPr>
          <w:p w14:paraId="042DF08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71720AB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Clothes Washers (Top Loading) Tier II</w:t>
            </w:r>
          </w:p>
        </w:tc>
        <w:tc>
          <w:tcPr>
            <w:tcW w:w="0" w:type="pct"/>
          </w:tcPr>
          <w:p w14:paraId="3F110E5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95%</w:t>
            </w:r>
          </w:p>
        </w:tc>
        <w:tc>
          <w:tcPr>
            <w:tcW w:w="0" w:type="pct"/>
          </w:tcPr>
          <w:p w14:paraId="0C607BD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1/1/2018</w:t>
            </w:r>
          </w:p>
        </w:tc>
        <w:tc>
          <w:tcPr>
            <w:tcW w:w="0" w:type="pct"/>
          </w:tcPr>
          <w:p w14:paraId="6C7AFB0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5976A24" w14:textId="77777777" w:rsidTr="00AF21BE">
        <w:tc>
          <w:tcPr>
            <w:tcW w:w="0" w:type="pct"/>
          </w:tcPr>
          <w:p w14:paraId="6A954BB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7C8688B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Central AC, Heat Pumps and Furnaces</w:t>
            </w:r>
          </w:p>
        </w:tc>
        <w:tc>
          <w:tcPr>
            <w:tcW w:w="0" w:type="pct"/>
          </w:tcPr>
          <w:p w14:paraId="5036C6A4" w14:textId="77777777" w:rsidR="006B44D0" w:rsidRPr="00483510" w:rsidRDefault="00315029" w:rsidP="006B44D0">
            <w:pPr>
              <w:rPr>
                <w:rFonts w:ascii="Arial Narrow" w:hAnsi="Arial Narrow"/>
                <w:sz w:val="18"/>
                <w:szCs w:val="18"/>
              </w:rPr>
            </w:pPr>
            <w:r>
              <w:rPr>
                <w:rFonts w:ascii="Arial Narrow" w:hAnsi="Arial Narrow"/>
                <w:sz w:val="18"/>
                <w:szCs w:val="18"/>
              </w:rPr>
              <w:t>99</w:t>
            </w:r>
            <w:r w:rsidR="006B44D0" w:rsidRPr="00483510">
              <w:rPr>
                <w:rFonts w:ascii="Arial Narrow" w:hAnsi="Arial Narrow"/>
                <w:sz w:val="18"/>
                <w:szCs w:val="18"/>
              </w:rPr>
              <w:t>%</w:t>
            </w:r>
          </w:p>
        </w:tc>
        <w:tc>
          <w:tcPr>
            <w:tcW w:w="0" w:type="pct"/>
          </w:tcPr>
          <w:p w14:paraId="606F616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1/1/2015</w:t>
            </w:r>
          </w:p>
        </w:tc>
        <w:tc>
          <w:tcPr>
            <w:tcW w:w="0" w:type="pct"/>
          </w:tcPr>
          <w:p w14:paraId="2BF8DF3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3705A8B" w14:textId="77777777" w:rsidTr="00AF21BE">
        <w:tc>
          <w:tcPr>
            <w:tcW w:w="0" w:type="pct"/>
          </w:tcPr>
          <w:p w14:paraId="1CCFACE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66294B9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External Power Supplies</w:t>
            </w:r>
          </w:p>
        </w:tc>
        <w:tc>
          <w:tcPr>
            <w:tcW w:w="0" w:type="pct"/>
          </w:tcPr>
          <w:p w14:paraId="5945139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4A0CF20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2/10/2016</w:t>
            </w:r>
          </w:p>
        </w:tc>
        <w:tc>
          <w:tcPr>
            <w:tcW w:w="0" w:type="pct"/>
          </w:tcPr>
          <w:p w14:paraId="6DAEBC0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B7A2983" w14:textId="77777777" w:rsidTr="00AF21BE">
        <w:tc>
          <w:tcPr>
            <w:tcW w:w="0" w:type="pct"/>
          </w:tcPr>
          <w:p w14:paraId="684E660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22AD0B1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Battery Chargers</w:t>
            </w:r>
          </w:p>
        </w:tc>
        <w:tc>
          <w:tcPr>
            <w:tcW w:w="0" w:type="pct"/>
          </w:tcPr>
          <w:p w14:paraId="638F1E1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04821CB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6/13/2018</w:t>
            </w:r>
          </w:p>
        </w:tc>
        <w:tc>
          <w:tcPr>
            <w:tcW w:w="0" w:type="pct"/>
          </w:tcPr>
          <w:p w14:paraId="0E937EF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F82E5E4" w14:textId="77777777" w:rsidTr="00AF21BE">
        <w:tc>
          <w:tcPr>
            <w:tcW w:w="0" w:type="pct"/>
          </w:tcPr>
          <w:p w14:paraId="28975C6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51BFF49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Walk-in Coolers and Freezers (Door)</w:t>
            </w:r>
          </w:p>
        </w:tc>
        <w:tc>
          <w:tcPr>
            <w:tcW w:w="0" w:type="pct"/>
          </w:tcPr>
          <w:p w14:paraId="4C18232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550922C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6/5/2017</w:t>
            </w:r>
          </w:p>
        </w:tc>
        <w:tc>
          <w:tcPr>
            <w:tcW w:w="0" w:type="pct"/>
          </w:tcPr>
          <w:p w14:paraId="5A88DC9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3D50685" w14:textId="77777777" w:rsidTr="00AF21BE">
        <w:tc>
          <w:tcPr>
            <w:tcW w:w="0" w:type="pct"/>
          </w:tcPr>
          <w:p w14:paraId="6BBA4AA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64CE8E9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Walk-in Coolers and Freezers (Systems)</w:t>
            </w:r>
          </w:p>
        </w:tc>
        <w:tc>
          <w:tcPr>
            <w:tcW w:w="0" w:type="pct"/>
          </w:tcPr>
          <w:p w14:paraId="6340C0A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462C587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6/5/2017</w:t>
            </w:r>
          </w:p>
        </w:tc>
        <w:tc>
          <w:tcPr>
            <w:tcW w:w="0" w:type="pct"/>
          </w:tcPr>
          <w:p w14:paraId="2E4A4F6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39AF739" w14:textId="77777777" w:rsidTr="00AF21BE">
        <w:tc>
          <w:tcPr>
            <w:tcW w:w="0" w:type="pct"/>
          </w:tcPr>
          <w:p w14:paraId="4E680FE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093801C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Distribution Transformers</w:t>
            </w:r>
          </w:p>
        </w:tc>
        <w:tc>
          <w:tcPr>
            <w:tcW w:w="0" w:type="pct"/>
          </w:tcPr>
          <w:p w14:paraId="44A9848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364E7A0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1/1/2016</w:t>
            </w:r>
          </w:p>
        </w:tc>
        <w:tc>
          <w:tcPr>
            <w:tcW w:w="0" w:type="pct"/>
          </w:tcPr>
          <w:p w14:paraId="7BAC147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D88C02F" w14:textId="77777777" w:rsidTr="00AF21BE">
        <w:tc>
          <w:tcPr>
            <w:tcW w:w="0" w:type="pct"/>
          </w:tcPr>
          <w:p w14:paraId="3B0B0A4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3195B44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Commercial Refrigeration Equipment</w:t>
            </w:r>
          </w:p>
        </w:tc>
        <w:tc>
          <w:tcPr>
            <w:tcW w:w="0" w:type="pct"/>
          </w:tcPr>
          <w:p w14:paraId="573134D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15C53FC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3/27/2017</w:t>
            </w:r>
          </w:p>
        </w:tc>
        <w:tc>
          <w:tcPr>
            <w:tcW w:w="0" w:type="pct"/>
          </w:tcPr>
          <w:p w14:paraId="4B2B773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AFFD07B" w14:textId="77777777" w:rsidTr="00AF21BE">
        <w:tc>
          <w:tcPr>
            <w:tcW w:w="0" w:type="pct"/>
          </w:tcPr>
          <w:p w14:paraId="6241B10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0D3221B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Metal Halide Lamp Fixtures</w:t>
            </w:r>
          </w:p>
        </w:tc>
        <w:tc>
          <w:tcPr>
            <w:tcW w:w="0" w:type="pct"/>
          </w:tcPr>
          <w:p w14:paraId="5744CCE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0575050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2/10/2017</w:t>
            </w:r>
          </w:p>
        </w:tc>
        <w:tc>
          <w:tcPr>
            <w:tcW w:w="0" w:type="pct"/>
          </w:tcPr>
          <w:p w14:paraId="754E618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2D05C92" w14:textId="77777777" w:rsidTr="00AF21BE">
        <w:tc>
          <w:tcPr>
            <w:tcW w:w="0" w:type="pct"/>
          </w:tcPr>
          <w:p w14:paraId="22EDDC1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1A22582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General Service Fluorescent Lamps #2</w:t>
            </w:r>
          </w:p>
        </w:tc>
        <w:tc>
          <w:tcPr>
            <w:tcW w:w="0" w:type="pct"/>
          </w:tcPr>
          <w:p w14:paraId="329C56D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32BC2FF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1/26/2018</w:t>
            </w:r>
          </w:p>
        </w:tc>
        <w:tc>
          <w:tcPr>
            <w:tcW w:w="0" w:type="pct"/>
          </w:tcPr>
          <w:p w14:paraId="78885FC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0E88CC3" w14:textId="77777777" w:rsidTr="00AF21BE">
        <w:tc>
          <w:tcPr>
            <w:tcW w:w="0" w:type="pct"/>
          </w:tcPr>
          <w:p w14:paraId="2E7C14E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693A767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ASHRAE Products (Commercial boilers)</w:t>
            </w:r>
          </w:p>
        </w:tc>
        <w:tc>
          <w:tcPr>
            <w:tcW w:w="0" w:type="pct"/>
          </w:tcPr>
          <w:p w14:paraId="02DEEAC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95%</w:t>
            </w:r>
          </w:p>
        </w:tc>
        <w:tc>
          <w:tcPr>
            <w:tcW w:w="0" w:type="pct"/>
          </w:tcPr>
          <w:p w14:paraId="3CE1955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3/2/2012</w:t>
            </w:r>
          </w:p>
        </w:tc>
        <w:tc>
          <w:tcPr>
            <w:tcW w:w="0" w:type="pct"/>
          </w:tcPr>
          <w:p w14:paraId="352AAAD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47D4824" w14:textId="77777777" w:rsidTr="00AF21BE">
        <w:tc>
          <w:tcPr>
            <w:tcW w:w="0" w:type="pct"/>
          </w:tcPr>
          <w:p w14:paraId="346CF77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535DABC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Air-Cooled Commercial Package ACs and HPs - Tier 1</w:t>
            </w:r>
          </w:p>
        </w:tc>
        <w:tc>
          <w:tcPr>
            <w:tcW w:w="0" w:type="pct"/>
          </w:tcPr>
          <w:p w14:paraId="4B92CEB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5A107CB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1/1/2018</w:t>
            </w:r>
          </w:p>
        </w:tc>
        <w:tc>
          <w:tcPr>
            <w:tcW w:w="0" w:type="pct"/>
          </w:tcPr>
          <w:p w14:paraId="458D9AE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447A67E" w14:textId="77777777" w:rsidTr="00AF21BE">
        <w:tc>
          <w:tcPr>
            <w:tcW w:w="0" w:type="pct"/>
          </w:tcPr>
          <w:p w14:paraId="3545894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47B17BA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Commercial Clothes Washers #2</w:t>
            </w:r>
          </w:p>
        </w:tc>
        <w:tc>
          <w:tcPr>
            <w:tcW w:w="0" w:type="pct"/>
          </w:tcPr>
          <w:p w14:paraId="7EE2B63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5A74A34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1/1/2018</w:t>
            </w:r>
          </w:p>
        </w:tc>
        <w:tc>
          <w:tcPr>
            <w:tcW w:w="0" w:type="pct"/>
          </w:tcPr>
          <w:p w14:paraId="47A807F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0766D9C" w14:textId="77777777" w:rsidTr="00AF21BE">
        <w:tc>
          <w:tcPr>
            <w:tcW w:w="0" w:type="pct"/>
          </w:tcPr>
          <w:p w14:paraId="1BCAF5F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544B7F9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Automatic Commercial Ice Makers</w:t>
            </w:r>
          </w:p>
        </w:tc>
        <w:tc>
          <w:tcPr>
            <w:tcW w:w="0" w:type="pct"/>
          </w:tcPr>
          <w:p w14:paraId="6F6AA2C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68F3FE8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1/28/2018</w:t>
            </w:r>
          </w:p>
        </w:tc>
        <w:tc>
          <w:tcPr>
            <w:tcW w:w="0" w:type="pct"/>
          </w:tcPr>
          <w:p w14:paraId="7378E85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36BF762" w14:textId="77777777" w:rsidTr="00AF21BE">
        <w:tc>
          <w:tcPr>
            <w:tcW w:w="0" w:type="pct"/>
          </w:tcPr>
          <w:p w14:paraId="5A57B40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71A2D09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Ceiling Fan Light Kits</w:t>
            </w:r>
          </w:p>
        </w:tc>
        <w:tc>
          <w:tcPr>
            <w:tcW w:w="0" w:type="pct"/>
          </w:tcPr>
          <w:p w14:paraId="0E28A71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489FEC5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1/7/2019</w:t>
            </w:r>
          </w:p>
        </w:tc>
        <w:tc>
          <w:tcPr>
            <w:tcW w:w="0" w:type="pct"/>
          </w:tcPr>
          <w:p w14:paraId="3A3B63A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C51855E" w14:textId="77777777" w:rsidTr="00AF21BE">
        <w:tc>
          <w:tcPr>
            <w:tcW w:w="0" w:type="pct"/>
          </w:tcPr>
          <w:p w14:paraId="2FFE370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4691EBD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Beverage Vending Machines </w:t>
            </w:r>
          </w:p>
        </w:tc>
        <w:tc>
          <w:tcPr>
            <w:tcW w:w="0" w:type="pct"/>
          </w:tcPr>
          <w:p w14:paraId="6712AC2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5263C58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1/8/2019</w:t>
            </w:r>
          </w:p>
        </w:tc>
        <w:tc>
          <w:tcPr>
            <w:tcW w:w="0" w:type="pct"/>
          </w:tcPr>
          <w:p w14:paraId="589D0EE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AF9BF2C" w14:textId="77777777" w:rsidTr="00AF21BE">
        <w:tc>
          <w:tcPr>
            <w:tcW w:w="0" w:type="pct"/>
          </w:tcPr>
          <w:p w14:paraId="7E762BA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1674C07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Pre-Rinse Spray Valves</w:t>
            </w:r>
          </w:p>
        </w:tc>
        <w:tc>
          <w:tcPr>
            <w:tcW w:w="0" w:type="pct"/>
          </w:tcPr>
          <w:p w14:paraId="180779C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71D6BE9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1/28/2019</w:t>
            </w:r>
          </w:p>
        </w:tc>
        <w:tc>
          <w:tcPr>
            <w:tcW w:w="0" w:type="pct"/>
          </w:tcPr>
          <w:p w14:paraId="565BCDF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6D14454" w14:textId="77777777" w:rsidTr="00AF21BE">
        <w:tc>
          <w:tcPr>
            <w:tcW w:w="0" w:type="pct"/>
          </w:tcPr>
          <w:p w14:paraId="7A27BC2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616ABED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Furnace Fans</w:t>
            </w:r>
          </w:p>
        </w:tc>
        <w:tc>
          <w:tcPr>
            <w:tcW w:w="0" w:type="pct"/>
          </w:tcPr>
          <w:p w14:paraId="5729579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681208E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7/3/2019</w:t>
            </w:r>
          </w:p>
        </w:tc>
        <w:tc>
          <w:tcPr>
            <w:tcW w:w="0" w:type="pct"/>
          </w:tcPr>
          <w:p w14:paraId="16EB957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68D1A03" w14:textId="77777777" w:rsidTr="00AF21BE">
        <w:tc>
          <w:tcPr>
            <w:tcW w:w="0" w:type="pct"/>
          </w:tcPr>
          <w:p w14:paraId="0537256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2FA2C6E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Dehumidifiers</w:t>
            </w:r>
          </w:p>
        </w:tc>
        <w:tc>
          <w:tcPr>
            <w:tcW w:w="0" w:type="pct"/>
          </w:tcPr>
          <w:p w14:paraId="12B611C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6DD56C3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6/13/2019</w:t>
            </w:r>
          </w:p>
        </w:tc>
        <w:tc>
          <w:tcPr>
            <w:tcW w:w="0" w:type="pct"/>
          </w:tcPr>
          <w:p w14:paraId="2FA5612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E58D819" w14:textId="77777777" w:rsidTr="00AF21BE">
        <w:tc>
          <w:tcPr>
            <w:tcW w:w="0" w:type="pct"/>
          </w:tcPr>
          <w:p w14:paraId="1E2BE72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15501CB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Single-Package Vertical ACs and HPs</w:t>
            </w:r>
          </w:p>
        </w:tc>
        <w:tc>
          <w:tcPr>
            <w:tcW w:w="0" w:type="pct"/>
          </w:tcPr>
          <w:p w14:paraId="3D694B0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0B70232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9/23/2019</w:t>
            </w:r>
          </w:p>
        </w:tc>
        <w:tc>
          <w:tcPr>
            <w:tcW w:w="0" w:type="pct"/>
          </w:tcPr>
          <w:p w14:paraId="6800B62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E8DB7DC" w14:textId="77777777" w:rsidTr="00AF21BE">
        <w:tc>
          <w:tcPr>
            <w:tcW w:w="0" w:type="pct"/>
          </w:tcPr>
          <w:p w14:paraId="3167206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5C5404C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Commercial and Industrial Pumps</w:t>
            </w:r>
          </w:p>
        </w:tc>
        <w:tc>
          <w:tcPr>
            <w:tcW w:w="0" w:type="pct"/>
          </w:tcPr>
          <w:p w14:paraId="1E48714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5C2E9DF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1/27/2020</w:t>
            </w:r>
          </w:p>
        </w:tc>
        <w:tc>
          <w:tcPr>
            <w:tcW w:w="0" w:type="pct"/>
          </w:tcPr>
          <w:p w14:paraId="036ED92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A3A3C27" w14:textId="77777777" w:rsidTr="00AF21BE">
        <w:tc>
          <w:tcPr>
            <w:tcW w:w="0" w:type="pct"/>
          </w:tcPr>
          <w:p w14:paraId="2DD3551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1F73B82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Boilers</w:t>
            </w:r>
          </w:p>
        </w:tc>
        <w:tc>
          <w:tcPr>
            <w:tcW w:w="0" w:type="pct"/>
          </w:tcPr>
          <w:p w14:paraId="356CB2D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2615D9E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1/15/2021</w:t>
            </w:r>
          </w:p>
        </w:tc>
        <w:tc>
          <w:tcPr>
            <w:tcW w:w="0" w:type="pct"/>
          </w:tcPr>
          <w:p w14:paraId="2F55D0D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025F0D8" w14:textId="77777777" w:rsidTr="00AF21BE">
        <w:tc>
          <w:tcPr>
            <w:tcW w:w="0" w:type="pct"/>
          </w:tcPr>
          <w:p w14:paraId="7722486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7941A0D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Commercial Furnaces</w:t>
            </w:r>
          </w:p>
        </w:tc>
        <w:tc>
          <w:tcPr>
            <w:tcW w:w="0" w:type="pct"/>
          </w:tcPr>
          <w:p w14:paraId="65C536B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59D0209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1/1/2023</w:t>
            </w:r>
          </w:p>
        </w:tc>
        <w:tc>
          <w:tcPr>
            <w:tcW w:w="0" w:type="pct"/>
          </w:tcPr>
          <w:p w14:paraId="207FC14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5B8E410" w14:textId="77777777" w:rsidTr="00AF21BE">
        <w:tc>
          <w:tcPr>
            <w:tcW w:w="0" w:type="pct"/>
          </w:tcPr>
          <w:p w14:paraId="2A956F9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41E643D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Air-Cooled Commercial Package ACs and HPs - Tier 2 (incremental to Tier 1)</w:t>
            </w:r>
          </w:p>
        </w:tc>
        <w:tc>
          <w:tcPr>
            <w:tcW w:w="0" w:type="pct"/>
          </w:tcPr>
          <w:p w14:paraId="39C4E54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519D60D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1/1/2023</w:t>
            </w:r>
          </w:p>
        </w:tc>
        <w:tc>
          <w:tcPr>
            <w:tcW w:w="0" w:type="pct"/>
          </w:tcPr>
          <w:p w14:paraId="1D97DAF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767D1B2" w14:textId="77777777" w:rsidTr="00AF21BE">
        <w:tc>
          <w:tcPr>
            <w:tcW w:w="0" w:type="pct"/>
          </w:tcPr>
          <w:p w14:paraId="011236F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32D2A26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Electric Motors</w:t>
            </w:r>
          </w:p>
        </w:tc>
        <w:tc>
          <w:tcPr>
            <w:tcW w:w="0" w:type="pct"/>
          </w:tcPr>
          <w:p w14:paraId="55AE187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12EEB0D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6/1/2016</w:t>
            </w:r>
          </w:p>
        </w:tc>
        <w:tc>
          <w:tcPr>
            <w:tcW w:w="0" w:type="pct"/>
          </w:tcPr>
          <w:p w14:paraId="6A04060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ADF7021" w14:textId="77777777" w:rsidTr="00AF21BE">
        <w:tc>
          <w:tcPr>
            <w:tcW w:w="0" w:type="pct"/>
          </w:tcPr>
          <w:p w14:paraId="24E4786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Federal</w:t>
            </w:r>
          </w:p>
        </w:tc>
        <w:tc>
          <w:tcPr>
            <w:tcW w:w="0" w:type="pct"/>
          </w:tcPr>
          <w:p w14:paraId="6BEAC52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Microwaves</w:t>
            </w:r>
          </w:p>
        </w:tc>
        <w:tc>
          <w:tcPr>
            <w:tcW w:w="0" w:type="pct"/>
          </w:tcPr>
          <w:p w14:paraId="28995D0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1E93A27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6/17/2016</w:t>
            </w:r>
          </w:p>
        </w:tc>
        <w:tc>
          <w:tcPr>
            <w:tcW w:w="0" w:type="pct"/>
          </w:tcPr>
          <w:p w14:paraId="20CBF0B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FD4096A" w14:textId="77777777" w:rsidTr="00AF21BE">
        <w:tc>
          <w:tcPr>
            <w:tcW w:w="0" w:type="pct"/>
          </w:tcPr>
          <w:p w14:paraId="78DD8A4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0" w:type="pct"/>
          </w:tcPr>
          <w:p w14:paraId="660F0CB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Time dependent valuation, Residential</w:t>
            </w:r>
          </w:p>
        </w:tc>
        <w:tc>
          <w:tcPr>
            <w:tcW w:w="0" w:type="pct"/>
          </w:tcPr>
          <w:p w14:paraId="6A681F4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0%</w:t>
            </w:r>
          </w:p>
        </w:tc>
        <w:tc>
          <w:tcPr>
            <w:tcW w:w="0" w:type="pct"/>
          </w:tcPr>
          <w:p w14:paraId="37859DB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1C017AE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EE06711" w14:textId="77777777" w:rsidTr="00AF21BE">
        <w:tc>
          <w:tcPr>
            <w:tcW w:w="0" w:type="pct"/>
          </w:tcPr>
          <w:p w14:paraId="047A152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0" w:type="pct"/>
          </w:tcPr>
          <w:p w14:paraId="5A8962E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Time dependent valuation, Nonresidential</w:t>
            </w:r>
          </w:p>
        </w:tc>
        <w:tc>
          <w:tcPr>
            <w:tcW w:w="0" w:type="pct"/>
          </w:tcPr>
          <w:p w14:paraId="63A563C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0%</w:t>
            </w:r>
          </w:p>
        </w:tc>
        <w:tc>
          <w:tcPr>
            <w:tcW w:w="0" w:type="pct"/>
          </w:tcPr>
          <w:p w14:paraId="5AF0E9C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6744A0F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4B444FA" w14:textId="77777777" w:rsidTr="00AF21BE">
        <w:tc>
          <w:tcPr>
            <w:tcW w:w="0" w:type="pct"/>
          </w:tcPr>
          <w:p w14:paraId="11DEE5A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0" w:type="pct"/>
          </w:tcPr>
          <w:p w14:paraId="2F1BD49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 Hardwired lighting</w:t>
            </w:r>
          </w:p>
        </w:tc>
        <w:tc>
          <w:tcPr>
            <w:tcW w:w="0" w:type="pct"/>
          </w:tcPr>
          <w:p w14:paraId="59B65CF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113%</w:t>
            </w:r>
          </w:p>
        </w:tc>
        <w:tc>
          <w:tcPr>
            <w:tcW w:w="0" w:type="pct"/>
          </w:tcPr>
          <w:p w14:paraId="4418987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7E9CE96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85931D4" w14:textId="77777777" w:rsidTr="00AF21BE">
        <w:tc>
          <w:tcPr>
            <w:tcW w:w="0" w:type="pct"/>
          </w:tcPr>
          <w:p w14:paraId="72C71C2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lastRenderedPageBreak/>
              <w:t>2005 T-24</w:t>
            </w:r>
          </w:p>
        </w:tc>
        <w:tc>
          <w:tcPr>
            <w:tcW w:w="0" w:type="pct"/>
          </w:tcPr>
          <w:p w14:paraId="5B91307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Duct improvement</w:t>
            </w:r>
          </w:p>
        </w:tc>
        <w:tc>
          <w:tcPr>
            <w:tcW w:w="0" w:type="pct"/>
          </w:tcPr>
          <w:p w14:paraId="6BFCDC3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59%</w:t>
            </w:r>
          </w:p>
        </w:tc>
        <w:tc>
          <w:tcPr>
            <w:tcW w:w="0" w:type="pct"/>
          </w:tcPr>
          <w:p w14:paraId="5E99BA9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4A9745A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BEA9080" w14:textId="77777777" w:rsidTr="00AF21BE">
        <w:tc>
          <w:tcPr>
            <w:tcW w:w="0" w:type="pct"/>
          </w:tcPr>
          <w:p w14:paraId="00D9510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0" w:type="pct"/>
          </w:tcPr>
          <w:p w14:paraId="2C06708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Window replacement</w:t>
            </w:r>
          </w:p>
        </w:tc>
        <w:tc>
          <w:tcPr>
            <w:tcW w:w="0" w:type="pct"/>
          </w:tcPr>
          <w:p w14:paraId="0E17D5F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80%</w:t>
            </w:r>
          </w:p>
        </w:tc>
        <w:tc>
          <w:tcPr>
            <w:tcW w:w="0" w:type="pct"/>
          </w:tcPr>
          <w:p w14:paraId="437851C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79E6878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7A27346" w14:textId="77777777" w:rsidTr="00AF21BE">
        <w:tc>
          <w:tcPr>
            <w:tcW w:w="0" w:type="pct"/>
          </w:tcPr>
          <w:p w14:paraId="10B6508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0" w:type="pct"/>
          </w:tcPr>
          <w:p w14:paraId="3D3CE0B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Lighting controls under skylights</w:t>
            </w:r>
          </w:p>
        </w:tc>
        <w:tc>
          <w:tcPr>
            <w:tcW w:w="0" w:type="pct"/>
          </w:tcPr>
          <w:p w14:paraId="63861F8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w:t>
            </w:r>
          </w:p>
        </w:tc>
        <w:tc>
          <w:tcPr>
            <w:tcW w:w="0" w:type="pct"/>
          </w:tcPr>
          <w:p w14:paraId="2B75583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4FC5F05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FFA6B4C" w14:textId="77777777" w:rsidTr="00AF21BE">
        <w:tc>
          <w:tcPr>
            <w:tcW w:w="0" w:type="pct"/>
          </w:tcPr>
          <w:p w14:paraId="2E2D48A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0" w:type="pct"/>
          </w:tcPr>
          <w:p w14:paraId="1A4A059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Ducts in existing commercial buildings</w:t>
            </w:r>
          </w:p>
        </w:tc>
        <w:tc>
          <w:tcPr>
            <w:tcW w:w="0" w:type="pct"/>
          </w:tcPr>
          <w:p w14:paraId="24C6400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75%</w:t>
            </w:r>
          </w:p>
        </w:tc>
        <w:tc>
          <w:tcPr>
            <w:tcW w:w="0" w:type="pct"/>
          </w:tcPr>
          <w:p w14:paraId="6493779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0860431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9B3F51B" w14:textId="77777777" w:rsidTr="00AF21BE">
        <w:tc>
          <w:tcPr>
            <w:tcW w:w="0" w:type="pct"/>
          </w:tcPr>
          <w:p w14:paraId="74F3274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0" w:type="pct"/>
          </w:tcPr>
          <w:p w14:paraId="2F3806B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Cool roofs</w:t>
            </w:r>
          </w:p>
        </w:tc>
        <w:tc>
          <w:tcPr>
            <w:tcW w:w="0" w:type="pct"/>
          </w:tcPr>
          <w:p w14:paraId="1365C46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75%</w:t>
            </w:r>
          </w:p>
        </w:tc>
        <w:tc>
          <w:tcPr>
            <w:tcW w:w="0" w:type="pct"/>
          </w:tcPr>
          <w:p w14:paraId="422BEF1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2A8133F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7446474" w14:textId="77777777" w:rsidTr="00AF21BE">
        <w:tc>
          <w:tcPr>
            <w:tcW w:w="0" w:type="pct"/>
          </w:tcPr>
          <w:p w14:paraId="47CEED3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0" w:type="pct"/>
          </w:tcPr>
          <w:p w14:paraId="6870349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Relocatable classrooms</w:t>
            </w:r>
          </w:p>
        </w:tc>
        <w:tc>
          <w:tcPr>
            <w:tcW w:w="0" w:type="pct"/>
          </w:tcPr>
          <w:p w14:paraId="339E999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100%</w:t>
            </w:r>
          </w:p>
        </w:tc>
        <w:tc>
          <w:tcPr>
            <w:tcW w:w="0" w:type="pct"/>
          </w:tcPr>
          <w:p w14:paraId="6676FEA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7E156EB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D789513" w14:textId="77777777" w:rsidTr="00AF21BE">
        <w:tc>
          <w:tcPr>
            <w:tcW w:w="0" w:type="pct"/>
          </w:tcPr>
          <w:p w14:paraId="35CE7C3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0" w:type="pct"/>
          </w:tcPr>
          <w:p w14:paraId="4D7F83F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Bi-level lighting control credits</w:t>
            </w:r>
          </w:p>
        </w:tc>
        <w:tc>
          <w:tcPr>
            <w:tcW w:w="0" w:type="pct"/>
          </w:tcPr>
          <w:p w14:paraId="2FF7B4D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79%</w:t>
            </w:r>
          </w:p>
        </w:tc>
        <w:tc>
          <w:tcPr>
            <w:tcW w:w="0" w:type="pct"/>
          </w:tcPr>
          <w:p w14:paraId="4CE06DF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58E7BE3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C0DB7DF" w14:textId="77777777" w:rsidTr="00AF21BE">
        <w:tc>
          <w:tcPr>
            <w:tcW w:w="0" w:type="pct"/>
          </w:tcPr>
          <w:p w14:paraId="25FBDEF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0" w:type="pct"/>
          </w:tcPr>
          <w:p w14:paraId="4AA61E4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Duct testing/sealing in new commercial buildings</w:t>
            </w:r>
          </w:p>
        </w:tc>
        <w:tc>
          <w:tcPr>
            <w:tcW w:w="0" w:type="pct"/>
          </w:tcPr>
          <w:p w14:paraId="61E51EA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82%</w:t>
            </w:r>
          </w:p>
        </w:tc>
        <w:tc>
          <w:tcPr>
            <w:tcW w:w="0" w:type="pct"/>
          </w:tcPr>
          <w:p w14:paraId="2DD5CCB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7E1BD02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691374B" w14:textId="77777777" w:rsidTr="00AF21BE">
        <w:tc>
          <w:tcPr>
            <w:tcW w:w="0" w:type="pct"/>
          </w:tcPr>
          <w:p w14:paraId="0553ACF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0" w:type="pct"/>
          </w:tcPr>
          <w:p w14:paraId="761F807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Cooling tower applications</w:t>
            </w:r>
          </w:p>
        </w:tc>
        <w:tc>
          <w:tcPr>
            <w:tcW w:w="0" w:type="pct"/>
          </w:tcPr>
          <w:p w14:paraId="318FE49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88%</w:t>
            </w:r>
          </w:p>
        </w:tc>
        <w:tc>
          <w:tcPr>
            <w:tcW w:w="0" w:type="pct"/>
          </w:tcPr>
          <w:p w14:paraId="784157D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7DD3848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EA9D903" w14:textId="77777777" w:rsidTr="00AF21BE">
        <w:tc>
          <w:tcPr>
            <w:tcW w:w="0" w:type="pct"/>
          </w:tcPr>
          <w:p w14:paraId="7C030DE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0" w:type="pct"/>
          </w:tcPr>
          <w:p w14:paraId="1C38AEE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Multifamily Water Heating</w:t>
            </w:r>
          </w:p>
        </w:tc>
        <w:tc>
          <w:tcPr>
            <w:tcW w:w="0" w:type="pct"/>
          </w:tcPr>
          <w:p w14:paraId="459AD46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78%</w:t>
            </w:r>
          </w:p>
        </w:tc>
        <w:tc>
          <w:tcPr>
            <w:tcW w:w="0" w:type="pct"/>
          </w:tcPr>
          <w:p w14:paraId="5FD3FA6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623AA3C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A4F5915" w14:textId="77777777" w:rsidTr="00AF21BE">
        <w:tc>
          <w:tcPr>
            <w:tcW w:w="0" w:type="pct"/>
          </w:tcPr>
          <w:p w14:paraId="54F7527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0" w:type="pct"/>
          </w:tcPr>
          <w:p w14:paraId="2F24256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Composite for Remainder - Res</w:t>
            </w:r>
          </w:p>
        </w:tc>
        <w:tc>
          <w:tcPr>
            <w:tcW w:w="0" w:type="pct"/>
          </w:tcPr>
          <w:p w14:paraId="18BBCFC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120%</w:t>
            </w:r>
          </w:p>
        </w:tc>
        <w:tc>
          <w:tcPr>
            <w:tcW w:w="0" w:type="pct"/>
          </w:tcPr>
          <w:p w14:paraId="781E428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3BEB3B5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0229337" w14:textId="77777777" w:rsidTr="00AF21BE">
        <w:tc>
          <w:tcPr>
            <w:tcW w:w="0" w:type="pct"/>
          </w:tcPr>
          <w:p w14:paraId="61195F7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0" w:type="pct"/>
          </w:tcPr>
          <w:p w14:paraId="2570DE4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Composite for Remainder - Non-Res</w:t>
            </w:r>
          </w:p>
        </w:tc>
        <w:tc>
          <w:tcPr>
            <w:tcW w:w="0" w:type="pct"/>
          </w:tcPr>
          <w:p w14:paraId="760B450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85%</w:t>
            </w:r>
          </w:p>
        </w:tc>
        <w:tc>
          <w:tcPr>
            <w:tcW w:w="0" w:type="pct"/>
          </w:tcPr>
          <w:p w14:paraId="2963AFC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705A37F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EA81512" w14:textId="77777777" w:rsidTr="00AF21BE">
        <w:tc>
          <w:tcPr>
            <w:tcW w:w="0" w:type="pct"/>
          </w:tcPr>
          <w:p w14:paraId="597688B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0" w:type="pct"/>
          </w:tcPr>
          <w:p w14:paraId="33677EE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Whole Building - Res New Construction (Electric)</w:t>
            </w:r>
          </w:p>
        </w:tc>
        <w:tc>
          <w:tcPr>
            <w:tcW w:w="0" w:type="pct"/>
          </w:tcPr>
          <w:p w14:paraId="247BC35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120%</w:t>
            </w:r>
          </w:p>
        </w:tc>
        <w:tc>
          <w:tcPr>
            <w:tcW w:w="0" w:type="pct"/>
          </w:tcPr>
          <w:p w14:paraId="3B01207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354762D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F1257CC" w14:textId="77777777" w:rsidTr="00AF21BE">
        <w:tc>
          <w:tcPr>
            <w:tcW w:w="0" w:type="pct"/>
          </w:tcPr>
          <w:p w14:paraId="613D1F2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0" w:type="pct"/>
          </w:tcPr>
          <w:p w14:paraId="00E08C7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Whole Building - Non-Res New Construction (Electric)</w:t>
            </w:r>
          </w:p>
        </w:tc>
        <w:tc>
          <w:tcPr>
            <w:tcW w:w="0" w:type="pct"/>
          </w:tcPr>
          <w:p w14:paraId="417A33C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0%</w:t>
            </w:r>
          </w:p>
        </w:tc>
        <w:tc>
          <w:tcPr>
            <w:tcW w:w="0" w:type="pct"/>
          </w:tcPr>
          <w:p w14:paraId="08225FF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29C8953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8390452" w14:textId="77777777" w:rsidTr="00AF21BE">
        <w:tc>
          <w:tcPr>
            <w:tcW w:w="0" w:type="pct"/>
          </w:tcPr>
          <w:p w14:paraId="4DBEF2A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0" w:type="pct"/>
          </w:tcPr>
          <w:p w14:paraId="316F6CF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Whole Building - Res New Construction (Gas)</w:t>
            </w:r>
          </w:p>
        </w:tc>
        <w:tc>
          <w:tcPr>
            <w:tcW w:w="0" w:type="pct"/>
          </w:tcPr>
          <w:p w14:paraId="1AB5504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235%</w:t>
            </w:r>
          </w:p>
        </w:tc>
        <w:tc>
          <w:tcPr>
            <w:tcW w:w="0" w:type="pct"/>
          </w:tcPr>
          <w:p w14:paraId="38D64F6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10B0C31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4E128B2" w14:textId="77777777" w:rsidTr="00AF21BE">
        <w:tc>
          <w:tcPr>
            <w:tcW w:w="0" w:type="pct"/>
          </w:tcPr>
          <w:p w14:paraId="6E67BC1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2005 T-24</w:t>
            </w:r>
          </w:p>
        </w:tc>
        <w:tc>
          <w:tcPr>
            <w:tcW w:w="0" w:type="pct"/>
          </w:tcPr>
          <w:p w14:paraId="1CA8AE2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Whole Building - Non-Res New Construction (Gas)</w:t>
            </w:r>
          </w:p>
        </w:tc>
        <w:tc>
          <w:tcPr>
            <w:tcW w:w="0" w:type="pct"/>
          </w:tcPr>
          <w:p w14:paraId="0E2EE81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0%</w:t>
            </w:r>
          </w:p>
        </w:tc>
        <w:tc>
          <w:tcPr>
            <w:tcW w:w="0" w:type="pct"/>
          </w:tcPr>
          <w:p w14:paraId="388B6C5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1/1/2006</w:t>
            </w:r>
          </w:p>
        </w:tc>
        <w:tc>
          <w:tcPr>
            <w:tcW w:w="0" w:type="pct"/>
          </w:tcPr>
          <w:p w14:paraId="57C8FEB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C87DE9C" w14:textId="77777777" w:rsidTr="00AF21BE">
        <w:tc>
          <w:tcPr>
            <w:tcW w:w="0" w:type="pct"/>
          </w:tcPr>
          <w:p w14:paraId="5CE3098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0" w:type="pct"/>
          </w:tcPr>
          <w:p w14:paraId="0CF2851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Envelope insulation</w:t>
            </w:r>
          </w:p>
        </w:tc>
        <w:tc>
          <w:tcPr>
            <w:tcW w:w="0" w:type="pct"/>
          </w:tcPr>
          <w:p w14:paraId="4EE7E06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123%</w:t>
            </w:r>
          </w:p>
        </w:tc>
        <w:tc>
          <w:tcPr>
            <w:tcW w:w="0" w:type="pct"/>
          </w:tcPr>
          <w:p w14:paraId="30979EB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0" w:type="pct"/>
          </w:tcPr>
          <w:p w14:paraId="43B186A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009F80F" w14:textId="77777777" w:rsidTr="00AF21BE">
        <w:tc>
          <w:tcPr>
            <w:tcW w:w="0" w:type="pct"/>
          </w:tcPr>
          <w:p w14:paraId="5373B8A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0" w:type="pct"/>
          </w:tcPr>
          <w:p w14:paraId="197F981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Overall Envelope Tradeoff</w:t>
            </w:r>
          </w:p>
        </w:tc>
        <w:tc>
          <w:tcPr>
            <w:tcW w:w="0" w:type="pct"/>
          </w:tcPr>
          <w:p w14:paraId="4EF97CE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397%</w:t>
            </w:r>
          </w:p>
        </w:tc>
        <w:tc>
          <w:tcPr>
            <w:tcW w:w="0" w:type="pct"/>
          </w:tcPr>
          <w:p w14:paraId="54394A4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0" w:type="pct"/>
          </w:tcPr>
          <w:p w14:paraId="34E3BE5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B85923D" w14:textId="77777777" w:rsidTr="00AF21BE">
        <w:tc>
          <w:tcPr>
            <w:tcW w:w="0" w:type="pct"/>
          </w:tcPr>
          <w:p w14:paraId="397E12D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0" w:type="pct"/>
          </w:tcPr>
          <w:p w14:paraId="34A6AA1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Skylighting</w:t>
            </w:r>
          </w:p>
        </w:tc>
        <w:tc>
          <w:tcPr>
            <w:tcW w:w="0" w:type="pct"/>
          </w:tcPr>
          <w:p w14:paraId="78D6F25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397%</w:t>
            </w:r>
          </w:p>
        </w:tc>
        <w:tc>
          <w:tcPr>
            <w:tcW w:w="0" w:type="pct"/>
          </w:tcPr>
          <w:p w14:paraId="691CCFB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0" w:type="pct"/>
          </w:tcPr>
          <w:p w14:paraId="1159C27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7C11E1F" w14:textId="77777777" w:rsidTr="00AF21BE">
        <w:tc>
          <w:tcPr>
            <w:tcW w:w="0" w:type="pct"/>
          </w:tcPr>
          <w:p w14:paraId="0E480D8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0" w:type="pct"/>
          </w:tcPr>
          <w:p w14:paraId="7D3C701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Sidelighting</w:t>
            </w:r>
          </w:p>
        </w:tc>
        <w:tc>
          <w:tcPr>
            <w:tcW w:w="0" w:type="pct"/>
          </w:tcPr>
          <w:p w14:paraId="12A570C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397%</w:t>
            </w:r>
          </w:p>
        </w:tc>
        <w:tc>
          <w:tcPr>
            <w:tcW w:w="0" w:type="pct"/>
          </w:tcPr>
          <w:p w14:paraId="6FE492A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0" w:type="pct"/>
          </w:tcPr>
          <w:p w14:paraId="2EDBF7E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E8E62EF" w14:textId="77777777" w:rsidTr="00AF21BE">
        <w:tc>
          <w:tcPr>
            <w:tcW w:w="0" w:type="pct"/>
          </w:tcPr>
          <w:p w14:paraId="56AD6B9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0" w:type="pct"/>
          </w:tcPr>
          <w:p w14:paraId="56067CD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Tailored Indoor lighting</w:t>
            </w:r>
          </w:p>
        </w:tc>
        <w:tc>
          <w:tcPr>
            <w:tcW w:w="0" w:type="pct"/>
          </w:tcPr>
          <w:p w14:paraId="51F11CC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573%</w:t>
            </w:r>
          </w:p>
        </w:tc>
        <w:tc>
          <w:tcPr>
            <w:tcW w:w="0" w:type="pct"/>
          </w:tcPr>
          <w:p w14:paraId="29E9C6C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0" w:type="pct"/>
          </w:tcPr>
          <w:p w14:paraId="087A800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61A20B6" w14:textId="77777777" w:rsidTr="00AF21BE">
        <w:tc>
          <w:tcPr>
            <w:tcW w:w="0" w:type="pct"/>
          </w:tcPr>
          <w:p w14:paraId="1776553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0" w:type="pct"/>
          </w:tcPr>
          <w:p w14:paraId="31B042D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TDV Lighting Controls</w:t>
            </w:r>
          </w:p>
        </w:tc>
        <w:tc>
          <w:tcPr>
            <w:tcW w:w="0" w:type="pct"/>
          </w:tcPr>
          <w:p w14:paraId="5201623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0%</w:t>
            </w:r>
          </w:p>
        </w:tc>
        <w:tc>
          <w:tcPr>
            <w:tcW w:w="0" w:type="pct"/>
          </w:tcPr>
          <w:p w14:paraId="1A209FB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0" w:type="pct"/>
          </w:tcPr>
          <w:p w14:paraId="709CB00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ADA145A" w14:textId="77777777" w:rsidTr="00AF21BE">
        <w:tc>
          <w:tcPr>
            <w:tcW w:w="0" w:type="pct"/>
          </w:tcPr>
          <w:p w14:paraId="7365BF0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0" w:type="pct"/>
          </w:tcPr>
          <w:p w14:paraId="215F6D3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DR Indoor Lighting</w:t>
            </w:r>
          </w:p>
        </w:tc>
        <w:tc>
          <w:tcPr>
            <w:tcW w:w="0" w:type="pct"/>
          </w:tcPr>
          <w:p w14:paraId="64EE2EB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397%</w:t>
            </w:r>
          </w:p>
        </w:tc>
        <w:tc>
          <w:tcPr>
            <w:tcW w:w="0" w:type="pct"/>
          </w:tcPr>
          <w:p w14:paraId="208260B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0" w:type="pct"/>
          </w:tcPr>
          <w:p w14:paraId="44C4541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064A3CB" w14:textId="77777777" w:rsidTr="00AF21BE">
        <w:tc>
          <w:tcPr>
            <w:tcW w:w="0" w:type="pct"/>
          </w:tcPr>
          <w:p w14:paraId="5B4B840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0" w:type="pct"/>
          </w:tcPr>
          <w:p w14:paraId="7B15F23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Outdoor Lighting</w:t>
            </w:r>
          </w:p>
        </w:tc>
        <w:tc>
          <w:tcPr>
            <w:tcW w:w="0" w:type="pct"/>
          </w:tcPr>
          <w:p w14:paraId="13FAF03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1CDF4B8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0" w:type="pct"/>
          </w:tcPr>
          <w:p w14:paraId="3D6114B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2305EC4" w14:textId="77777777" w:rsidTr="00AF21BE">
        <w:tc>
          <w:tcPr>
            <w:tcW w:w="0" w:type="pct"/>
          </w:tcPr>
          <w:p w14:paraId="3FEC917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0" w:type="pct"/>
          </w:tcPr>
          <w:p w14:paraId="7196541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Outdoor Signs</w:t>
            </w:r>
          </w:p>
        </w:tc>
        <w:tc>
          <w:tcPr>
            <w:tcW w:w="0" w:type="pct"/>
          </w:tcPr>
          <w:p w14:paraId="2F24842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26EE431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0" w:type="pct"/>
          </w:tcPr>
          <w:p w14:paraId="1D91171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F3046C1" w14:textId="77777777" w:rsidTr="00AF21BE">
        <w:tc>
          <w:tcPr>
            <w:tcW w:w="0" w:type="pct"/>
          </w:tcPr>
          <w:p w14:paraId="74B07DF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0" w:type="pct"/>
          </w:tcPr>
          <w:p w14:paraId="31DE254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Refrigerated warehouses</w:t>
            </w:r>
          </w:p>
        </w:tc>
        <w:tc>
          <w:tcPr>
            <w:tcW w:w="0" w:type="pct"/>
          </w:tcPr>
          <w:p w14:paraId="3248206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1410F26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0" w:type="pct"/>
          </w:tcPr>
          <w:p w14:paraId="693130F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E7D65BE" w14:textId="77777777" w:rsidTr="00AF21BE">
        <w:tc>
          <w:tcPr>
            <w:tcW w:w="0" w:type="pct"/>
          </w:tcPr>
          <w:p w14:paraId="1A17177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0" w:type="pct"/>
          </w:tcPr>
          <w:p w14:paraId="02EC9A7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DDC to Zone</w:t>
            </w:r>
          </w:p>
        </w:tc>
        <w:tc>
          <w:tcPr>
            <w:tcW w:w="0" w:type="pct"/>
          </w:tcPr>
          <w:p w14:paraId="49EE4D0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397%</w:t>
            </w:r>
          </w:p>
        </w:tc>
        <w:tc>
          <w:tcPr>
            <w:tcW w:w="0" w:type="pct"/>
          </w:tcPr>
          <w:p w14:paraId="560CD25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0" w:type="pct"/>
          </w:tcPr>
          <w:p w14:paraId="44ED4BB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D01DC73" w14:textId="77777777" w:rsidTr="00AF21BE">
        <w:tc>
          <w:tcPr>
            <w:tcW w:w="0" w:type="pct"/>
          </w:tcPr>
          <w:p w14:paraId="0BB51CD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0" w:type="pct"/>
          </w:tcPr>
          <w:p w14:paraId="3E1F3BE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Swimming pool</w:t>
            </w:r>
          </w:p>
        </w:tc>
        <w:tc>
          <w:tcPr>
            <w:tcW w:w="0" w:type="pct"/>
          </w:tcPr>
          <w:p w14:paraId="4F497BF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51264A7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7/1/2010</w:t>
            </w:r>
          </w:p>
        </w:tc>
        <w:tc>
          <w:tcPr>
            <w:tcW w:w="0" w:type="pct"/>
          </w:tcPr>
          <w:p w14:paraId="4502870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98FFFF1" w14:textId="77777777" w:rsidTr="00AF21BE">
        <w:tc>
          <w:tcPr>
            <w:tcW w:w="0" w:type="pct"/>
          </w:tcPr>
          <w:p w14:paraId="1B72EC4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0" w:type="pct"/>
          </w:tcPr>
          <w:p w14:paraId="22DEA0E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Site Built Fenestration</w:t>
            </w:r>
          </w:p>
        </w:tc>
        <w:tc>
          <w:tcPr>
            <w:tcW w:w="0" w:type="pct"/>
          </w:tcPr>
          <w:p w14:paraId="51D0951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49F469E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0" w:type="pct"/>
          </w:tcPr>
          <w:p w14:paraId="408F6E8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15021C5" w14:textId="77777777" w:rsidTr="00AF21BE">
        <w:tc>
          <w:tcPr>
            <w:tcW w:w="0" w:type="pct"/>
          </w:tcPr>
          <w:p w14:paraId="045AA4A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0" w:type="pct"/>
          </w:tcPr>
          <w:p w14:paraId="246B8E4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Residential Fenestration</w:t>
            </w:r>
          </w:p>
        </w:tc>
        <w:tc>
          <w:tcPr>
            <w:tcW w:w="0" w:type="pct"/>
          </w:tcPr>
          <w:p w14:paraId="4D3E446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68D34B5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7/1/2010</w:t>
            </w:r>
          </w:p>
        </w:tc>
        <w:tc>
          <w:tcPr>
            <w:tcW w:w="0" w:type="pct"/>
          </w:tcPr>
          <w:p w14:paraId="0CFDD7E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3B76385" w14:textId="77777777" w:rsidTr="00AF21BE">
        <w:tc>
          <w:tcPr>
            <w:tcW w:w="0" w:type="pct"/>
          </w:tcPr>
          <w:p w14:paraId="7A2C312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0" w:type="pct"/>
          </w:tcPr>
          <w:p w14:paraId="0C673E1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Cool Roof Expansion</w:t>
            </w:r>
          </w:p>
        </w:tc>
        <w:tc>
          <w:tcPr>
            <w:tcW w:w="0" w:type="pct"/>
          </w:tcPr>
          <w:p w14:paraId="6FC5433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153%</w:t>
            </w:r>
          </w:p>
        </w:tc>
        <w:tc>
          <w:tcPr>
            <w:tcW w:w="0" w:type="pct"/>
          </w:tcPr>
          <w:p w14:paraId="7DB1109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10/1/2010</w:t>
            </w:r>
          </w:p>
        </w:tc>
        <w:tc>
          <w:tcPr>
            <w:tcW w:w="0" w:type="pct"/>
          </w:tcPr>
          <w:p w14:paraId="0CD648E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87A1635" w14:textId="77777777" w:rsidTr="00AF21BE">
        <w:tc>
          <w:tcPr>
            <w:tcW w:w="0" w:type="pct"/>
          </w:tcPr>
          <w:p w14:paraId="7D718F1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0" w:type="pct"/>
          </w:tcPr>
          <w:p w14:paraId="088CA61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MF Water heating control</w:t>
            </w:r>
          </w:p>
        </w:tc>
        <w:tc>
          <w:tcPr>
            <w:tcW w:w="0" w:type="pct"/>
          </w:tcPr>
          <w:p w14:paraId="16CD077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0%</w:t>
            </w:r>
          </w:p>
        </w:tc>
        <w:tc>
          <w:tcPr>
            <w:tcW w:w="0" w:type="pct"/>
          </w:tcPr>
          <w:p w14:paraId="52A3454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9/1/2010</w:t>
            </w:r>
          </w:p>
        </w:tc>
        <w:tc>
          <w:tcPr>
            <w:tcW w:w="0" w:type="pct"/>
          </w:tcPr>
          <w:p w14:paraId="5CA59CB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D0BDC50" w14:textId="77777777" w:rsidTr="00AF21BE">
        <w:tc>
          <w:tcPr>
            <w:tcW w:w="0" w:type="pct"/>
          </w:tcPr>
          <w:p w14:paraId="5EB2E78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0" w:type="pct"/>
          </w:tcPr>
          <w:p w14:paraId="10687AE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CfR IL Complete Building Method</w:t>
            </w:r>
          </w:p>
        </w:tc>
        <w:tc>
          <w:tcPr>
            <w:tcW w:w="0" w:type="pct"/>
          </w:tcPr>
          <w:p w14:paraId="133F185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571%</w:t>
            </w:r>
          </w:p>
        </w:tc>
        <w:tc>
          <w:tcPr>
            <w:tcW w:w="0" w:type="pct"/>
          </w:tcPr>
          <w:p w14:paraId="76951B6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9/1/2010</w:t>
            </w:r>
          </w:p>
        </w:tc>
        <w:tc>
          <w:tcPr>
            <w:tcW w:w="0" w:type="pct"/>
          </w:tcPr>
          <w:p w14:paraId="5148B31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022B2FC" w14:textId="77777777" w:rsidTr="00AF21BE">
        <w:tc>
          <w:tcPr>
            <w:tcW w:w="0" w:type="pct"/>
          </w:tcPr>
          <w:p w14:paraId="7B0FCA2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0" w:type="pct"/>
          </w:tcPr>
          <w:p w14:paraId="27CBBD0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CfR IL Area Category Method</w:t>
            </w:r>
          </w:p>
        </w:tc>
        <w:tc>
          <w:tcPr>
            <w:tcW w:w="0" w:type="pct"/>
          </w:tcPr>
          <w:p w14:paraId="4E203EB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569%</w:t>
            </w:r>
          </w:p>
        </w:tc>
        <w:tc>
          <w:tcPr>
            <w:tcW w:w="0" w:type="pct"/>
          </w:tcPr>
          <w:p w14:paraId="4612C5A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9/1/2010</w:t>
            </w:r>
          </w:p>
        </w:tc>
        <w:tc>
          <w:tcPr>
            <w:tcW w:w="0" w:type="pct"/>
          </w:tcPr>
          <w:p w14:paraId="593562F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2AC2199" w14:textId="77777777" w:rsidTr="00AF21BE">
        <w:tc>
          <w:tcPr>
            <w:tcW w:w="0" w:type="pct"/>
          </w:tcPr>
          <w:p w14:paraId="7E39672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0" w:type="pct"/>
          </w:tcPr>
          <w:p w14:paraId="7B373BE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CfR IL Egress Control</w:t>
            </w:r>
          </w:p>
        </w:tc>
        <w:tc>
          <w:tcPr>
            <w:tcW w:w="0" w:type="pct"/>
          </w:tcPr>
          <w:p w14:paraId="1100F23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397%</w:t>
            </w:r>
          </w:p>
        </w:tc>
        <w:tc>
          <w:tcPr>
            <w:tcW w:w="0" w:type="pct"/>
          </w:tcPr>
          <w:p w14:paraId="6C58185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9/1/2010</w:t>
            </w:r>
          </w:p>
        </w:tc>
        <w:tc>
          <w:tcPr>
            <w:tcW w:w="0" w:type="pct"/>
          </w:tcPr>
          <w:p w14:paraId="0AAAB9F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6FC87C5" w14:textId="77777777" w:rsidTr="00AF21BE">
        <w:tc>
          <w:tcPr>
            <w:tcW w:w="0" w:type="pct"/>
          </w:tcPr>
          <w:p w14:paraId="3091DCA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0" w:type="pct"/>
          </w:tcPr>
          <w:p w14:paraId="66C9AB2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CfR HVAC Efficiency</w:t>
            </w:r>
          </w:p>
        </w:tc>
        <w:tc>
          <w:tcPr>
            <w:tcW w:w="0" w:type="pct"/>
          </w:tcPr>
          <w:p w14:paraId="61B71C5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397%</w:t>
            </w:r>
          </w:p>
        </w:tc>
        <w:tc>
          <w:tcPr>
            <w:tcW w:w="0" w:type="pct"/>
          </w:tcPr>
          <w:p w14:paraId="48C7A33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9/1/2010</w:t>
            </w:r>
          </w:p>
        </w:tc>
        <w:tc>
          <w:tcPr>
            <w:tcW w:w="0" w:type="pct"/>
          </w:tcPr>
          <w:p w14:paraId="2DCCDB0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07FD471" w14:textId="77777777" w:rsidTr="00AF21BE">
        <w:tc>
          <w:tcPr>
            <w:tcW w:w="0" w:type="pct"/>
          </w:tcPr>
          <w:p w14:paraId="40F168A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0" w:type="pct"/>
          </w:tcPr>
          <w:p w14:paraId="0849CC6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CfR Res Cool Roofs</w:t>
            </w:r>
          </w:p>
        </w:tc>
        <w:tc>
          <w:tcPr>
            <w:tcW w:w="0" w:type="pct"/>
          </w:tcPr>
          <w:p w14:paraId="12345D0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7DE25AF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9/1/2010</w:t>
            </w:r>
          </w:p>
        </w:tc>
        <w:tc>
          <w:tcPr>
            <w:tcW w:w="0" w:type="pct"/>
          </w:tcPr>
          <w:p w14:paraId="6FC8AC1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C089005" w14:textId="77777777" w:rsidTr="00AF21BE">
        <w:tc>
          <w:tcPr>
            <w:tcW w:w="0" w:type="pct"/>
          </w:tcPr>
          <w:p w14:paraId="4305A8E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2008 T-24</w:t>
            </w:r>
          </w:p>
        </w:tc>
        <w:tc>
          <w:tcPr>
            <w:tcW w:w="0" w:type="pct"/>
          </w:tcPr>
          <w:p w14:paraId="4B2E569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CfR Res Central Fan WL</w:t>
            </w:r>
          </w:p>
        </w:tc>
        <w:tc>
          <w:tcPr>
            <w:tcW w:w="0" w:type="pct"/>
          </w:tcPr>
          <w:p w14:paraId="4BBC3FD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0FE9C6F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9/1/2010</w:t>
            </w:r>
          </w:p>
        </w:tc>
        <w:tc>
          <w:tcPr>
            <w:tcW w:w="0" w:type="pct"/>
          </w:tcPr>
          <w:p w14:paraId="1681C8F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E2CD8C0" w14:textId="77777777" w:rsidTr="00AF21BE">
        <w:tc>
          <w:tcPr>
            <w:tcW w:w="0" w:type="pct"/>
          </w:tcPr>
          <w:p w14:paraId="3F89B7D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215E19B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NRA-Lighting-Alterations-New Measures</w:t>
            </w:r>
          </w:p>
        </w:tc>
        <w:tc>
          <w:tcPr>
            <w:tcW w:w="0" w:type="pct"/>
          </w:tcPr>
          <w:p w14:paraId="320CF87E" w14:textId="77777777" w:rsidR="006B44D0" w:rsidRPr="00483510" w:rsidRDefault="000605F9" w:rsidP="006B44D0">
            <w:pPr>
              <w:rPr>
                <w:rFonts w:ascii="Arial Narrow" w:hAnsi="Arial Narrow"/>
                <w:sz w:val="18"/>
                <w:szCs w:val="18"/>
              </w:rPr>
            </w:pPr>
            <w:r>
              <w:rPr>
                <w:rFonts w:ascii="Arial Narrow" w:hAnsi="Arial Narrow"/>
                <w:sz w:val="18"/>
                <w:szCs w:val="18"/>
              </w:rPr>
              <w:t>91</w:t>
            </w:r>
            <w:r w:rsidR="006B44D0" w:rsidRPr="00483510">
              <w:rPr>
                <w:rFonts w:ascii="Arial Narrow" w:hAnsi="Arial Narrow"/>
                <w:sz w:val="18"/>
                <w:szCs w:val="18"/>
              </w:rPr>
              <w:t>%</w:t>
            </w:r>
          </w:p>
        </w:tc>
        <w:tc>
          <w:tcPr>
            <w:tcW w:w="0" w:type="pct"/>
          </w:tcPr>
          <w:p w14:paraId="36A5B50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7/1/2014</w:t>
            </w:r>
          </w:p>
        </w:tc>
        <w:tc>
          <w:tcPr>
            <w:tcW w:w="0" w:type="pct"/>
          </w:tcPr>
          <w:p w14:paraId="0E1F347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AB464D9" w14:textId="77777777" w:rsidTr="00AF21BE">
        <w:tc>
          <w:tcPr>
            <w:tcW w:w="0" w:type="pct"/>
          </w:tcPr>
          <w:p w14:paraId="798432E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lastRenderedPageBreak/>
              <w:t>2013 T-24</w:t>
            </w:r>
          </w:p>
        </w:tc>
        <w:tc>
          <w:tcPr>
            <w:tcW w:w="0" w:type="pct"/>
          </w:tcPr>
          <w:p w14:paraId="5FA2FE5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NRA-Lighting-Alterations-Existing Measures</w:t>
            </w:r>
          </w:p>
        </w:tc>
        <w:tc>
          <w:tcPr>
            <w:tcW w:w="0" w:type="pct"/>
          </w:tcPr>
          <w:p w14:paraId="0B03879A" w14:textId="77777777" w:rsidR="006B44D0" w:rsidRPr="00483510" w:rsidRDefault="000605F9" w:rsidP="006B44D0">
            <w:pPr>
              <w:rPr>
                <w:rFonts w:ascii="Arial Narrow" w:hAnsi="Arial Narrow"/>
                <w:sz w:val="18"/>
                <w:szCs w:val="18"/>
              </w:rPr>
            </w:pPr>
            <w:r>
              <w:rPr>
                <w:rFonts w:ascii="Arial Narrow" w:hAnsi="Arial Narrow"/>
                <w:sz w:val="18"/>
                <w:szCs w:val="18"/>
              </w:rPr>
              <w:t>91</w:t>
            </w:r>
            <w:r w:rsidR="006B44D0" w:rsidRPr="00483510">
              <w:rPr>
                <w:rFonts w:ascii="Arial Narrow" w:hAnsi="Arial Narrow"/>
                <w:sz w:val="18"/>
                <w:szCs w:val="18"/>
              </w:rPr>
              <w:t>%</w:t>
            </w:r>
          </w:p>
        </w:tc>
        <w:tc>
          <w:tcPr>
            <w:tcW w:w="0" w:type="pct"/>
          </w:tcPr>
          <w:p w14:paraId="2175E36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7/1/2014</w:t>
            </w:r>
          </w:p>
        </w:tc>
        <w:tc>
          <w:tcPr>
            <w:tcW w:w="0" w:type="pct"/>
          </w:tcPr>
          <w:p w14:paraId="42A2CD8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2883D07" w14:textId="77777777" w:rsidTr="00AF21BE">
        <w:tc>
          <w:tcPr>
            <w:tcW w:w="0" w:type="pct"/>
          </w:tcPr>
          <w:p w14:paraId="758DD5B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5D4D85B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NRA-Lighting-Egress Lighting Control</w:t>
            </w:r>
          </w:p>
        </w:tc>
        <w:tc>
          <w:tcPr>
            <w:tcW w:w="0" w:type="pct"/>
          </w:tcPr>
          <w:p w14:paraId="020F46B3" w14:textId="77777777" w:rsidR="006B44D0" w:rsidRPr="00483510" w:rsidRDefault="000605F9" w:rsidP="006B44D0">
            <w:pPr>
              <w:rPr>
                <w:rFonts w:ascii="Arial Narrow" w:hAnsi="Arial Narrow"/>
                <w:sz w:val="18"/>
                <w:szCs w:val="18"/>
              </w:rPr>
            </w:pPr>
            <w:r>
              <w:rPr>
                <w:rFonts w:ascii="Arial Narrow" w:hAnsi="Arial Narrow"/>
                <w:sz w:val="18"/>
                <w:szCs w:val="18"/>
              </w:rPr>
              <w:t>91</w:t>
            </w:r>
            <w:r w:rsidR="006B44D0" w:rsidRPr="00483510">
              <w:rPr>
                <w:rFonts w:ascii="Arial Narrow" w:hAnsi="Arial Narrow"/>
                <w:sz w:val="18"/>
                <w:szCs w:val="18"/>
              </w:rPr>
              <w:t>%</w:t>
            </w:r>
          </w:p>
        </w:tc>
        <w:tc>
          <w:tcPr>
            <w:tcW w:w="0" w:type="pct"/>
          </w:tcPr>
          <w:p w14:paraId="1F18019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7/1/2014</w:t>
            </w:r>
          </w:p>
        </w:tc>
        <w:tc>
          <w:tcPr>
            <w:tcW w:w="0" w:type="pct"/>
          </w:tcPr>
          <w:p w14:paraId="7702D3E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2A3CAE7" w14:textId="77777777" w:rsidTr="00AF21BE">
        <w:tc>
          <w:tcPr>
            <w:tcW w:w="0" w:type="pct"/>
          </w:tcPr>
          <w:p w14:paraId="7F9A15F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5549E8E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NRA-Lighting-MF Building Corridors</w:t>
            </w:r>
          </w:p>
        </w:tc>
        <w:tc>
          <w:tcPr>
            <w:tcW w:w="0" w:type="pct"/>
          </w:tcPr>
          <w:p w14:paraId="0F78615A" w14:textId="77777777" w:rsidR="006B44D0" w:rsidRPr="00483510" w:rsidRDefault="000605F9" w:rsidP="006B44D0">
            <w:pPr>
              <w:rPr>
                <w:rFonts w:ascii="Arial Narrow" w:hAnsi="Arial Narrow"/>
                <w:sz w:val="18"/>
                <w:szCs w:val="18"/>
              </w:rPr>
            </w:pPr>
            <w:r>
              <w:rPr>
                <w:rFonts w:ascii="Arial Narrow" w:hAnsi="Arial Narrow"/>
                <w:sz w:val="18"/>
                <w:szCs w:val="18"/>
              </w:rPr>
              <w:t>91</w:t>
            </w:r>
            <w:r w:rsidR="006B44D0" w:rsidRPr="00483510">
              <w:rPr>
                <w:rFonts w:ascii="Arial Narrow" w:hAnsi="Arial Narrow"/>
                <w:sz w:val="18"/>
                <w:szCs w:val="18"/>
              </w:rPr>
              <w:t>%</w:t>
            </w:r>
          </w:p>
        </w:tc>
        <w:tc>
          <w:tcPr>
            <w:tcW w:w="0" w:type="pct"/>
          </w:tcPr>
          <w:p w14:paraId="183B6A1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7/1/2014</w:t>
            </w:r>
          </w:p>
        </w:tc>
        <w:tc>
          <w:tcPr>
            <w:tcW w:w="0" w:type="pct"/>
          </w:tcPr>
          <w:p w14:paraId="3A6227F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0F2BF63" w14:textId="77777777" w:rsidTr="00AF21BE">
        <w:tc>
          <w:tcPr>
            <w:tcW w:w="0" w:type="pct"/>
          </w:tcPr>
          <w:p w14:paraId="40ABE52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1D82A57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NRA-Lighting-Hotel Corridors</w:t>
            </w:r>
          </w:p>
        </w:tc>
        <w:tc>
          <w:tcPr>
            <w:tcW w:w="0" w:type="pct"/>
          </w:tcPr>
          <w:p w14:paraId="38139F93" w14:textId="77777777" w:rsidR="006B44D0" w:rsidRPr="00483510" w:rsidRDefault="000605F9" w:rsidP="006B44D0">
            <w:pPr>
              <w:rPr>
                <w:rFonts w:ascii="Arial Narrow" w:hAnsi="Arial Narrow"/>
                <w:sz w:val="18"/>
                <w:szCs w:val="18"/>
              </w:rPr>
            </w:pPr>
            <w:r>
              <w:rPr>
                <w:rFonts w:ascii="Arial Narrow" w:hAnsi="Arial Narrow"/>
                <w:sz w:val="18"/>
                <w:szCs w:val="18"/>
              </w:rPr>
              <w:t>91</w:t>
            </w:r>
            <w:r w:rsidR="006B44D0" w:rsidRPr="00483510">
              <w:rPr>
                <w:rFonts w:ascii="Arial Narrow" w:hAnsi="Arial Narrow"/>
                <w:sz w:val="18"/>
                <w:szCs w:val="18"/>
              </w:rPr>
              <w:t>%</w:t>
            </w:r>
          </w:p>
        </w:tc>
        <w:tc>
          <w:tcPr>
            <w:tcW w:w="0" w:type="pct"/>
          </w:tcPr>
          <w:p w14:paraId="63DDAB3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7/1/2014</w:t>
            </w:r>
          </w:p>
        </w:tc>
        <w:tc>
          <w:tcPr>
            <w:tcW w:w="0" w:type="pct"/>
          </w:tcPr>
          <w:p w14:paraId="49FE042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450DAB1" w14:textId="77777777" w:rsidTr="00AF21BE">
        <w:tc>
          <w:tcPr>
            <w:tcW w:w="0" w:type="pct"/>
          </w:tcPr>
          <w:p w14:paraId="6BA503A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348A94A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NRA-Lighting-Warehouses and Libraries</w:t>
            </w:r>
          </w:p>
        </w:tc>
        <w:tc>
          <w:tcPr>
            <w:tcW w:w="0" w:type="pct"/>
          </w:tcPr>
          <w:p w14:paraId="4374D8B4" w14:textId="77777777" w:rsidR="006B44D0" w:rsidRPr="00483510" w:rsidRDefault="000605F9" w:rsidP="006B44D0">
            <w:pPr>
              <w:rPr>
                <w:rFonts w:ascii="Arial Narrow" w:hAnsi="Arial Narrow"/>
                <w:sz w:val="18"/>
                <w:szCs w:val="18"/>
              </w:rPr>
            </w:pPr>
            <w:r>
              <w:rPr>
                <w:rFonts w:ascii="Arial Narrow" w:hAnsi="Arial Narrow"/>
                <w:sz w:val="18"/>
                <w:szCs w:val="18"/>
              </w:rPr>
              <w:t>91</w:t>
            </w:r>
            <w:r w:rsidR="006B44D0" w:rsidRPr="00483510">
              <w:rPr>
                <w:rFonts w:ascii="Arial Narrow" w:hAnsi="Arial Narrow"/>
                <w:sz w:val="18"/>
                <w:szCs w:val="18"/>
              </w:rPr>
              <w:t>%</w:t>
            </w:r>
          </w:p>
        </w:tc>
        <w:tc>
          <w:tcPr>
            <w:tcW w:w="0" w:type="pct"/>
          </w:tcPr>
          <w:p w14:paraId="74AA40A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7/1/2014</w:t>
            </w:r>
          </w:p>
        </w:tc>
        <w:tc>
          <w:tcPr>
            <w:tcW w:w="0" w:type="pct"/>
          </w:tcPr>
          <w:p w14:paraId="427F9A5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90B0B30" w14:textId="77777777" w:rsidTr="00AF21BE">
        <w:tc>
          <w:tcPr>
            <w:tcW w:w="0" w:type="pct"/>
          </w:tcPr>
          <w:p w14:paraId="1CE27F0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383041B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NRA-Envelope-Cool Roofs</w:t>
            </w:r>
          </w:p>
        </w:tc>
        <w:tc>
          <w:tcPr>
            <w:tcW w:w="0" w:type="pct"/>
          </w:tcPr>
          <w:p w14:paraId="2E56650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436E529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7/1/2014</w:t>
            </w:r>
          </w:p>
        </w:tc>
        <w:tc>
          <w:tcPr>
            <w:tcW w:w="0" w:type="pct"/>
          </w:tcPr>
          <w:p w14:paraId="7A6392F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0AAE190" w14:textId="77777777" w:rsidTr="00AF21BE">
        <w:tc>
          <w:tcPr>
            <w:tcW w:w="0" w:type="pct"/>
          </w:tcPr>
          <w:p w14:paraId="17B9267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3504E6D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NRA-HVAC-Equipment Efficiency</w:t>
            </w:r>
          </w:p>
        </w:tc>
        <w:tc>
          <w:tcPr>
            <w:tcW w:w="0" w:type="pct"/>
          </w:tcPr>
          <w:p w14:paraId="1818908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016CB33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7/1/2014</w:t>
            </w:r>
          </w:p>
        </w:tc>
        <w:tc>
          <w:tcPr>
            <w:tcW w:w="0" w:type="pct"/>
          </w:tcPr>
          <w:p w14:paraId="4224966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2419098" w14:textId="77777777" w:rsidTr="00AF21BE">
        <w:tc>
          <w:tcPr>
            <w:tcW w:w="0" w:type="pct"/>
          </w:tcPr>
          <w:p w14:paraId="069BFEB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2987B58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NRA-Process-Air Compressors</w:t>
            </w:r>
          </w:p>
        </w:tc>
        <w:tc>
          <w:tcPr>
            <w:tcW w:w="0" w:type="pct"/>
          </w:tcPr>
          <w:p w14:paraId="564BF05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3A4FC31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7/1/2014</w:t>
            </w:r>
          </w:p>
        </w:tc>
        <w:tc>
          <w:tcPr>
            <w:tcW w:w="0" w:type="pct"/>
          </w:tcPr>
          <w:p w14:paraId="20FD58B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66EE7D9" w14:textId="77777777" w:rsidTr="00AF21BE">
        <w:tc>
          <w:tcPr>
            <w:tcW w:w="0" w:type="pct"/>
          </w:tcPr>
          <w:p w14:paraId="1854D37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0941313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NRNC-Lighting-Egress Lighting Control</w:t>
            </w:r>
          </w:p>
        </w:tc>
        <w:tc>
          <w:tcPr>
            <w:tcW w:w="0" w:type="pct"/>
          </w:tcPr>
          <w:p w14:paraId="250981D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78C6E8CC" w14:textId="77777777" w:rsidR="006B44D0" w:rsidRPr="00483510" w:rsidRDefault="009D61FE"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01DDD63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20BA539" w14:textId="77777777" w:rsidTr="00AF21BE">
        <w:tc>
          <w:tcPr>
            <w:tcW w:w="0" w:type="pct"/>
          </w:tcPr>
          <w:p w14:paraId="57C145B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2C9BDB0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NRNC-Lighting-MF Building Corridors</w:t>
            </w:r>
          </w:p>
        </w:tc>
        <w:tc>
          <w:tcPr>
            <w:tcW w:w="0" w:type="pct"/>
          </w:tcPr>
          <w:p w14:paraId="722DED0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66EA6DA5" w14:textId="77777777" w:rsidR="006B44D0" w:rsidRPr="00483510" w:rsidRDefault="009D61FE"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4A7D3FF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2B37E21" w14:textId="77777777" w:rsidTr="00AF21BE">
        <w:tc>
          <w:tcPr>
            <w:tcW w:w="0" w:type="pct"/>
          </w:tcPr>
          <w:p w14:paraId="53CE41E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2AC38F6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NRNC-Lighting-Hotel Corridors</w:t>
            </w:r>
          </w:p>
        </w:tc>
        <w:tc>
          <w:tcPr>
            <w:tcW w:w="0" w:type="pct"/>
          </w:tcPr>
          <w:p w14:paraId="2B61B47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5E543235" w14:textId="77777777" w:rsidR="006B44D0" w:rsidRPr="00483510" w:rsidRDefault="009D61FE"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5F170F5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FE31B89" w14:textId="77777777" w:rsidTr="00AF21BE">
        <w:tc>
          <w:tcPr>
            <w:tcW w:w="0" w:type="pct"/>
          </w:tcPr>
          <w:p w14:paraId="0AFA7A7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46386C0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NRNC-Lighting-Warehouses and Libraries</w:t>
            </w:r>
          </w:p>
        </w:tc>
        <w:tc>
          <w:tcPr>
            <w:tcW w:w="0" w:type="pct"/>
          </w:tcPr>
          <w:p w14:paraId="7D95827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6BB9F57A" w14:textId="77777777" w:rsidR="006B44D0" w:rsidRPr="00483510" w:rsidRDefault="009D61FE"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580B2DA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FDDE81B" w14:textId="77777777" w:rsidTr="00AF21BE">
        <w:tc>
          <w:tcPr>
            <w:tcW w:w="0" w:type="pct"/>
          </w:tcPr>
          <w:p w14:paraId="06A435A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64AA39A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NRNC-Lighting-Parking Garage</w:t>
            </w:r>
          </w:p>
        </w:tc>
        <w:tc>
          <w:tcPr>
            <w:tcW w:w="0" w:type="pct"/>
          </w:tcPr>
          <w:p w14:paraId="71739A0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7AE90C3B" w14:textId="77777777" w:rsidR="006B44D0" w:rsidRPr="00483510" w:rsidRDefault="009D61FE"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59871FD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BF3DD53" w14:textId="77777777" w:rsidTr="00AF21BE">
        <w:tc>
          <w:tcPr>
            <w:tcW w:w="0" w:type="pct"/>
          </w:tcPr>
          <w:p w14:paraId="6F1E1B9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71154A2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NRNC-Lighting-Controllable Lighting</w:t>
            </w:r>
          </w:p>
        </w:tc>
        <w:tc>
          <w:tcPr>
            <w:tcW w:w="0" w:type="pct"/>
          </w:tcPr>
          <w:p w14:paraId="58CA42A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626B2EEB" w14:textId="77777777" w:rsidR="006B44D0" w:rsidRPr="00483510" w:rsidRDefault="009D61FE"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44F3E70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A6F4328" w14:textId="77777777" w:rsidTr="00AF21BE">
        <w:tc>
          <w:tcPr>
            <w:tcW w:w="0" w:type="pct"/>
          </w:tcPr>
          <w:p w14:paraId="357E9FC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55C575D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NRNC-Lighting-DR Lighting Controls</w:t>
            </w:r>
          </w:p>
        </w:tc>
        <w:tc>
          <w:tcPr>
            <w:tcW w:w="0" w:type="pct"/>
          </w:tcPr>
          <w:p w14:paraId="1346379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07D01D3D" w14:textId="77777777" w:rsidR="006B44D0" w:rsidRPr="00483510" w:rsidRDefault="009D61FE"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55FE5E2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71B28D0" w14:textId="77777777" w:rsidTr="00AF21BE">
        <w:tc>
          <w:tcPr>
            <w:tcW w:w="0" w:type="pct"/>
          </w:tcPr>
          <w:p w14:paraId="39701D7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1D27201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NRNC-Lighting-Outdoor Lighting &amp; Controls</w:t>
            </w:r>
          </w:p>
        </w:tc>
        <w:tc>
          <w:tcPr>
            <w:tcW w:w="0" w:type="pct"/>
          </w:tcPr>
          <w:p w14:paraId="0107059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056E8000" w14:textId="77777777" w:rsidR="006B44D0" w:rsidRPr="00483510" w:rsidRDefault="009D61FE"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7B31231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8B941C5" w14:textId="77777777" w:rsidTr="00AF21BE">
        <w:tc>
          <w:tcPr>
            <w:tcW w:w="0" w:type="pct"/>
          </w:tcPr>
          <w:p w14:paraId="57F981D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19F7CE0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NRNC-Lighting-Office Plug Load Control</w:t>
            </w:r>
          </w:p>
        </w:tc>
        <w:tc>
          <w:tcPr>
            <w:tcW w:w="0" w:type="pct"/>
          </w:tcPr>
          <w:p w14:paraId="52A6EA9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68823762" w14:textId="77777777" w:rsidR="006B44D0" w:rsidRPr="00483510" w:rsidRDefault="009D61FE"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6693A1F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1890D61" w14:textId="77777777" w:rsidTr="00AF21BE">
        <w:tc>
          <w:tcPr>
            <w:tcW w:w="0" w:type="pct"/>
          </w:tcPr>
          <w:p w14:paraId="061CEF8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1F1D89B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NRNC-HVAC-Garage Exhaust</w:t>
            </w:r>
          </w:p>
        </w:tc>
        <w:tc>
          <w:tcPr>
            <w:tcW w:w="0" w:type="pct"/>
          </w:tcPr>
          <w:p w14:paraId="4B385D5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4C6186C1" w14:textId="77777777" w:rsidR="006B44D0" w:rsidRPr="00483510" w:rsidRDefault="006D0474"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547B842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412E3D0" w14:textId="77777777" w:rsidTr="00AF21BE">
        <w:tc>
          <w:tcPr>
            <w:tcW w:w="0" w:type="pct"/>
          </w:tcPr>
          <w:p w14:paraId="21D313D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39ACCB2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NRNC-HVAC-Laboratory Exhaust</w:t>
            </w:r>
          </w:p>
        </w:tc>
        <w:tc>
          <w:tcPr>
            <w:tcW w:w="0" w:type="pct"/>
          </w:tcPr>
          <w:p w14:paraId="34FADC9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16EDF1B0" w14:textId="77777777" w:rsidR="006B44D0" w:rsidRPr="00483510" w:rsidRDefault="00EC6601"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415DBC7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305AD57" w14:textId="77777777" w:rsidTr="00AF21BE">
        <w:tc>
          <w:tcPr>
            <w:tcW w:w="0" w:type="pct"/>
          </w:tcPr>
          <w:p w14:paraId="23BA753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432F598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NRNC-HVAC-Small ECM Motor</w:t>
            </w:r>
          </w:p>
        </w:tc>
        <w:tc>
          <w:tcPr>
            <w:tcW w:w="0" w:type="pct"/>
          </w:tcPr>
          <w:p w14:paraId="0A898F3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5A490E25" w14:textId="77777777" w:rsidR="006B44D0" w:rsidRPr="00483510" w:rsidRDefault="00EC6601"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3FB08C5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60C5C27" w14:textId="77777777" w:rsidTr="00AF21BE">
        <w:tc>
          <w:tcPr>
            <w:tcW w:w="0" w:type="pct"/>
          </w:tcPr>
          <w:p w14:paraId="3BD7CF7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613F524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NRNC-HVAC-Water &amp; Space Heating ACM</w:t>
            </w:r>
          </w:p>
        </w:tc>
        <w:tc>
          <w:tcPr>
            <w:tcW w:w="0" w:type="pct"/>
          </w:tcPr>
          <w:p w14:paraId="55459C7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6A90F738" w14:textId="77777777" w:rsidR="006B44D0" w:rsidRPr="00483510" w:rsidRDefault="00EC6601"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566905B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E783DB2" w14:textId="77777777" w:rsidTr="00AF21BE">
        <w:tc>
          <w:tcPr>
            <w:tcW w:w="0" w:type="pct"/>
          </w:tcPr>
          <w:p w14:paraId="7337F98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456C236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NRNC-HVAC-Cooling Towers Water</w:t>
            </w:r>
          </w:p>
        </w:tc>
        <w:tc>
          <w:tcPr>
            <w:tcW w:w="0" w:type="pct"/>
          </w:tcPr>
          <w:p w14:paraId="609625C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7B33AEC2" w14:textId="77777777" w:rsidR="006B44D0" w:rsidRPr="00483510" w:rsidRDefault="00EC6601"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08C4518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DC64AC2" w14:textId="77777777" w:rsidTr="00AF21BE">
        <w:tc>
          <w:tcPr>
            <w:tcW w:w="0" w:type="pct"/>
          </w:tcPr>
          <w:p w14:paraId="15E3C27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5DA7F8D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NRNC-HVAC-Occupant Controlled Smart Thermostats</w:t>
            </w:r>
          </w:p>
        </w:tc>
        <w:tc>
          <w:tcPr>
            <w:tcW w:w="0" w:type="pct"/>
          </w:tcPr>
          <w:p w14:paraId="10013C8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1A7AB46C" w14:textId="77777777" w:rsidR="006B44D0" w:rsidRPr="00483510" w:rsidRDefault="00EC6601"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7068565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D2A67D3" w14:textId="77777777" w:rsidTr="00AF21BE">
        <w:tc>
          <w:tcPr>
            <w:tcW w:w="0" w:type="pct"/>
          </w:tcPr>
          <w:p w14:paraId="6B2EE2F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00C7277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NRNC-HVAC-Low-Temp Radiant Cooling</w:t>
            </w:r>
          </w:p>
        </w:tc>
        <w:tc>
          <w:tcPr>
            <w:tcW w:w="0" w:type="pct"/>
          </w:tcPr>
          <w:p w14:paraId="7342613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54994CE8" w14:textId="77777777" w:rsidR="006B44D0" w:rsidRPr="00483510" w:rsidRDefault="00EC6601"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18284D4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5596F43" w14:textId="77777777" w:rsidTr="00AF21BE">
        <w:tc>
          <w:tcPr>
            <w:tcW w:w="0" w:type="pct"/>
          </w:tcPr>
          <w:p w14:paraId="3EDDF63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643BCA1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NRNC-HVAC-Evap Cooling Credit</w:t>
            </w:r>
          </w:p>
        </w:tc>
        <w:tc>
          <w:tcPr>
            <w:tcW w:w="0" w:type="pct"/>
          </w:tcPr>
          <w:p w14:paraId="64C5997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0B9D6FC2" w14:textId="77777777" w:rsidR="006B44D0" w:rsidRPr="00483510" w:rsidRDefault="00EC6601"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31D50CD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13317E1" w14:textId="77777777" w:rsidTr="00AF21BE">
        <w:tc>
          <w:tcPr>
            <w:tcW w:w="0" w:type="pct"/>
          </w:tcPr>
          <w:p w14:paraId="630E462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35A6978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NRNC-HVAC-Outside Air</w:t>
            </w:r>
          </w:p>
        </w:tc>
        <w:tc>
          <w:tcPr>
            <w:tcW w:w="0" w:type="pct"/>
          </w:tcPr>
          <w:p w14:paraId="530F901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1718E80E" w14:textId="77777777" w:rsidR="006B44D0" w:rsidRPr="00483510" w:rsidRDefault="00EC6601"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318B1F0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88A5F58" w14:textId="77777777" w:rsidTr="00AF21BE">
        <w:tc>
          <w:tcPr>
            <w:tcW w:w="0" w:type="pct"/>
          </w:tcPr>
          <w:p w14:paraId="6027EAA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7660FEC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NRNC-HVAC-Acceptance Requirements</w:t>
            </w:r>
          </w:p>
        </w:tc>
        <w:tc>
          <w:tcPr>
            <w:tcW w:w="0" w:type="pct"/>
          </w:tcPr>
          <w:p w14:paraId="021BCFE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0004554C" w14:textId="77777777" w:rsidR="006B44D0" w:rsidRPr="00483510" w:rsidRDefault="00EC6601"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4148FFC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1ABF891" w14:textId="77777777" w:rsidTr="00AF21BE">
        <w:tc>
          <w:tcPr>
            <w:tcW w:w="0" w:type="pct"/>
          </w:tcPr>
          <w:p w14:paraId="5F78700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2A6EE48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NRNC-Refrigeration-Warehouse</w:t>
            </w:r>
          </w:p>
        </w:tc>
        <w:tc>
          <w:tcPr>
            <w:tcW w:w="0" w:type="pct"/>
          </w:tcPr>
          <w:p w14:paraId="7B42186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31AE65C8" w14:textId="77777777" w:rsidR="006B44D0" w:rsidRPr="00483510" w:rsidRDefault="00EC6601"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0A837F0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50EC802" w14:textId="77777777" w:rsidTr="00AF21BE">
        <w:tc>
          <w:tcPr>
            <w:tcW w:w="0" w:type="pct"/>
          </w:tcPr>
          <w:p w14:paraId="6D6BBD2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594438F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NRNC-Refrigeration-Supermarket</w:t>
            </w:r>
          </w:p>
        </w:tc>
        <w:tc>
          <w:tcPr>
            <w:tcW w:w="0" w:type="pct"/>
          </w:tcPr>
          <w:p w14:paraId="294B283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435190F4" w14:textId="77777777" w:rsidR="006B44D0" w:rsidRPr="00483510" w:rsidRDefault="00EC6601"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2B32C07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2113815" w14:textId="77777777" w:rsidTr="00AF21BE">
        <w:tc>
          <w:tcPr>
            <w:tcW w:w="0" w:type="pct"/>
          </w:tcPr>
          <w:p w14:paraId="331BDDB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4F15083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NRNC-Process-Process Boilers</w:t>
            </w:r>
          </w:p>
        </w:tc>
        <w:tc>
          <w:tcPr>
            <w:tcW w:w="0" w:type="pct"/>
          </w:tcPr>
          <w:p w14:paraId="74E957A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36D3D564" w14:textId="77777777" w:rsidR="006B44D0" w:rsidRPr="00483510" w:rsidRDefault="00EC6601"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77AE3AC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11EC26D" w14:textId="77777777" w:rsidTr="00AF21BE">
        <w:tc>
          <w:tcPr>
            <w:tcW w:w="0" w:type="pct"/>
          </w:tcPr>
          <w:p w14:paraId="19A1778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6273B0F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NRNC-Process-Air Compressors</w:t>
            </w:r>
          </w:p>
        </w:tc>
        <w:tc>
          <w:tcPr>
            <w:tcW w:w="0" w:type="pct"/>
          </w:tcPr>
          <w:p w14:paraId="0B59BB2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0C6E319F" w14:textId="77777777" w:rsidR="006B44D0" w:rsidRPr="00483510" w:rsidRDefault="00EC6601"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7A7261C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B4B6F65" w14:textId="77777777" w:rsidTr="00AF21BE">
        <w:tc>
          <w:tcPr>
            <w:tcW w:w="0" w:type="pct"/>
          </w:tcPr>
          <w:p w14:paraId="6415980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2B771D5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NRNC-Process-Data Centers</w:t>
            </w:r>
          </w:p>
        </w:tc>
        <w:tc>
          <w:tcPr>
            <w:tcW w:w="0" w:type="pct"/>
          </w:tcPr>
          <w:p w14:paraId="13AE4F2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21205BBF" w14:textId="77777777" w:rsidR="006B44D0" w:rsidRPr="00483510" w:rsidRDefault="00EC6601"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716C858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61A4C1E" w14:textId="77777777" w:rsidTr="00AF21BE">
        <w:tc>
          <w:tcPr>
            <w:tcW w:w="0" w:type="pct"/>
          </w:tcPr>
          <w:p w14:paraId="47FD708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60D1AD3F"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NRNC-DHW - Hotel DHW Control and Solar</w:t>
            </w:r>
          </w:p>
        </w:tc>
        <w:tc>
          <w:tcPr>
            <w:tcW w:w="0" w:type="pct"/>
          </w:tcPr>
          <w:p w14:paraId="66F0466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2ACA4C5E" w14:textId="77777777" w:rsidR="006B44D0" w:rsidRPr="00483510" w:rsidRDefault="00EC6601"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2DE06F4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F9B069D" w14:textId="77777777" w:rsidTr="00AF21BE">
        <w:tc>
          <w:tcPr>
            <w:tcW w:w="0" w:type="pct"/>
          </w:tcPr>
          <w:p w14:paraId="09E6D36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7748A1E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NRNC-DHW-Solar Water Heating</w:t>
            </w:r>
          </w:p>
        </w:tc>
        <w:tc>
          <w:tcPr>
            <w:tcW w:w="0" w:type="pct"/>
          </w:tcPr>
          <w:p w14:paraId="38772CE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4F03410F" w14:textId="77777777" w:rsidR="006B44D0" w:rsidRPr="00483510" w:rsidRDefault="00EC6601"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4AE3C8C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EFECF7C" w14:textId="77777777" w:rsidTr="00AF21BE">
        <w:tc>
          <w:tcPr>
            <w:tcW w:w="0" w:type="pct"/>
          </w:tcPr>
          <w:p w14:paraId="195979F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18A8FD2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NRNC-Solar-Solar Ready</w:t>
            </w:r>
          </w:p>
        </w:tc>
        <w:tc>
          <w:tcPr>
            <w:tcW w:w="0" w:type="pct"/>
          </w:tcPr>
          <w:p w14:paraId="2603B34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77009D66" w14:textId="77777777" w:rsidR="006B44D0" w:rsidRPr="00483510" w:rsidRDefault="00EC6601"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6DA35B9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FFE7B5D" w14:textId="77777777" w:rsidTr="00AF21BE">
        <w:tc>
          <w:tcPr>
            <w:tcW w:w="0" w:type="pct"/>
          </w:tcPr>
          <w:p w14:paraId="006A911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134D701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NRNC-Whole Building</w:t>
            </w:r>
          </w:p>
        </w:tc>
        <w:tc>
          <w:tcPr>
            <w:tcW w:w="0" w:type="pct"/>
          </w:tcPr>
          <w:p w14:paraId="1CD29799" w14:textId="77777777" w:rsidR="006B44D0" w:rsidRPr="00483510" w:rsidRDefault="00212763" w:rsidP="006B44D0">
            <w:pPr>
              <w:rPr>
                <w:rFonts w:ascii="Arial Narrow" w:hAnsi="Arial Narrow"/>
                <w:sz w:val="18"/>
                <w:szCs w:val="18"/>
              </w:rPr>
            </w:pPr>
            <w:r>
              <w:rPr>
                <w:rFonts w:ascii="Arial Narrow" w:hAnsi="Arial Narrow"/>
                <w:sz w:val="18"/>
                <w:szCs w:val="18"/>
              </w:rPr>
              <w:t>9</w:t>
            </w:r>
            <w:r w:rsidR="006B44D0" w:rsidRPr="00483510">
              <w:rPr>
                <w:rFonts w:ascii="Arial Narrow" w:hAnsi="Arial Narrow"/>
                <w:sz w:val="18"/>
                <w:szCs w:val="18"/>
              </w:rPr>
              <w:t>3%</w:t>
            </w:r>
          </w:p>
        </w:tc>
        <w:tc>
          <w:tcPr>
            <w:tcW w:w="0" w:type="pct"/>
          </w:tcPr>
          <w:p w14:paraId="560E9B1D" w14:textId="77777777" w:rsidR="006B44D0" w:rsidRPr="00483510" w:rsidRDefault="00EC6601" w:rsidP="006B44D0">
            <w:pPr>
              <w:rPr>
                <w:rFonts w:ascii="Arial Narrow" w:hAnsi="Arial Narrow"/>
                <w:sz w:val="18"/>
                <w:szCs w:val="18"/>
              </w:rPr>
            </w:pPr>
            <w:r>
              <w:rPr>
                <w:rFonts w:ascii="Arial Narrow" w:hAnsi="Arial Narrow"/>
                <w:sz w:val="18"/>
                <w:szCs w:val="18"/>
              </w:rPr>
              <w:t>4</w:t>
            </w:r>
            <w:r w:rsidR="006B44D0" w:rsidRPr="00483510">
              <w:rPr>
                <w:rFonts w:ascii="Arial Narrow" w:hAnsi="Arial Narrow"/>
                <w:sz w:val="18"/>
                <w:szCs w:val="18"/>
              </w:rPr>
              <w:t>/1/2015</w:t>
            </w:r>
          </w:p>
        </w:tc>
        <w:tc>
          <w:tcPr>
            <w:tcW w:w="0" w:type="pct"/>
          </w:tcPr>
          <w:p w14:paraId="0961978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E9FBC80" w14:textId="77777777" w:rsidTr="00AF21BE">
        <w:tc>
          <w:tcPr>
            <w:tcW w:w="0" w:type="pct"/>
          </w:tcPr>
          <w:p w14:paraId="60CFABE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1A018B6A"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RNC-Lighting</w:t>
            </w:r>
          </w:p>
        </w:tc>
        <w:tc>
          <w:tcPr>
            <w:tcW w:w="0" w:type="pct"/>
          </w:tcPr>
          <w:p w14:paraId="484E2F95" w14:textId="77777777" w:rsidR="006B44D0" w:rsidRPr="00483510" w:rsidRDefault="00212763" w:rsidP="006B44D0">
            <w:pPr>
              <w:rPr>
                <w:rFonts w:ascii="Arial Narrow" w:hAnsi="Arial Narrow"/>
                <w:sz w:val="18"/>
                <w:szCs w:val="18"/>
              </w:rPr>
            </w:pPr>
            <w:r>
              <w:rPr>
                <w:rFonts w:ascii="Arial Narrow" w:hAnsi="Arial Narrow"/>
                <w:sz w:val="18"/>
                <w:szCs w:val="18"/>
              </w:rPr>
              <w:t>0</w:t>
            </w:r>
            <w:r w:rsidR="006B44D0" w:rsidRPr="00483510">
              <w:rPr>
                <w:rFonts w:ascii="Arial Narrow" w:hAnsi="Arial Narrow"/>
                <w:sz w:val="18"/>
                <w:szCs w:val="18"/>
              </w:rPr>
              <w:t>%</w:t>
            </w:r>
          </w:p>
        </w:tc>
        <w:tc>
          <w:tcPr>
            <w:tcW w:w="0" w:type="pct"/>
          </w:tcPr>
          <w:p w14:paraId="7A844B4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1/1/2015</w:t>
            </w:r>
          </w:p>
        </w:tc>
        <w:tc>
          <w:tcPr>
            <w:tcW w:w="0" w:type="pct"/>
          </w:tcPr>
          <w:p w14:paraId="4049E9E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7ABB881" w14:textId="77777777" w:rsidTr="00AF21BE">
        <w:tc>
          <w:tcPr>
            <w:tcW w:w="0" w:type="pct"/>
          </w:tcPr>
          <w:p w14:paraId="010F7C6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4A253A3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RNC-DHW - MF DHW Control and Solar</w:t>
            </w:r>
          </w:p>
        </w:tc>
        <w:tc>
          <w:tcPr>
            <w:tcW w:w="0" w:type="pct"/>
          </w:tcPr>
          <w:p w14:paraId="11380B6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2E1B550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4/1/2015</w:t>
            </w:r>
          </w:p>
        </w:tc>
        <w:tc>
          <w:tcPr>
            <w:tcW w:w="0" w:type="pct"/>
          </w:tcPr>
          <w:p w14:paraId="6999ADC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423C2BF" w14:textId="77777777" w:rsidTr="00AF21BE">
        <w:tc>
          <w:tcPr>
            <w:tcW w:w="0" w:type="pct"/>
          </w:tcPr>
          <w:p w14:paraId="21D1FC3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lastRenderedPageBreak/>
              <w:t>2013 T-24</w:t>
            </w:r>
          </w:p>
        </w:tc>
        <w:tc>
          <w:tcPr>
            <w:tcW w:w="0" w:type="pct"/>
          </w:tcPr>
          <w:p w14:paraId="0FC58B2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RNC-DHW - High Efficiency Water Heater Ready </w:t>
            </w:r>
          </w:p>
        </w:tc>
        <w:tc>
          <w:tcPr>
            <w:tcW w:w="0" w:type="pct"/>
          </w:tcPr>
          <w:p w14:paraId="2878CB8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3D2420B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1/1/2015</w:t>
            </w:r>
          </w:p>
        </w:tc>
        <w:tc>
          <w:tcPr>
            <w:tcW w:w="0" w:type="pct"/>
          </w:tcPr>
          <w:p w14:paraId="2E086BF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0E66EF2" w14:textId="77777777" w:rsidTr="00AF21BE">
        <w:tc>
          <w:tcPr>
            <w:tcW w:w="0" w:type="pct"/>
          </w:tcPr>
          <w:p w14:paraId="3AF2DA3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11A9B4F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RNC-DHW - Solar for Electrically Heated Homes</w:t>
            </w:r>
          </w:p>
        </w:tc>
        <w:tc>
          <w:tcPr>
            <w:tcW w:w="0" w:type="pct"/>
          </w:tcPr>
          <w:p w14:paraId="368F2FE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2E2EA80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1/1/2015</w:t>
            </w:r>
          </w:p>
        </w:tc>
        <w:tc>
          <w:tcPr>
            <w:tcW w:w="0" w:type="pct"/>
          </w:tcPr>
          <w:p w14:paraId="4EF039C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552E822" w14:textId="77777777" w:rsidTr="00AF21BE">
        <w:tc>
          <w:tcPr>
            <w:tcW w:w="0" w:type="pct"/>
          </w:tcPr>
          <w:p w14:paraId="533B355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21796AE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RNC-Solar - Solar Ready &amp; Oriented Homes</w:t>
            </w:r>
          </w:p>
        </w:tc>
        <w:tc>
          <w:tcPr>
            <w:tcW w:w="0" w:type="pct"/>
          </w:tcPr>
          <w:p w14:paraId="4A07BB4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25A92B1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1/1/2015</w:t>
            </w:r>
          </w:p>
        </w:tc>
        <w:tc>
          <w:tcPr>
            <w:tcW w:w="0" w:type="pct"/>
          </w:tcPr>
          <w:p w14:paraId="65E74BC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2A54721" w14:textId="77777777" w:rsidTr="00AF21BE">
        <w:tc>
          <w:tcPr>
            <w:tcW w:w="0" w:type="pct"/>
          </w:tcPr>
          <w:p w14:paraId="08A04E3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08E4B91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RNC-SF Whole Building</w:t>
            </w:r>
          </w:p>
        </w:tc>
        <w:tc>
          <w:tcPr>
            <w:tcW w:w="0" w:type="pct"/>
          </w:tcPr>
          <w:p w14:paraId="499D9AE5" w14:textId="77777777" w:rsidR="006B44D0" w:rsidRPr="00483510" w:rsidRDefault="00C05B29" w:rsidP="006B44D0">
            <w:pPr>
              <w:rPr>
                <w:rFonts w:ascii="Arial Narrow" w:hAnsi="Arial Narrow"/>
                <w:sz w:val="18"/>
                <w:szCs w:val="18"/>
              </w:rPr>
            </w:pPr>
            <w:r>
              <w:rPr>
                <w:rFonts w:ascii="Arial Narrow" w:hAnsi="Arial Narrow"/>
                <w:sz w:val="18"/>
                <w:szCs w:val="18"/>
              </w:rPr>
              <w:t>67</w:t>
            </w:r>
            <w:r w:rsidR="006B44D0" w:rsidRPr="00483510">
              <w:rPr>
                <w:rFonts w:ascii="Arial Narrow" w:hAnsi="Arial Narrow"/>
                <w:sz w:val="18"/>
                <w:szCs w:val="18"/>
              </w:rPr>
              <w:t>%</w:t>
            </w:r>
          </w:p>
        </w:tc>
        <w:tc>
          <w:tcPr>
            <w:tcW w:w="0" w:type="pct"/>
          </w:tcPr>
          <w:p w14:paraId="3E4C207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1/1/2015</w:t>
            </w:r>
          </w:p>
        </w:tc>
        <w:tc>
          <w:tcPr>
            <w:tcW w:w="0" w:type="pct"/>
          </w:tcPr>
          <w:p w14:paraId="0986C7A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4E11128" w14:textId="77777777" w:rsidTr="00AF21BE">
        <w:tc>
          <w:tcPr>
            <w:tcW w:w="0" w:type="pct"/>
          </w:tcPr>
          <w:p w14:paraId="69A6761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320CED3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RNC-MF Whole Building</w:t>
            </w:r>
          </w:p>
        </w:tc>
        <w:tc>
          <w:tcPr>
            <w:tcW w:w="0" w:type="pct"/>
          </w:tcPr>
          <w:p w14:paraId="34F4BB1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2BBAE522"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4/1/2015</w:t>
            </w:r>
          </w:p>
        </w:tc>
        <w:tc>
          <w:tcPr>
            <w:tcW w:w="0" w:type="pct"/>
          </w:tcPr>
          <w:p w14:paraId="3BF5198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984EC38" w14:textId="77777777" w:rsidTr="00AF21BE">
        <w:tc>
          <w:tcPr>
            <w:tcW w:w="0" w:type="pct"/>
          </w:tcPr>
          <w:p w14:paraId="095BFF7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2963C96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RA-SF Whole Building</w:t>
            </w:r>
          </w:p>
        </w:tc>
        <w:tc>
          <w:tcPr>
            <w:tcW w:w="0" w:type="pct"/>
          </w:tcPr>
          <w:p w14:paraId="74323A19" w14:textId="77777777" w:rsidR="006B44D0" w:rsidRPr="00483510" w:rsidRDefault="00C05B29" w:rsidP="006B44D0">
            <w:pPr>
              <w:rPr>
                <w:rFonts w:ascii="Arial Narrow" w:hAnsi="Arial Narrow"/>
                <w:sz w:val="18"/>
                <w:szCs w:val="18"/>
              </w:rPr>
            </w:pPr>
            <w:r>
              <w:rPr>
                <w:rFonts w:ascii="Arial Narrow" w:hAnsi="Arial Narrow"/>
                <w:sz w:val="18"/>
                <w:szCs w:val="18"/>
              </w:rPr>
              <w:t>67</w:t>
            </w:r>
            <w:r w:rsidR="006B44D0" w:rsidRPr="00483510">
              <w:rPr>
                <w:rFonts w:ascii="Arial Narrow" w:hAnsi="Arial Narrow"/>
                <w:sz w:val="18"/>
                <w:szCs w:val="18"/>
              </w:rPr>
              <w:t>%</w:t>
            </w:r>
          </w:p>
        </w:tc>
        <w:tc>
          <w:tcPr>
            <w:tcW w:w="0" w:type="pct"/>
          </w:tcPr>
          <w:p w14:paraId="45EBCE70"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7/1/2014</w:t>
            </w:r>
          </w:p>
        </w:tc>
        <w:tc>
          <w:tcPr>
            <w:tcW w:w="0" w:type="pct"/>
          </w:tcPr>
          <w:p w14:paraId="025B742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7671939" w14:textId="77777777" w:rsidTr="00AF21BE">
        <w:tc>
          <w:tcPr>
            <w:tcW w:w="0" w:type="pct"/>
          </w:tcPr>
          <w:p w14:paraId="4B66DC3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2013 T-24</w:t>
            </w:r>
          </w:p>
        </w:tc>
        <w:tc>
          <w:tcPr>
            <w:tcW w:w="0" w:type="pct"/>
          </w:tcPr>
          <w:p w14:paraId="441AF97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RA-MF Whole Building</w:t>
            </w:r>
          </w:p>
        </w:tc>
        <w:tc>
          <w:tcPr>
            <w:tcW w:w="0" w:type="pct"/>
          </w:tcPr>
          <w:p w14:paraId="59E156C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34CBA0A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7/1/2014</w:t>
            </w:r>
          </w:p>
        </w:tc>
        <w:tc>
          <w:tcPr>
            <w:tcW w:w="0" w:type="pct"/>
          </w:tcPr>
          <w:p w14:paraId="02DF30F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02CEF5D" w14:textId="77777777" w:rsidTr="00AF21BE">
        <w:tc>
          <w:tcPr>
            <w:tcW w:w="0" w:type="pct"/>
          </w:tcPr>
          <w:p w14:paraId="593F8C3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0" w:type="pct"/>
          </w:tcPr>
          <w:p w14:paraId="75F29854"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NRA-Lighting-Alterations</w:t>
            </w:r>
          </w:p>
        </w:tc>
        <w:tc>
          <w:tcPr>
            <w:tcW w:w="0" w:type="pct"/>
          </w:tcPr>
          <w:p w14:paraId="76CACED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5D6EFA5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2/1/2017</w:t>
            </w:r>
          </w:p>
        </w:tc>
        <w:tc>
          <w:tcPr>
            <w:tcW w:w="0" w:type="pct"/>
          </w:tcPr>
          <w:p w14:paraId="0586671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8EEB031" w14:textId="77777777" w:rsidTr="00AF21BE">
        <w:tc>
          <w:tcPr>
            <w:tcW w:w="0" w:type="pct"/>
          </w:tcPr>
          <w:p w14:paraId="26E783C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0" w:type="pct"/>
          </w:tcPr>
          <w:p w14:paraId="1AB622B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NRA-Lighting-Outdoor Lighting Controls</w:t>
            </w:r>
          </w:p>
        </w:tc>
        <w:tc>
          <w:tcPr>
            <w:tcW w:w="0" w:type="pct"/>
          </w:tcPr>
          <w:p w14:paraId="585F52C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5BF8476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2/1/2017</w:t>
            </w:r>
          </w:p>
        </w:tc>
        <w:tc>
          <w:tcPr>
            <w:tcW w:w="0" w:type="pct"/>
          </w:tcPr>
          <w:p w14:paraId="5ED83ED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0DB1E125" w14:textId="77777777" w:rsidTr="00AF21BE">
        <w:tc>
          <w:tcPr>
            <w:tcW w:w="0" w:type="pct"/>
          </w:tcPr>
          <w:p w14:paraId="67EA209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0" w:type="pct"/>
          </w:tcPr>
          <w:p w14:paraId="1BF1241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NRA-Lighting-ASHRAE Measure-Elevator Lighting &amp; Ventilation</w:t>
            </w:r>
          </w:p>
        </w:tc>
        <w:tc>
          <w:tcPr>
            <w:tcW w:w="0" w:type="pct"/>
          </w:tcPr>
          <w:p w14:paraId="0D01402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0407A0F8"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2/1/2017</w:t>
            </w:r>
          </w:p>
        </w:tc>
        <w:tc>
          <w:tcPr>
            <w:tcW w:w="0" w:type="pct"/>
          </w:tcPr>
          <w:p w14:paraId="33B6FA6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71394A04" w14:textId="77777777" w:rsidTr="00AF21BE">
        <w:tc>
          <w:tcPr>
            <w:tcW w:w="0" w:type="pct"/>
          </w:tcPr>
          <w:p w14:paraId="7C170F1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0" w:type="pct"/>
          </w:tcPr>
          <w:p w14:paraId="1BAB16F0"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NRA-Envelope-Opaque Wall (Roof Alterations)</w:t>
            </w:r>
          </w:p>
        </w:tc>
        <w:tc>
          <w:tcPr>
            <w:tcW w:w="0" w:type="pct"/>
          </w:tcPr>
          <w:p w14:paraId="0D9BBB8C"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2A76B2D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2/1/2017</w:t>
            </w:r>
          </w:p>
        </w:tc>
        <w:tc>
          <w:tcPr>
            <w:tcW w:w="0" w:type="pct"/>
          </w:tcPr>
          <w:p w14:paraId="26B7B8C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B10BEDC" w14:textId="77777777" w:rsidTr="00AF21BE">
        <w:tc>
          <w:tcPr>
            <w:tcW w:w="0" w:type="pct"/>
          </w:tcPr>
          <w:p w14:paraId="3DD9687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0" w:type="pct"/>
          </w:tcPr>
          <w:p w14:paraId="5889CEE2"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NRA-HVAC-ASHRAE Measure-DDC</w:t>
            </w:r>
          </w:p>
        </w:tc>
        <w:tc>
          <w:tcPr>
            <w:tcW w:w="0" w:type="pct"/>
          </w:tcPr>
          <w:p w14:paraId="39D2A7A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61761BD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2/1/2017</w:t>
            </w:r>
          </w:p>
        </w:tc>
        <w:tc>
          <w:tcPr>
            <w:tcW w:w="0" w:type="pct"/>
          </w:tcPr>
          <w:p w14:paraId="0B17CC9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30CEB26B" w14:textId="77777777" w:rsidTr="00AF21BE">
        <w:tc>
          <w:tcPr>
            <w:tcW w:w="0" w:type="pct"/>
          </w:tcPr>
          <w:p w14:paraId="3C76B70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0" w:type="pct"/>
          </w:tcPr>
          <w:p w14:paraId="3157FE07"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NRA-HVAC-ASHRAE Equipment Efficiency</w:t>
            </w:r>
          </w:p>
        </w:tc>
        <w:tc>
          <w:tcPr>
            <w:tcW w:w="0" w:type="pct"/>
          </w:tcPr>
          <w:p w14:paraId="17B929C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3583E1C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2/1/2017</w:t>
            </w:r>
          </w:p>
        </w:tc>
        <w:tc>
          <w:tcPr>
            <w:tcW w:w="0" w:type="pct"/>
          </w:tcPr>
          <w:p w14:paraId="1F7A45A6"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F190FAC" w14:textId="77777777" w:rsidTr="00AF21BE">
        <w:tc>
          <w:tcPr>
            <w:tcW w:w="0" w:type="pct"/>
          </w:tcPr>
          <w:p w14:paraId="049F86CB"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0" w:type="pct"/>
          </w:tcPr>
          <w:p w14:paraId="7702DE0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NRA-Process-ASHRAE Measure-Escalator Speed Control</w:t>
            </w:r>
          </w:p>
        </w:tc>
        <w:tc>
          <w:tcPr>
            <w:tcW w:w="0" w:type="pct"/>
          </w:tcPr>
          <w:p w14:paraId="440BB869"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10AE6B4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2/1/2017</w:t>
            </w:r>
          </w:p>
        </w:tc>
        <w:tc>
          <w:tcPr>
            <w:tcW w:w="0" w:type="pct"/>
          </w:tcPr>
          <w:p w14:paraId="0E56B2E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6F684F21" w14:textId="77777777" w:rsidTr="00AF21BE">
        <w:tc>
          <w:tcPr>
            <w:tcW w:w="0" w:type="pct"/>
          </w:tcPr>
          <w:p w14:paraId="6F7AFA3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0" w:type="pct"/>
          </w:tcPr>
          <w:p w14:paraId="5BDE3426"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NRNC-Whole Building</w:t>
            </w:r>
          </w:p>
        </w:tc>
        <w:tc>
          <w:tcPr>
            <w:tcW w:w="0" w:type="pct"/>
          </w:tcPr>
          <w:p w14:paraId="76836EB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2B3C602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10/1/2017</w:t>
            </w:r>
          </w:p>
        </w:tc>
        <w:tc>
          <w:tcPr>
            <w:tcW w:w="0" w:type="pct"/>
          </w:tcPr>
          <w:p w14:paraId="46420FE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49DF6BC1" w14:textId="77777777" w:rsidTr="00AF21BE">
        <w:tc>
          <w:tcPr>
            <w:tcW w:w="0" w:type="pct"/>
          </w:tcPr>
          <w:p w14:paraId="0FB092C3"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0" w:type="pct"/>
          </w:tcPr>
          <w:p w14:paraId="03FAFA5E"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RNC-Single Family Whole Building</w:t>
            </w:r>
          </w:p>
        </w:tc>
        <w:tc>
          <w:tcPr>
            <w:tcW w:w="0" w:type="pct"/>
          </w:tcPr>
          <w:p w14:paraId="4E638C1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5C03159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7/1/2017</w:t>
            </w:r>
          </w:p>
        </w:tc>
        <w:tc>
          <w:tcPr>
            <w:tcW w:w="0" w:type="pct"/>
          </w:tcPr>
          <w:p w14:paraId="7D5F3E2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8FAA830" w14:textId="77777777" w:rsidTr="00AF21BE">
        <w:tc>
          <w:tcPr>
            <w:tcW w:w="0" w:type="pct"/>
          </w:tcPr>
          <w:p w14:paraId="1B359705"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0" w:type="pct"/>
          </w:tcPr>
          <w:p w14:paraId="71EF4E5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RNC-Multifamily Whole Building</w:t>
            </w:r>
          </w:p>
        </w:tc>
        <w:tc>
          <w:tcPr>
            <w:tcW w:w="0" w:type="pct"/>
          </w:tcPr>
          <w:p w14:paraId="049E44C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46C1CEBA"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7/1/2017</w:t>
            </w:r>
          </w:p>
        </w:tc>
        <w:tc>
          <w:tcPr>
            <w:tcW w:w="0" w:type="pct"/>
          </w:tcPr>
          <w:p w14:paraId="14248B24"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1833D768" w14:textId="77777777" w:rsidTr="00AF21BE">
        <w:tc>
          <w:tcPr>
            <w:tcW w:w="0" w:type="pct"/>
          </w:tcPr>
          <w:p w14:paraId="2313178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0" w:type="pct"/>
          </w:tcPr>
          <w:p w14:paraId="2E7B3518"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RA-Single Family Whole Building</w:t>
            </w:r>
          </w:p>
        </w:tc>
        <w:tc>
          <w:tcPr>
            <w:tcW w:w="0" w:type="pct"/>
          </w:tcPr>
          <w:p w14:paraId="47B0AE6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601EEF8B"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7/1/2017</w:t>
            </w:r>
          </w:p>
        </w:tc>
        <w:tc>
          <w:tcPr>
            <w:tcW w:w="0" w:type="pct"/>
          </w:tcPr>
          <w:p w14:paraId="1DD890B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2929CCB3" w14:textId="77777777" w:rsidTr="00AF21BE">
        <w:tc>
          <w:tcPr>
            <w:tcW w:w="0" w:type="pct"/>
          </w:tcPr>
          <w:p w14:paraId="17DB62FC"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2016 T-24 </w:t>
            </w:r>
          </w:p>
        </w:tc>
        <w:tc>
          <w:tcPr>
            <w:tcW w:w="0" w:type="pct"/>
          </w:tcPr>
          <w:p w14:paraId="56712BD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RA-Multifamily Whole Building</w:t>
            </w:r>
          </w:p>
        </w:tc>
        <w:tc>
          <w:tcPr>
            <w:tcW w:w="0" w:type="pct"/>
          </w:tcPr>
          <w:p w14:paraId="4EABF68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361E6D71"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7/1/2017</w:t>
            </w:r>
          </w:p>
        </w:tc>
        <w:tc>
          <w:tcPr>
            <w:tcW w:w="0" w:type="pct"/>
          </w:tcPr>
          <w:p w14:paraId="4859694F"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On the books</w:t>
            </w:r>
          </w:p>
        </w:tc>
      </w:tr>
      <w:tr w:rsidR="006B44D0" w:rsidRPr="00483510" w14:paraId="5B8A707F" w14:textId="77777777" w:rsidTr="00AF21BE">
        <w:tc>
          <w:tcPr>
            <w:tcW w:w="0" w:type="pct"/>
          </w:tcPr>
          <w:p w14:paraId="439EB011"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2019 T-24 </w:t>
            </w:r>
          </w:p>
        </w:tc>
        <w:tc>
          <w:tcPr>
            <w:tcW w:w="0" w:type="pct"/>
          </w:tcPr>
          <w:p w14:paraId="39D54921" w14:textId="77777777" w:rsidR="006B44D0" w:rsidRPr="00483510" w:rsidRDefault="00C05B29" w:rsidP="006B44D0">
            <w:pPr>
              <w:jc w:val="left"/>
              <w:rPr>
                <w:rFonts w:ascii="Arial Narrow" w:hAnsi="Arial Narrow"/>
                <w:sz w:val="18"/>
                <w:szCs w:val="18"/>
              </w:rPr>
            </w:pPr>
            <w:r>
              <w:rPr>
                <w:rFonts w:ascii="Arial Narrow" w:hAnsi="Arial Narrow"/>
                <w:sz w:val="18"/>
                <w:szCs w:val="18"/>
              </w:rPr>
              <w:t>NRNC-Whole Building</w:t>
            </w:r>
          </w:p>
        </w:tc>
        <w:tc>
          <w:tcPr>
            <w:tcW w:w="0" w:type="pct"/>
          </w:tcPr>
          <w:p w14:paraId="46633F5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6882E4D1" w14:textId="77777777" w:rsidR="006B44D0" w:rsidRPr="00483510" w:rsidRDefault="009D61FE" w:rsidP="006B44D0">
            <w:pPr>
              <w:rPr>
                <w:rFonts w:ascii="Arial Narrow" w:hAnsi="Arial Narrow"/>
                <w:sz w:val="18"/>
                <w:szCs w:val="18"/>
              </w:rPr>
            </w:pPr>
            <w:r>
              <w:rPr>
                <w:rFonts w:ascii="Arial Narrow" w:hAnsi="Arial Narrow"/>
                <w:sz w:val="18"/>
                <w:szCs w:val="18"/>
              </w:rPr>
              <w:t>10</w:t>
            </w:r>
            <w:r w:rsidR="006B44D0" w:rsidRPr="00483510">
              <w:rPr>
                <w:rFonts w:ascii="Arial Narrow" w:hAnsi="Arial Narrow"/>
                <w:sz w:val="18"/>
                <w:szCs w:val="18"/>
              </w:rPr>
              <w:t>/1/2020</w:t>
            </w:r>
          </w:p>
        </w:tc>
        <w:tc>
          <w:tcPr>
            <w:tcW w:w="0" w:type="pct"/>
          </w:tcPr>
          <w:p w14:paraId="009126CE"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6B44D0" w:rsidRPr="00483510" w14:paraId="23CA48E1" w14:textId="77777777" w:rsidTr="00AF21BE">
        <w:tc>
          <w:tcPr>
            <w:tcW w:w="0" w:type="pct"/>
          </w:tcPr>
          <w:p w14:paraId="690A92CD"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2019 T-24 </w:t>
            </w:r>
          </w:p>
        </w:tc>
        <w:tc>
          <w:tcPr>
            <w:tcW w:w="0" w:type="pct"/>
          </w:tcPr>
          <w:p w14:paraId="55AE9F88" w14:textId="77777777" w:rsidR="006B44D0" w:rsidRPr="00483510" w:rsidRDefault="00C05B29" w:rsidP="006B44D0">
            <w:pPr>
              <w:jc w:val="left"/>
              <w:rPr>
                <w:rFonts w:ascii="Arial Narrow" w:hAnsi="Arial Narrow"/>
                <w:sz w:val="18"/>
                <w:szCs w:val="18"/>
              </w:rPr>
            </w:pPr>
            <w:r>
              <w:rPr>
                <w:rFonts w:ascii="Arial Narrow" w:hAnsi="Arial Narrow"/>
                <w:sz w:val="18"/>
                <w:szCs w:val="18"/>
              </w:rPr>
              <w:t>RNC-Single Family Whole Building</w:t>
            </w:r>
          </w:p>
        </w:tc>
        <w:tc>
          <w:tcPr>
            <w:tcW w:w="0" w:type="pct"/>
          </w:tcPr>
          <w:p w14:paraId="272B152D"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3AD820FC" w14:textId="77777777" w:rsidR="006B44D0" w:rsidRPr="00483510" w:rsidRDefault="009D61FE" w:rsidP="006B44D0">
            <w:pPr>
              <w:rPr>
                <w:rFonts w:ascii="Arial Narrow" w:hAnsi="Arial Narrow"/>
                <w:sz w:val="18"/>
                <w:szCs w:val="18"/>
              </w:rPr>
            </w:pPr>
            <w:r>
              <w:rPr>
                <w:rFonts w:ascii="Arial Narrow" w:hAnsi="Arial Narrow"/>
                <w:sz w:val="18"/>
                <w:szCs w:val="18"/>
              </w:rPr>
              <w:t>7</w:t>
            </w:r>
            <w:r w:rsidR="006B44D0" w:rsidRPr="00483510">
              <w:rPr>
                <w:rFonts w:ascii="Arial Narrow" w:hAnsi="Arial Narrow"/>
                <w:sz w:val="18"/>
                <w:szCs w:val="18"/>
              </w:rPr>
              <w:t>/1/2020</w:t>
            </w:r>
          </w:p>
        </w:tc>
        <w:tc>
          <w:tcPr>
            <w:tcW w:w="0" w:type="pct"/>
          </w:tcPr>
          <w:p w14:paraId="107641E3"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r w:rsidR="00C05B29" w:rsidRPr="00483510" w14:paraId="54C14AEA" w14:textId="77777777" w:rsidTr="00AF21BE">
        <w:tc>
          <w:tcPr>
            <w:tcW w:w="0" w:type="pct"/>
          </w:tcPr>
          <w:p w14:paraId="225AA80C" w14:textId="77777777" w:rsidR="00C05B29" w:rsidRPr="00AF21BE" w:rsidRDefault="00C05B29" w:rsidP="00AF21BE">
            <w:pPr>
              <w:jc w:val="left"/>
              <w:rPr>
                <w:rFonts w:ascii="Arial Narrow" w:hAnsi="Arial Narrow"/>
                <w:sz w:val="18"/>
              </w:rPr>
            </w:pPr>
            <w:r w:rsidRPr="00483510">
              <w:rPr>
                <w:rFonts w:ascii="Arial Narrow" w:hAnsi="Arial Narrow"/>
                <w:sz w:val="18"/>
                <w:szCs w:val="18"/>
              </w:rPr>
              <w:t>2019 T-24</w:t>
            </w:r>
          </w:p>
        </w:tc>
        <w:tc>
          <w:tcPr>
            <w:tcW w:w="0" w:type="pct"/>
          </w:tcPr>
          <w:p w14:paraId="0AED92B4" w14:textId="77777777" w:rsidR="00C05B29" w:rsidRPr="00AF21BE" w:rsidRDefault="00C05B29" w:rsidP="00AF21BE">
            <w:pPr>
              <w:jc w:val="left"/>
              <w:rPr>
                <w:rFonts w:ascii="Arial Narrow" w:hAnsi="Arial Narrow"/>
                <w:sz w:val="18"/>
              </w:rPr>
            </w:pPr>
            <w:r>
              <w:rPr>
                <w:rFonts w:ascii="Arial Narrow" w:hAnsi="Arial Narrow"/>
                <w:sz w:val="18"/>
                <w:szCs w:val="18"/>
              </w:rPr>
              <w:t>RNC-Multifamily Whole Building</w:t>
            </w:r>
          </w:p>
        </w:tc>
        <w:tc>
          <w:tcPr>
            <w:tcW w:w="0" w:type="pct"/>
          </w:tcPr>
          <w:p w14:paraId="5721BBA9" w14:textId="77777777" w:rsidR="00C05B29" w:rsidRPr="00483510" w:rsidRDefault="00C05B29" w:rsidP="006B44D0">
            <w:pPr>
              <w:rPr>
                <w:rFonts w:ascii="Arial Narrow" w:hAnsi="Arial Narrow"/>
                <w:sz w:val="18"/>
                <w:szCs w:val="18"/>
              </w:rPr>
            </w:pPr>
            <w:r>
              <w:rPr>
                <w:rFonts w:ascii="Arial Narrow" w:hAnsi="Arial Narrow"/>
                <w:sz w:val="18"/>
                <w:szCs w:val="18"/>
              </w:rPr>
              <w:t>83%</w:t>
            </w:r>
          </w:p>
        </w:tc>
        <w:tc>
          <w:tcPr>
            <w:tcW w:w="0" w:type="pct"/>
          </w:tcPr>
          <w:p w14:paraId="44292C0B" w14:textId="77777777" w:rsidR="00C05B29" w:rsidRPr="00483510" w:rsidRDefault="009D61FE" w:rsidP="006B44D0">
            <w:pPr>
              <w:rPr>
                <w:rFonts w:ascii="Arial Narrow" w:hAnsi="Arial Narrow"/>
                <w:sz w:val="18"/>
                <w:szCs w:val="18"/>
              </w:rPr>
            </w:pPr>
            <w:r>
              <w:rPr>
                <w:rFonts w:ascii="Arial Narrow" w:hAnsi="Arial Narrow"/>
                <w:sz w:val="18"/>
                <w:szCs w:val="18"/>
              </w:rPr>
              <w:t>7/1/2020</w:t>
            </w:r>
          </w:p>
        </w:tc>
        <w:tc>
          <w:tcPr>
            <w:tcW w:w="0" w:type="pct"/>
          </w:tcPr>
          <w:p w14:paraId="7A8B802D" w14:textId="77777777" w:rsidR="00C05B29" w:rsidRDefault="00C05B29" w:rsidP="006B44D0">
            <w:pPr>
              <w:rPr>
                <w:rFonts w:ascii="Arial Narrow" w:hAnsi="Arial Narrow"/>
                <w:sz w:val="18"/>
                <w:szCs w:val="18"/>
              </w:rPr>
            </w:pPr>
            <w:r w:rsidRPr="00483510">
              <w:rPr>
                <w:rFonts w:ascii="Arial Narrow" w:hAnsi="Arial Narrow"/>
                <w:sz w:val="18"/>
                <w:szCs w:val="18"/>
              </w:rPr>
              <w:t>Expected</w:t>
            </w:r>
          </w:p>
        </w:tc>
      </w:tr>
      <w:tr w:rsidR="00C05B29" w:rsidRPr="00483510" w14:paraId="25258D81" w14:textId="77777777" w:rsidTr="00AF21BE">
        <w:tc>
          <w:tcPr>
            <w:tcW w:w="0" w:type="pct"/>
          </w:tcPr>
          <w:p w14:paraId="1663C38F" w14:textId="77777777" w:rsidR="00C05B29" w:rsidRPr="00AF21BE" w:rsidRDefault="00C05B29" w:rsidP="00AF21BE">
            <w:pPr>
              <w:jc w:val="left"/>
              <w:rPr>
                <w:rFonts w:ascii="Arial Narrow" w:hAnsi="Arial Narrow"/>
                <w:sz w:val="18"/>
              </w:rPr>
            </w:pPr>
            <w:r w:rsidRPr="00483510">
              <w:rPr>
                <w:rFonts w:ascii="Arial Narrow" w:hAnsi="Arial Narrow"/>
                <w:sz w:val="18"/>
                <w:szCs w:val="18"/>
              </w:rPr>
              <w:t>2019 T-24</w:t>
            </w:r>
          </w:p>
        </w:tc>
        <w:tc>
          <w:tcPr>
            <w:tcW w:w="0" w:type="pct"/>
          </w:tcPr>
          <w:p w14:paraId="0C52028B" w14:textId="77777777" w:rsidR="00C05B29" w:rsidRPr="00AF21BE" w:rsidRDefault="00C05B29" w:rsidP="00AF21BE">
            <w:pPr>
              <w:jc w:val="left"/>
              <w:rPr>
                <w:rFonts w:ascii="Arial Narrow" w:hAnsi="Arial Narrow"/>
                <w:sz w:val="18"/>
              </w:rPr>
            </w:pPr>
            <w:r>
              <w:rPr>
                <w:rFonts w:ascii="Arial Narrow" w:hAnsi="Arial Narrow"/>
                <w:sz w:val="18"/>
                <w:szCs w:val="18"/>
              </w:rPr>
              <w:t>RA-Single Family Whole Building</w:t>
            </w:r>
          </w:p>
        </w:tc>
        <w:tc>
          <w:tcPr>
            <w:tcW w:w="0" w:type="pct"/>
          </w:tcPr>
          <w:p w14:paraId="41384DD0" w14:textId="77777777" w:rsidR="00C05B29" w:rsidRPr="00483510" w:rsidRDefault="00C05B29" w:rsidP="006B44D0">
            <w:pPr>
              <w:rPr>
                <w:rFonts w:ascii="Arial Narrow" w:hAnsi="Arial Narrow"/>
                <w:sz w:val="18"/>
                <w:szCs w:val="18"/>
              </w:rPr>
            </w:pPr>
            <w:r>
              <w:rPr>
                <w:rFonts w:ascii="Arial Narrow" w:hAnsi="Arial Narrow"/>
                <w:sz w:val="18"/>
                <w:szCs w:val="18"/>
              </w:rPr>
              <w:t>83%</w:t>
            </w:r>
          </w:p>
        </w:tc>
        <w:tc>
          <w:tcPr>
            <w:tcW w:w="0" w:type="pct"/>
          </w:tcPr>
          <w:p w14:paraId="280DEAB2" w14:textId="77777777" w:rsidR="00C05B29" w:rsidRPr="00483510" w:rsidRDefault="009D61FE" w:rsidP="006B44D0">
            <w:pPr>
              <w:rPr>
                <w:rFonts w:ascii="Arial Narrow" w:hAnsi="Arial Narrow"/>
                <w:sz w:val="18"/>
                <w:szCs w:val="18"/>
              </w:rPr>
            </w:pPr>
            <w:r>
              <w:rPr>
                <w:rFonts w:ascii="Arial Narrow" w:hAnsi="Arial Narrow"/>
                <w:sz w:val="18"/>
                <w:szCs w:val="18"/>
              </w:rPr>
              <w:t>7/1/2020</w:t>
            </w:r>
          </w:p>
        </w:tc>
        <w:tc>
          <w:tcPr>
            <w:tcW w:w="0" w:type="pct"/>
          </w:tcPr>
          <w:p w14:paraId="38F1891A" w14:textId="77777777" w:rsidR="00C05B29" w:rsidRPr="00483510" w:rsidRDefault="00C05B29" w:rsidP="006B44D0">
            <w:pPr>
              <w:rPr>
                <w:rFonts w:ascii="Arial Narrow" w:hAnsi="Arial Narrow"/>
                <w:sz w:val="18"/>
                <w:szCs w:val="18"/>
              </w:rPr>
            </w:pPr>
            <w:r w:rsidRPr="00483510">
              <w:rPr>
                <w:rFonts w:ascii="Arial Narrow" w:hAnsi="Arial Narrow"/>
                <w:sz w:val="18"/>
                <w:szCs w:val="18"/>
              </w:rPr>
              <w:t>Expected</w:t>
            </w:r>
          </w:p>
        </w:tc>
      </w:tr>
      <w:tr w:rsidR="006B44D0" w:rsidRPr="00483510" w14:paraId="50DD965F" w14:textId="77777777" w:rsidTr="00AF21BE">
        <w:tc>
          <w:tcPr>
            <w:tcW w:w="0" w:type="pct"/>
          </w:tcPr>
          <w:p w14:paraId="2CB24649" w14:textId="77777777" w:rsidR="006B44D0" w:rsidRPr="00483510" w:rsidRDefault="006B44D0" w:rsidP="006B44D0">
            <w:pPr>
              <w:jc w:val="left"/>
              <w:rPr>
                <w:rFonts w:ascii="Arial Narrow" w:hAnsi="Arial Narrow"/>
                <w:sz w:val="18"/>
                <w:szCs w:val="18"/>
              </w:rPr>
            </w:pPr>
            <w:r w:rsidRPr="00483510">
              <w:rPr>
                <w:rFonts w:ascii="Arial Narrow" w:hAnsi="Arial Narrow"/>
                <w:sz w:val="18"/>
                <w:szCs w:val="18"/>
              </w:rPr>
              <w:t xml:space="preserve">2019 T-24 </w:t>
            </w:r>
          </w:p>
        </w:tc>
        <w:tc>
          <w:tcPr>
            <w:tcW w:w="0" w:type="pct"/>
          </w:tcPr>
          <w:p w14:paraId="4E3F2FBE" w14:textId="77777777" w:rsidR="006B44D0" w:rsidRPr="00483510" w:rsidRDefault="00C05B29" w:rsidP="006B44D0">
            <w:pPr>
              <w:jc w:val="left"/>
              <w:rPr>
                <w:rFonts w:ascii="Arial Narrow" w:hAnsi="Arial Narrow"/>
                <w:sz w:val="18"/>
                <w:szCs w:val="18"/>
              </w:rPr>
            </w:pPr>
            <w:r>
              <w:rPr>
                <w:rFonts w:ascii="Arial Narrow" w:hAnsi="Arial Narrow"/>
                <w:sz w:val="18"/>
                <w:szCs w:val="18"/>
              </w:rPr>
              <w:t>RA-Multifamily Whole Building</w:t>
            </w:r>
          </w:p>
        </w:tc>
        <w:tc>
          <w:tcPr>
            <w:tcW w:w="0" w:type="pct"/>
          </w:tcPr>
          <w:p w14:paraId="691761F7"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83%</w:t>
            </w:r>
          </w:p>
        </w:tc>
        <w:tc>
          <w:tcPr>
            <w:tcW w:w="0" w:type="pct"/>
          </w:tcPr>
          <w:p w14:paraId="411627AF" w14:textId="77777777" w:rsidR="006B44D0" w:rsidRPr="00483510" w:rsidRDefault="009D61FE" w:rsidP="006B44D0">
            <w:pPr>
              <w:rPr>
                <w:rFonts w:ascii="Arial Narrow" w:hAnsi="Arial Narrow"/>
                <w:sz w:val="18"/>
                <w:szCs w:val="18"/>
              </w:rPr>
            </w:pPr>
            <w:r>
              <w:rPr>
                <w:rFonts w:ascii="Arial Narrow" w:hAnsi="Arial Narrow"/>
                <w:sz w:val="18"/>
                <w:szCs w:val="18"/>
              </w:rPr>
              <w:t>7</w:t>
            </w:r>
            <w:r w:rsidR="006B44D0" w:rsidRPr="00483510">
              <w:rPr>
                <w:rFonts w:ascii="Arial Narrow" w:hAnsi="Arial Narrow"/>
                <w:sz w:val="18"/>
                <w:szCs w:val="18"/>
              </w:rPr>
              <w:t>/1/2020</w:t>
            </w:r>
          </w:p>
        </w:tc>
        <w:tc>
          <w:tcPr>
            <w:tcW w:w="0" w:type="pct"/>
          </w:tcPr>
          <w:p w14:paraId="09FD2E15" w14:textId="77777777" w:rsidR="006B44D0" w:rsidRPr="00483510" w:rsidRDefault="006B44D0" w:rsidP="006B44D0">
            <w:pPr>
              <w:rPr>
                <w:rFonts w:ascii="Arial Narrow" w:hAnsi="Arial Narrow"/>
                <w:sz w:val="18"/>
                <w:szCs w:val="18"/>
              </w:rPr>
            </w:pPr>
            <w:r w:rsidRPr="00483510">
              <w:rPr>
                <w:rFonts w:ascii="Arial Narrow" w:hAnsi="Arial Narrow"/>
                <w:sz w:val="18"/>
                <w:szCs w:val="18"/>
              </w:rPr>
              <w:t>Expected</w:t>
            </w:r>
          </w:p>
        </w:tc>
      </w:tr>
    </w:tbl>
    <w:p w14:paraId="5FDEA3EF" w14:textId="77777777" w:rsidR="00146A54" w:rsidRDefault="00146A54" w:rsidP="00146A54"/>
    <w:p w14:paraId="7B43F777" w14:textId="77777777" w:rsidR="008D4574" w:rsidRDefault="00B5177D" w:rsidP="008D4574">
      <w:r>
        <w:t xml:space="preserve">Table </w:t>
      </w:r>
      <w:r w:rsidR="00D068F8">
        <w:t>E</w:t>
      </w:r>
      <w:r>
        <w:t xml:space="preserve">-2 </w:t>
      </w:r>
      <w:r w:rsidR="008D4574">
        <w:t>specifies all standards that are assumed to be superseded by other standards.</w:t>
      </w:r>
    </w:p>
    <w:p w14:paraId="797982CB" w14:textId="77777777" w:rsidR="008D4574" w:rsidRDefault="008D4574" w:rsidP="008D4574"/>
    <w:p w14:paraId="459B9B9C" w14:textId="77777777" w:rsidR="008D4574" w:rsidRPr="00B00224" w:rsidRDefault="00B5177D" w:rsidP="008D4574">
      <w:pPr>
        <w:pStyle w:val="Caption"/>
      </w:pPr>
      <w:bookmarkStart w:id="1131" w:name="_Toc482634239"/>
      <w:bookmarkStart w:id="1132" w:name="_Toc484436980"/>
      <w:bookmarkStart w:id="1133" w:name="_Toc490226042"/>
      <w:r>
        <w:t xml:space="preserve">Table </w:t>
      </w:r>
      <w:fldSimple w:instr=" STYLEREF 5 \s ">
        <w:r w:rsidR="007566B9">
          <w:rPr>
            <w:noProof/>
          </w:rPr>
          <w:t>E</w:t>
        </w:r>
      </w:fldSimple>
      <w:r>
        <w:noBreakHyphen/>
      </w:r>
      <w:fldSimple w:instr=" SEQ Table_Apx \* ARABIC \s 5 ">
        <w:r w:rsidR="007566B9">
          <w:rPr>
            <w:noProof/>
          </w:rPr>
          <w:t>2</w:t>
        </w:r>
      </w:fldSimple>
      <w:r>
        <w:t xml:space="preserve">. </w:t>
      </w:r>
      <w:r w:rsidR="008D4574">
        <w:t>C&amp;S Superseded Codes and Standards</w:t>
      </w:r>
      <w:bookmarkEnd w:id="1131"/>
      <w:bookmarkEnd w:id="1132"/>
      <w:bookmarkEnd w:id="1133"/>
    </w:p>
    <w:p w14:paraId="7DAD7EDE" w14:textId="77777777" w:rsidR="008D4574" w:rsidRDefault="008D4574" w:rsidP="008D4574">
      <w:pPr>
        <w:overflowPunct w:val="0"/>
        <w:autoSpaceDE w:val="0"/>
        <w:autoSpaceDN w:val="0"/>
        <w:spacing w:before="4"/>
        <w:rPr>
          <w:b/>
          <w:bCs/>
          <w:sz w:val="3"/>
          <w:szCs w:val="3"/>
        </w:rPr>
      </w:pPr>
    </w:p>
    <w:tbl>
      <w:tblPr>
        <w:tblStyle w:val="EnergyTable1"/>
        <w:tblW w:w="9088" w:type="dxa"/>
        <w:tblLook w:val="04A0" w:firstRow="1" w:lastRow="0" w:firstColumn="1" w:lastColumn="0" w:noHBand="0" w:noVBand="1"/>
      </w:tblPr>
      <w:tblGrid>
        <w:gridCol w:w="3103"/>
        <w:gridCol w:w="3183"/>
        <w:gridCol w:w="2802"/>
      </w:tblGrid>
      <w:tr w:rsidR="008D4574" w:rsidRPr="00B00224" w14:paraId="19FDD141" w14:textId="77777777" w:rsidTr="00AF21BE">
        <w:trPr>
          <w:cnfStyle w:val="100000000000" w:firstRow="1" w:lastRow="0" w:firstColumn="0" w:lastColumn="0" w:oddVBand="0" w:evenVBand="0" w:oddHBand="0" w:evenHBand="0" w:firstRowFirstColumn="0" w:firstRowLastColumn="0" w:lastRowFirstColumn="0" w:lastRowLastColumn="0"/>
          <w:trHeight w:hRule="exact" w:val="482"/>
        </w:trPr>
        <w:tc>
          <w:tcPr>
            <w:cnfStyle w:val="001000000000" w:firstRow="0" w:lastRow="0" w:firstColumn="1" w:lastColumn="0" w:oddVBand="0" w:evenVBand="0" w:oddHBand="0" w:evenHBand="0" w:firstRowFirstColumn="0" w:firstRowLastColumn="0" w:lastRowFirstColumn="0" w:lastRowLastColumn="0"/>
            <w:tcW w:w="0" w:type="dxa"/>
            <w:hideMark/>
          </w:tcPr>
          <w:p w14:paraId="03E90AA1" w14:textId="77777777" w:rsidR="008D4574" w:rsidRPr="00483510" w:rsidRDefault="008D4574" w:rsidP="0069560C">
            <w:pPr>
              <w:overflowPunct w:val="0"/>
              <w:autoSpaceDE w:val="0"/>
              <w:autoSpaceDN w:val="0"/>
              <w:spacing w:before="25"/>
              <w:rPr>
                <w:rFonts w:ascii="Arial Narrow" w:hAnsi="Arial Narrow"/>
                <w:sz w:val="18"/>
                <w:szCs w:val="18"/>
              </w:rPr>
            </w:pPr>
            <w:r w:rsidRPr="00483510">
              <w:rPr>
                <w:rFonts w:ascii="Arial Narrow" w:hAnsi="Arial Narrow"/>
                <w:bCs/>
                <w:sz w:val="18"/>
                <w:szCs w:val="18"/>
              </w:rPr>
              <w:t>Superseded Code or Standard</w:t>
            </w:r>
          </w:p>
        </w:tc>
        <w:tc>
          <w:tcPr>
            <w:tcW w:w="0" w:type="dxa"/>
            <w:hideMark/>
          </w:tcPr>
          <w:p w14:paraId="1E497F42" w14:textId="77777777" w:rsidR="008D4574" w:rsidRPr="00483510" w:rsidRDefault="008D4574" w:rsidP="0069560C">
            <w:pPr>
              <w:overflowPunct w:val="0"/>
              <w:autoSpaceDE w:val="0"/>
              <w:autoSpaceDN w:val="0"/>
              <w:spacing w:before="25"/>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483510">
              <w:rPr>
                <w:rFonts w:ascii="Arial Narrow" w:hAnsi="Arial Narrow"/>
                <w:bCs/>
                <w:sz w:val="18"/>
                <w:szCs w:val="18"/>
              </w:rPr>
              <w:t>Superseding Code or Standard</w:t>
            </w:r>
          </w:p>
        </w:tc>
        <w:tc>
          <w:tcPr>
            <w:tcW w:w="0" w:type="dxa"/>
          </w:tcPr>
          <w:p w14:paraId="04A3C65F" w14:textId="77777777" w:rsidR="008D4574" w:rsidRPr="00483510" w:rsidRDefault="008D4574" w:rsidP="0069560C">
            <w:pPr>
              <w:overflowPunct w:val="0"/>
              <w:autoSpaceDE w:val="0"/>
              <w:autoSpaceDN w:val="0"/>
              <w:spacing w:before="25"/>
              <w:cnfStyle w:val="100000000000" w:firstRow="1" w:lastRow="0" w:firstColumn="0" w:lastColumn="0" w:oddVBand="0" w:evenVBand="0" w:oddHBand="0" w:evenHBand="0" w:firstRowFirstColumn="0" w:firstRowLastColumn="0" w:lastRowFirstColumn="0" w:lastRowLastColumn="0"/>
              <w:rPr>
                <w:rFonts w:ascii="Arial Narrow" w:hAnsi="Arial Narrow"/>
                <w:bCs/>
                <w:sz w:val="18"/>
                <w:szCs w:val="18"/>
              </w:rPr>
            </w:pPr>
            <w:r w:rsidRPr="00483510">
              <w:rPr>
                <w:rFonts w:ascii="Arial Narrow" w:hAnsi="Arial Narrow"/>
                <w:bCs/>
                <w:sz w:val="18"/>
                <w:szCs w:val="18"/>
              </w:rPr>
              <w:t>Source</w:t>
            </w:r>
          </w:p>
        </w:tc>
      </w:tr>
      <w:tr w:rsidR="008D4574" w:rsidRPr="00B00224" w14:paraId="0C385086" w14:textId="77777777" w:rsidTr="00AF21BE">
        <w:trPr>
          <w:cnfStyle w:val="000000100000" w:firstRow="0" w:lastRow="0" w:firstColumn="0" w:lastColumn="0" w:oddVBand="0" w:evenVBand="0" w:oddHBand="1" w:evenHBand="0" w:firstRowFirstColumn="0" w:firstRowLastColumn="0" w:lastRowFirstColumn="0" w:lastRowLastColumn="0"/>
          <w:trHeight w:hRule="exact" w:val="253"/>
        </w:trPr>
        <w:tc>
          <w:tcPr>
            <w:cnfStyle w:val="001000000000" w:firstRow="0" w:lastRow="0" w:firstColumn="1" w:lastColumn="0" w:oddVBand="0" w:evenVBand="0" w:oddHBand="0" w:evenHBand="0" w:firstRowFirstColumn="0" w:firstRowLastColumn="0" w:lastRowFirstColumn="0" w:lastRowLastColumn="0"/>
            <w:tcW w:w="0" w:type="dxa"/>
            <w:hideMark/>
          </w:tcPr>
          <w:p w14:paraId="39515A91"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2005 T-20: Commercial Ice Maker Equipment</w:t>
            </w:r>
          </w:p>
        </w:tc>
        <w:tc>
          <w:tcPr>
            <w:tcW w:w="0" w:type="dxa"/>
            <w:vAlign w:val="top"/>
            <w:hideMark/>
          </w:tcPr>
          <w:p w14:paraId="010C501C"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Automatic Commercial Ice Makers</w:t>
            </w:r>
          </w:p>
        </w:tc>
        <w:tc>
          <w:tcPr>
            <w:tcW w:w="0" w:type="dxa"/>
            <w:vAlign w:val="top"/>
          </w:tcPr>
          <w:p w14:paraId="5069F712"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14E12DEF" w14:textId="77777777" w:rsidTr="00AF21BE">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hideMark/>
          </w:tcPr>
          <w:p w14:paraId="6775E198"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2005 T-20: Commercial Dishwasher Pre-Rinse Spray Valves</w:t>
            </w:r>
          </w:p>
        </w:tc>
        <w:tc>
          <w:tcPr>
            <w:tcW w:w="0" w:type="dxa"/>
            <w:vAlign w:val="top"/>
            <w:hideMark/>
          </w:tcPr>
          <w:p w14:paraId="305C77E9"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Pre-Rinse Spray Valves</w:t>
            </w:r>
          </w:p>
        </w:tc>
        <w:tc>
          <w:tcPr>
            <w:tcW w:w="0" w:type="dxa"/>
            <w:vAlign w:val="top"/>
          </w:tcPr>
          <w:p w14:paraId="6670EA80"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22065D00" w14:textId="77777777" w:rsidTr="00AF21BE">
        <w:trPr>
          <w:cnfStyle w:val="000000100000" w:firstRow="0" w:lastRow="0" w:firstColumn="0" w:lastColumn="0" w:oddVBand="0" w:evenVBand="0" w:oddHBand="1" w:evenHBand="0" w:firstRowFirstColumn="0" w:firstRowLastColumn="0" w:lastRowFirstColumn="0" w:lastRowLastColumn="0"/>
          <w:trHeight w:hRule="exact" w:val="253"/>
        </w:trPr>
        <w:tc>
          <w:tcPr>
            <w:cnfStyle w:val="001000000000" w:firstRow="0" w:lastRow="0" w:firstColumn="1" w:lastColumn="0" w:oddVBand="0" w:evenVBand="0" w:oddHBand="0" w:evenHBand="0" w:firstRowFirstColumn="0" w:firstRowLastColumn="0" w:lastRowFirstColumn="0" w:lastRowLastColumn="0"/>
            <w:tcW w:w="0" w:type="dxa"/>
            <w:vAlign w:val="top"/>
          </w:tcPr>
          <w:p w14:paraId="1DABDFDA"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2005 T-20: Consumer Electronics - TVs</w:t>
            </w:r>
          </w:p>
        </w:tc>
        <w:tc>
          <w:tcPr>
            <w:tcW w:w="0" w:type="dxa"/>
            <w:vAlign w:val="top"/>
          </w:tcPr>
          <w:p w14:paraId="65B7603F"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2009 T-20: Televisions - Tier 1</w:t>
            </w:r>
          </w:p>
        </w:tc>
        <w:tc>
          <w:tcPr>
            <w:tcW w:w="0" w:type="dxa"/>
            <w:vAlign w:val="top"/>
          </w:tcPr>
          <w:p w14:paraId="46F4379D"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45E90F1C" w14:textId="77777777" w:rsidTr="00AF21BE">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692A901B"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2005 T-20: Commercial Refrigeration Equipment, Solid Door</w:t>
            </w:r>
          </w:p>
        </w:tc>
        <w:tc>
          <w:tcPr>
            <w:tcW w:w="0" w:type="dxa"/>
            <w:vAlign w:val="top"/>
          </w:tcPr>
          <w:p w14:paraId="20E7441C"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Commercial Refrigeration</w:t>
            </w:r>
          </w:p>
        </w:tc>
        <w:tc>
          <w:tcPr>
            <w:tcW w:w="0" w:type="dxa"/>
            <w:vAlign w:val="top"/>
          </w:tcPr>
          <w:p w14:paraId="632CBA04"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2FE10345" w14:textId="77777777" w:rsidTr="00AF21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18F56EFB"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2005 T-20: Commercial Refrigeration Equipment, Transparent Door</w:t>
            </w:r>
          </w:p>
        </w:tc>
        <w:tc>
          <w:tcPr>
            <w:tcW w:w="0" w:type="dxa"/>
            <w:vAlign w:val="top"/>
          </w:tcPr>
          <w:p w14:paraId="1AAF4371"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Commercial Refrigeration</w:t>
            </w:r>
          </w:p>
        </w:tc>
        <w:tc>
          <w:tcPr>
            <w:tcW w:w="0" w:type="dxa"/>
            <w:vAlign w:val="top"/>
          </w:tcPr>
          <w:p w14:paraId="50BAF8A0"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65AAF81B" w14:textId="77777777" w:rsidTr="00AF21BE">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66472C2E"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2005 T-20: Commercial Ice Maker Equipment</w:t>
            </w:r>
          </w:p>
        </w:tc>
        <w:tc>
          <w:tcPr>
            <w:tcW w:w="0" w:type="dxa"/>
            <w:vAlign w:val="top"/>
          </w:tcPr>
          <w:p w14:paraId="5376D0CE"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Commercial Refrigeration</w:t>
            </w:r>
          </w:p>
        </w:tc>
        <w:tc>
          <w:tcPr>
            <w:tcW w:w="0" w:type="dxa"/>
            <w:vAlign w:val="top"/>
          </w:tcPr>
          <w:p w14:paraId="10353E7D"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5C51BDE3" w14:textId="77777777" w:rsidTr="00AF21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6AFD1493"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lastRenderedPageBreak/>
              <w:t>2005 T-20: Refrigerated Beverage Vending Machines</w:t>
            </w:r>
          </w:p>
        </w:tc>
        <w:tc>
          <w:tcPr>
            <w:tcW w:w="0" w:type="dxa"/>
            <w:vAlign w:val="top"/>
          </w:tcPr>
          <w:p w14:paraId="0A0B3368"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Refrigerated Beverage Vending Machines</w:t>
            </w:r>
          </w:p>
        </w:tc>
        <w:tc>
          <w:tcPr>
            <w:tcW w:w="0" w:type="dxa"/>
            <w:vAlign w:val="top"/>
          </w:tcPr>
          <w:p w14:paraId="6ABFD4C0"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54B3E87E" w14:textId="77777777" w:rsidTr="00AF21BE">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46EE9C22"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2006 T-20: BR, ER and R20 Incandescent Reflector Lamps: Residential</w:t>
            </w:r>
          </w:p>
        </w:tc>
        <w:tc>
          <w:tcPr>
            <w:tcW w:w="0" w:type="dxa"/>
            <w:vAlign w:val="top"/>
          </w:tcPr>
          <w:p w14:paraId="4AE8A90E"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 xml:space="preserve">Fed Appliance: Incandescent Reflector Lamps </w:t>
            </w:r>
          </w:p>
        </w:tc>
        <w:tc>
          <w:tcPr>
            <w:tcW w:w="0" w:type="dxa"/>
            <w:vAlign w:val="top"/>
          </w:tcPr>
          <w:p w14:paraId="5AAA5CB8"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6F48216D" w14:textId="77777777" w:rsidTr="00AF21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14EB07F6"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2006 T-20: BR, ER and R20 Incandescent Reflector Lamps: Commercial</w:t>
            </w:r>
          </w:p>
        </w:tc>
        <w:tc>
          <w:tcPr>
            <w:tcW w:w="0" w:type="dxa"/>
            <w:vAlign w:val="top"/>
          </w:tcPr>
          <w:p w14:paraId="179D2835"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 xml:space="preserve">Fed Appliance: Incandescent Reflector Lamps </w:t>
            </w:r>
          </w:p>
        </w:tc>
        <w:tc>
          <w:tcPr>
            <w:tcW w:w="0" w:type="dxa"/>
            <w:vAlign w:val="top"/>
          </w:tcPr>
          <w:p w14:paraId="031C49CE"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4AD31642" w14:textId="77777777" w:rsidTr="00AF21BE">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3D373847"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2006 T-20: General Service Incandescent Lamps, Tier 2 #1</w:t>
            </w:r>
          </w:p>
        </w:tc>
        <w:tc>
          <w:tcPr>
            <w:tcW w:w="0" w:type="dxa"/>
            <w:vAlign w:val="top"/>
          </w:tcPr>
          <w:p w14:paraId="0A76D8EF"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2008 T-20: General Purpose Lighting -- 100 watt</w:t>
            </w:r>
          </w:p>
        </w:tc>
        <w:tc>
          <w:tcPr>
            <w:tcW w:w="0" w:type="dxa"/>
            <w:vAlign w:val="top"/>
          </w:tcPr>
          <w:p w14:paraId="0C6CF3D6"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7BBC8BDC" w14:textId="77777777" w:rsidTr="00AF21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1F09C0B0"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2006 T-20: General Service Incandescent Lamps, Tier 2 #2</w:t>
            </w:r>
          </w:p>
        </w:tc>
        <w:tc>
          <w:tcPr>
            <w:tcW w:w="0" w:type="dxa"/>
            <w:vAlign w:val="top"/>
          </w:tcPr>
          <w:p w14:paraId="5431EA31"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2008 T-20: General Purpose Lighting -- 75 watt</w:t>
            </w:r>
          </w:p>
        </w:tc>
        <w:tc>
          <w:tcPr>
            <w:tcW w:w="0" w:type="dxa"/>
            <w:vAlign w:val="top"/>
          </w:tcPr>
          <w:p w14:paraId="19F233DE"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572CFC8D" w14:textId="77777777" w:rsidTr="00AF21BE">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0B4E6A51"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2006 T-20: General Service Incandescent Lamps, Tier 2 #3</w:t>
            </w:r>
          </w:p>
        </w:tc>
        <w:tc>
          <w:tcPr>
            <w:tcW w:w="0" w:type="dxa"/>
            <w:vAlign w:val="top"/>
          </w:tcPr>
          <w:p w14:paraId="5A514E69"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2008 T-20: General Purpose Lighting -- 60 and 40 watt</w:t>
            </w:r>
          </w:p>
        </w:tc>
        <w:tc>
          <w:tcPr>
            <w:tcW w:w="0" w:type="dxa"/>
            <w:vAlign w:val="top"/>
          </w:tcPr>
          <w:p w14:paraId="7C39F9B1"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0DF6A163" w14:textId="77777777" w:rsidTr="00AF21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73E193CC"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2006 T-20: General Service Incandescent Lamps, Tier 2 #1</w:t>
            </w:r>
          </w:p>
        </w:tc>
        <w:tc>
          <w:tcPr>
            <w:tcW w:w="0" w:type="dxa"/>
            <w:vAlign w:val="top"/>
          </w:tcPr>
          <w:p w14:paraId="2FEFEC80"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EISA</w:t>
            </w:r>
          </w:p>
        </w:tc>
        <w:tc>
          <w:tcPr>
            <w:tcW w:w="0" w:type="dxa"/>
            <w:vAlign w:val="top"/>
          </w:tcPr>
          <w:p w14:paraId="2250B9DA"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648706A5" w14:textId="77777777" w:rsidTr="00AF21BE">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499A077D"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2006 T-20: General Service Incandescent Lamps, Tier 2 #2</w:t>
            </w:r>
          </w:p>
        </w:tc>
        <w:tc>
          <w:tcPr>
            <w:tcW w:w="0" w:type="dxa"/>
            <w:vAlign w:val="top"/>
          </w:tcPr>
          <w:p w14:paraId="351E2CEA"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EISA</w:t>
            </w:r>
          </w:p>
        </w:tc>
        <w:tc>
          <w:tcPr>
            <w:tcW w:w="0" w:type="dxa"/>
            <w:vAlign w:val="top"/>
          </w:tcPr>
          <w:p w14:paraId="61ADD310"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57EB0899" w14:textId="77777777" w:rsidTr="00AF21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2B16CF1F"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2006 T-20: General Service Incandescent Lamps, Tier 2 #3</w:t>
            </w:r>
          </w:p>
        </w:tc>
        <w:tc>
          <w:tcPr>
            <w:tcW w:w="0" w:type="dxa"/>
            <w:vAlign w:val="top"/>
          </w:tcPr>
          <w:p w14:paraId="2514904F"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EISA</w:t>
            </w:r>
          </w:p>
        </w:tc>
        <w:tc>
          <w:tcPr>
            <w:tcW w:w="0" w:type="dxa"/>
            <w:vAlign w:val="top"/>
          </w:tcPr>
          <w:p w14:paraId="20F0FB72"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05810721" w14:textId="77777777" w:rsidTr="00AF21BE">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6EB5BAA8"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2008 T-20: General Purpose Lighting -- 100 watt</w:t>
            </w:r>
          </w:p>
        </w:tc>
        <w:tc>
          <w:tcPr>
            <w:tcW w:w="0" w:type="dxa"/>
            <w:vAlign w:val="top"/>
          </w:tcPr>
          <w:p w14:paraId="4CC6C082"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EISA</w:t>
            </w:r>
          </w:p>
        </w:tc>
        <w:tc>
          <w:tcPr>
            <w:tcW w:w="0" w:type="dxa"/>
            <w:vAlign w:val="top"/>
          </w:tcPr>
          <w:p w14:paraId="7FD41044"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03C1D824" w14:textId="77777777" w:rsidTr="00AF21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41FB2B5E"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2008 T-20: General Purpose Lighting -- 75 watt</w:t>
            </w:r>
          </w:p>
        </w:tc>
        <w:tc>
          <w:tcPr>
            <w:tcW w:w="0" w:type="dxa"/>
            <w:vAlign w:val="top"/>
          </w:tcPr>
          <w:p w14:paraId="5BBB9FB2"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EISA</w:t>
            </w:r>
          </w:p>
        </w:tc>
        <w:tc>
          <w:tcPr>
            <w:tcW w:w="0" w:type="dxa"/>
            <w:vAlign w:val="top"/>
          </w:tcPr>
          <w:p w14:paraId="47EA54BE"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21D5F166" w14:textId="77777777" w:rsidTr="00AF21BE">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3E8D8BC2"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2008 T-20: General Purpose Lighting -- 60 and 40 watt</w:t>
            </w:r>
          </w:p>
        </w:tc>
        <w:tc>
          <w:tcPr>
            <w:tcW w:w="0" w:type="dxa"/>
            <w:vAlign w:val="top"/>
          </w:tcPr>
          <w:p w14:paraId="57377189"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EISA</w:t>
            </w:r>
          </w:p>
        </w:tc>
        <w:tc>
          <w:tcPr>
            <w:tcW w:w="0" w:type="dxa"/>
            <w:vAlign w:val="top"/>
          </w:tcPr>
          <w:p w14:paraId="050B695E"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ISSM</w:t>
            </w:r>
          </w:p>
        </w:tc>
      </w:tr>
      <w:tr w:rsidR="008D4574" w:rsidRPr="00B00224" w14:paraId="6C3DA00C" w14:textId="77777777" w:rsidTr="00AF21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279A9D03"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2008 T-20: General Purpose Lighting -- 100 watt</w:t>
            </w:r>
          </w:p>
        </w:tc>
        <w:tc>
          <w:tcPr>
            <w:tcW w:w="0" w:type="dxa"/>
            <w:vAlign w:val="top"/>
          </w:tcPr>
          <w:p w14:paraId="71865673"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Future T-20: State-Regulated General Service Lamps – Tier II</w:t>
            </w:r>
          </w:p>
        </w:tc>
        <w:tc>
          <w:tcPr>
            <w:tcW w:w="0" w:type="dxa"/>
            <w:vAlign w:val="top"/>
          </w:tcPr>
          <w:p w14:paraId="49AF7C3A"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189AE517" w14:textId="77777777" w:rsidTr="00AF21BE">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1331EA8B"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2008 T-20: General Purpose Lighting -- 75 watt</w:t>
            </w:r>
          </w:p>
        </w:tc>
        <w:tc>
          <w:tcPr>
            <w:tcW w:w="0" w:type="dxa"/>
            <w:vAlign w:val="top"/>
          </w:tcPr>
          <w:p w14:paraId="7CFF8579"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Future T-20: State-Regulated General Service Lamps – Tier II</w:t>
            </w:r>
          </w:p>
        </w:tc>
        <w:tc>
          <w:tcPr>
            <w:tcW w:w="0" w:type="dxa"/>
            <w:vAlign w:val="top"/>
          </w:tcPr>
          <w:p w14:paraId="71B06EE3"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52EFC73C" w14:textId="77777777" w:rsidTr="00AF21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0953691E"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2008 T-20: General Purpose Lighting -- 60 and 40 watt</w:t>
            </w:r>
          </w:p>
        </w:tc>
        <w:tc>
          <w:tcPr>
            <w:tcW w:w="0" w:type="dxa"/>
            <w:vAlign w:val="top"/>
          </w:tcPr>
          <w:p w14:paraId="5FF45B7E"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Future T-20: State-Regulated General Service Lamps – Tier II</w:t>
            </w:r>
          </w:p>
        </w:tc>
        <w:tc>
          <w:tcPr>
            <w:tcW w:w="0" w:type="dxa"/>
            <w:vAlign w:val="top"/>
          </w:tcPr>
          <w:p w14:paraId="3C66E86F"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6802D91D" w14:textId="77777777" w:rsidTr="00AF21BE">
        <w:trPr>
          <w:cnfStyle w:val="000000010000" w:firstRow="0" w:lastRow="0" w:firstColumn="0" w:lastColumn="0" w:oddVBand="0" w:evenVBand="0" w:oddHBand="0" w:evenHBand="1" w:firstRowFirstColumn="0" w:firstRowLastColumn="0" w:lastRowFirstColumn="0" w:lastRowLastColumn="0"/>
          <w:trHeight w:hRule="exact" w:val="480"/>
        </w:trPr>
        <w:tc>
          <w:tcPr>
            <w:cnfStyle w:val="001000000000" w:firstRow="0" w:lastRow="0" w:firstColumn="1" w:lastColumn="0" w:oddVBand="0" w:evenVBand="0" w:oddHBand="0" w:evenHBand="0" w:firstRowFirstColumn="0" w:firstRowLastColumn="0" w:lastRowFirstColumn="0" w:lastRowLastColumn="0"/>
            <w:tcW w:w="0" w:type="dxa"/>
            <w:vAlign w:val="top"/>
          </w:tcPr>
          <w:p w14:paraId="53BB2BA0"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2011 T-20: Small Battery Chargers – Tier 1 (consumer with no USB charger or USB charger &lt;20 watt-hours)</w:t>
            </w:r>
          </w:p>
        </w:tc>
        <w:tc>
          <w:tcPr>
            <w:tcW w:w="0" w:type="dxa"/>
            <w:vAlign w:val="top"/>
          </w:tcPr>
          <w:p w14:paraId="4E85895E"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Battery Chargers</w:t>
            </w:r>
          </w:p>
        </w:tc>
        <w:tc>
          <w:tcPr>
            <w:tcW w:w="0" w:type="dxa"/>
            <w:vAlign w:val="top"/>
          </w:tcPr>
          <w:p w14:paraId="73F3B8BB"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13D3608D" w14:textId="77777777" w:rsidTr="00AF21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50501F0D"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2011 T-20: Small Battery Chargers – Tier 2 (consumer with USB charger ≥20 watt-hours)</w:t>
            </w:r>
          </w:p>
        </w:tc>
        <w:tc>
          <w:tcPr>
            <w:tcW w:w="0" w:type="dxa"/>
            <w:vAlign w:val="top"/>
          </w:tcPr>
          <w:p w14:paraId="2CC416AE"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Battery Chargers</w:t>
            </w:r>
          </w:p>
        </w:tc>
        <w:tc>
          <w:tcPr>
            <w:tcW w:w="0" w:type="dxa"/>
            <w:vAlign w:val="top"/>
          </w:tcPr>
          <w:p w14:paraId="79A6ECB2"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5A20DBFB" w14:textId="77777777" w:rsidTr="00AF21BE">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2F2BCCAD"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2011 T-20: Small Battery Chargers – Tier 3 (non-consumer)</w:t>
            </w:r>
          </w:p>
        </w:tc>
        <w:tc>
          <w:tcPr>
            <w:tcW w:w="0" w:type="dxa"/>
            <w:vAlign w:val="top"/>
          </w:tcPr>
          <w:p w14:paraId="3E57DF51"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Battery Chargers</w:t>
            </w:r>
          </w:p>
        </w:tc>
        <w:tc>
          <w:tcPr>
            <w:tcW w:w="0" w:type="dxa"/>
            <w:vAlign w:val="top"/>
          </w:tcPr>
          <w:p w14:paraId="4C1EF16E"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0D61647C" w14:textId="77777777" w:rsidTr="00AF21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39A40FEA"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2011 T-20: Large Battery Chargers (≥2kW rated input)</w:t>
            </w:r>
          </w:p>
        </w:tc>
        <w:tc>
          <w:tcPr>
            <w:tcW w:w="0" w:type="dxa"/>
            <w:vAlign w:val="top"/>
          </w:tcPr>
          <w:p w14:paraId="660354C7"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Battery Chargers</w:t>
            </w:r>
          </w:p>
        </w:tc>
        <w:tc>
          <w:tcPr>
            <w:tcW w:w="0" w:type="dxa"/>
            <w:vAlign w:val="top"/>
          </w:tcPr>
          <w:p w14:paraId="28D84F27"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5F5B6F7D" w14:textId="77777777" w:rsidTr="00AF21BE">
        <w:trPr>
          <w:cnfStyle w:val="000000010000" w:firstRow="0" w:lastRow="0" w:firstColumn="0" w:lastColumn="0" w:oddVBand="0" w:evenVBand="0" w:oddHBand="0" w:evenHBand="1"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0" w:type="dxa"/>
            <w:vAlign w:val="top"/>
          </w:tcPr>
          <w:p w14:paraId="6C58B04D"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2015 T-20: Residential Faucets &amp; Aerators - Lavatory w/ Natural Gas Water Heating  - Tier 1  (2.2 –1.5 gpm)</w:t>
            </w:r>
          </w:p>
        </w:tc>
        <w:tc>
          <w:tcPr>
            <w:tcW w:w="0" w:type="dxa"/>
            <w:vAlign w:val="top"/>
          </w:tcPr>
          <w:p w14:paraId="21707036"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2016 T-20: Residential Faucets &amp; Aerators - Lavatory w/ Natural Gas Water Heating   - Tier 2  (1.5 –1.2 gpm)</w:t>
            </w:r>
          </w:p>
        </w:tc>
        <w:tc>
          <w:tcPr>
            <w:tcW w:w="0" w:type="dxa"/>
            <w:vAlign w:val="top"/>
          </w:tcPr>
          <w:p w14:paraId="718D935E"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4E11D851" w14:textId="77777777" w:rsidTr="00AF21BE">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0" w:type="dxa"/>
            <w:vAlign w:val="top"/>
          </w:tcPr>
          <w:p w14:paraId="51D0EF71"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2015 T-20: Residential Faucets &amp; Aerators - Lavatory w/ Electric Water Heating   - Tier 1  (2.2 –1.5 gpm)</w:t>
            </w:r>
          </w:p>
        </w:tc>
        <w:tc>
          <w:tcPr>
            <w:tcW w:w="0" w:type="dxa"/>
            <w:vAlign w:val="top"/>
          </w:tcPr>
          <w:p w14:paraId="577EA481"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2016 T-20: Residential Faucets &amp; Aerators - Lavatory w/ Electric Water Heating - Tier 2  (1.5 –1.2 gpm)</w:t>
            </w:r>
          </w:p>
        </w:tc>
        <w:tc>
          <w:tcPr>
            <w:tcW w:w="0" w:type="dxa"/>
            <w:vAlign w:val="top"/>
          </w:tcPr>
          <w:p w14:paraId="3079DCA1"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0D9FD347" w14:textId="77777777" w:rsidTr="00AF21BE">
        <w:trPr>
          <w:cnfStyle w:val="000000010000" w:firstRow="0" w:lastRow="0" w:firstColumn="0" w:lastColumn="0" w:oddVBand="0" w:evenVBand="0" w:oddHBand="0" w:evenHBand="1" w:firstRowFirstColumn="0" w:firstRowLastColumn="0" w:lastRowFirstColumn="0" w:lastRowLastColumn="0"/>
          <w:trHeight w:hRule="exact" w:val="253"/>
        </w:trPr>
        <w:tc>
          <w:tcPr>
            <w:cnfStyle w:val="001000000000" w:firstRow="0" w:lastRow="0" w:firstColumn="1" w:lastColumn="0" w:oddVBand="0" w:evenVBand="0" w:oddHBand="0" w:evenHBand="0" w:firstRowFirstColumn="0" w:firstRowLastColumn="0" w:lastRowFirstColumn="0" w:lastRowLastColumn="0"/>
            <w:tcW w:w="0" w:type="dxa"/>
            <w:vAlign w:val="top"/>
          </w:tcPr>
          <w:p w14:paraId="1DA46E60"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Fed Appliance: Electric Motors 1-200HP</w:t>
            </w:r>
          </w:p>
        </w:tc>
        <w:tc>
          <w:tcPr>
            <w:tcW w:w="0" w:type="dxa"/>
            <w:vAlign w:val="top"/>
          </w:tcPr>
          <w:p w14:paraId="482B0F46"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Electric Motors</w:t>
            </w:r>
          </w:p>
        </w:tc>
        <w:tc>
          <w:tcPr>
            <w:tcW w:w="0" w:type="dxa"/>
            <w:vAlign w:val="top"/>
          </w:tcPr>
          <w:p w14:paraId="36F5C553"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14FBA310" w14:textId="77777777" w:rsidTr="00AF21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47790144"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Fed Appliance: Refrigerated Beverage Vending Machines</w:t>
            </w:r>
          </w:p>
        </w:tc>
        <w:tc>
          <w:tcPr>
            <w:tcW w:w="0" w:type="dxa"/>
            <w:vAlign w:val="top"/>
          </w:tcPr>
          <w:p w14:paraId="08326992"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 xml:space="preserve">Fed Appliance: Beverage Vending Machines </w:t>
            </w:r>
          </w:p>
        </w:tc>
        <w:tc>
          <w:tcPr>
            <w:tcW w:w="0" w:type="dxa"/>
            <w:vAlign w:val="top"/>
          </w:tcPr>
          <w:p w14:paraId="1108ADAE"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774758FD" w14:textId="77777777" w:rsidTr="00AF21BE">
        <w:trPr>
          <w:cnfStyle w:val="000000010000" w:firstRow="0" w:lastRow="0" w:firstColumn="0" w:lastColumn="0" w:oddVBand="0" w:evenVBand="0" w:oddHBand="0" w:evenHBand="1" w:firstRowFirstColumn="0" w:firstRowLastColumn="0" w:lastRowFirstColumn="0" w:lastRowLastColumn="0"/>
          <w:trHeight w:hRule="exact" w:val="253"/>
        </w:trPr>
        <w:tc>
          <w:tcPr>
            <w:cnfStyle w:val="001000000000" w:firstRow="0" w:lastRow="0" w:firstColumn="1" w:lastColumn="0" w:oddVBand="0" w:evenVBand="0" w:oddHBand="0" w:evenHBand="0" w:firstRowFirstColumn="0" w:firstRowLastColumn="0" w:lastRowFirstColumn="0" w:lastRowLastColumn="0"/>
            <w:tcW w:w="0" w:type="dxa"/>
            <w:vAlign w:val="top"/>
          </w:tcPr>
          <w:p w14:paraId="14AB4ECB"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Fed Appliance: Commercial Refrigeration</w:t>
            </w:r>
          </w:p>
        </w:tc>
        <w:tc>
          <w:tcPr>
            <w:tcW w:w="0" w:type="dxa"/>
            <w:vAlign w:val="top"/>
          </w:tcPr>
          <w:p w14:paraId="0AFA7B25"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Commercial Refrigeration Equipment</w:t>
            </w:r>
          </w:p>
        </w:tc>
        <w:tc>
          <w:tcPr>
            <w:tcW w:w="0" w:type="dxa"/>
            <w:vAlign w:val="top"/>
          </w:tcPr>
          <w:p w14:paraId="4652F329"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79D180E7" w14:textId="77777777" w:rsidTr="00AF21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072DCDBC"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Fed Appliance: General Service Fluorescent Lamps #1</w:t>
            </w:r>
          </w:p>
        </w:tc>
        <w:tc>
          <w:tcPr>
            <w:tcW w:w="0" w:type="dxa"/>
            <w:vAlign w:val="top"/>
          </w:tcPr>
          <w:p w14:paraId="033A6776"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General Service Fluorescent Lamps #2</w:t>
            </w:r>
          </w:p>
        </w:tc>
        <w:tc>
          <w:tcPr>
            <w:tcW w:w="0" w:type="dxa"/>
            <w:vAlign w:val="top"/>
          </w:tcPr>
          <w:p w14:paraId="729FDC40"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6A3529DD" w14:textId="77777777" w:rsidTr="00AF21BE">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754B2636"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lastRenderedPageBreak/>
              <w:t>Fed Appliance: Commercial Clothes Washers #1</w:t>
            </w:r>
          </w:p>
        </w:tc>
        <w:tc>
          <w:tcPr>
            <w:tcW w:w="0" w:type="dxa"/>
            <w:vAlign w:val="top"/>
          </w:tcPr>
          <w:p w14:paraId="5F05CF0A"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Commercial Clothes Washers #2</w:t>
            </w:r>
          </w:p>
        </w:tc>
        <w:tc>
          <w:tcPr>
            <w:tcW w:w="0" w:type="dxa"/>
            <w:vAlign w:val="top"/>
          </w:tcPr>
          <w:p w14:paraId="7CE4A259"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2295CE1D" w14:textId="77777777" w:rsidTr="00AF21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1493F51B"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Fed Appliance: Small Commercial Package Air-Conditioners ≥65 and &lt;135 kBtu/h</w:t>
            </w:r>
          </w:p>
        </w:tc>
        <w:tc>
          <w:tcPr>
            <w:tcW w:w="0" w:type="dxa"/>
            <w:vAlign w:val="top"/>
          </w:tcPr>
          <w:p w14:paraId="0B2EBCEB"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Air-Cooled Commercial Package ACs and HPs - Tier 1</w:t>
            </w:r>
          </w:p>
        </w:tc>
        <w:tc>
          <w:tcPr>
            <w:tcW w:w="0" w:type="dxa"/>
            <w:vAlign w:val="top"/>
          </w:tcPr>
          <w:p w14:paraId="1B122803"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2EE65880" w14:textId="77777777" w:rsidTr="00AF21BE">
        <w:trPr>
          <w:cnfStyle w:val="000000010000" w:firstRow="0" w:lastRow="0" w:firstColumn="0" w:lastColumn="0" w:oddVBand="0" w:evenVBand="0" w:oddHBand="0" w:evenHBand="1"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6810EBE6"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Fed Appliance: Large and Very Large Commercial Package Air-Conditioners ≥135 kBtu/h</w:t>
            </w:r>
          </w:p>
        </w:tc>
        <w:tc>
          <w:tcPr>
            <w:tcW w:w="0" w:type="dxa"/>
            <w:vAlign w:val="top"/>
          </w:tcPr>
          <w:p w14:paraId="6C36CDB0"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Air-Cooled Commercial Package ACs and HPs - Tier 1</w:t>
            </w:r>
          </w:p>
        </w:tc>
        <w:tc>
          <w:tcPr>
            <w:tcW w:w="0" w:type="dxa"/>
            <w:vAlign w:val="top"/>
          </w:tcPr>
          <w:p w14:paraId="0D7DD1CD" w14:textId="77777777" w:rsidR="008D4574" w:rsidRPr="00483510" w:rsidRDefault="008D4574" w:rsidP="0069560C">
            <w:pPr>
              <w:overflowPunct w:val="0"/>
              <w:autoSpaceDE w:val="0"/>
              <w:autoSpaceDN w:val="0"/>
              <w:spacing w:before="25"/>
              <w:cnfStyle w:val="000000010000" w:firstRow="0" w:lastRow="0" w:firstColumn="0" w:lastColumn="0" w:oddVBand="0" w:evenVBand="0" w:oddHBand="0" w:evenHBand="1"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r w:rsidR="008D4574" w:rsidRPr="00B00224" w14:paraId="5047A5DF" w14:textId="77777777" w:rsidTr="00AF21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0" w:type="dxa"/>
            <w:vAlign w:val="top"/>
          </w:tcPr>
          <w:p w14:paraId="55DDF4B9" w14:textId="77777777" w:rsidR="008D4574" w:rsidRPr="00483510" w:rsidRDefault="008D4574" w:rsidP="0069560C">
            <w:pPr>
              <w:overflowPunct w:val="0"/>
              <w:autoSpaceDE w:val="0"/>
              <w:autoSpaceDN w:val="0"/>
              <w:spacing w:before="25"/>
              <w:rPr>
                <w:rFonts w:ascii="Arial Narrow" w:hAnsi="Arial Narrow"/>
                <w:spacing w:val="-1"/>
                <w:sz w:val="18"/>
                <w:szCs w:val="18"/>
              </w:rPr>
            </w:pPr>
            <w:r w:rsidRPr="00483510">
              <w:rPr>
                <w:rFonts w:ascii="Arial Narrow" w:hAnsi="Arial Narrow"/>
                <w:spacing w:val="-1"/>
                <w:sz w:val="18"/>
                <w:szCs w:val="18"/>
              </w:rPr>
              <w:t xml:space="preserve">Fed Appliance: Residential Clothes Washers (Top Loading) Tier I </w:t>
            </w:r>
          </w:p>
        </w:tc>
        <w:tc>
          <w:tcPr>
            <w:tcW w:w="0" w:type="dxa"/>
            <w:vAlign w:val="top"/>
          </w:tcPr>
          <w:p w14:paraId="3F024F53"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Fed Appliance: Residential Clothes Washers (Top Loading) Tier II</w:t>
            </w:r>
          </w:p>
        </w:tc>
        <w:tc>
          <w:tcPr>
            <w:tcW w:w="0" w:type="dxa"/>
            <w:vAlign w:val="top"/>
          </w:tcPr>
          <w:p w14:paraId="56A9EF21" w14:textId="77777777" w:rsidR="008D4574" w:rsidRPr="00483510" w:rsidRDefault="008D4574" w:rsidP="0069560C">
            <w:pPr>
              <w:overflowPunct w:val="0"/>
              <w:autoSpaceDE w:val="0"/>
              <w:autoSpaceDN w:val="0"/>
              <w:spacing w:before="25"/>
              <w:cnfStyle w:val="000000100000" w:firstRow="0" w:lastRow="0" w:firstColumn="0" w:lastColumn="0" w:oddVBand="0" w:evenVBand="0" w:oddHBand="1" w:evenHBand="0" w:firstRowFirstColumn="0" w:firstRowLastColumn="0" w:lastRowFirstColumn="0" w:lastRowLastColumn="0"/>
              <w:rPr>
                <w:rFonts w:ascii="Arial Narrow" w:hAnsi="Arial Narrow"/>
                <w:spacing w:val="-1"/>
                <w:sz w:val="18"/>
                <w:szCs w:val="18"/>
              </w:rPr>
            </w:pPr>
            <w:r w:rsidRPr="00483510">
              <w:rPr>
                <w:rFonts w:ascii="Arial Narrow" w:hAnsi="Arial Narrow"/>
                <w:spacing w:val="-1"/>
                <w:sz w:val="18"/>
                <w:szCs w:val="18"/>
              </w:rPr>
              <w:t>Navigant Assumption</w:t>
            </w:r>
          </w:p>
        </w:tc>
      </w:tr>
    </w:tbl>
    <w:p w14:paraId="67B33087" w14:textId="77777777" w:rsidR="008D4574" w:rsidRPr="008D4574" w:rsidRDefault="008D4574" w:rsidP="008D4574"/>
    <w:p w14:paraId="6059A70C" w14:textId="77777777" w:rsidR="00181744" w:rsidRDefault="00181744" w:rsidP="00146A54">
      <w:pPr>
        <w:sectPr w:rsidR="00181744" w:rsidSect="00146A54">
          <w:pgSz w:w="12240" w:h="15840" w:code="1"/>
          <w:pgMar w:top="1440" w:right="1440" w:bottom="1440" w:left="1440" w:header="720" w:footer="720" w:gutter="0"/>
          <w:pgNumType w:start="1" w:chapStyle="5"/>
          <w:cols w:space="720"/>
          <w:docGrid w:linePitch="360"/>
        </w:sectPr>
      </w:pPr>
    </w:p>
    <w:p w14:paraId="6A6A68CC" w14:textId="77777777" w:rsidR="00D92CC2" w:rsidRDefault="007352B2" w:rsidP="00D92CC2">
      <w:pPr>
        <w:pStyle w:val="Heading5"/>
      </w:pPr>
      <w:bookmarkStart w:id="1134" w:name="_Ref482611464"/>
      <w:bookmarkStart w:id="1135" w:name="_Toc482634319"/>
      <w:bookmarkStart w:id="1136" w:name="_Toc482626451"/>
      <w:bookmarkStart w:id="1137" w:name="_Toc484092527"/>
      <w:bookmarkStart w:id="1138" w:name="_Toc484172732"/>
      <w:bookmarkStart w:id="1139" w:name="_Toc484183079"/>
      <w:bookmarkStart w:id="1140" w:name="_Toc490225845"/>
      <w:r>
        <w:lastRenderedPageBreak/>
        <w:t xml:space="preserve">Ind/Ag </w:t>
      </w:r>
      <w:r w:rsidR="00D92CC2">
        <w:t>Generic Custom &amp; Emerging Technologies</w:t>
      </w:r>
      <w:bookmarkEnd w:id="1134"/>
      <w:bookmarkEnd w:id="1135"/>
      <w:bookmarkEnd w:id="1136"/>
      <w:bookmarkEnd w:id="1137"/>
      <w:bookmarkEnd w:id="1138"/>
      <w:bookmarkEnd w:id="1139"/>
      <w:bookmarkEnd w:id="1140"/>
    </w:p>
    <w:p w14:paraId="0F435A77" w14:textId="77777777" w:rsidR="002A4C2F" w:rsidRDefault="007352B2" w:rsidP="002A4C2F">
      <w:pPr>
        <w:pStyle w:val="Heading6"/>
      </w:pPr>
      <w:bookmarkStart w:id="1141" w:name="_Toc484070673"/>
      <w:bookmarkStart w:id="1142" w:name="_Toc484092528"/>
      <w:bookmarkStart w:id="1143" w:name="_Toc484172733"/>
      <w:bookmarkStart w:id="1144" w:name="_Toc484183080"/>
      <w:bookmarkStart w:id="1145" w:name="_Toc490225846"/>
      <w:r>
        <w:t xml:space="preserve">Ind/Ag </w:t>
      </w:r>
      <w:r w:rsidR="002A4C2F">
        <w:t>Generic Custom Measure Forecast Methodology</w:t>
      </w:r>
      <w:bookmarkEnd w:id="1141"/>
      <w:bookmarkEnd w:id="1142"/>
      <w:bookmarkEnd w:id="1143"/>
      <w:bookmarkEnd w:id="1144"/>
      <w:bookmarkEnd w:id="1145"/>
    </w:p>
    <w:p w14:paraId="25F2407A" w14:textId="77777777" w:rsidR="007B26F3" w:rsidRPr="007B26F3" w:rsidRDefault="007B26F3" w:rsidP="007B26F3">
      <w:pPr>
        <w:rPr>
          <w:b/>
          <w:u w:val="single"/>
        </w:rPr>
      </w:pPr>
      <w:bookmarkStart w:id="1146" w:name="_Toc484070675"/>
      <w:r w:rsidRPr="007B26F3">
        <w:rPr>
          <w:b/>
          <w:u w:val="single"/>
        </w:rPr>
        <w:t xml:space="preserve">Summary </w:t>
      </w:r>
    </w:p>
    <w:p w14:paraId="59A05977" w14:textId="77777777" w:rsidR="00B626F8" w:rsidRDefault="007B26F3" w:rsidP="007B26F3">
      <w:r>
        <w:t>Gener</w:t>
      </w:r>
      <w:r w:rsidR="00716C2B">
        <w:t>ic custom (GC) measures in the I</w:t>
      </w:r>
      <w:r>
        <w:t xml:space="preserve">ndustrial sector are projects that tend to be specific to an industry segment or production method. </w:t>
      </w:r>
      <w:r w:rsidR="00D068F8">
        <w:t xml:space="preserve">Table F-1 </w:t>
      </w:r>
      <w:r>
        <w:t>provides the inputs for the GC measures in the 201</w:t>
      </w:r>
      <w:r w:rsidR="00EE2626">
        <w:t>8 s</w:t>
      </w:r>
      <w:r>
        <w:t>tudy and the proceeding discussion details the assumptions and methodology used to derive these inputs.</w:t>
      </w:r>
    </w:p>
    <w:p w14:paraId="77951F91" w14:textId="77777777" w:rsidR="007B26F3" w:rsidRDefault="007B26F3" w:rsidP="007B26F3"/>
    <w:p w14:paraId="2EE8E8C0" w14:textId="77777777" w:rsidR="007B26F3" w:rsidRPr="00B57F57" w:rsidRDefault="007B26F3" w:rsidP="007B26F3">
      <w:pPr>
        <w:pStyle w:val="Caption"/>
        <w:rPr>
          <w:b w:val="0"/>
          <w:szCs w:val="24"/>
        </w:rPr>
      </w:pPr>
      <w:bookmarkStart w:id="1147" w:name="_Toc490226043"/>
      <w:r>
        <w:t xml:space="preserve">Table </w:t>
      </w:r>
      <w:fldSimple w:instr=" STYLEREF 5 \s ">
        <w:r w:rsidR="007566B9">
          <w:rPr>
            <w:noProof/>
          </w:rPr>
          <w:t>F</w:t>
        </w:r>
      </w:fldSimple>
      <w:r>
        <w:noBreakHyphen/>
      </w:r>
      <w:fldSimple w:instr=" SEQ Table_Apx \* ARABIC \s 5 ">
        <w:r w:rsidR="007566B9">
          <w:rPr>
            <w:noProof/>
          </w:rPr>
          <w:t>1</w:t>
        </w:r>
      </w:fldSimple>
      <w:r>
        <w:t xml:space="preserve">. Industrial/Agriculture </w:t>
      </w:r>
      <w:r w:rsidR="00716C2B">
        <w:t>GC</w:t>
      </w:r>
      <w:r>
        <w:t xml:space="preserve"> - Key Assumptions</w:t>
      </w:r>
      <w:bookmarkEnd w:id="1147"/>
    </w:p>
    <w:tbl>
      <w:tblPr>
        <w:tblW w:w="9460" w:type="dxa"/>
        <w:jc w:val="center"/>
        <w:tblBorders>
          <w:bottom w:val="single" w:sz="8" w:space="0" w:color="555759"/>
          <w:insideH w:val="single" w:sz="4" w:space="0" w:color="DCDDDE"/>
        </w:tblBorders>
        <w:tblLayout w:type="fixed"/>
        <w:tblLook w:val="04A0" w:firstRow="1" w:lastRow="0" w:firstColumn="1" w:lastColumn="0" w:noHBand="0" w:noVBand="1"/>
      </w:tblPr>
      <w:tblGrid>
        <w:gridCol w:w="1107"/>
        <w:gridCol w:w="1652"/>
        <w:gridCol w:w="965"/>
        <w:gridCol w:w="1007"/>
        <w:gridCol w:w="1089"/>
        <w:gridCol w:w="925"/>
        <w:gridCol w:w="1364"/>
        <w:gridCol w:w="1351"/>
      </w:tblGrid>
      <w:tr w:rsidR="002544A3" w:rsidRPr="007352B2" w14:paraId="5EB5B3B3" w14:textId="77777777" w:rsidTr="00ED04DD">
        <w:trPr>
          <w:cantSplit/>
          <w:trHeight w:val="180"/>
          <w:jc w:val="center"/>
        </w:trPr>
        <w:tc>
          <w:tcPr>
            <w:tcW w:w="1107" w:type="dxa"/>
            <w:vMerge w:val="restart"/>
            <w:tcBorders>
              <w:top w:val="nil"/>
              <w:left w:val="nil"/>
              <w:bottom w:val="single" w:sz="12" w:space="0" w:color="95D600"/>
              <w:right w:val="nil"/>
              <w:tl2br w:val="nil"/>
              <w:tr2bl w:val="nil"/>
            </w:tcBorders>
            <w:shd w:val="clear" w:color="auto" w:fill="555759"/>
            <w:vAlign w:val="center"/>
            <w:hideMark/>
          </w:tcPr>
          <w:p w14:paraId="3835D6F5" w14:textId="77777777" w:rsidR="007B26F3" w:rsidRPr="007352B2" w:rsidRDefault="007B26F3" w:rsidP="00ED04DD">
            <w:pPr>
              <w:spacing w:before="40" w:after="40"/>
              <w:jc w:val="center"/>
              <w:rPr>
                <w:rFonts w:ascii="Arial Narrow" w:hAnsi="Arial Narrow"/>
                <w:b/>
                <w:color w:val="FFFFFF"/>
                <w:sz w:val="18"/>
                <w:szCs w:val="18"/>
              </w:rPr>
            </w:pPr>
            <w:r w:rsidRPr="007352B2">
              <w:rPr>
                <w:rFonts w:ascii="Arial Narrow" w:hAnsi="Arial Narrow"/>
                <w:b/>
                <w:color w:val="FFFFFF"/>
                <w:sz w:val="18"/>
                <w:szCs w:val="18"/>
              </w:rPr>
              <w:t>Sector</w:t>
            </w:r>
          </w:p>
        </w:tc>
        <w:tc>
          <w:tcPr>
            <w:tcW w:w="1652" w:type="dxa"/>
            <w:vMerge w:val="restart"/>
            <w:tcBorders>
              <w:top w:val="nil"/>
              <w:left w:val="nil"/>
              <w:bottom w:val="single" w:sz="12" w:space="0" w:color="95D600"/>
              <w:right w:val="nil"/>
              <w:tl2br w:val="nil"/>
              <w:tr2bl w:val="nil"/>
            </w:tcBorders>
            <w:shd w:val="clear" w:color="auto" w:fill="555759"/>
            <w:vAlign w:val="center"/>
            <w:hideMark/>
          </w:tcPr>
          <w:p w14:paraId="04843A3E" w14:textId="77777777" w:rsidR="007B26F3" w:rsidRPr="007352B2" w:rsidRDefault="007B26F3" w:rsidP="00ED04DD">
            <w:pPr>
              <w:spacing w:before="40" w:after="40"/>
              <w:jc w:val="center"/>
              <w:rPr>
                <w:rFonts w:ascii="Arial Narrow" w:hAnsi="Arial Narrow"/>
                <w:b/>
                <w:color w:val="FFFFFF"/>
                <w:sz w:val="18"/>
                <w:szCs w:val="18"/>
              </w:rPr>
            </w:pPr>
            <w:r w:rsidRPr="007352B2">
              <w:rPr>
                <w:rFonts w:ascii="Arial Narrow" w:hAnsi="Arial Narrow"/>
                <w:b/>
                <w:color w:val="FFFFFF"/>
                <w:sz w:val="18"/>
                <w:szCs w:val="18"/>
              </w:rPr>
              <w:t>Type</w:t>
            </w:r>
          </w:p>
        </w:tc>
        <w:tc>
          <w:tcPr>
            <w:tcW w:w="965" w:type="dxa"/>
            <w:vMerge w:val="restart"/>
            <w:tcBorders>
              <w:top w:val="nil"/>
              <w:left w:val="nil"/>
              <w:bottom w:val="single" w:sz="12" w:space="0" w:color="95D600"/>
              <w:right w:val="nil"/>
              <w:tl2br w:val="nil"/>
              <w:tr2bl w:val="nil"/>
            </w:tcBorders>
            <w:shd w:val="clear" w:color="auto" w:fill="555759"/>
            <w:vAlign w:val="center"/>
            <w:hideMark/>
          </w:tcPr>
          <w:p w14:paraId="5FBB09B4" w14:textId="77777777" w:rsidR="007B26F3" w:rsidRPr="007352B2" w:rsidRDefault="007B26F3" w:rsidP="00ED04DD">
            <w:pPr>
              <w:spacing w:before="40" w:after="40"/>
              <w:jc w:val="center"/>
              <w:rPr>
                <w:rFonts w:ascii="Arial Narrow" w:hAnsi="Arial Narrow"/>
                <w:b/>
                <w:color w:val="FFFFFF"/>
                <w:sz w:val="18"/>
                <w:szCs w:val="18"/>
              </w:rPr>
            </w:pPr>
            <w:r w:rsidRPr="007352B2">
              <w:rPr>
                <w:rFonts w:ascii="Arial Narrow" w:hAnsi="Arial Narrow"/>
                <w:b/>
                <w:color w:val="FFFFFF"/>
                <w:sz w:val="18"/>
                <w:szCs w:val="18"/>
              </w:rPr>
              <w:t>EUL years</w:t>
            </w:r>
          </w:p>
        </w:tc>
        <w:tc>
          <w:tcPr>
            <w:tcW w:w="2096" w:type="dxa"/>
            <w:gridSpan w:val="2"/>
            <w:tcBorders>
              <w:top w:val="nil"/>
              <w:left w:val="nil"/>
              <w:bottom w:val="single" w:sz="2" w:space="0" w:color="FFFFFF"/>
              <w:right w:val="nil"/>
              <w:tl2br w:val="nil"/>
              <w:tr2bl w:val="nil"/>
            </w:tcBorders>
            <w:shd w:val="clear" w:color="auto" w:fill="555759"/>
            <w:vAlign w:val="center"/>
            <w:hideMark/>
          </w:tcPr>
          <w:p w14:paraId="25702C8A" w14:textId="77777777" w:rsidR="007B26F3" w:rsidRPr="007352B2" w:rsidRDefault="007B26F3" w:rsidP="00ED04DD">
            <w:pPr>
              <w:spacing w:before="40" w:after="40"/>
              <w:jc w:val="center"/>
              <w:rPr>
                <w:rFonts w:ascii="Arial Narrow" w:hAnsi="Arial Narrow"/>
                <w:b/>
                <w:color w:val="FFFFFF"/>
                <w:sz w:val="18"/>
                <w:szCs w:val="18"/>
              </w:rPr>
            </w:pPr>
            <w:r w:rsidRPr="007352B2">
              <w:rPr>
                <w:rFonts w:ascii="Arial Narrow" w:hAnsi="Arial Narrow"/>
                <w:b/>
                <w:color w:val="FFFFFF"/>
                <w:sz w:val="18"/>
                <w:szCs w:val="18"/>
              </w:rPr>
              <w:t>Savings</w:t>
            </w:r>
          </w:p>
        </w:tc>
        <w:tc>
          <w:tcPr>
            <w:tcW w:w="2289" w:type="dxa"/>
            <w:gridSpan w:val="2"/>
            <w:tcBorders>
              <w:top w:val="nil"/>
              <w:left w:val="nil"/>
              <w:bottom w:val="single" w:sz="2" w:space="0" w:color="FFFFFF"/>
              <w:right w:val="nil"/>
              <w:tl2br w:val="nil"/>
              <w:tr2bl w:val="nil"/>
            </w:tcBorders>
            <w:shd w:val="clear" w:color="auto" w:fill="555759"/>
            <w:vAlign w:val="center"/>
            <w:hideMark/>
          </w:tcPr>
          <w:p w14:paraId="5B695E0F" w14:textId="77777777" w:rsidR="007B26F3" w:rsidRPr="007352B2" w:rsidRDefault="007B26F3" w:rsidP="00ED04DD">
            <w:pPr>
              <w:spacing w:before="40" w:after="40"/>
              <w:jc w:val="center"/>
              <w:rPr>
                <w:rFonts w:ascii="Arial Narrow" w:hAnsi="Arial Narrow"/>
                <w:b/>
                <w:color w:val="FFFFFF"/>
                <w:sz w:val="18"/>
                <w:szCs w:val="18"/>
              </w:rPr>
            </w:pPr>
            <w:r w:rsidRPr="007352B2">
              <w:rPr>
                <w:rFonts w:ascii="Arial Narrow" w:hAnsi="Arial Narrow"/>
                <w:b/>
                <w:color w:val="FFFFFF"/>
                <w:sz w:val="18"/>
                <w:szCs w:val="18"/>
              </w:rPr>
              <w:t>Cost</w:t>
            </w:r>
          </w:p>
        </w:tc>
        <w:tc>
          <w:tcPr>
            <w:tcW w:w="1351" w:type="dxa"/>
            <w:vMerge w:val="restart"/>
            <w:tcBorders>
              <w:top w:val="nil"/>
              <w:left w:val="nil"/>
              <w:bottom w:val="single" w:sz="12" w:space="0" w:color="95D600"/>
              <w:right w:val="nil"/>
              <w:tl2br w:val="nil"/>
              <w:tr2bl w:val="nil"/>
            </w:tcBorders>
            <w:shd w:val="clear" w:color="auto" w:fill="555759"/>
            <w:vAlign w:val="center"/>
            <w:hideMark/>
          </w:tcPr>
          <w:p w14:paraId="744A3A91" w14:textId="77777777" w:rsidR="007B26F3" w:rsidRPr="007352B2" w:rsidRDefault="007B26F3" w:rsidP="00ED04DD">
            <w:pPr>
              <w:spacing w:before="40" w:after="40"/>
              <w:jc w:val="center"/>
              <w:rPr>
                <w:rFonts w:ascii="Arial Narrow" w:hAnsi="Arial Narrow"/>
                <w:b/>
                <w:color w:val="FFFFFF"/>
                <w:sz w:val="18"/>
                <w:szCs w:val="18"/>
              </w:rPr>
            </w:pPr>
            <w:r w:rsidRPr="007352B2">
              <w:rPr>
                <w:rFonts w:ascii="Arial Narrow" w:hAnsi="Arial Narrow"/>
                <w:b/>
                <w:color w:val="FFFFFF"/>
                <w:sz w:val="18"/>
                <w:szCs w:val="18"/>
              </w:rPr>
              <w:t>kW/kWh Savings Ratio</w:t>
            </w:r>
          </w:p>
        </w:tc>
      </w:tr>
      <w:tr w:rsidR="002544A3" w:rsidRPr="007352B2" w14:paraId="34643FD1" w14:textId="77777777" w:rsidTr="00ED04DD">
        <w:trPr>
          <w:cantSplit/>
          <w:trHeight w:val="88"/>
          <w:jc w:val="center"/>
        </w:trPr>
        <w:tc>
          <w:tcPr>
            <w:tcW w:w="1107" w:type="dxa"/>
            <w:vMerge/>
            <w:tcBorders>
              <w:bottom w:val="single" w:sz="12" w:space="0" w:color="95D600"/>
            </w:tcBorders>
            <w:shd w:val="clear" w:color="auto" w:fill="auto"/>
            <w:hideMark/>
          </w:tcPr>
          <w:p w14:paraId="7BBBD0EF" w14:textId="77777777" w:rsidR="007B26F3" w:rsidRPr="007352B2" w:rsidRDefault="007B26F3" w:rsidP="00EA3678">
            <w:pPr>
              <w:spacing w:before="40" w:after="40"/>
              <w:jc w:val="center"/>
              <w:rPr>
                <w:rFonts w:ascii="Arial Narrow" w:hAnsi="Arial Narrow"/>
                <w:sz w:val="18"/>
                <w:szCs w:val="18"/>
              </w:rPr>
            </w:pPr>
          </w:p>
        </w:tc>
        <w:tc>
          <w:tcPr>
            <w:tcW w:w="1652" w:type="dxa"/>
            <w:vMerge/>
            <w:tcBorders>
              <w:bottom w:val="single" w:sz="12" w:space="0" w:color="95D600"/>
            </w:tcBorders>
            <w:shd w:val="clear" w:color="auto" w:fill="auto"/>
            <w:hideMark/>
          </w:tcPr>
          <w:p w14:paraId="6F4B6B24" w14:textId="77777777" w:rsidR="007B26F3" w:rsidRPr="007352B2" w:rsidRDefault="007B26F3" w:rsidP="00EA3678">
            <w:pPr>
              <w:spacing w:before="40" w:after="40"/>
              <w:jc w:val="center"/>
              <w:rPr>
                <w:rFonts w:ascii="Arial Narrow" w:hAnsi="Arial Narrow"/>
                <w:sz w:val="18"/>
                <w:szCs w:val="18"/>
              </w:rPr>
            </w:pPr>
          </w:p>
        </w:tc>
        <w:tc>
          <w:tcPr>
            <w:tcW w:w="965" w:type="dxa"/>
            <w:vMerge/>
            <w:tcBorders>
              <w:bottom w:val="single" w:sz="12" w:space="0" w:color="95D600"/>
            </w:tcBorders>
            <w:shd w:val="clear" w:color="auto" w:fill="555759"/>
            <w:hideMark/>
          </w:tcPr>
          <w:p w14:paraId="3B5A29E8" w14:textId="77777777" w:rsidR="007B26F3" w:rsidRPr="007352B2" w:rsidRDefault="007B26F3" w:rsidP="00EA3678">
            <w:pPr>
              <w:spacing w:before="40" w:after="40"/>
              <w:jc w:val="center"/>
              <w:rPr>
                <w:rFonts w:ascii="Arial Narrow" w:hAnsi="Arial Narrow"/>
                <w:sz w:val="18"/>
                <w:szCs w:val="18"/>
              </w:rPr>
            </w:pPr>
          </w:p>
        </w:tc>
        <w:tc>
          <w:tcPr>
            <w:tcW w:w="1007" w:type="dxa"/>
            <w:tcBorders>
              <w:top w:val="single" w:sz="2" w:space="0" w:color="FFFFFF"/>
              <w:bottom w:val="single" w:sz="12" w:space="0" w:color="95D600"/>
            </w:tcBorders>
            <w:shd w:val="clear" w:color="auto" w:fill="555759"/>
            <w:vAlign w:val="center"/>
            <w:hideMark/>
          </w:tcPr>
          <w:p w14:paraId="0D067D6E" w14:textId="77777777" w:rsidR="007B26F3" w:rsidRPr="007352B2" w:rsidRDefault="007B26F3" w:rsidP="00ED04DD">
            <w:pPr>
              <w:spacing w:before="40" w:after="40"/>
              <w:jc w:val="center"/>
              <w:rPr>
                <w:rFonts w:ascii="Arial Narrow" w:hAnsi="Arial Narrow"/>
                <w:b/>
                <w:color w:val="FFFFFF"/>
                <w:sz w:val="18"/>
                <w:szCs w:val="18"/>
              </w:rPr>
            </w:pPr>
            <w:r w:rsidRPr="007352B2">
              <w:rPr>
                <w:rFonts w:ascii="Arial Narrow" w:hAnsi="Arial Narrow"/>
                <w:b/>
                <w:color w:val="FFFFFF"/>
                <w:sz w:val="18"/>
                <w:szCs w:val="18"/>
              </w:rPr>
              <w:t>kWh</w:t>
            </w:r>
          </w:p>
        </w:tc>
        <w:tc>
          <w:tcPr>
            <w:tcW w:w="1089" w:type="dxa"/>
            <w:tcBorders>
              <w:top w:val="single" w:sz="2" w:space="0" w:color="FFFFFF"/>
              <w:bottom w:val="single" w:sz="12" w:space="0" w:color="95D600"/>
            </w:tcBorders>
            <w:shd w:val="clear" w:color="auto" w:fill="555759"/>
            <w:vAlign w:val="center"/>
            <w:hideMark/>
          </w:tcPr>
          <w:p w14:paraId="4D0697C3" w14:textId="77777777" w:rsidR="007B26F3" w:rsidRPr="007352B2" w:rsidRDefault="007B26F3" w:rsidP="00ED04DD">
            <w:pPr>
              <w:spacing w:before="40" w:after="40"/>
              <w:jc w:val="center"/>
              <w:rPr>
                <w:rFonts w:ascii="Arial Narrow" w:hAnsi="Arial Narrow"/>
                <w:b/>
                <w:color w:val="FFFFFF"/>
                <w:sz w:val="18"/>
                <w:szCs w:val="18"/>
              </w:rPr>
            </w:pPr>
            <w:r w:rsidRPr="007352B2">
              <w:rPr>
                <w:rFonts w:ascii="Arial Narrow" w:hAnsi="Arial Narrow"/>
                <w:b/>
                <w:color w:val="FFFFFF"/>
                <w:sz w:val="18"/>
                <w:szCs w:val="18"/>
              </w:rPr>
              <w:t>Therm</w:t>
            </w:r>
          </w:p>
        </w:tc>
        <w:tc>
          <w:tcPr>
            <w:tcW w:w="925" w:type="dxa"/>
            <w:tcBorders>
              <w:top w:val="single" w:sz="2" w:space="0" w:color="FFFFFF"/>
              <w:bottom w:val="single" w:sz="12" w:space="0" w:color="95D600"/>
            </w:tcBorders>
            <w:shd w:val="clear" w:color="auto" w:fill="555759"/>
            <w:vAlign w:val="center"/>
            <w:hideMark/>
          </w:tcPr>
          <w:p w14:paraId="10F8F387" w14:textId="77777777" w:rsidR="007B26F3" w:rsidRPr="007352B2" w:rsidRDefault="007B26F3" w:rsidP="00ED04DD">
            <w:pPr>
              <w:spacing w:before="40" w:after="40"/>
              <w:jc w:val="center"/>
              <w:rPr>
                <w:rFonts w:ascii="Arial Narrow" w:hAnsi="Arial Narrow"/>
                <w:b/>
                <w:color w:val="FFFFFF"/>
                <w:sz w:val="18"/>
                <w:szCs w:val="18"/>
              </w:rPr>
            </w:pPr>
            <w:r w:rsidRPr="007352B2">
              <w:rPr>
                <w:rFonts w:ascii="Arial Narrow" w:hAnsi="Arial Narrow"/>
                <w:b/>
                <w:color w:val="FFFFFF"/>
                <w:sz w:val="18"/>
                <w:szCs w:val="18"/>
              </w:rPr>
              <w:t>kWh</w:t>
            </w:r>
          </w:p>
        </w:tc>
        <w:tc>
          <w:tcPr>
            <w:tcW w:w="1363" w:type="dxa"/>
            <w:tcBorders>
              <w:top w:val="single" w:sz="2" w:space="0" w:color="FFFFFF"/>
              <w:bottom w:val="single" w:sz="12" w:space="0" w:color="95D600"/>
            </w:tcBorders>
            <w:shd w:val="clear" w:color="auto" w:fill="555759"/>
            <w:vAlign w:val="center"/>
            <w:hideMark/>
          </w:tcPr>
          <w:p w14:paraId="39A333CC" w14:textId="77777777" w:rsidR="007B26F3" w:rsidRPr="007352B2" w:rsidRDefault="007B26F3" w:rsidP="00ED04DD">
            <w:pPr>
              <w:spacing w:before="40" w:after="40"/>
              <w:jc w:val="center"/>
              <w:rPr>
                <w:rFonts w:ascii="Arial Narrow" w:hAnsi="Arial Narrow"/>
                <w:b/>
                <w:color w:val="FFFFFF"/>
                <w:sz w:val="18"/>
                <w:szCs w:val="18"/>
              </w:rPr>
            </w:pPr>
            <w:r w:rsidRPr="007352B2">
              <w:rPr>
                <w:rFonts w:ascii="Arial Narrow" w:hAnsi="Arial Narrow"/>
                <w:b/>
                <w:color w:val="FFFFFF"/>
                <w:sz w:val="18"/>
                <w:szCs w:val="18"/>
              </w:rPr>
              <w:t>Therm</w:t>
            </w:r>
          </w:p>
        </w:tc>
        <w:tc>
          <w:tcPr>
            <w:tcW w:w="1351" w:type="dxa"/>
            <w:vMerge/>
            <w:tcBorders>
              <w:bottom w:val="single" w:sz="12" w:space="0" w:color="95D600"/>
            </w:tcBorders>
            <w:shd w:val="clear" w:color="auto" w:fill="auto"/>
            <w:hideMark/>
          </w:tcPr>
          <w:p w14:paraId="4506E3F6" w14:textId="77777777" w:rsidR="007B26F3" w:rsidRPr="007352B2" w:rsidRDefault="007B26F3" w:rsidP="00EA3678">
            <w:pPr>
              <w:spacing w:before="40" w:after="40"/>
              <w:jc w:val="center"/>
              <w:rPr>
                <w:rFonts w:ascii="Arial Narrow" w:hAnsi="Arial Narrow"/>
                <w:sz w:val="18"/>
                <w:szCs w:val="18"/>
              </w:rPr>
            </w:pPr>
          </w:p>
        </w:tc>
      </w:tr>
      <w:tr w:rsidR="002544A3" w:rsidRPr="007352B2" w14:paraId="1A441047" w14:textId="77777777" w:rsidTr="00ED04DD">
        <w:trPr>
          <w:cantSplit/>
          <w:trHeight w:val="451"/>
          <w:jc w:val="center"/>
        </w:trPr>
        <w:tc>
          <w:tcPr>
            <w:tcW w:w="1107" w:type="dxa"/>
            <w:tcBorders>
              <w:top w:val="single" w:sz="12" w:space="0" w:color="95D600"/>
              <w:bottom w:val="single" w:sz="12" w:space="0" w:color="95D600"/>
            </w:tcBorders>
            <w:shd w:val="clear" w:color="auto" w:fill="FFFFFF"/>
            <w:vAlign w:val="center"/>
            <w:hideMark/>
          </w:tcPr>
          <w:p w14:paraId="04F0FA8A" w14:textId="77777777" w:rsidR="00716C2B" w:rsidRPr="007352B2" w:rsidRDefault="00ED04DD" w:rsidP="00EA3678">
            <w:pPr>
              <w:spacing w:before="40" w:after="40"/>
              <w:jc w:val="center"/>
              <w:rPr>
                <w:rFonts w:ascii="Arial Narrow" w:hAnsi="Arial Narrow"/>
                <w:sz w:val="18"/>
                <w:szCs w:val="18"/>
              </w:rPr>
            </w:pPr>
            <w:r w:rsidRPr="007352B2">
              <w:rPr>
                <w:rFonts w:ascii="Arial Narrow" w:hAnsi="Arial Narrow"/>
                <w:sz w:val="18"/>
                <w:szCs w:val="18"/>
              </w:rPr>
              <w:t>Ind</w:t>
            </w:r>
          </w:p>
        </w:tc>
        <w:tc>
          <w:tcPr>
            <w:tcW w:w="1652" w:type="dxa"/>
            <w:vMerge w:val="restart"/>
            <w:tcBorders>
              <w:top w:val="single" w:sz="12" w:space="0" w:color="95D600"/>
            </w:tcBorders>
            <w:shd w:val="clear" w:color="auto" w:fill="FFFFFF"/>
            <w:vAlign w:val="center"/>
            <w:hideMark/>
          </w:tcPr>
          <w:p w14:paraId="2BC829CB" w14:textId="77777777" w:rsidR="00716C2B" w:rsidRPr="007352B2" w:rsidRDefault="00716C2B" w:rsidP="00EA3678">
            <w:pPr>
              <w:spacing w:before="40" w:after="40"/>
              <w:jc w:val="center"/>
              <w:rPr>
                <w:rFonts w:ascii="Arial Narrow" w:hAnsi="Arial Narrow"/>
                <w:sz w:val="18"/>
                <w:szCs w:val="18"/>
              </w:rPr>
            </w:pPr>
            <w:r w:rsidRPr="007352B2">
              <w:rPr>
                <w:rFonts w:ascii="Arial Narrow" w:hAnsi="Arial Narrow"/>
                <w:sz w:val="18"/>
                <w:szCs w:val="18"/>
              </w:rPr>
              <w:t>Generic Custom (GC)</w:t>
            </w:r>
          </w:p>
        </w:tc>
        <w:tc>
          <w:tcPr>
            <w:tcW w:w="965" w:type="dxa"/>
            <w:vMerge w:val="restart"/>
            <w:tcBorders>
              <w:top w:val="single" w:sz="12" w:space="0" w:color="95D600"/>
            </w:tcBorders>
            <w:shd w:val="clear" w:color="auto" w:fill="FFFFFF"/>
            <w:vAlign w:val="center"/>
            <w:hideMark/>
          </w:tcPr>
          <w:p w14:paraId="38F82A49" w14:textId="77777777" w:rsidR="00716C2B" w:rsidRPr="007352B2" w:rsidRDefault="00716C2B" w:rsidP="00EA3678">
            <w:pPr>
              <w:spacing w:before="40" w:after="40"/>
              <w:jc w:val="center"/>
              <w:rPr>
                <w:rFonts w:ascii="Arial Narrow" w:hAnsi="Arial Narrow"/>
                <w:sz w:val="18"/>
                <w:szCs w:val="18"/>
              </w:rPr>
            </w:pPr>
            <w:r w:rsidRPr="007352B2">
              <w:rPr>
                <w:rFonts w:ascii="Arial Narrow" w:hAnsi="Arial Narrow"/>
                <w:sz w:val="18"/>
                <w:szCs w:val="18"/>
              </w:rPr>
              <w:t>15</w:t>
            </w:r>
          </w:p>
        </w:tc>
        <w:tc>
          <w:tcPr>
            <w:tcW w:w="1007" w:type="dxa"/>
            <w:tcBorders>
              <w:top w:val="single" w:sz="12" w:space="0" w:color="95D600"/>
              <w:bottom w:val="single" w:sz="12" w:space="0" w:color="95D600"/>
            </w:tcBorders>
            <w:shd w:val="clear" w:color="auto" w:fill="FFFFFF"/>
            <w:vAlign w:val="center"/>
            <w:hideMark/>
          </w:tcPr>
          <w:p w14:paraId="237B0EAF" w14:textId="77777777" w:rsidR="00716C2B" w:rsidRPr="007352B2" w:rsidRDefault="00716C2B" w:rsidP="00EA3678">
            <w:pPr>
              <w:spacing w:before="40" w:after="40"/>
              <w:jc w:val="center"/>
              <w:rPr>
                <w:rFonts w:ascii="Arial Narrow" w:hAnsi="Arial Narrow"/>
                <w:sz w:val="18"/>
                <w:szCs w:val="18"/>
              </w:rPr>
            </w:pPr>
            <w:r w:rsidRPr="007352B2">
              <w:rPr>
                <w:rFonts w:ascii="Arial Narrow" w:hAnsi="Arial Narrow"/>
                <w:sz w:val="18"/>
                <w:szCs w:val="18"/>
              </w:rPr>
              <w:t>0.16%</w:t>
            </w:r>
          </w:p>
        </w:tc>
        <w:tc>
          <w:tcPr>
            <w:tcW w:w="1089" w:type="dxa"/>
            <w:tcBorders>
              <w:top w:val="single" w:sz="12" w:space="0" w:color="95D600"/>
              <w:bottom w:val="single" w:sz="12" w:space="0" w:color="95D600"/>
            </w:tcBorders>
            <w:shd w:val="clear" w:color="auto" w:fill="FFFFFF"/>
            <w:vAlign w:val="center"/>
            <w:hideMark/>
          </w:tcPr>
          <w:p w14:paraId="42EF1316" w14:textId="77777777" w:rsidR="00716C2B" w:rsidRPr="007352B2" w:rsidRDefault="00716C2B" w:rsidP="00EA3678">
            <w:pPr>
              <w:spacing w:before="40" w:after="40"/>
              <w:jc w:val="center"/>
              <w:rPr>
                <w:rFonts w:ascii="Arial Narrow" w:hAnsi="Arial Narrow"/>
                <w:sz w:val="18"/>
                <w:szCs w:val="18"/>
              </w:rPr>
            </w:pPr>
            <w:r w:rsidRPr="007352B2">
              <w:rPr>
                <w:rFonts w:ascii="Arial Narrow" w:hAnsi="Arial Narrow"/>
                <w:sz w:val="18"/>
                <w:szCs w:val="18"/>
              </w:rPr>
              <w:t>0.17%</w:t>
            </w:r>
          </w:p>
        </w:tc>
        <w:tc>
          <w:tcPr>
            <w:tcW w:w="925" w:type="dxa"/>
            <w:vMerge w:val="restart"/>
            <w:tcBorders>
              <w:top w:val="single" w:sz="12" w:space="0" w:color="95D600"/>
            </w:tcBorders>
            <w:shd w:val="clear" w:color="auto" w:fill="FFFFFF"/>
            <w:vAlign w:val="center"/>
            <w:hideMark/>
          </w:tcPr>
          <w:p w14:paraId="68BBFFB7" w14:textId="77777777" w:rsidR="00716C2B" w:rsidRPr="007352B2" w:rsidRDefault="00716C2B" w:rsidP="00EA3678">
            <w:pPr>
              <w:spacing w:before="40" w:after="40"/>
              <w:jc w:val="center"/>
              <w:rPr>
                <w:rFonts w:ascii="Arial Narrow" w:hAnsi="Arial Narrow"/>
                <w:sz w:val="18"/>
                <w:szCs w:val="18"/>
              </w:rPr>
            </w:pPr>
            <w:r w:rsidRPr="007352B2">
              <w:rPr>
                <w:rFonts w:ascii="Arial Narrow" w:hAnsi="Arial Narrow"/>
                <w:sz w:val="18"/>
                <w:szCs w:val="18"/>
              </w:rPr>
              <w:t>$0.33</w:t>
            </w:r>
          </w:p>
        </w:tc>
        <w:tc>
          <w:tcPr>
            <w:tcW w:w="1363" w:type="dxa"/>
            <w:vMerge w:val="restart"/>
            <w:tcBorders>
              <w:top w:val="single" w:sz="12" w:space="0" w:color="95D600"/>
            </w:tcBorders>
            <w:shd w:val="clear" w:color="auto" w:fill="FFFFFF"/>
            <w:vAlign w:val="center"/>
            <w:hideMark/>
          </w:tcPr>
          <w:p w14:paraId="0F4E0FB0" w14:textId="77777777" w:rsidR="00716C2B" w:rsidRPr="007352B2" w:rsidRDefault="00716C2B" w:rsidP="00EA3678">
            <w:pPr>
              <w:spacing w:before="40" w:after="40"/>
              <w:jc w:val="center"/>
              <w:rPr>
                <w:rFonts w:ascii="Arial Narrow" w:hAnsi="Arial Narrow"/>
                <w:sz w:val="18"/>
                <w:szCs w:val="18"/>
                <w:highlight w:val="red"/>
              </w:rPr>
            </w:pPr>
            <w:r w:rsidRPr="007352B2">
              <w:rPr>
                <w:rFonts w:ascii="Arial Narrow" w:hAnsi="Arial Narrow"/>
                <w:sz w:val="18"/>
                <w:szCs w:val="18"/>
              </w:rPr>
              <w:t>$2.25</w:t>
            </w:r>
          </w:p>
        </w:tc>
        <w:tc>
          <w:tcPr>
            <w:tcW w:w="1351" w:type="dxa"/>
            <w:vMerge w:val="restart"/>
            <w:tcBorders>
              <w:top w:val="single" w:sz="12" w:space="0" w:color="95D600"/>
            </w:tcBorders>
            <w:shd w:val="clear" w:color="auto" w:fill="FFFFFF"/>
            <w:vAlign w:val="center"/>
            <w:hideMark/>
          </w:tcPr>
          <w:p w14:paraId="40BC7E3F" w14:textId="77777777" w:rsidR="00716C2B" w:rsidRPr="007352B2" w:rsidRDefault="00716C2B" w:rsidP="00E0196A">
            <w:pPr>
              <w:spacing w:before="40" w:after="40"/>
              <w:jc w:val="center"/>
              <w:rPr>
                <w:rFonts w:ascii="Arial Narrow" w:hAnsi="Arial Narrow"/>
                <w:sz w:val="18"/>
                <w:szCs w:val="18"/>
              </w:rPr>
            </w:pPr>
            <w:r w:rsidRPr="007352B2">
              <w:rPr>
                <w:rFonts w:ascii="Arial Narrow" w:hAnsi="Arial Narrow"/>
                <w:sz w:val="18"/>
                <w:szCs w:val="18"/>
              </w:rPr>
              <w:t>0.000195</w:t>
            </w:r>
          </w:p>
        </w:tc>
      </w:tr>
      <w:tr w:rsidR="002544A3" w:rsidRPr="007352B2" w14:paraId="4840FC03" w14:textId="77777777" w:rsidTr="00ED04DD">
        <w:trPr>
          <w:cantSplit/>
          <w:trHeight w:val="451"/>
          <w:jc w:val="center"/>
        </w:trPr>
        <w:tc>
          <w:tcPr>
            <w:tcW w:w="1107" w:type="dxa"/>
            <w:tcBorders>
              <w:top w:val="single" w:sz="12" w:space="0" w:color="95D600"/>
              <w:bottom w:val="single" w:sz="12" w:space="0" w:color="95D600"/>
            </w:tcBorders>
            <w:shd w:val="clear" w:color="auto" w:fill="FFFFFF"/>
            <w:vAlign w:val="center"/>
          </w:tcPr>
          <w:p w14:paraId="40314205" w14:textId="77777777" w:rsidR="00716C2B" w:rsidRPr="007352B2" w:rsidRDefault="00ED04DD" w:rsidP="00EA3678">
            <w:pPr>
              <w:spacing w:before="40" w:after="40"/>
              <w:jc w:val="center"/>
              <w:rPr>
                <w:rFonts w:ascii="Arial Narrow" w:hAnsi="Arial Narrow"/>
                <w:sz w:val="18"/>
                <w:szCs w:val="18"/>
              </w:rPr>
            </w:pPr>
            <w:r w:rsidRPr="007352B2">
              <w:rPr>
                <w:rFonts w:ascii="Arial Narrow" w:hAnsi="Arial Narrow"/>
                <w:sz w:val="18"/>
                <w:szCs w:val="18"/>
              </w:rPr>
              <w:t>Ag</w:t>
            </w:r>
          </w:p>
        </w:tc>
        <w:tc>
          <w:tcPr>
            <w:tcW w:w="1652" w:type="dxa"/>
            <w:vMerge/>
            <w:tcBorders>
              <w:bottom w:val="single" w:sz="12" w:space="0" w:color="95D600"/>
            </w:tcBorders>
            <w:shd w:val="clear" w:color="auto" w:fill="FFFFFF"/>
            <w:vAlign w:val="center"/>
          </w:tcPr>
          <w:p w14:paraId="3CBE8592" w14:textId="77777777" w:rsidR="00716C2B" w:rsidRPr="007352B2" w:rsidRDefault="00716C2B" w:rsidP="00EA3678">
            <w:pPr>
              <w:spacing w:before="40" w:after="40"/>
              <w:jc w:val="center"/>
              <w:rPr>
                <w:rFonts w:ascii="Arial Narrow" w:hAnsi="Arial Narrow"/>
                <w:sz w:val="18"/>
                <w:szCs w:val="18"/>
              </w:rPr>
            </w:pPr>
          </w:p>
        </w:tc>
        <w:tc>
          <w:tcPr>
            <w:tcW w:w="965" w:type="dxa"/>
            <w:vMerge/>
            <w:tcBorders>
              <w:bottom w:val="single" w:sz="12" w:space="0" w:color="95D600"/>
            </w:tcBorders>
            <w:shd w:val="clear" w:color="auto" w:fill="FFFFFF"/>
            <w:vAlign w:val="center"/>
          </w:tcPr>
          <w:p w14:paraId="7416FE03" w14:textId="77777777" w:rsidR="00716C2B" w:rsidRPr="007352B2" w:rsidRDefault="00716C2B" w:rsidP="00EA3678">
            <w:pPr>
              <w:spacing w:before="40" w:after="40"/>
              <w:jc w:val="center"/>
              <w:rPr>
                <w:rFonts w:ascii="Arial Narrow" w:hAnsi="Arial Narrow"/>
                <w:sz w:val="18"/>
                <w:szCs w:val="18"/>
              </w:rPr>
            </w:pPr>
          </w:p>
        </w:tc>
        <w:tc>
          <w:tcPr>
            <w:tcW w:w="1007" w:type="dxa"/>
            <w:tcBorders>
              <w:top w:val="single" w:sz="12" w:space="0" w:color="95D600"/>
              <w:bottom w:val="single" w:sz="12" w:space="0" w:color="95D600"/>
            </w:tcBorders>
            <w:shd w:val="clear" w:color="auto" w:fill="FFFFFF"/>
            <w:vAlign w:val="center"/>
          </w:tcPr>
          <w:p w14:paraId="311BC056" w14:textId="77777777" w:rsidR="00716C2B" w:rsidRPr="007352B2" w:rsidRDefault="00716C2B" w:rsidP="00EA3678">
            <w:pPr>
              <w:spacing w:before="40" w:after="40"/>
              <w:jc w:val="center"/>
              <w:rPr>
                <w:rFonts w:ascii="Arial Narrow" w:hAnsi="Arial Narrow"/>
                <w:sz w:val="18"/>
                <w:szCs w:val="18"/>
              </w:rPr>
            </w:pPr>
            <w:r w:rsidRPr="007352B2">
              <w:rPr>
                <w:rFonts w:ascii="Arial Narrow" w:hAnsi="Arial Narrow"/>
                <w:sz w:val="18"/>
                <w:szCs w:val="18"/>
              </w:rPr>
              <w:t>0.28%</w:t>
            </w:r>
          </w:p>
        </w:tc>
        <w:tc>
          <w:tcPr>
            <w:tcW w:w="1089" w:type="dxa"/>
            <w:tcBorders>
              <w:top w:val="single" w:sz="12" w:space="0" w:color="95D600"/>
              <w:bottom w:val="single" w:sz="12" w:space="0" w:color="95D600"/>
            </w:tcBorders>
            <w:shd w:val="clear" w:color="auto" w:fill="FFFFFF"/>
            <w:vAlign w:val="center"/>
          </w:tcPr>
          <w:p w14:paraId="10AE77D7" w14:textId="77777777" w:rsidR="00716C2B" w:rsidRPr="007352B2" w:rsidRDefault="00716C2B" w:rsidP="00EA3678">
            <w:pPr>
              <w:spacing w:before="40" w:after="40"/>
              <w:jc w:val="center"/>
              <w:rPr>
                <w:rFonts w:ascii="Arial Narrow" w:hAnsi="Arial Narrow"/>
                <w:sz w:val="18"/>
                <w:szCs w:val="18"/>
              </w:rPr>
            </w:pPr>
            <w:r w:rsidRPr="007352B2">
              <w:rPr>
                <w:rFonts w:ascii="Arial Narrow" w:hAnsi="Arial Narrow"/>
                <w:sz w:val="18"/>
                <w:szCs w:val="18"/>
              </w:rPr>
              <w:t>1.19%</w:t>
            </w:r>
          </w:p>
        </w:tc>
        <w:tc>
          <w:tcPr>
            <w:tcW w:w="925" w:type="dxa"/>
            <w:vMerge/>
            <w:tcBorders>
              <w:bottom w:val="single" w:sz="12" w:space="0" w:color="95D600"/>
            </w:tcBorders>
            <w:shd w:val="clear" w:color="auto" w:fill="FFFFFF"/>
            <w:vAlign w:val="center"/>
          </w:tcPr>
          <w:p w14:paraId="1038295B" w14:textId="77777777" w:rsidR="00716C2B" w:rsidRPr="007352B2" w:rsidRDefault="00716C2B" w:rsidP="00EA3678">
            <w:pPr>
              <w:spacing w:before="40" w:after="40"/>
              <w:jc w:val="center"/>
              <w:rPr>
                <w:rFonts w:ascii="Arial Narrow" w:hAnsi="Arial Narrow"/>
                <w:sz w:val="18"/>
                <w:szCs w:val="18"/>
              </w:rPr>
            </w:pPr>
          </w:p>
        </w:tc>
        <w:tc>
          <w:tcPr>
            <w:tcW w:w="1363" w:type="dxa"/>
            <w:vMerge/>
            <w:tcBorders>
              <w:bottom w:val="single" w:sz="12" w:space="0" w:color="95D600"/>
            </w:tcBorders>
            <w:shd w:val="clear" w:color="auto" w:fill="FFFFFF"/>
            <w:vAlign w:val="center"/>
          </w:tcPr>
          <w:p w14:paraId="55974F04" w14:textId="77777777" w:rsidR="00716C2B" w:rsidRPr="007352B2" w:rsidRDefault="00716C2B" w:rsidP="00EA3678">
            <w:pPr>
              <w:spacing w:before="40" w:after="40"/>
              <w:jc w:val="center"/>
              <w:rPr>
                <w:rFonts w:ascii="Arial Narrow" w:hAnsi="Arial Narrow"/>
                <w:sz w:val="18"/>
                <w:szCs w:val="18"/>
              </w:rPr>
            </w:pPr>
          </w:p>
        </w:tc>
        <w:tc>
          <w:tcPr>
            <w:tcW w:w="1351" w:type="dxa"/>
            <w:vMerge/>
            <w:tcBorders>
              <w:bottom w:val="single" w:sz="12" w:space="0" w:color="95D600"/>
            </w:tcBorders>
            <w:shd w:val="clear" w:color="auto" w:fill="FFFFFF"/>
            <w:vAlign w:val="center"/>
          </w:tcPr>
          <w:p w14:paraId="28BF26D2" w14:textId="77777777" w:rsidR="00716C2B" w:rsidRPr="007352B2" w:rsidRDefault="00716C2B" w:rsidP="00EA3678">
            <w:pPr>
              <w:spacing w:before="40" w:after="40"/>
              <w:jc w:val="center"/>
              <w:rPr>
                <w:rFonts w:ascii="Arial Narrow" w:hAnsi="Arial Narrow"/>
                <w:sz w:val="18"/>
                <w:szCs w:val="18"/>
              </w:rPr>
            </w:pPr>
          </w:p>
        </w:tc>
      </w:tr>
    </w:tbl>
    <w:p w14:paraId="0010E200" w14:textId="77777777" w:rsidR="007B26F3" w:rsidRDefault="007B26F3" w:rsidP="007B26F3"/>
    <w:p w14:paraId="22BAC47D" w14:textId="77777777" w:rsidR="00716C2B" w:rsidRPr="00716C2B" w:rsidRDefault="00716C2B" w:rsidP="00716C2B">
      <w:pPr>
        <w:rPr>
          <w:b/>
          <w:u w:val="single"/>
        </w:rPr>
      </w:pPr>
      <w:r w:rsidRPr="00716C2B">
        <w:rPr>
          <w:b/>
          <w:u w:val="single"/>
        </w:rPr>
        <w:t>Applicability and Penetration</w:t>
      </w:r>
    </w:p>
    <w:p w14:paraId="7210A283" w14:textId="77777777" w:rsidR="00716C2B" w:rsidRDefault="00716C2B" w:rsidP="00716C2B">
      <w:r w:rsidRPr="00716C2B">
        <w:t xml:space="preserve">Applicability of </w:t>
      </w:r>
      <w:r>
        <w:t>GC measures in the Industrial and A</w:t>
      </w:r>
      <w:r w:rsidRPr="00716C2B">
        <w:t xml:space="preserve">gricultural sectors is 100% because these measures are considered ubiquitous to all activities in all market segments. Because the forecasting approach assumes </w:t>
      </w:r>
      <w:r>
        <w:t>GC</w:t>
      </w:r>
      <w:r w:rsidRPr="00716C2B">
        <w:t xml:space="preserve"> measures will produce a static level of savings each year, penetration rates are meant to ultimately reflect current savings levels and do not vary over the forecast period. Penetration rates were held constant over the forecast horizon because facilities continually upgrade equipment and processes and it is likely that </w:t>
      </w:r>
      <w:r>
        <w:t>GC</w:t>
      </w:r>
      <w:r w:rsidRPr="00716C2B">
        <w:t xml:space="preserve"> measures will be installed at the same rate as past program activity.</w:t>
      </w:r>
    </w:p>
    <w:p w14:paraId="03375E6D" w14:textId="77777777" w:rsidR="00716C2B" w:rsidRPr="00716C2B" w:rsidRDefault="00716C2B" w:rsidP="00716C2B"/>
    <w:p w14:paraId="7E2E1F2F" w14:textId="77777777" w:rsidR="002A4C2F" w:rsidRPr="00B626F8" w:rsidRDefault="00716C2B" w:rsidP="00B626F8">
      <w:pPr>
        <w:rPr>
          <w:b/>
          <w:u w:val="single"/>
        </w:rPr>
      </w:pPr>
      <w:r>
        <w:rPr>
          <w:b/>
          <w:u w:val="single"/>
        </w:rPr>
        <w:t>Savings</w:t>
      </w:r>
      <w:bookmarkEnd w:id="1146"/>
    </w:p>
    <w:p w14:paraId="4A6F58FE" w14:textId="77777777" w:rsidR="002A4C2F" w:rsidRDefault="002A4C2F" w:rsidP="002A4C2F">
      <w:pPr>
        <w:spacing w:after="120"/>
        <w:contextualSpacing/>
      </w:pPr>
      <w:r>
        <w:t xml:space="preserve">The team conducted a </w:t>
      </w:r>
      <w:r w:rsidR="00716C2B">
        <w:t xml:space="preserve">literature </w:t>
      </w:r>
      <w:r>
        <w:t xml:space="preserve">review </w:t>
      </w:r>
      <w:r w:rsidR="00716C2B">
        <w:t>to define an approach to estimate savings</w:t>
      </w:r>
      <w:r>
        <w:t xml:space="preserve"> from GC measures</w:t>
      </w:r>
      <w:r w:rsidR="00716C2B">
        <w:t>:</w:t>
      </w:r>
      <w:r w:rsidR="00716C2B" w:rsidDel="00716C2B">
        <w:t xml:space="preserve"> </w:t>
      </w:r>
    </w:p>
    <w:p w14:paraId="2CB5F00D" w14:textId="77777777" w:rsidR="002A4C2F" w:rsidRDefault="002A4C2F" w:rsidP="004E4E36">
      <w:pPr>
        <w:pStyle w:val="ListParagraph"/>
        <w:numPr>
          <w:ilvl w:val="0"/>
          <w:numId w:val="53"/>
        </w:numPr>
        <w:spacing w:before="40" w:after="40" w:line="240" w:lineRule="auto"/>
        <w:contextualSpacing/>
      </w:pPr>
      <w:r>
        <w:t>2004-2005 Statewide Nonresidential Standard Performance Contract Program Measurement and Evaluation Study</w:t>
      </w:r>
      <w:r>
        <w:rPr>
          <w:rStyle w:val="FootnoteReference"/>
        </w:rPr>
        <w:footnoteReference w:id="178"/>
      </w:r>
    </w:p>
    <w:p w14:paraId="5AC6EC27" w14:textId="77777777" w:rsidR="002A4C2F" w:rsidRDefault="002A4C2F" w:rsidP="004E4E36">
      <w:pPr>
        <w:pStyle w:val="ListParagraph"/>
        <w:numPr>
          <w:ilvl w:val="0"/>
          <w:numId w:val="53"/>
        </w:numPr>
        <w:spacing w:before="40" w:after="40" w:line="240" w:lineRule="auto"/>
        <w:contextualSpacing/>
      </w:pPr>
      <w:r>
        <w:t>2006-2008 Evaluation Report for PG&amp;E Fabrication, Process</w:t>
      </w:r>
      <w:r w:rsidR="00325203">
        <w:t>,</w:t>
      </w:r>
      <w:r>
        <w:t xml:space="preserve"> and Manufacturing Contract Group</w:t>
      </w:r>
      <w:r>
        <w:rPr>
          <w:rStyle w:val="FootnoteReference"/>
        </w:rPr>
        <w:footnoteReference w:id="179"/>
      </w:r>
    </w:p>
    <w:p w14:paraId="1C5E6E4F" w14:textId="77777777" w:rsidR="002A4C2F" w:rsidRDefault="002A4C2F" w:rsidP="004E4E36">
      <w:pPr>
        <w:pStyle w:val="ListParagraph"/>
        <w:numPr>
          <w:ilvl w:val="0"/>
          <w:numId w:val="53"/>
        </w:numPr>
        <w:spacing w:before="40" w:after="40" w:line="240" w:lineRule="auto"/>
        <w:contextualSpacing/>
      </w:pPr>
      <w:r>
        <w:t>2006-2008 Evaluation Report for the Southern California Industrial and Agricultural Contract Group</w:t>
      </w:r>
      <w:r>
        <w:rPr>
          <w:rStyle w:val="FootnoteReference"/>
        </w:rPr>
        <w:footnoteReference w:id="180"/>
      </w:r>
      <w:r>
        <w:t xml:space="preserve"> </w:t>
      </w:r>
    </w:p>
    <w:p w14:paraId="6DBA93E1" w14:textId="77777777" w:rsidR="002A4C2F" w:rsidRDefault="002A4C2F" w:rsidP="004E4E36">
      <w:pPr>
        <w:pStyle w:val="ListParagraph"/>
        <w:numPr>
          <w:ilvl w:val="0"/>
          <w:numId w:val="53"/>
        </w:numPr>
        <w:spacing w:before="40" w:after="40" w:line="240" w:lineRule="auto"/>
        <w:contextualSpacing/>
      </w:pPr>
      <w:r>
        <w:t>2010-12 WO033 Custom Impact Evaluation Final Report</w:t>
      </w:r>
      <w:r>
        <w:rPr>
          <w:rStyle w:val="FootnoteReference"/>
        </w:rPr>
        <w:footnoteReference w:id="181"/>
      </w:r>
      <w:r>
        <w:t xml:space="preserve">  </w:t>
      </w:r>
    </w:p>
    <w:p w14:paraId="29C80E02" w14:textId="77777777" w:rsidR="002A4C2F" w:rsidRDefault="002A4C2F" w:rsidP="004E4E36">
      <w:pPr>
        <w:pStyle w:val="ListParagraph"/>
        <w:numPr>
          <w:ilvl w:val="0"/>
          <w:numId w:val="53"/>
        </w:numPr>
        <w:spacing w:before="40" w:after="40" w:line="240" w:lineRule="auto"/>
        <w:contextualSpacing/>
      </w:pPr>
      <w:r>
        <w:t>2010-12 WO033 Custom Net-to-Gross Final Report</w:t>
      </w:r>
      <w:r>
        <w:rPr>
          <w:rStyle w:val="FootnoteReference"/>
        </w:rPr>
        <w:footnoteReference w:id="182"/>
      </w:r>
    </w:p>
    <w:p w14:paraId="7ACE3286" w14:textId="77777777" w:rsidR="002A4C2F" w:rsidRDefault="002A4C2F" w:rsidP="004E4E36">
      <w:pPr>
        <w:pStyle w:val="ListParagraph"/>
        <w:numPr>
          <w:ilvl w:val="0"/>
          <w:numId w:val="53"/>
        </w:numPr>
        <w:spacing w:before="40" w:after="40" w:line="240" w:lineRule="auto"/>
        <w:contextualSpacing/>
      </w:pPr>
      <w:r>
        <w:lastRenderedPageBreak/>
        <w:t>Final Report 2013 Custom Impact Evaluation, Industrial, Agricultural, and Large Commercial Submitted to California Public Utilities Commission</w:t>
      </w:r>
      <w:r>
        <w:rPr>
          <w:rStyle w:val="FootnoteReference"/>
        </w:rPr>
        <w:footnoteReference w:id="183"/>
      </w:r>
    </w:p>
    <w:p w14:paraId="537529AD" w14:textId="77777777" w:rsidR="002A4C2F" w:rsidRDefault="002A4C2F" w:rsidP="004E4E36">
      <w:pPr>
        <w:pStyle w:val="ListParagraph"/>
        <w:numPr>
          <w:ilvl w:val="0"/>
          <w:numId w:val="53"/>
        </w:numPr>
        <w:spacing w:before="40" w:after="40" w:line="240" w:lineRule="auto"/>
        <w:contextualSpacing/>
      </w:pPr>
      <w:r>
        <w:t>Final Report 2014 Custom Impact Evaluation Industrial, Agricultural, and Large Commercial</w:t>
      </w:r>
      <w:r w:rsidR="00B626F8">
        <w:t>,</w:t>
      </w:r>
      <w:r>
        <w:t xml:space="preserve"> California Public Utilities Commission</w:t>
      </w:r>
      <w:r>
        <w:rPr>
          <w:rStyle w:val="FootnoteReference"/>
        </w:rPr>
        <w:footnoteReference w:id="184"/>
      </w:r>
      <w:r>
        <w:t xml:space="preserve">  </w:t>
      </w:r>
    </w:p>
    <w:p w14:paraId="50CCBA5F" w14:textId="77777777" w:rsidR="002A4C2F" w:rsidRDefault="002A4C2F" w:rsidP="004E4E36">
      <w:pPr>
        <w:pStyle w:val="ListParagraph"/>
        <w:numPr>
          <w:ilvl w:val="0"/>
          <w:numId w:val="53"/>
        </w:numPr>
        <w:spacing w:after="120" w:line="240" w:lineRule="auto"/>
        <w:contextualSpacing/>
      </w:pPr>
      <w:r>
        <w:t>2013 Ex-post Efficiency Savings and Performance Incentive (ESPI) Performance Statement Report</w:t>
      </w:r>
      <w:r>
        <w:rPr>
          <w:rStyle w:val="FootnoteReference"/>
        </w:rPr>
        <w:footnoteReference w:id="185"/>
      </w:r>
    </w:p>
    <w:p w14:paraId="5916B743" w14:textId="77777777" w:rsidR="002A4C2F" w:rsidRDefault="002A4C2F" w:rsidP="004E4E36">
      <w:pPr>
        <w:pStyle w:val="ListParagraph"/>
        <w:numPr>
          <w:ilvl w:val="0"/>
          <w:numId w:val="53"/>
        </w:numPr>
        <w:spacing w:before="0" w:after="120" w:line="240" w:lineRule="auto"/>
        <w:contextualSpacing/>
      </w:pPr>
      <w:r>
        <w:t>2014 Ex-Post Efficiency Savings and Performance Incentive (ESPI) Final Performance Statement Report</w:t>
      </w:r>
      <w:r>
        <w:rPr>
          <w:rStyle w:val="FootnoteReference"/>
        </w:rPr>
        <w:footnoteReference w:id="186"/>
      </w:r>
    </w:p>
    <w:p w14:paraId="57815CA1" w14:textId="77777777" w:rsidR="002A4C2F" w:rsidRDefault="002A4C2F" w:rsidP="004E4E36">
      <w:pPr>
        <w:pStyle w:val="ListParagraph"/>
        <w:numPr>
          <w:ilvl w:val="0"/>
          <w:numId w:val="53"/>
        </w:numPr>
        <w:spacing w:before="0" w:after="120" w:line="240" w:lineRule="auto"/>
        <w:contextualSpacing/>
      </w:pPr>
      <w:r>
        <w:t>E-4807 Draft Resolution</w:t>
      </w:r>
      <w:r>
        <w:rPr>
          <w:rStyle w:val="FootnoteReference"/>
        </w:rPr>
        <w:footnoteReference w:id="187"/>
      </w:r>
      <w:r>
        <w:t xml:space="preserve"> </w:t>
      </w:r>
    </w:p>
    <w:p w14:paraId="18CB7DC8" w14:textId="77777777" w:rsidR="002A4C2F" w:rsidRDefault="002A4C2F" w:rsidP="004E4E36">
      <w:pPr>
        <w:pStyle w:val="ListParagraph"/>
        <w:numPr>
          <w:ilvl w:val="0"/>
          <w:numId w:val="53"/>
        </w:numPr>
        <w:spacing w:before="0" w:after="120" w:line="240" w:lineRule="auto"/>
        <w:contextualSpacing/>
      </w:pPr>
      <w:r>
        <w:t>CPUC EEStats and CEDARS data for net program savings for the 2013-2015 program cycle.</w:t>
      </w:r>
    </w:p>
    <w:p w14:paraId="51A52DB5" w14:textId="77777777" w:rsidR="00B626F8" w:rsidRPr="00716C2B" w:rsidRDefault="00B626F8" w:rsidP="00B626F8">
      <w:bookmarkStart w:id="1148" w:name="_Toc484070676"/>
    </w:p>
    <w:p w14:paraId="48D7609B" w14:textId="77777777" w:rsidR="00716C2B" w:rsidRPr="00716C2B" w:rsidRDefault="00716C2B" w:rsidP="00716C2B">
      <w:r w:rsidRPr="00716C2B">
        <w:t xml:space="preserve">An analysis of data available through the </w:t>
      </w:r>
      <w:r>
        <w:t>EEStats portal</w:t>
      </w:r>
      <w:r w:rsidRPr="00716C2B">
        <w:t xml:space="preserve"> for programs operating from 2006 through 2015 was then completed to assess the contribution of GC measures</w:t>
      </w:r>
      <w:r>
        <w:t xml:space="preserve"> to the total savings in the Industrial and A</w:t>
      </w:r>
      <w:r w:rsidRPr="00716C2B">
        <w:t xml:space="preserve">gricultural sectors. Over this period, </w:t>
      </w:r>
      <w:r>
        <w:t>GC measures contributed 42% of Industrial and 62% of A</w:t>
      </w:r>
      <w:r w:rsidRPr="00716C2B">
        <w:t xml:space="preserve">gricultural sector net electricity savings, with similar percentage contributions for natural gas. Because data for the 2006 through 2012 portfolio was not of sufficient quality to accurately define </w:t>
      </w:r>
      <w:r>
        <w:t>GC</w:t>
      </w:r>
      <w:r w:rsidRPr="00716C2B">
        <w:t xml:space="preserve"> measures, and because 2015 data had not been fully vetted thorough EM&amp;V processes</w:t>
      </w:r>
      <w:r>
        <w:t>, the savings values in the 2018</w:t>
      </w:r>
      <w:r w:rsidRPr="00716C2B">
        <w:t xml:space="preserve"> </w:t>
      </w:r>
      <w:r>
        <w:t>s</w:t>
      </w:r>
      <w:r w:rsidRPr="00716C2B">
        <w:t xml:space="preserve">tudy are based on an analysis of </w:t>
      </w:r>
      <w:r>
        <w:t>GC</w:t>
      </w:r>
      <w:r w:rsidRPr="00716C2B">
        <w:t xml:space="preserve"> measure savings in the 2013 and 2014 program years. The study also benefited from ESPI reports for program years 2013 and 2014, which provided additional insights into gross and net savings for custom measures. Based on this analysis it was determined that generic custom measures save an average of 48.3 GWh annually in the Industrial sector, and 45.9 GWh annually in the Agricultural sector. Average annual natural </w:t>
      </w:r>
      <w:r>
        <w:t>g</w:t>
      </w:r>
      <w:r w:rsidRPr="00716C2B">
        <w:t>as savings are estimated to be 5.8 MMTherms in the Industrial sector, and 1.5 M</w:t>
      </w:r>
      <w:r>
        <w:t>MTherms annually in the A</w:t>
      </w:r>
      <w:r w:rsidRPr="00716C2B">
        <w:t xml:space="preserve">gricultural sector, as presented in </w:t>
      </w:r>
      <w:r w:rsidR="00D068F8">
        <w:t>Table F</w:t>
      </w:r>
      <w:r w:rsidR="007352B2">
        <w:t>-2</w:t>
      </w:r>
      <w:r w:rsidRPr="00716C2B">
        <w:t xml:space="preserve"> </w:t>
      </w:r>
    </w:p>
    <w:p w14:paraId="09A1EAB6" w14:textId="77777777" w:rsidR="00716C2B" w:rsidRPr="00716C2B" w:rsidRDefault="00716C2B" w:rsidP="00716C2B"/>
    <w:p w14:paraId="23B5F7C6" w14:textId="77777777" w:rsidR="00716C2B" w:rsidRDefault="00716C2B" w:rsidP="00716C2B">
      <w:r w:rsidRPr="00716C2B">
        <w:t>A GC unit energy savings (UES) multiplier was then developed by dividing annual average energy savings by average sector consumption forecast</w:t>
      </w:r>
      <w:r w:rsidR="00975236">
        <w:t>ed</w:t>
      </w:r>
      <w:r w:rsidRPr="00716C2B">
        <w:t xml:space="preserve"> for 2017 through 2030 for electricity and natura</w:t>
      </w:r>
      <w:r w:rsidR="00975236">
        <w:t xml:space="preserve">l gas.  This analysis defined </w:t>
      </w:r>
      <w:r w:rsidRPr="00716C2B">
        <w:t>GC UES multiplier</w:t>
      </w:r>
      <w:r w:rsidR="00975236">
        <w:t>s</w:t>
      </w:r>
      <w:r w:rsidRPr="00716C2B">
        <w:t xml:space="preserve"> of 0.16% of annual Industrial sector electric</w:t>
      </w:r>
      <w:r w:rsidR="00975236">
        <w:t>ity usage, 0.17% of annual I</w:t>
      </w:r>
      <w:r w:rsidRPr="00716C2B">
        <w:t xml:space="preserve">ndustrial </w:t>
      </w:r>
      <w:r w:rsidR="00975236">
        <w:t xml:space="preserve">sector natural </w:t>
      </w:r>
      <w:r w:rsidRPr="00716C2B">
        <w:t>gas usage,</w:t>
      </w:r>
      <w:r w:rsidR="00975236">
        <w:t xml:space="preserve"> 0.28% of annual Agricultural sector electricity usage, and 1.19% of annual Agricultural sector natural gas usage.</w:t>
      </w:r>
      <w:r w:rsidRPr="00716C2B">
        <w:t xml:space="preserve"> </w:t>
      </w:r>
      <w:r w:rsidR="00975236">
        <w:t>Summaries are</w:t>
      </w:r>
      <w:r w:rsidRPr="00716C2B">
        <w:t xml:space="preserve"> presented in</w:t>
      </w:r>
      <w:r w:rsidR="00975236">
        <w:t xml:space="preserve"> </w:t>
      </w:r>
      <w:r w:rsidR="00D068F8">
        <w:t>Table F</w:t>
      </w:r>
      <w:r w:rsidR="007352B2">
        <w:t>-2</w:t>
      </w:r>
    </w:p>
    <w:p w14:paraId="16EF2E7D" w14:textId="77777777" w:rsidR="007352B2" w:rsidRDefault="007352B2" w:rsidP="00716C2B"/>
    <w:p w14:paraId="70D736CB" w14:textId="77777777" w:rsidR="00B626F8" w:rsidRDefault="007352B2" w:rsidP="00B626F8">
      <w:pPr>
        <w:pStyle w:val="Caption"/>
      </w:pPr>
      <w:bookmarkStart w:id="1149" w:name="_Toc490226044"/>
      <w:r>
        <w:t xml:space="preserve">Table </w:t>
      </w:r>
      <w:fldSimple w:instr=" STYLEREF 5 \s ">
        <w:r w:rsidR="007566B9">
          <w:rPr>
            <w:noProof/>
          </w:rPr>
          <w:t>F</w:t>
        </w:r>
      </w:fldSimple>
      <w:r>
        <w:noBreakHyphen/>
      </w:r>
      <w:fldSimple w:instr=" SEQ Table_Apx \* ARABIC \s 5 ">
        <w:r w:rsidR="007566B9">
          <w:rPr>
            <w:noProof/>
          </w:rPr>
          <w:t>2</w:t>
        </w:r>
      </w:fldSimple>
      <w:r>
        <w:t xml:space="preserve">. </w:t>
      </w:r>
      <w:r w:rsidRPr="007352B2">
        <w:t>Generic Custom Unit Energy Savings Multiplier</w:t>
      </w:r>
      <w:bookmarkEnd w:id="1148"/>
      <w:bookmarkEnd w:id="1149"/>
    </w:p>
    <w:tbl>
      <w:tblPr>
        <w:tblStyle w:val="EnergyTable18"/>
        <w:tblW w:w="0" w:type="auto"/>
        <w:tblLayout w:type="fixed"/>
        <w:tblLook w:val="04A0" w:firstRow="1" w:lastRow="0" w:firstColumn="1" w:lastColumn="0" w:noHBand="0" w:noVBand="1"/>
      </w:tblPr>
      <w:tblGrid>
        <w:gridCol w:w="1872"/>
        <w:gridCol w:w="1872"/>
        <w:gridCol w:w="1872"/>
        <w:gridCol w:w="1872"/>
        <w:gridCol w:w="1872"/>
      </w:tblGrid>
      <w:tr w:rsidR="00D068F8" w:rsidRPr="00D068F8" w14:paraId="7BBD4EB2" w14:textId="77777777" w:rsidTr="003901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72" w:type="dxa"/>
          </w:tcPr>
          <w:p w14:paraId="0B5DEB3B" w14:textId="77777777" w:rsidR="00D068F8" w:rsidRPr="00D068F8" w:rsidRDefault="00D068F8" w:rsidP="00D068F8">
            <w:pPr>
              <w:rPr>
                <w:rFonts w:ascii="Arial Narrow" w:hAnsi="Arial Narrow"/>
                <w:sz w:val="18"/>
                <w:szCs w:val="18"/>
              </w:rPr>
            </w:pPr>
            <w:r w:rsidRPr="00D068F8">
              <w:rPr>
                <w:rFonts w:ascii="Arial Narrow" w:hAnsi="Arial Narrow"/>
                <w:sz w:val="18"/>
                <w:szCs w:val="18"/>
              </w:rPr>
              <w:t>Sector / Fuel</w:t>
            </w:r>
          </w:p>
        </w:tc>
        <w:tc>
          <w:tcPr>
            <w:tcW w:w="1872" w:type="dxa"/>
          </w:tcPr>
          <w:p w14:paraId="2D15F60D" w14:textId="77777777" w:rsidR="00D068F8" w:rsidRPr="00D068F8" w:rsidRDefault="00D068F8" w:rsidP="00D068F8">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D068F8">
              <w:rPr>
                <w:rFonts w:ascii="Arial Narrow" w:hAnsi="Arial Narrow"/>
                <w:sz w:val="18"/>
                <w:szCs w:val="18"/>
              </w:rPr>
              <w:t>2013 Program Year</w:t>
            </w:r>
          </w:p>
        </w:tc>
        <w:tc>
          <w:tcPr>
            <w:tcW w:w="1872" w:type="dxa"/>
          </w:tcPr>
          <w:p w14:paraId="3E8D0C5E" w14:textId="77777777" w:rsidR="00D068F8" w:rsidRPr="00D068F8" w:rsidRDefault="00D068F8" w:rsidP="00D068F8">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D068F8">
              <w:rPr>
                <w:rFonts w:ascii="Arial Narrow" w:hAnsi="Arial Narrow"/>
                <w:sz w:val="18"/>
                <w:szCs w:val="18"/>
              </w:rPr>
              <w:t>2014 Program Year</w:t>
            </w:r>
          </w:p>
        </w:tc>
        <w:tc>
          <w:tcPr>
            <w:tcW w:w="1872" w:type="dxa"/>
          </w:tcPr>
          <w:p w14:paraId="44203C1A" w14:textId="77777777" w:rsidR="00D068F8" w:rsidRPr="00D068F8" w:rsidRDefault="00D068F8" w:rsidP="00D068F8">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D068F8">
              <w:rPr>
                <w:rFonts w:ascii="Arial Narrow" w:hAnsi="Arial Narrow"/>
                <w:sz w:val="18"/>
                <w:szCs w:val="18"/>
              </w:rPr>
              <w:t>Average Annual Energy Savings</w:t>
            </w:r>
          </w:p>
        </w:tc>
        <w:tc>
          <w:tcPr>
            <w:tcW w:w="1872" w:type="dxa"/>
          </w:tcPr>
          <w:p w14:paraId="23AE9600" w14:textId="77777777" w:rsidR="00D068F8" w:rsidRPr="00D068F8" w:rsidRDefault="00D068F8" w:rsidP="00D068F8">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D068F8">
              <w:rPr>
                <w:rFonts w:ascii="Arial Narrow" w:hAnsi="Arial Narrow"/>
                <w:sz w:val="18"/>
                <w:szCs w:val="18"/>
              </w:rPr>
              <w:t>GC UES Multiplier</w:t>
            </w:r>
          </w:p>
        </w:tc>
      </w:tr>
      <w:tr w:rsidR="00D068F8" w:rsidRPr="00D068F8" w14:paraId="7632C905" w14:textId="77777777" w:rsidTr="00390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5"/>
          </w:tcPr>
          <w:p w14:paraId="2880F48F" w14:textId="77777777" w:rsidR="00D068F8" w:rsidRPr="00D068F8" w:rsidRDefault="00D068F8" w:rsidP="00D068F8">
            <w:pPr>
              <w:rPr>
                <w:rFonts w:ascii="Arial Narrow" w:hAnsi="Arial Narrow"/>
                <w:b/>
                <w:sz w:val="18"/>
                <w:szCs w:val="18"/>
              </w:rPr>
            </w:pPr>
            <w:r w:rsidRPr="00D068F8">
              <w:rPr>
                <w:rFonts w:ascii="Arial Narrow" w:hAnsi="Arial Narrow"/>
                <w:b/>
                <w:sz w:val="18"/>
                <w:szCs w:val="18"/>
              </w:rPr>
              <w:t>Industrial Generic Custom (Net)</w:t>
            </w:r>
          </w:p>
        </w:tc>
      </w:tr>
      <w:tr w:rsidR="00D068F8" w:rsidRPr="00D068F8" w14:paraId="05F7960C" w14:textId="77777777" w:rsidTr="003901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vAlign w:val="top"/>
          </w:tcPr>
          <w:p w14:paraId="1556B211" w14:textId="77777777" w:rsidR="00D068F8" w:rsidRPr="00D068F8" w:rsidRDefault="00D068F8" w:rsidP="00D068F8">
            <w:pPr>
              <w:rPr>
                <w:rFonts w:ascii="Arial Narrow" w:hAnsi="Arial Narrow"/>
                <w:sz w:val="18"/>
                <w:szCs w:val="18"/>
              </w:rPr>
            </w:pPr>
            <w:r w:rsidRPr="00D068F8">
              <w:rPr>
                <w:rFonts w:ascii="Arial Narrow" w:hAnsi="Arial Narrow"/>
                <w:sz w:val="18"/>
                <w:szCs w:val="18"/>
              </w:rPr>
              <w:t>GWh</w:t>
            </w:r>
          </w:p>
        </w:tc>
        <w:tc>
          <w:tcPr>
            <w:tcW w:w="1872" w:type="dxa"/>
            <w:vAlign w:val="top"/>
          </w:tcPr>
          <w:p w14:paraId="39F9E35C" w14:textId="77777777" w:rsidR="00D068F8" w:rsidRPr="00D068F8" w:rsidRDefault="00D068F8" w:rsidP="00D068F8">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068F8">
              <w:rPr>
                <w:rFonts w:ascii="Arial Narrow" w:hAnsi="Arial Narrow"/>
                <w:sz w:val="18"/>
                <w:szCs w:val="18"/>
              </w:rPr>
              <w:t>47.1</w:t>
            </w:r>
          </w:p>
        </w:tc>
        <w:tc>
          <w:tcPr>
            <w:tcW w:w="1872" w:type="dxa"/>
            <w:vAlign w:val="top"/>
          </w:tcPr>
          <w:p w14:paraId="42940834" w14:textId="77777777" w:rsidR="00D068F8" w:rsidRPr="00D068F8" w:rsidRDefault="00D068F8" w:rsidP="00D068F8">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068F8">
              <w:rPr>
                <w:rFonts w:ascii="Arial Narrow" w:hAnsi="Arial Narrow"/>
                <w:sz w:val="18"/>
                <w:szCs w:val="18"/>
              </w:rPr>
              <w:t>49.5</w:t>
            </w:r>
          </w:p>
        </w:tc>
        <w:tc>
          <w:tcPr>
            <w:tcW w:w="1872" w:type="dxa"/>
            <w:vAlign w:val="top"/>
          </w:tcPr>
          <w:p w14:paraId="440B8D2E" w14:textId="77777777" w:rsidR="00D068F8" w:rsidRPr="00D068F8" w:rsidRDefault="00D068F8" w:rsidP="00D068F8">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068F8">
              <w:rPr>
                <w:rFonts w:ascii="Arial Narrow" w:hAnsi="Arial Narrow"/>
                <w:sz w:val="18"/>
                <w:szCs w:val="18"/>
              </w:rPr>
              <w:t>48.3</w:t>
            </w:r>
          </w:p>
        </w:tc>
        <w:tc>
          <w:tcPr>
            <w:tcW w:w="1872" w:type="dxa"/>
          </w:tcPr>
          <w:p w14:paraId="0A33F2D5" w14:textId="77777777" w:rsidR="00D068F8" w:rsidRPr="00D068F8" w:rsidRDefault="00D068F8" w:rsidP="00D068F8">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068F8">
              <w:rPr>
                <w:rFonts w:ascii="Arial Narrow" w:hAnsi="Arial Narrow"/>
                <w:sz w:val="18"/>
                <w:szCs w:val="18"/>
              </w:rPr>
              <w:t>0.16%</w:t>
            </w:r>
          </w:p>
        </w:tc>
      </w:tr>
      <w:tr w:rsidR="00D068F8" w:rsidRPr="00D068F8" w14:paraId="1C3C70D2" w14:textId="77777777" w:rsidTr="00390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vAlign w:val="top"/>
          </w:tcPr>
          <w:p w14:paraId="0643F479" w14:textId="77777777" w:rsidR="00D068F8" w:rsidRPr="00D068F8" w:rsidRDefault="00D068F8" w:rsidP="00D068F8">
            <w:pPr>
              <w:rPr>
                <w:rFonts w:ascii="Arial Narrow" w:hAnsi="Arial Narrow"/>
                <w:sz w:val="18"/>
                <w:szCs w:val="18"/>
              </w:rPr>
            </w:pPr>
            <w:r w:rsidRPr="00D068F8">
              <w:rPr>
                <w:rFonts w:ascii="Arial Narrow" w:hAnsi="Arial Narrow"/>
                <w:sz w:val="18"/>
                <w:szCs w:val="18"/>
              </w:rPr>
              <w:t>MMTherm</w:t>
            </w:r>
          </w:p>
        </w:tc>
        <w:tc>
          <w:tcPr>
            <w:tcW w:w="1872" w:type="dxa"/>
            <w:vAlign w:val="top"/>
          </w:tcPr>
          <w:p w14:paraId="78067C94" w14:textId="77777777" w:rsidR="00D068F8" w:rsidRPr="00D068F8" w:rsidRDefault="00D068F8" w:rsidP="00D068F8">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068F8">
              <w:rPr>
                <w:rFonts w:ascii="Arial Narrow" w:hAnsi="Arial Narrow"/>
                <w:sz w:val="18"/>
                <w:szCs w:val="18"/>
              </w:rPr>
              <w:t>5.0</w:t>
            </w:r>
          </w:p>
        </w:tc>
        <w:tc>
          <w:tcPr>
            <w:tcW w:w="1872" w:type="dxa"/>
            <w:vAlign w:val="top"/>
          </w:tcPr>
          <w:p w14:paraId="2BE62391" w14:textId="77777777" w:rsidR="00D068F8" w:rsidRPr="00D068F8" w:rsidRDefault="00D068F8" w:rsidP="00D068F8">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068F8">
              <w:rPr>
                <w:rFonts w:ascii="Arial Narrow" w:hAnsi="Arial Narrow"/>
                <w:sz w:val="18"/>
                <w:szCs w:val="18"/>
              </w:rPr>
              <w:t>6.7</w:t>
            </w:r>
          </w:p>
        </w:tc>
        <w:tc>
          <w:tcPr>
            <w:tcW w:w="1872" w:type="dxa"/>
            <w:vAlign w:val="top"/>
          </w:tcPr>
          <w:p w14:paraId="36EF376F" w14:textId="77777777" w:rsidR="00D068F8" w:rsidRPr="00D068F8" w:rsidRDefault="00D068F8" w:rsidP="00D068F8">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068F8">
              <w:rPr>
                <w:rFonts w:ascii="Arial Narrow" w:hAnsi="Arial Narrow"/>
                <w:sz w:val="18"/>
                <w:szCs w:val="18"/>
              </w:rPr>
              <w:t>5.8</w:t>
            </w:r>
          </w:p>
        </w:tc>
        <w:tc>
          <w:tcPr>
            <w:tcW w:w="1872" w:type="dxa"/>
          </w:tcPr>
          <w:p w14:paraId="122E7B4A" w14:textId="77777777" w:rsidR="00D068F8" w:rsidRPr="00D068F8" w:rsidRDefault="00D068F8" w:rsidP="00D068F8">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068F8">
              <w:rPr>
                <w:rFonts w:ascii="Arial Narrow" w:hAnsi="Arial Narrow"/>
                <w:sz w:val="18"/>
                <w:szCs w:val="18"/>
              </w:rPr>
              <w:t>0.17%</w:t>
            </w:r>
          </w:p>
        </w:tc>
      </w:tr>
      <w:tr w:rsidR="00D068F8" w:rsidRPr="00D068F8" w14:paraId="63319A92" w14:textId="77777777" w:rsidTr="003901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5"/>
          </w:tcPr>
          <w:p w14:paraId="55C0DED6" w14:textId="77777777" w:rsidR="00D068F8" w:rsidRPr="00D068F8" w:rsidRDefault="00D068F8" w:rsidP="00D068F8">
            <w:pPr>
              <w:rPr>
                <w:rFonts w:ascii="Arial Narrow" w:hAnsi="Arial Narrow"/>
                <w:b/>
                <w:sz w:val="18"/>
                <w:szCs w:val="18"/>
              </w:rPr>
            </w:pPr>
            <w:r w:rsidRPr="00D068F8">
              <w:rPr>
                <w:rFonts w:ascii="Arial Narrow" w:hAnsi="Arial Narrow"/>
                <w:b/>
                <w:sz w:val="18"/>
                <w:szCs w:val="18"/>
              </w:rPr>
              <w:t>Agricultural Generic Custom (Net)</w:t>
            </w:r>
          </w:p>
        </w:tc>
      </w:tr>
      <w:tr w:rsidR="00D068F8" w:rsidRPr="00D068F8" w14:paraId="514EE08C" w14:textId="77777777" w:rsidTr="00390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vAlign w:val="top"/>
          </w:tcPr>
          <w:p w14:paraId="0103C349" w14:textId="77777777" w:rsidR="00D068F8" w:rsidRPr="00D068F8" w:rsidRDefault="00D068F8" w:rsidP="00D068F8">
            <w:pPr>
              <w:rPr>
                <w:rFonts w:ascii="Arial Narrow" w:hAnsi="Arial Narrow"/>
                <w:sz w:val="18"/>
                <w:szCs w:val="18"/>
              </w:rPr>
            </w:pPr>
            <w:r w:rsidRPr="00D068F8">
              <w:rPr>
                <w:rFonts w:ascii="Arial Narrow" w:hAnsi="Arial Narrow"/>
                <w:sz w:val="18"/>
                <w:szCs w:val="18"/>
              </w:rPr>
              <w:t>GWh</w:t>
            </w:r>
          </w:p>
        </w:tc>
        <w:tc>
          <w:tcPr>
            <w:tcW w:w="1872" w:type="dxa"/>
            <w:vAlign w:val="top"/>
          </w:tcPr>
          <w:p w14:paraId="08677EBF" w14:textId="77777777" w:rsidR="00D068F8" w:rsidRPr="00D068F8" w:rsidRDefault="00D068F8" w:rsidP="00D068F8">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068F8">
              <w:rPr>
                <w:rFonts w:ascii="Arial Narrow" w:hAnsi="Arial Narrow"/>
                <w:sz w:val="18"/>
                <w:szCs w:val="18"/>
              </w:rPr>
              <w:t>44.4</w:t>
            </w:r>
          </w:p>
        </w:tc>
        <w:tc>
          <w:tcPr>
            <w:tcW w:w="1872" w:type="dxa"/>
            <w:vAlign w:val="top"/>
          </w:tcPr>
          <w:p w14:paraId="057613D9" w14:textId="77777777" w:rsidR="00D068F8" w:rsidRPr="00D068F8" w:rsidRDefault="00D068F8" w:rsidP="00D068F8">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068F8">
              <w:rPr>
                <w:rFonts w:ascii="Arial Narrow" w:hAnsi="Arial Narrow"/>
                <w:sz w:val="18"/>
                <w:szCs w:val="18"/>
              </w:rPr>
              <w:t>47.4</w:t>
            </w:r>
          </w:p>
        </w:tc>
        <w:tc>
          <w:tcPr>
            <w:tcW w:w="1872" w:type="dxa"/>
            <w:vAlign w:val="top"/>
          </w:tcPr>
          <w:p w14:paraId="1DE41C20" w14:textId="77777777" w:rsidR="00D068F8" w:rsidRPr="00D068F8" w:rsidRDefault="00D068F8" w:rsidP="00D068F8">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068F8">
              <w:rPr>
                <w:rFonts w:ascii="Arial Narrow" w:hAnsi="Arial Narrow"/>
                <w:sz w:val="18"/>
                <w:szCs w:val="18"/>
              </w:rPr>
              <w:t>45.9</w:t>
            </w:r>
          </w:p>
        </w:tc>
        <w:tc>
          <w:tcPr>
            <w:tcW w:w="1872" w:type="dxa"/>
          </w:tcPr>
          <w:p w14:paraId="5317C0DE" w14:textId="77777777" w:rsidR="00D068F8" w:rsidRPr="00D068F8" w:rsidRDefault="00D068F8" w:rsidP="00D068F8">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068F8">
              <w:rPr>
                <w:rFonts w:ascii="Arial Narrow" w:hAnsi="Arial Narrow"/>
                <w:sz w:val="18"/>
                <w:szCs w:val="18"/>
              </w:rPr>
              <w:t>0.28%</w:t>
            </w:r>
          </w:p>
        </w:tc>
      </w:tr>
      <w:tr w:rsidR="00D068F8" w:rsidRPr="00D068F8" w14:paraId="412B1827" w14:textId="77777777" w:rsidTr="003901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vAlign w:val="top"/>
          </w:tcPr>
          <w:p w14:paraId="5A093F90" w14:textId="77777777" w:rsidR="00D068F8" w:rsidRPr="00D068F8" w:rsidRDefault="00D068F8" w:rsidP="00D068F8">
            <w:pPr>
              <w:rPr>
                <w:rFonts w:ascii="Arial Narrow" w:hAnsi="Arial Narrow"/>
                <w:sz w:val="18"/>
                <w:szCs w:val="18"/>
              </w:rPr>
            </w:pPr>
            <w:r w:rsidRPr="00D068F8">
              <w:rPr>
                <w:rFonts w:ascii="Arial Narrow" w:hAnsi="Arial Narrow"/>
                <w:sz w:val="18"/>
                <w:szCs w:val="18"/>
              </w:rPr>
              <w:t>MMTherm</w:t>
            </w:r>
          </w:p>
        </w:tc>
        <w:tc>
          <w:tcPr>
            <w:tcW w:w="1872" w:type="dxa"/>
            <w:vAlign w:val="top"/>
          </w:tcPr>
          <w:p w14:paraId="2FD855F3" w14:textId="77777777" w:rsidR="00D068F8" w:rsidRPr="00D068F8" w:rsidRDefault="00D068F8" w:rsidP="00D068F8">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068F8">
              <w:rPr>
                <w:rFonts w:ascii="Arial Narrow" w:hAnsi="Arial Narrow"/>
                <w:sz w:val="18"/>
                <w:szCs w:val="18"/>
              </w:rPr>
              <w:t>0.41</w:t>
            </w:r>
          </w:p>
        </w:tc>
        <w:tc>
          <w:tcPr>
            <w:tcW w:w="1872" w:type="dxa"/>
            <w:vAlign w:val="top"/>
          </w:tcPr>
          <w:p w14:paraId="19660E91" w14:textId="77777777" w:rsidR="00D068F8" w:rsidRPr="00D068F8" w:rsidRDefault="00D068F8" w:rsidP="00D068F8">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068F8">
              <w:rPr>
                <w:rFonts w:ascii="Arial Narrow" w:hAnsi="Arial Narrow"/>
                <w:sz w:val="18"/>
                <w:szCs w:val="18"/>
              </w:rPr>
              <w:t>2.50</w:t>
            </w:r>
          </w:p>
        </w:tc>
        <w:tc>
          <w:tcPr>
            <w:tcW w:w="1872" w:type="dxa"/>
            <w:vAlign w:val="top"/>
          </w:tcPr>
          <w:p w14:paraId="7B49887E" w14:textId="77777777" w:rsidR="00D068F8" w:rsidRPr="00D068F8" w:rsidRDefault="00D068F8" w:rsidP="00D068F8">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068F8">
              <w:rPr>
                <w:rFonts w:ascii="Arial Narrow" w:hAnsi="Arial Narrow"/>
                <w:sz w:val="18"/>
                <w:szCs w:val="18"/>
              </w:rPr>
              <w:t>1.46</w:t>
            </w:r>
          </w:p>
        </w:tc>
        <w:tc>
          <w:tcPr>
            <w:tcW w:w="1872" w:type="dxa"/>
          </w:tcPr>
          <w:p w14:paraId="4F065657" w14:textId="77777777" w:rsidR="00D068F8" w:rsidRPr="00D068F8" w:rsidRDefault="00D068F8" w:rsidP="00D068F8">
            <w:pP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D068F8">
              <w:rPr>
                <w:rFonts w:ascii="Arial Narrow" w:hAnsi="Arial Narrow"/>
                <w:sz w:val="18"/>
                <w:szCs w:val="18"/>
              </w:rPr>
              <w:t>1.20%</w:t>
            </w:r>
          </w:p>
        </w:tc>
      </w:tr>
    </w:tbl>
    <w:p w14:paraId="2D4A7420" w14:textId="77777777" w:rsidR="002A4C2F" w:rsidRPr="001A5D37" w:rsidRDefault="0051633E" w:rsidP="0051633E">
      <w:pPr>
        <w:jc w:val="center"/>
        <w:rPr>
          <w:rFonts w:cs="Arial"/>
          <w:i/>
          <w:sz w:val="16"/>
          <w:szCs w:val="16"/>
        </w:rPr>
      </w:pPr>
      <w:r w:rsidRPr="001A5D37">
        <w:rPr>
          <w:rFonts w:cs="Arial"/>
          <w:i/>
          <w:sz w:val="16"/>
          <w:szCs w:val="16"/>
        </w:rPr>
        <w:lastRenderedPageBreak/>
        <w:t xml:space="preserve">Source: Navigant analysis of EEStats and </w:t>
      </w:r>
      <w:r w:rsidR="001A5D37" w:rsidRPr="001A5D37">
        <w:rPr>
          <w:rFonts w:cs="Arial"/>
          <w:i/>
          <w:sz w:val="16"/>
          <w:szCs w:val="16"/>
        </w:rPr>
        <w:t>identified literature</w:t>
      </w:r>
    </w:p>
    <w:p w14:paraId="1C55AEF1" w14:textId="77777777" w:rsidR="0051633E" w:rsidRPr="0051633E" w:rsidRDefault="0051633E" w:rsidP="002A4C2F">
      <w:pPr>
        <w:rPr>
          <w:rFonts w:cs="Arial"/>
          <w:sz w:val="22"/>
        </w:rPr>
      </w:pPr>
    </w:p>
    <w:p w14:paraId="1E2519B0" w14:textId="77777777" w:rsidR="007E5E90" w:rsidRDefault="00F07231" w:rsidP="002A4C2F">
      <w:r w:rsidRPr="00F07231">
        <w:t>The GC UES multiplier was held constant throughout the forecast horizon and was applied to the consumption forecast for each market segment level throughout the forecast horizon using the following equation:</w:t>
      </w:r>
    </w:p>
    <w:p w14:paraId="10572904" w14:textId="77777777" w:rsidR="007E5E90" w:rsidRPr="004C3E4D" w:rsidRDefault="007E5E90" w:rsidP="004C3E4D">
      <w:pPr>
        <w:pStyle w:val="Caption"/>
        <w:rPr>
          <w:lang w:val="en-CA"/>
        </w:rPr>
      </w:pPr>
      <w:r w:rsidRPr="00321BF9">
        <w:t xml:space="preserve">Equation </w:t>
      </w:r>
      <w:fldSimple w:instr=" SEQ Equation \* ARABIC ">
        <w:r w:rsidR="007566B9">
          <w:rPr>
            <w:noProof/>
          </w:rPr>
          <w:t>3</w:t>
        </w:r>
      </w:fldSimple>
      <w:r w:rsidRPr="00321BF9">
        <w:t>.</w:t>
      </w:r>
      <w:r w:rsidR="004C3E4D">
        <w:t>G</w:t>
      </w:r>
      <w:r w:rsidR="00A40F34">
        <w:t>eneric Custom</w:t>
      </w:r>
      <w:r w:rsidR="004C3E4D">
        <w:t xml:space="preserve"> Segment Net Savings Potential</w:t>
      </w:r>
    </w:p>
    <w:p w14:paraId="7ACD3B24" w14:textId="77777777" w:rsidR="002A4C2F" w:rsidRPr="007352B2" w:rsidRDefault="002A4C2F" w:rsidP="004C3E4D">
      <w:pPr>
        <w:ind w:left="720"/>
        <w:jc w:val="center"/>
        <w:rPr>
          <w:rFonts w:ascii="Cambria Math" w:hAnsi="Cambria Math" w:cs="Cambria Math"/>
          <w:i/>
        </w:rPr>
      </w:pPr>
      <w:r w:rsidRPr="007352B2">
        <w:rPr>
          <w:rFonts w:ascii="Cambria Math" w:hAnsi="Cambria Math" w:cs="Cambria Math"/>
          <w:i/>
        </w:rPr>
        <w:t>GC segment level EE net savings potential = GC UES Multiplier x Annual Segment Consumption</w:t>
      </w:r>
      <w:r w:rsidR="004C3E4D" w:rsidRPr="007352B2">
        <w:rPr>
          <w:rStyle w:val="FootnoteReference"/>
          <w:rFonts w:cs="Cambria Math"/>
          <w:i/>
        </w:rPr>
        <w:footnoteReference w:id="188"/>
      </w:r>
    </w:p>
    <w:p w14:paraId="2E62D93A" w14:textId="77777777" w:rsidR="002A4C2F" w:rsidRDefault="002A4C2F" w:rsidP="002A4C2F">
      <w:pPr>
        <w:rPr>
          <w:highlight w:val="yellow"/>
        </w:rPr>
      </w:pPr>
    </w:p>
    <w:p w14:paraId="2134575F" w14:textId="77777777" w:rsidR="00F07231" w:rsidRPr="00E0196A" w:rsidRDefault="00F07231" w:rsidP="002A4C2F">
      <w:pPr>
        <w:rPr>
          <w:b/>
          <w:u w:val="single"/>
        </w:rPr>
      </w:pPr>
      <w:r>
        <w:rPr>
          <w:b/>
          <w:u w:val="single"/>
        </w:rPr>
        <w:t>Other Input Assumptions</w:t>
      </w:r>
    </w:p>
    <w:p w14:paraId="70088E0F" w14:textId="77777777" w:rsidR="00F07231" w:rsidRDefault="00F07231" w:rsidP="00F07231">
      <w:r>
        <w:t>Because generic custom measures tend to be larger capital investments that operate for long periods of time an EUL of 15 years was used in the forecasts.</w:t>
      </w:r>
    </w:p>
    <w:p w14:paraId="133EB848" w14:textId="77777777" w:rsidR="00F07231" w:rsidRDefault="00F07231" w:rsidP="00F07231"/>
    <w:p w14:paraId="68306C1C" w14:textId="77777777" w:rsidR="00F07231" w:rsidRDefault="00F07231" w:rsidP="00F07231">
      <w:r>
        <w:t>A ratio of kW to kWh of 0.000195 was applied.</w:t>
      </w:r>
    </w:p>
    <w:p w14:paraId="24B052BA" w14:textId="77777777" w:rsidR="00F07231" w:rsidRDefault="00F07231" w:rsidP="00F07231"/>
    <w:p w14:paraId="1B627A45" w14:textId="77777777" w:rsidR="00F07231" w:rsidRDefault="00F07231" w:rsidP="00F07231">
      <w:pPr>
        <w:rPr>
          <w:highlight w:val="yellow"/>
        </w:rPr>
      </w:pPr>
      <w:r>
        <w:t>Finally, costs for electricity and natural gas savings are based on an analysis of industrial and agricultural programs operating throughout 2016. They are estimated at $0.33/kWh and $2.25/therm, and they are applied consistently across sectors and utilities.</w:t>
      </w:r>
      <w:r w:rsidRPr="00F07231">
        <w:t xml:space="preserve"> </w:t>
      </w:r>
    </w:p>
    <w:p w14:paraId="2BF97498" w14:textId="77777777" w:rsidR="002A4C2F" w:rsidRPr="00F52378" w:rsidRDefault="007352B2" w:rsidP="00F52378">
      <w:pPr>
        <w:pStyle w:val="Heading6"/>
      </w:pPr>
      <w:bookmarkStart w:id="1150" w:name="_Toc484070681"/>
      <w:bookmarkStart w:id="1151" w:name="_Toc484092529"/>
      <w:bookmarkStart w:id="1152" w:name="_Toc484172734"/>
      <w:bookmarkStart w:id="1153" w:name="_Toc484183081"/>
      <w:bookmarkStart w:id="1154" w:name="_Toc490225847"/>
      <w:r>
        <w:t xml:space="preserve">Ind/Ag </w:t>
      </w:r>
      <w:r w:rsidR="002A4C2F">
        <w:t>Emerging Technology Measures</w:t>
      </w:r>
      <w:bookmarkEnd w:id="1150"/>
      <w:bookmarkEnd w:id="1151"/>
      <w:bookmarkEnd w:id="1152"/>
      <w:bookmarkEnd w:id="1153"/>
      <w:bookmarkEnd w:id="1154"/>
    </w:p>
    <w:p w14:paraId="1BFAC8A8" w14:textId="77777777" w:rsidR="00E0196A" w:rsidRDefault="00E0196A" w:rsidP="00E0196A">
      <w:pPr>
        <w:rPr>
          <w:b/>
          <w:u w:val="single"/>
        </w:rPr>
      </w:pPr>
      <w:bookmarkStart w:id="1155" w:name="_Toc484070682"/>
      <w:r w:rsidRPr="007B26F3">
        <w:rPr>
          <w:b/>
          <w:u w:val="single"/>
        </w:rPr>
        <w:t xml:space="preserve">Summary </w:t>
      </w:r>
    </w:p>
    <w:p w14:paraId="7EF09BE9" w14:textId="77777777" w:rsidR="007352B2" w:rsidRPr="007B26F3" w:rsidRDefault="007352B2" w:rsidP="00E0196A">
      <w:pPr>
        <w:rPr>
          <w:b/>
          <w:u w:val="single"/>
        </w:rPr>
      </w:pPr>
    </w:p>
    <w:p w14:paraId="6F9A3367" w14:textId="77777777" w:rsidR="00E0196A" w:rsidRDefault="00E0196A" w:rsidP="00E0196A">
      <w:r>
        <w:t>In the context of the 2018 PG Study, emerging technologies (ETs) are new technologies that have demonstrated energy benefits to the Industrial and Agricultural sectors, but are not yet widely adopted in the market. The team evaluated ETs at varying stages along the path to market readiness – some were just demonstrated in a laboratory or research setting, and others had been proven effective through pilot tests and are in early commercial adoption. The following provides a description of the methodology used to evaluate the emerging technology market.</w:t>
      </w:r>
    </w:p>
    <w:p w14:paraId="09B2D6B4" w14:textId="77777777" w:rsidR="00E0196A" w:rsidRDefault="00E0196A" w:rsidP="00E0196A"/>
    <w:p w14:paraId="2CE37A9A" w14:textId="77777777" w:rsidR="00E0196A" w:rsidRDefault="00936C30" w:rsidP="00E0196A">
      <w:r>
        <w:t>T</w:t>
      </w:r>
      <w:r w:rsidR="00E0196A" w:rsidRPr="00E0196A">
        <w:t>he Assumptions and Methodology</w:t>
      </w:r>
      <w:r w:rsidR="00E0196A">
        <w:t xml:space="preserve"> section</w:t>
      </w:r>
      <w:r w:rsidR="00E0196A" w:rsidRPr="00E0196A">
        <w:t xml:space="preserve"> </w:t>
      </w:r>
      <w:r>
        <w:t xml:space="preserve">discusses the process used to develop the </w:t>
      </w:r>
      <w:r w:rsidR="00E0196A" w:rsidRPr="00E0196A">
        <w:t>model inputs for energy sa</w:t>
      </w:r>
      <w:r>
        <w:t>vings that are also</w:t>
      </w:r>
      <w:r w:rsidR="00D068F8">
        <w:t xml:space="preserve"> summarized in Table F</w:t>
      </w:r>
      <w:r w:rsidR="00E0196A">
        <w:t>-</w:t>
      </w:r>
      <w:r w:rsidR="007352B2">
        <w:t>3</w:t>
      </w:r>
      <w:r w:rsidR="00E0196A">
        <w:t xml:space="preserve">. </w:t>
      </w:r>
      <w:r w:rsidR="00E0196A" w:rsidRPr="00E0196A">
        <w:t>Segment-specific electric and gas savings are consistently applied across all utilities. Costs, EUL, and the kW/kWh savings ratio are also universally applied.</w:t>
      </w:r>
    </w:p>
    <w:p w14:paraId="2DE33D2A" w14:textId="77777777" w:rsidR="00E0196A" w:rsidRDefault="00E0196A" w:rsidP="00E0196A"/>
    <w:p w14:paraId="01AE3839" w14:textId="77777777" w:rsidR="00E0196A" w:rsidRPr="00B57F57" w:rsidRDefault="00E0196A" w:rsidP="00E0196A">
      <w:pPr>
        <w:pStyle w:val="Caption"/>
        <w:rPr>
          <w:b w:val="0"/>
          <w:szCs w:val="24"/>
        </w:rPr>
      </w:pPr>
      <w:bookmarkStart w:id="1156" w:name="_Toc490226045"/>
      <w:r>
        <w:t xml:space="preserve">Table </w:t>
      </w:r>
      <w:fldSimple w:instr=" STYLEREF 5 \s ">
        <w:r w:rsidR="007566B9">
          <w:rPr>
            <w:noProof/>
          </w:rPr>
          <w:t>F</w:t>
        </w:r>
      </w:fldSimple>
      <w:r>
        <w:noBreakHyphen/>
      </w:r>
      <w:fldSimple w:instr=" SEQ Table_Apx \* ARABIC \s 5 ">
        <w:r w:rsidR="007566B9">
          <w:rPr>
            <w:noProof/>
          </w:rPr>
          <w:t>3</w:t>
        </w:r>
      </w:fldSimple>
      <w:r>
        <w:t>. Industrial/Agriculture ET - Key Assumptions</w:t>
      </w:r>
      <w:bookmarkEnd w:id="1156"/>
    </w:p>
    <w:tbl>
      <w:tblPr>
        <w:tblW w:w="9450" w:type="dxa"/>
        <w:jc w:val="center"/>
        <w:tblBorders>
          <w:bottom w:val="single" w:sz="8" w:space="0" w:color="555759"/>
          <w:insideH w:val="single" w:sz="4" w:space="0" w:color="DCDDDE"/>
        </w:tblBorders>
        <w:tblLayout w:type="fixed"/>
        <w:tblLook w:val="04A0" w:firstRow="1" w:lastRow="0" w:firstColumn="1" w:lastColumn="0" w:noHBand="0" w:noVBand="1"/>
      </w:tblPr>
      <w:tblGrid>
        <w:gridCol w:w="1106"/>
        <w:gridCol w:w="1650"/>
        <w:gridCol w:w="964"/>
        <w:gridCol w:w="1006"/>
        <w:gridCol w:w="1088"/>
        <w:gridCol w:w="924"/>
        <w:gridCol w:w="1362"/>
        <w:gridCol w:w="1350"/>
      </w:tblGrid>
      <w:tr w:rsidR="002544A3" w:rsidRPr="007352B2" w14:paraId="29D75532" w14:textId="77777777" w:rsidTr="007352B2">
        <w:trPr>
          <w:cantSplit/>
          <w:trHeight w:val="296"/>
          <w:jc w:val="center"/>
        </w:trPr>
        <w:tc>
          <w:tcPr>
            <w:tcW w:w="1106" w:type="dxa"/>
            <w:vMerge w:val="restart"/>
            <w:tcBorders>
              <w:top w:val="nil"/>
              <w:left w:val="nil"/>
              <w:bottom w:val="single" w:sz="12" w:space="0" w:color="95D600"/>
              <w:right w:val="nil"/>
              <w:tl2br w:val="nil"/>
              <w:tr2bl w:val="nil"/>
            </w:tcBorders>
            <w:shd w:val="clear" w:color="auto" w:fill="555759"/>
            <w:vAlign w:val="center"/>
            <w:hideMark/>
          </w:tcPr>
          <w:p w14:paraId="13AF8C85" w14:textId="77777777" w:rsidR="00E0196A" w:rsidRPr="007352B2" w:rsidRDefault="00E0196A" w:rsidP="007352B2">
            <w:pPr>
              <w:spacing w:before="40" w:after="40"/>
              <w:jc w:val="center"/>
              <w:rPr>
                <w:rFonts w:ascii="Arial Narrow" w:hAnsi="Arial Narrow"/>
                <w:b/>
                <w:color w:val="FFFFFF"/>
                <w:sz w:val="18"/>
                <w:szCs w:val="18"/>
              </w:rPr>
            </w:pPr>
            <w:r w:rsidRPr="007352B2">
              <w:rPr>
                <w:rFonts w:ascii="Arial Narrow" w:hAnsi="Arial Narrow"/>
                <w:b/>
                <w:color w:val="FFFFFF"/>
                <w:sz w:val="18"/>
                <w:szCs w:val="18"/>
              </w:rPr>
              <w:t>Sector</w:t>
            </w:r>
          </w:p>
        </w:tc>
        <w:tc>
          <w:tcPr>
            <w:tcW w:w="1650" w:type="dxa"/>
            <w:vMerge w:val="restart"/>
            <w:tcBorders>
              <w:top w:val="nil"/>
              <w:left w:val="nil"/>
              <w:bottom w:val="single" w:sz="12" w:space="0" w:color="95D600"/>
              <w:right w:val="nil"/>
              <w:tl2br w:val="nil"/>
              <w:tr2bl w:val="nil"/>
            </w:tcBorders>
            <w:shd w:val="clear" w:color="auto" w:fill="555759"/>
            <w:vAlign w:val="center"/>
            <w:hideMark/>
          </w:tcPr>
          <w:p w14:paraId="50AE8B6E" w14:textId="77777777" w:rsidR="00E0196A" w:rsidRPr="007352B2" w:rsidRDefault="00E0196A" w:rsidP="007352B2">
            <w:pPr>
              <w:spacing w:before="40" w:after="40"/>
              <w:jc w:val="center"/>
              <w:rPr>
                <w:rFonts w:ascii="Arial Narrow" w:hAnsi="Arial Narrow"/>
                <w:b/>
                <w:color w:val="FFFFFF"/>
                <w:sz w:val="18"/>
                <w:szCs w:val="18"/>
              </w:rPr>
            </w:pPr>
            <w:r w:rsidRPr="007352B2">
              <w:rPr>
                <w:rFonts w:ascii="Arial Narrow" w:hAnsi="Arial Narrow"/>
                <w:b/>
                <w:color w:val="FFFFFF"/>
                <w:sz w:val="18"/>
                <w:szCs w:val="18"/>
              </w:rPr>
              <w:t>Type</w:t>
            </w:r>
          </w:p>
        </w:tc>
        <w:tc>
          <w:tcPr>
            <w:tcW w:w="964" w:type="dxa"/>
            <w:vMerge w:val="restart"/>
            <w:tcBorders>
              <w:top w:val="nil"/>
              <w:left w:val="nil"/>
              <w:bottom w:val="single" w:sz="12" w:space="0" w:color="95D600"/>
              <w:right w:val="nil"/>
              <w:tl2br w:val="nil"/>
              <w:tr2bl w:val="nil"/>
            </w:tcBorders>
            <w:shd w:val="clear" w:color="auto" w:fill="555759"/>
            <w:vAlign w:val="center"/>
            <w:hideMark/>
          </w:tcPr>
          <w:p w14:paraId="5327E5E2" w14:textId="77777777" w:rsidR="00E0196A" w:rsidRPr="007352B2" w:rsidRDefault="00E0196A" w:rsidP="007352B2">
            <w:pPr>
              <w:spacing w:before="40" w:after="40"/>
              <w:jc w:val="center"/>
              <w:rPr>
                <w:rFonts w:ascii="Arial Narrow" w:hAnsi="Arial Narrow"/>
                <w:b/>
                <w:color w:val="FFFFFF"/>
                <w:sz w:val="18"/>
                <w:szCs w:val="18"/>
              </w:rPr>
            </w:pPr>
            <w:r w:rsidRPr="007352B2">
              <w:rPr>
                <w:rFonts w:ascii="Arial Narrow" w:hAnsi="Arial Narrow"/>
                <w:b/>
                <w:color w:val="FFFFFF"/>
                <w:sz w:val="18"/>
                <w:szCs w:val="18"/>
              </w:rPr>
              <w:t>EUL years</w:t>
            </w:r>
          </w:p>
        </w:tc>
        <w:tc>
          <w:tcPr>
            <w:tcW w:w="2094" w:type="dxa"/>
            <w:gridSpan w:val="2"/>
            <w:tcBorders>
              <w:top w:val="nil"/>
              <w:left w:val="nil"/>
              <w:bottom w:val="single" w:sz="2" w:space="0" w:color="FFFFFF"/>
              <w:right w:val="nil"/>
              <w:tl2br w:val="nil"/>
              <w:tr2bl w:val="nil"/>
            </w:tcBorders>
            <w:shd w:val="clear" w:color="auto" w:fill="555759"/>
            <w:vAlign w:val="center"/>
            <w:hideMark/>
          </w:tcPr>
          <w:p w14:paraId="3CAAF0A9" w14:textId="77777777" w:rsidR="00E0196A" w:rsidRPr="007352B2" w:rsidRDefault="00E0196A" w:rsidP="007352B2">
            <w:pPr>
              <w:spacing w:before="40" w:after="40"/>
              <w:jc w:val="center"/>
              <w:rPr>
                <w:rFonts w:ascii="Arial Narrow" w:hAnsi="Arial Narrow"/>
                <w:b/>
                <w:color w:val="FFFFFF"/>
                <w:sz w:val="18"/>
                <w:szCs w:val="18"/>
              </w:rPr>
            </w:pPr>
            <w:r w:rsidRPr="007352B2">
              <w:rPr>
                <w:rFonts w:ascii="Arial Narrow" w:hAnsi="Arial Narrow"/>
                <w:b/>
                <w:color w:val="FFFFFF"/>
                <w:sz w:val="18"/>
                <w:szCs w:val="18"/>
              </w:rPr>
              <w:t>Savings</w:t>
            </w:r>
          </w:p>
        </w:tc>
        <w:tc>
          <w:tcPr>
            <w:tcW w:w="2286" w:type="dxa"/>
            <w:gridSpan w:val="2"/>
            <w:tcBorders>
              <w:top w:val="nil"/>
              <w:left w:val="nil"/>
              <w:bottom w:val="single" w:sz="2" w:space="0" w:color="FFFFFF"/>
              <w:right w:val="nil"/>
              <w:tl2br w:val="nil"/>
              <w:tr2bl w:val="nil"/>
            </w:tcBorders>
            <w:shd w:val="clear" w:color="auto" w:fill="555759"/>
            <w:vAlign w:val="center"/>
            <w:hideMark/>
          </w:tcPr>
          <w:p w14:paraId="04DF49E8" w14:textId="77777777" w:rsidR="00E0196A" w:rsidRPr="007352B2" w:rsidRDefault="00E0196A" w:rsidP="007352B2">
            <w:pPr>
              <w:spacing w:before="40" w:after="40"/>
              <w:jc w:val="center"/>
              <w:rPr>
                <w:rFonts w:ascii="Arial Narrow" w:hAnsi="Arial Narrow"/>
                <w:b/>
                <w:color w:val="FFFFFF"/>
                <w:sz w:val="18"/>
                <w:szCs w:val="18"/>
              </w:rPr>
            </w:pPr>
            <w:r w:rsidRPr="007352B2">
              <w:rPr>
                <w:rFonts w:ascii="Arial Narrow" w:hAnsi="Arial Narrow"/>
                <w:b/>
                <w:color w:val="FFFFFF"/>
                <w:sz w:val="18"/>
                <w:szCs w:val="18"/>
              </w:rPr>
              <w:t>Cost</w:t>
            </w:r>
          </w:p>
        </w:tc>
        <w:tc>
          <w:tcPr>
            <w:tcW w:w="1350" w:type="dxa"/>
            <w:vMerge w:val="restart"/>
            <w:tcBorders>
              <w:top w:val="nil"/>
              <w:left w:val="nil"/>
              <w:bottom w:val="single" w:sz="12" w:space="0" w:color="95D600"/>
              <w:right w:val="nil"/>
              <w:tl2br w:val="nil"/>
              <w:tr2bl w:val="nil"/>
            </w:tcBorders>
            <w:shd w:val="clear" w:color="auto" w:fill="555759"/>
            <w:vAlign w:val="center"/>
            <w:hideMark/>
          </w:tcPr>
          <w:p w14:paraId="0522F9D7" w14:textId="77777777" w:rsidR="00E0196A" w:rsidRPr="007352B2" w:rsidRDefault="00E0196A" w:rsidP="007352B2">
            <w:pPr>
              <w:spacing w:before="40" w:after="40"/>
              <w:jc w:val="center"/>
              <w:rPr>
                <w:rFonts w:ascii="Arial Narrow" w:hAnsi="Arial Narrow"/>
                <w:b/>
                <w:color w:val="FFFFFF"/>
                <w:sz w:val="18"/>
                <w:szCs w:val="18"/>
              </w:rPr>
            </w:pPr>
            <w:r w:rsidRPr="007352B2">
              <w:rPr>
                <w:rFonts w:ascii="Arial Narrow" w:hAnsi="Arial Narrow"/>
                <w:b/>
                <w:color w:val="FFFFFF"/>
                <w:sz w:val="18"/>
                <w:szCs w:val="18"/>
              </w:rPr>
              <w:t>kW/kWh Savings Ratio</w:t>
            </w:r>
          </w:p>
        </w:tc>
      </w:tr>
      <w:tr w:rsidR="002544A3" w:rsidRPr="007352B2" w14:paraId="76468D2A" w14:textId="77777777" w:rsidTr="007352B2">
        <w:trPr>
          <w:cantSplit/>
          <w:trHeight w:val="144"/>
          <w:jc w:val="center"/>
        </w:trPr>
        <w:tc>
          <w:tcPr>
            <w:tcW w:w="1106" w:type="dxa"/>
            <w:vMerge/>
            <w:tcBorders>
              <w:bottom w:val="single" w:sz="12" w:space="0" w:color="95D600"/>
            </w:tcBorders>
            <w:shd w:val="clear" w:color="auto" w:fill="auto"/>
            <w:vAlign w:val="center"/>
            <w:hideMark/>
          </w:tcPr>
          <w:p w14:paraId="44EC1975" w14:textId="77777777" w:rsidR="00E0196A" w:rsidRPr="007352B2" w:rsidRDefault="00E0196A" w:rsidP="007352B2">
            <w:pPr>
              <w:spacing w:before="40" w:after="40"/>
              <w:jc w:val="center"/>
              <w:rPr>
                <w:rFonts w:ascii="Arial Narrow" w:hAnsi="Arial Narrow"/>
                <w:sz w:val="18"/>
                <w:szCs w:val="18"/>
              </w:rPr>
            </w:pPr>
          </w:p>
        </w:tc>
        <w:tc>
          <w:tcPr>
            <w:tcW w:w="1650" w:type="dxa"/>
            <w:vMerge/>
            <w:tcBorders>
              <w:bottom w:val="single" w:sz="12" w:space="0" w:color="95D600"/>
            </w:tcBorders>
            <w:shd w:val="clear" w:color="auto" w:fill="auto"/>
            <w:vAlign w:val="center"/>
            <w:hideMark/>
          </w:tcPr>
          <w:p w14:paraId="3099837C" w14:textId="77777777" w:rsidR="00E0196A" w:rsidRPr="007352B2" w:rsidRDefault="00E0196A" w:rsidP="007352B2">
            <w:pPr>
              <w:spacing w:before="40" w:after="40"/>
              <w:jc w:val="center"/>
              <w:rPr>
                <w:rFonts w:ascii="Arial Narrow" w:hAnsi="Arial Narrow"/>
                <w:sz w:val="18"/>
                <w:szCs w:val="18"/>
              </w:rPr>
            </w:pPr>
          </w:p>
        </w:tc>
        <w:tc>
          <w:tcPr>
            <w:tcW w:w="964" w:type="dxa"/>
            <w:vMerge/>
            <w:tcBorders>
              <w:bottom w:val="single" w:sz="12" w:space="0" w:color="95D600"/>
            </w:tcBorders>
            <w:shd w:val="clear" w:color="auto" w:fill="555759"/>
            <w:vAlign w:val="center"/>
            <w:hideMark/>
          </w:tcPr>
          <w:p w14:paraId="0C55E7B1" w14:textId="77777777" w:rsidR="00E0196A" w:rsidRPr="007352B2" w:rsidRDefault="00E0196A" w:rsidP="007352B2">
            <w:pPr>
              <w:spacing w:before="40" w:after="40"/>
              <w:jc w:val="center"/>
              <w:rPr>
                <w:rFonts w:ascii="Arial Narrow" w:hAnsi="Arial Narrow"/>
                <w:sz w:val="18"/>
                <w:szCs w:val="18"/>
              </w:rPr>
            </w:pPr>
          </w:p>
        </w:tc>
        <w:tc>
          <w:tcPr>
            <w:tcW w:w="1006" w:type="dxa"/>
            <w:tcBorders>
              <w:top w:val="single" w:sz="2" w:space="0" w:color="FFFFFF"/>
              <w:bottom w:val="single" w:sz="12" w:space="0" w:color="95D600"/>
            </w:tcBorders>
            <w:shd w:val="clear" w:color="auto" w:fill="555759"/>
            <w:vAlign w:val="center"/>
            <w:hideMark/>
          </w:tcPr>
          <w:p w14:paraId="56A63B41" w14:textId="77777777" w:rsidR="00E0196A" w:rsidRPr="007352B2" w:rsidRDefault="00E0196A" w:rsidP="007352B2">
            <w:pPr>
              <w:spacing w:before="40" w:after="40"/>
              <w:jc w:val="center"/>
              <w:rPr>
                <w:rFonts w:ascii="Arial Narrow" w:hAnsi="Arial Narrow"/>
                <w:b/>
                <w:color w:val="FFFFFF"/>
                <w:sz w:val="18"/>
                <w:szCs w:val="18"/>
              </w:rPr>
            </w:pPr>
            <w:r w:rsidRPr="007352B2">
              <w:rPr>
                <w:rFonts w:ascii="Arial Narrow" w:hAnsi="Arial Narrow"/>
                <w:b/>
                <w:color w:val="FFFFFF"/>
                <w:sz w:val="18"/>
                <w:szCs w:val="18"/>
              </w:rPr>
              <w:t>kWh</w:t>
            </w:r>
          </w:p>
        </w:tc>
        <w:tc>
          <w:tcPr>
            <w:tcW w:w="1088" w:type="dxa"/>
            <w:tcBorders>
              <w:top w:val="single" w:sz="2" w:space="0" w:color="FFFFFF"/>
              <w:bottom w:val="single" w:sz="12" w:space="0" w:color="95D600"/>
            </w:tcBorders>
            <w:shd w:val="clear" w:color="auto" w:fill="555759"/>
            <w:vAlign w:val="center"/>
            <w:hideMark/>
          </w:tcPr>
          <w:p w14:paraId="423C112B" w14:textId="77777777" w:rsidR="00E0196A" w:rsidRPr="007352B2" w:rsidRDefault="00E0196A" w:rsidP="007352B2">
            <w:pPr>
              <w:spacing w:before="40" w:after="40"/>
              <w:jc w:val="center"/>
              <w:rPr>
                <w:rFonts w:ascii="Arial Narrow" w:hAnsi="Arial Narrow"/>
                <w:b/>
                <w:color w:val="FFFFFF"/>
                <w:sz w:val="18"/>
                <w:szCs w:val="18"/>
              </w:rPr>
            </w:pPr>
            <w:r w:rsidRPr="007352B2">
              <w:rPr>
                <w:rFonts w:ascii="Arial Narrow" w:hAnsi="Arial Narrow"/>
                <w:b/>
                <w:color w:val="FFFFFF"/>
                <w:sz w:val="18"/>
                <w:szCs w:val="18"/>
              </w:rPr>
              <w:t>Therm</w:t>
            </w:r>
          </w:p>
        </w:tc>
        <w:tc>
          <w:tcPr>
            <w:tcW w:w="924" w:type="dxa"/>
            <w:tcBorders>
              <w:top w:val="single" w:sz="2" w:space="0" w:color="FFFFFF"/>
              <w:bottom w:val="single" w:sz="12" w:space="0" w:color="95D600"/>
            </w:tcBorders>
            <w:shd w:val="clear" w:color="auto" w:fill="555759"/>
            <w:vAlign w:val="center"/>
            <w:hideMark/>
          </w:tcPr>
          <w:p w14:paraId="156B6F52" w14:textId="77777777" w:rsidR="00E0196A" w:rsidRPr="007352B2" w:rsidRDefault="00E0196A" w:rsidP="007352B2">
            <w:pPr>
              <w:spacing w:before="40" w:after="40"/>
              <w:jc w:val="center"/>
              <w:rPr>
                <w:rFonts w:ascii="Arial Narrow" w:hAnsi="Arial Narrow"/>
                <w:b/>
                <w:color w:val="FFFFFF"/>
                <w:sz w:val="18"/>
                <w:szCs w:val="18"/>
              </w:rPr>
            </w:pPr>
            <w:r w:rsidRPr="007352B2">
              <w:rPr>
                <w:rFonts w:ascii="Arial Narrow" w:hAnsi="Arial Narrow"/>
                <w:b/>
                <w:color w:val="FFFFFF"/>
                <w:sz w:val="18"/>
                <w:szCs w:val="18"/>
              </w:rPr>
              <w:t>kWh</w:t>
            </w:r>
          </w:p>
        </w:tc>
        <w:tc>
          <w:tcPr>
            <w:tcW w:w="1362" w:type="dxa"/>
            <w:tcBorders>
              <w:top w:val="single" w:sz="2" w:space="0" w:color="FFFFFF"/>
              <w:bottom w:val="single" w:sz="12" w:space="0" w:color="95D600"/>
            </w:tcBorders>
            <w:shd w:val="clear" w:color="auto" w:fill="555759"/>
            <w:vAlign w:val="center"/>
            <w:hideMark/>
          </w:tcPr>
          <w:p w14:paraId="559A6851" w14:textId="77777777" w:rsidR="00E0196A" w:rsidRPr="007352B2" w:rsidRDefault="00E0196A" w:rsidP="007352B2">
            <w:pPr>
              <w:spacing w:before="40" w:after="40"/>
              <w:jc w:val="center"/>
              <w:rPr>
                <w:rFonts w:ascii="Arial Narrow" w:hAnsi="Arial Narrow"/>
                <w:b/>
                <w:color w:val="FFFFFF"/>
                <w:sz w:val="18"/>
                <w:szCs w:val="18"/>
              </w:rPr>
            </w:pPr>
            <w:r w:rsidRPr="007352B2">
              <w:rPr>
                <w:rFonts w:ascii="Arial Narrow" w:hAnsi="Arial Narrow"/>
                <w:b/>
                <w:color w:val="FFFFFF"/>
                <w:sz w:val="18"/>
                <w:szCs w:val="18"/>
              </w:rPr>
              <w:t>Therm</w:t>
            </w:r>
          </w:p>
        </w:tc>
        <w:tc>
          <w:tcPr>
            <w:tcW w:w="1350" w:type="dxa"/>
            <w:vMerge/>
            <w:tcBorders>
              <w:bottom w:val="single" w:sz="12" w:space="0" w:color="95D600"/>
            </w:tcBorders>
            <w:shd w:val="clear" w:color="auto" w:fill="auto"/>
            <w:vAlign w:val="center"/>
            <w:hideMark/>
          </w:tcPr>
          <w:p w14:paraId="1FA0C8DD" w14:textId="77777777" w:rsidR="00E0196A" w:rsidRPr="007352B2" w:rsidRDefault="00E0196A" w:rsidP="007352B2">
            <w:pPr>
              <w:spacing w:before="40" w:after="40"/>
              <w:jc w:val="center"/>
              <w:rPr>
                <w:rFonts w:ascii="Arial Narrow" w:hAnsi="Arial Narrow"/>
                <w:sz w:val="18"/>
                <w:szCs w:val="18"/>
              </w:rPr>
            </w:pPr>
          </w:p>
        </w:tc>
      </w:tr>
      <w:tr w:rsidR="002544A3" w:rsidRPr="007352B2" w14:paraId="51E41CF2" w14:textId="77777777" w:rsidTr="005F4903">
        <w:trPr>
          <w:cantSplit/>
          <w:trHeight w:val="663"/>
          <w:jc w:val="center"/>
        </w:trPr>
        <w:tc>
          <w:tcPr>
            <w:tcW w:w="1106" w:type="dxa"/>
            <w:tcBorders>
              <w:top w:val="single" w:sz="12" w:space="0" w:color="95D600"/>
            </w:tcBorders>
            <w:shd w:val="clear" w:color="auto" w:fill="FFFFFF"/>
            <w:vAlign w:val="center"/>
            <w:hideMark/>
          </w:tcPr>
          <w:p w14:paraId="0BA27E05" w14:textId="77777777" w:rsidR="00E0196A" w:rsidRPr="007352B2" w:rsidRDefault="00E0196A" w:rsidP="007352B2">
            <w:pPr>
              <w:spacing w:before="40" w:after="40"/>
              <w:jc w:val="center"/>
              <w:rPr>
                <w:rFonts w:ascii="Arial Narrow" w:hAnsi="Arial Narrow"/>
                <w:sz w:val="18"/>
                <w:szCs w:val="18"/>
              </w:rPr>
            </w:pPr>
            <w:r w:rsidRPr="007352B2">
              <w:rPr>
                <w:rFonts w:ascii="Arial Narrow" w:hAnsi="Arial Narrow"/>
                <w:sz w:val="18"/>
                <w:szCs w:val="18"/>
              </w:rPr>
              <w:t>AIMS (Ind/Ag)</w:t>
            </w:r>
          </w:p>
        </w:tc>
        <w:tc>
          <w:tcPr>
            <w:tcW w:w="1650" w:type="dxa"/>
            <w:tcBorders>
              <w:top w:val="single" w:sz="12" w:space="0" w:color="95D600"/>
            </w:tcBorders>
            <w:shd w:val="clear" w:color="auto" w:fill="FFFFFF"/>
            <w:vAlign w:val="center"/>
            <w:hideMark/>
          </w:tcPr>
          <w:p w14:paraId="73C93FBC" w14:textId="77777777" w:rsidR="00E0196A" w:rsidRPr="007352B2" w:rsidRDefault="00E0196A" w:rsidP="007352B2">
            <w:pPr>
              <w:spacing w:before="40" w:after="40"/>
              <w:jc w:val="center"/>
              <w:rPr>
                <w:rFonts w:ascii="Arial Narrow" w:hAnsi="Arial Narrow"/>
                <w:sz w:val="18"/>
                <w:szCs w:val="18"/>
              </w:rPr>
            </w:pPr>
            <w:r w:rsidRPr="007352B2">
              <w:rPr>
                <w:rFonts w:ascii="Arial Narrow" w:hAnsi="Arial Narrow"/>
                <w:sz w:val="18"/>
                <w:szCs w:val="18"/>
              </w:rPr>
              <w:t>Emerging Technologies (ET)</w:t>
            </w:r>
          </w:p>
        </w:tc>
        <w:tc>
          <w:tcPr>
            <w:tcW w:w="964" w:type="dxa"/>
            <w:tcBorders>
              <w:top w:val="single" w:sz="12" w:space="0" w:color="95D600"/>
            </w:tcBorders>
            <w:shd w:val="clear" w:color="auto" w:fill="FFFFFF"/>
            <w:vAlign w:val="center"/>
            <w:hideMark/>
          </w:tcPr>
          <w:p w14:paraId="0A9EF8CD" w14:textId="77777777" w:rsidR="00E0196A" w:rsidRPr="007352B2" w:rsidRDefault="00E0196A" w:rsidP="007352B2">
            <w:pPr>
              <w:spacing w:before="40" w:after="40"/>
              <w:jc w:val="center"/>
              <w:rPr>
                <w:rFonts w:ascii="Arial Narrow" w:hAnsi="Arial Narrow"/>
                <w:sz w:val="18"/>
                <w:szCs w:val="18"/>
              </w:rPr>
            </w:pPr>
            <w:r w:rsidRPr="007352B2">
              <w:rPr>
                <w:rFonts w:ascii="Arial Narrow" w:hAnsi="Arial Narrow"/>
                <w:sz w:val="18"/>
                <w:szCs w:val="18"/>
              </w:rPr>
              <w:t>15</w:t>
            </w:r>
          </w:p>
        </w:tc>
        <w:tc>
          <w:tcPr>
            <w:tcW w:w="1006" w:type="dxa"/>
            <w:tcBorders>
              <w:top w:val="single" w:sz="12" w:space="0" w:color="95D600"/>
            </w:tcBorders>
            <w:shd w:val="clear" w:color="auto" w:fill="FFFFFF"/>
            <w:vAlign w:val="center"/>
            <w:hideMark/>
          </w:tcPr>
          <w:p w14:paraId="0FBB7A5C" w14:textId="77777777" w:rsidR="00E0196A" w:rsidRPr="007352B2" w:rsidRDefault="00E0196A" w:rsidP="007352B2">
            <w:pPr>
              <w:spacing w:before="40" w:after="40"/>
              <w:jc w:val="center"/>
              <w:rPr>
                <w:rFonts w:ascii="Arial Narrow" w:hAnsi="Arial Narrow"/>
                <w:sz w:val="18"/>
                <w:szCs w:val="18"/>
              </w:rPr>
            </w:pPr>
            <w:r w:rsidRPr="007352B2">
              <w:rPr>
                <w:rFonts w:ascii="Arial Narrow" w:hAnsi="Arial Narrow"/>
                <w:sz w:val="18"/>
                <w:szCs w:val="18"/>
              </w:rPr>
              <w:t>0.18% - 4.8%</w:t>
            </w:r>
          </w:p>
        </w:tc>
        <w:tc>
          <w:tcPr>
            <w:tcW w:w="1088" w:type="dxa"/>
            <w:tcBorders>
              <w:top w:val="single" w:sz="12" w:space="0" w:color="95D600"/>
            </w:tcBorders>
            <w:shd w:val="clear" w:color="auto" w:fill="FFFFFF"/>
            <w:vAlign w:val="center"/>
            <w:hideMark/>
          </w:tcPr>
          <w:p w14:paraId="2651E381" w14:textId="77777777" w:rsidR="00E0196A" w:rsidRPr="007352B2" w:rsidRDefault="00E0196A" w:rsidP="007352B2">
            <w:pPr>
              <w:spacing w:before="40" w:after="40"/>
              <w:jc w:val="center"/>
              <w:rPr>
                <w:rFonts w:ascii="Arial Narrow" w:hAnsi="Arial Narrow"/>
                <w:sz w:val="18"/>
                <w:szCs w:val="18"/>
              </w:rPr>
            </w:pPr>
            <w:r w:rsidRPr="007352B2">
              <w:rPr>
                <w:rFonts w:ascii="Arial Narrow" w:hAnsi="Arial Narrow"/>
                <w:sz w:val="18"/>
                <w:szCs w:val="18"/>
              </w:rPr>
              <w:t>0.44% - 9.5%</w:t>
            </w:r>
          </w:p>
        </w:tc>
        <w:tc>
          <w:tcPr>
            <w:tcW w:w="924" w:type="dxa"/>
            <w:tcBorders>
              <w:top w:val="single" w:sz="12" w:space="0" w:color="95D600"/>
            </w:tcBorders>
            <w:shd w:val="clear" w:color="auto" w:fill="FFFFFF"/>
            <w:vAlign w:val="center"/>
            <w:hideMark/>
          </w:tcPr>
          <w:p w14:paraId="2E919BAA" w14:textId="77777777" w:rsidR="00E0196A" w:rsidRPr="007352B2" w:rsidRDefault="00E0196A" w:rsidP="007352B2">
            <w:pPr>
              <w:spacing w:before="40" w:after="40"/>
              <w:jc w:val="center"/>
              <w:rPr>
                <w:rFonts w:ascii="Arial Narrow" w:hAnsi="Arial Narrow"/>
                <w:sz w:val="18"/>
                <w:szCs w:val="18"/>
              </w:rPr>
            </w:pPr>
            <w:r w:rsidRPr="007352B2">
              <w:rPr>
                <w:rFonts w:ascii="Arial Narrow" w:hAnsi="Arial Narrow"/>
                <w:sz w:val="18"/>
                <w:szCs w:val="18"/>
              </w:rPr>
              <w:t>$0.42</w:t>
            </w:r>
          </w:p>
        </w:tc>
        <w:tc>
          <w:tcPr>
            <w:tcW w:w="1362" w:type="dxa"/>
            <w:tcBorders>
              <w:top w:val="single" w:sz="12" w:space="0" w:color="95D600"/>
            </w:tcBorders>
            <w:shd w:val="clear" w:color="auto" w:fill="FFFFFF"/>
            <w:vAlign w:val="center"/>
            <w:hideMark/>
          </w:tcPr>
          <w:p w14:paraId="230D8D65" w14:textId="77777777" w:rsidR="00E0196A" w:rsidRPr="007352B2" w:rsidRDefault="00E0196A" w:rsidP="007352B2">
            <w:pPr>
              <w:spacing w:before="40" w:after="40"/>
              <w:jc w:val="center"/>
              <w:rPr>
                <w:rFonts w:ascii="Arial Narrow" w:hAnsi="Arial Narrow"/>
                <w:sz w:val="18"/>
                <w:szCs w:val="18"/>
                <w:highlight w:val="red"/>
              </w:rPr>
            </w:pPr>
            <w:r w:rsidRPr="007352B2">
              <w:rPr>
                <w:rFonts w:ascii="Arial Narrow" w:hAnsi="Arial Narrow"/>
                <w:sz w:val="18"/>
                <w:szCs w:val="18"/>
              </w:rPr>
              <w:t>$2.83</w:t>
            </w:r>
          </w:p>
        </w:tc>
        <w:tc>
          <w:tcPr>
            <w:tcW w:w="1350" w:type="dxa"/>
            <w:tcBorders>
              <w:top w:val="single" w:sz="12" w:space="0" w:color="95D600"/>
            </w:tcBorders>
            <w:shd w:val="clear" w:color="auto" w:fill="FFFFFF"/>
            <w:vAlign w:val="center"/>
            <w:hideMark/>
          </w:tcPr>
          <w:p w14:paraId="59F61DDA" w14:textId="77777777" w:rsidR="00E0196A" w:rsidRPr="007352B2" w:rsidRDefault="00E0196A" w:rsidP="007352B2">
            <w:pPr>
              <w:spacing w:before="40" w:after="40"/>
              <w:jc w:val="center"/>
              <w:rPr>
                <w:rFonts w:ascii="Arial Narrow" w:hAnsi="Arial Narrow"/>
                <w:sz w:val="18"/>
                <w:szCs w:val="18"/>
              </w:rPr>
            </w:pPr>
            <w:r w:rsidRPr="007352B2">
              <w:rPr>
                <w:rFonts w:ascii="Arial Narrow" w:hAnsi="Arial Narrow"/>
                <w:sz w:val="18"/>
                <w:szCs w:val="18"/>
              </w:rPr>
              <w:t>0.000195</w:t>
            </w:r>
          </w:p>
        </w:tc>
      </w:tr>
    </w:tbl>
    <w:p w14:paraId="37374735" w14:textId="77777777" w:rsidR="00E0196A" w:rsidRDefault="00E0196A" w:rsidP="00E0196A"/>
    <w:p w14:paraId="5EB3872E" w14:textId="77777777" w:rsidR="00BC3107" w:rsidRDefault="00BC3107" w:rsidP="00BC3107">
      <w:pPr>
        <w:rPr>
          <w:b/>
          <w:u w:val="single"/>
        </w:rPr>
      </w:pPr>
      <w:r>
        <w:rPr>
          <w:b/>
          <w:u w:val="single"/>
        </w:rPr>
        <w:t>Eligibility and Participation</w:t>
      </w:r>
      <w:bookmarkEnd w:id="1155"/>
    </w:p>
    <w:p w14:paraId="2855E221" w14:textId="77777777" w:rsidR="002A4C2F" w:rsidRPr="00F52378" w:rsidRDefault="002A4C2F" w:rsidP="00BC3107">
      <w:pPr>
        <w:rPr>
          <w:b/>
          <w:u w:val="single"/>
        </w:rPr>
      </w:pPr>
      <w:r w:rsidRPr="00F52378">
        <w:rPr>
          <w:b/>
          <w:u w:val="single"/>
        </w:rPr>
        <w:t xml:space="preserve"> </w:t>
      </w:r>
    </w:p>
    <w:p w14:paraId="01D0CD7B" w14:textId="77777777" w:rsidR="002A4C2F" w:rsidRDefault="002A4C2F" w:rsidP="002A4C2F">
      <w:r>
        <w:lastRenderedPageBreak/>
        <w:t xml:space="preserve">The process to evaluate </w:t>
      </w:r>
      <w:r w:rsidR="00BC3107" w:rsidRPr="00BC3107">
        <w:t>eligibility and participation was to first identify the portfolio of ETs applicable to the Indust</w:t>
      </w:r>
      <w:r w:rsidR="00BC3107">
        <w:t xml:space="preserve">rial and Agricultural sectors. </w:t>
      </w:r>
      <w:r w:rsidR="00BC3107" w:rsidRPr="00BC3107">
        <w:t>Defining this portfolio was accomplished through</w:t>
      </w:r>
      <w:r>
        <w:t xml:space="preserve"> the following steps:</w:t>
      </w:r>
    </w:p>
    <w:p w14:paraId="426791B8" w14:textId="77777777" w:rsidR="00BC3107" w:rsidRDefault="00BC3107" w:rsidP="004E4E36">
      <w:pPr>
        <w:pStyle w:val="ListParagraph"/>
        <w:numPr>
          <w:ilvl w:val="0"/>
          <w:numId w:val="69"/>
        </w:numPr>
      </w:pPr>
      <w:r>
        <w:t>Collect data to assemble a broad portfolio of ETs.</w:t>
      </w:r>
    </w:p>
    <w:p w14:paraId="1A4E15DE" w14:textId="77777777" w:rsidR="00BC3107" w:rsidRDefault="00BC3107" w:rsidP="004E4E36">
      <w:pPr>
        <w:pStyle w:val="ListParagraph"/>
        <w:numPr>
          <w:ilvl w:val="0"/>
          <w:numId w:val="69"/>
        </w:numPr>
      </w:pPr>
      <w:r>
        <w:t>Characterize ETs based on various savings potential and risk criteria.</w:t>
      </w:r>
    </w:p>
    <w:p w14:paraId="40A99DD8" w14:textId="77777777" w:rsidR="00BC3107" w:rsidRDefault="00BC3107" w:rsidP="007352B2"/>
    <w:p w14:paraId="46194A26" w14:textId="77777777" w:rsidR="002A4C2F" w:rsidRDefault="00BC3107" w:rsidP="002A4C2F">
      <w:r>
        <w:t>To collect data, t</w:t>
      </w:r>
      <w:r w:rsidR="002A4C2F">
        <w:t xml:space="preserve">he </w:t>
      </w:r>
      <w:r w:rsidR="007E4FF4">
        <w:t xml:space="preserve">team </w:t>
      </w:r>
      <w:r w:rsidR="007352B2">
        <w:t>reviewed</w:t>
      </w:r>
      <w:r w:rsidR="007E4FF4">
        <w:t xml:space="preserve"> the</w:t>
      </w:r>
      <w:r w:rsidR="002A4C2F">
        <w:t xml:space="preserve"> following web sources:</w:t>
      </w:r>
    </w:p>
    <w:p w14:paraId="533E761C" w14:textId="77777777" w:rsidR="002A4C2F" w:rsidRDefault="002A4C2F" w:rsidP="004E4E36">
      <w:pPr>
        <w:pStyle w:val="ListParagraph"/>
        <w:numPr>
          <w:ilvl w:val="0"/>
          <w:numId w:val="51"/>
        </w:numPr>
        <w:spacing w:line="240" w:lineRule="auto"/>
        <w:contextualSpacing/>
      </w:pPr>
      <w:r>
        <w:t>Emerging Technologies Coordinating Council</w:t>
      </w:r>
      <w:r>
        <w:rPr>
          <w:rStyle w:val="FootnoteReference"/>
        </w:rPr>
        <w:footnoteReference w:id="189"/>
      </w:r>
    </w:p>
    <w:p w14:paraId="1E45F600" w14:textId="77777777" w:rsidR="002A4C2F" w:rsidRDefault="002A4C2F" w:rsidP="004E4E36">
      <w:pPr>
        <w:pStyle w:val="ListParagraph"/>
        <w:numPr>
          <w:ilvl w:val="0"/>
          <w:numId w:val="51"/>
        </w:numPr>
        <w:spacing w:line="240" w:lineRule="auto"/>
        <w:contextualSpacing/>
      </w:pPr>
      <w:r>
        <w:t>California Energy Commission Publications Database</w:t>
      </w:r>
      <w:r>
        <w:rPr>
          <w:rStyle w:val="FootnoteReference"/>
        </w:rPr>
        <w:footnoteReference w:id="190"/>
      </w:r>
    </w:p>
    <w:p w14:paraId="7CFB3211" w14:textId="77777777" w:rsidR="002A4C2F" w:rsidRDefault="002A4C2F" w:rsidP="004E4E36">
      <w:pPr>
        <w:pStyle w:val="ListParagraph"/>
        <w:numPr>
          <w:ilvl w:val="0"/>
          <w:numId w:val="51"/>
        </w:numPr>
        <w:spacing w:line="240" w:lineRule="auto"/>
        <w:contextualSpacing/>
      </w:pPr>
      <w:r>
        <w:t>DOE Research and Development Projects</w:t>
      </w:r>
      <w:r>
        <w:rPr>
          <w:rStyle w:val="FootnoteReference"/>
        </w:rPr>
        <w:footnoteReference w:id="191"/>
      </w:r>
    </w:p>
    <w:p w14:paraId="4BBCAEBC" w14:textId="77777777" w:rsidR="002A4C2F" w:rsidRDefault="002A4C2F" w:rsidP="004E4E36">
      <w:pPr>
        <w:pStyle w:val="ListParagraph"/>
        <w:numPr>
          <w:ilvl w:val="0"/>
          <w:numId w:val="51"/>
        </w:numPr>
        <w:spacing w:line="240" w:lineRule="auto"/>
        <w:contextualSpacing/>
      </w:pPr>
      <w:r>
        <w:t>DOE Energy Efficiency &amp; Renewable Energy Emerging Technologies Database</w:t>
      </w:r>
      <w:r>
        <w:rPr>
          <w:rStyle w:val="FootnoteReference"/>
        </w:rPr>
        <w:footnoteReference w:id="192"/>
      </w:r>
      <w:r>
        <w:t xml:space="preserve"> </w:t>
      </w:r>
    </w:p>
    <w:p w14:paraId="2088462E" w14:textId="77777777" w:rsidR="002A4C2F" w:rsidRDefault="002A4C2F" w:rsidP="004E4E36">
      <w:pPr>
        <w:pStyle w:val="ListParagraph"/>
        <w:numPr>
          <w:ilvl w:val="0"/>
          <w:numId w:val="51"/>
        </w:numPr>
        <w:spacing w:line="240" w:lineRule="auto"/>
        <w:contextualSpacing/>
      </w:pPr>
      <w:r>
        <w:t xml:space="preserve">Broad web search which included independent research of topics and keywords that seemed of relevance </w:t>
      </w:r>
      <w:r w:rsidR="007E4FF4">
        <w:t xml:space="preserve">to the team </w:t>
      </w:r>
      <w:r>
        <w:t xml:space="preserve">based on </w:t>
      </w:r>
      <w:r w:rsidR="007E4FF4">
        <w:t>the</w:t>
      </w:r>
      <w:r>
        <w:t xml:space="preserve"> initial web scrape results</w:t>
      </w:r>
      <w:r w:rsidR="007E4FF4">
        <w:t xml:space="preserve"> of the other sources</w:t>
      </w:r>
      <w:r>
        <w:t>.</w:t>
      </w:r>
    </w:p>
    <w:p w14:paraId="26F90B0F" w14:textId="77777777" w:rsidR="007E4FF4" w:rsidRDefault="007E4FF4" w:rsidP="007E4FF4">
      <w:pPr>
        <w:spacing w:line="240" w:lineRule="auto"/>
        <w:contextualSpacing/>
      </w:pPr>
    </w:p>
    <w:p w14:paraId="3B2A08B4" w14:textId="77777777" w:rsidR="002A4C2F" w:rsidRDefault="002A4C2F" w:rsidP="002A4C2F">
      <w:r>
        <w:t xml:space="preserve">This process yielded data on approximately 1,500 different </w:t>
      </w:r>
      <w:r w:rsidR="007E4FF4">
        <w:t>ETs</w:t>
      </w:r>
      <w:r>
        <w:t xml:space="preserve"> that was assembled into a Excel based database</w:t>
      </w:r>
      <w:r w:rsidR="0085327F">
        <w:t xml:space="preserve"> that captured several details including</w:t>
      </w:r>
      <w:r>
        <w:t xml:space="preserve"> the name of the ET, a description of the technology, </w:t>
      </w:r>
      <w:r w:rsidR="0085327F">
        <w:t xml:space="preserve">and </w:t>
      </w:r>
      <w:r>
        <w:t>key dates in the research process. Web scraping is an effective method to gather a broad wealth of information</w:t>
      </w:r>
      <w:r w:rsidR="0085327F">
        <w:t>. H</w:t>
      </w:r>
      <w:r>
        <w:t>owever</w:t>
      </w:r>
      <w:r w:rsidR="00137683">
        <w:t>,</w:t>
      </w:r>
      <w:r>
        <w:t xml:space="preserve"> it does not filter out irrelevant information</w:t>
      </w:r>
      <w:r w:rsidR="0085327F">
        <w:t>. Therefore,</w:t>
      </w:r>
      <w:r>
        <w:t xml:space="preserve"> the </w:t>
      </w:r>
      <w:r w:rsidR="0085327F">
        <w:t xml:space="preserve">team refined the </w:t>
      </w:r>
      <w:r>
        <w:t xml:space="preserve">database </w:t>
      </w:r>
      <w:r w:rsidR="0085327F">
        <w:t xml:space="preserve">by </w:t>
      </w:r>
      <w:r>
        <w:t>delet</w:t>
      </w:r>
      <w:r w:rsidR="0085327F">
        <w:t>ing certain entries</w:t>
      </w:r>
      <w:r>
        <w:t xml:space="preserve"> or </w:t>
      </w:r>
      <w:r w:rsidR="0085327F">
        <w:t xml:space="preserve">by </w:t>
      </w:r>
      <w:r>
        <w:t>enhanc</w:t>
      </w:r>
      <w:r w:rsidR="0085327F">
        <w:t>ing</w:t>
      </w:r>
      <w:r>
        <w:t xml:space="preserve"> information on select </w:t>
      </w:r>
      <w:r w:rsidR="0085327F">
        <w:t xml:space="preserve">other </w:t>
      </w:r>
      <w:r>
        <w:t>ETs</w:t>
      </w:r>
      <w:r w:rsidR="0085327F">
        <w:t xml:space="preserve"> with additional research data from identified sources</w:t>
      </w:r>
      <w:r>
        <w:t xml:space="preserve">.  </w:t>
      </w:r>
    </w:p>
    <w:p w14:paraId="569CBB74" w14:textId="77777777" w:rsidR="00F52378" w:rsidRDefault="00F52378" w:rsidP="002A4C2F"/>
    <w:p w14:paraId="55D037B7" w14:textId="77777777" w:rsidR="002A4C2F" w:rsidRDefault="002A4C2F" w:rsidP="002A4C2F">
      <w:r>
        <w:t>Once the</w:t>
      </w:r>
      <w:r w:rsidR="00EA3678">
        <w:t xml:space="preserve"> portfolio of ETs was prepared</w:t>
      </w:r>
      <w:r>
        <w:t xml:space="preserve">, each </w:t>
      </w:r>
      <w:r w:rsidR="00BA2A4B">
        <w:t>ET</w:t>
      </w:r>
      <w:r>
        <w:t xml:space="preserve"> was </w:t>
      </w:r>
      <w:r w:rsidR="00EA3678">
        <w:t xml:space="preserve">characterized </w:t>
      </w:r>
      <w:r>
        <w:t>to determine if it is relevant to the Industrial</w:t>
      </w:r>
      <w:r w:rsidR="0051633E">
        <w:t xml:space="preserve"> or </w:t>
      </w:r>
      <w:r>
        <w:t xml:space="preserve">Agricultural sector and define how each ET might </w:t>
      </w:r>
      <w:r w:rsidR="00EA3678">
        <w:t>impact</w:t>
      </w:r>
      <w:r>
        <w:t xml:space="preserve"> each market segment</w:t>
      </w:r>
      <w:r w:rsidR="00BA2A4B">
        <w:t xml:space="preserve"> within those sectors</w:t>
      </w:r>
      <w:r>
        <w:t xml:space="preserve">. </w:t>
      </w:r>
      <w:r w:rsidR="00BA2A4B">
        <w:t>The team gave e</w:t>
      </w:r>
      <w:r>
        <w:t xml:space="preserve">ach relevant technology a unique ID and characterized </w:t>
      </w:r>
      <w:r w:rsidR="00BA2A4B">
        <w:t xml:space="preserve">it </w:t>
      </w:r>
      <w:r>
        <w:t>with the following criteria</w:t>
      </w:r>
      <w:r w:rsidR="001A5D37">
        <w:t xml:space="preserve">. Criteria were also weighted to prioritize their relevance as shown in </w:t>
      </w:r>
      <w:r w:rsidR="007352B2">
        <w:t>Table E-3</w:t>
      </w:r>
    </w:p>
    <w:p w14:paraId="2FF65ADF" w14:textId="77777777" w:rsidR="002A4C2F" w:rsidRDefault="002A4C2F" w:rsidP="004E4E36">
      <w:pPr>
        <w:pStyle w:val="ListParagraph"/>
        <w:numPr>
          <w:ilvl w:val="0"/>
          <w:numId w:val="52"/>
        </w:numPr>
        <w:spacing w:line="240" w:lineRule="auto"/>
        <w:contextualSpacing/>
      </w:pPr>
      <w:r>
        <w:t>Classification Information</w:t>
      </w:r>
    </w:p>
    <w:p w14:paraId="1908EC5D" w14:textId="77777777" w:rsidR="002A4C2F" w:rsidRDefault="002A4C2F" w:rsidP="004E4E36">
      <w:pPr>
        <w:pStyle w:val="ListParagraph"/>
        <w:numPr>
          <w:ilvl w:val="1"/>
          <w:numId w:val="52"/>
        </w:numPr>
        <w:spacing w:line="240" w:lineRule="auto"/>
        <w:contextualSpacing/>
      </w:pPr>
      <w:r>
        <w:t>Fuel savings (electricity/gas)</w:t>
      </w:r>
    </w:p>
    <w:p w14:paraId="06606CFA" w14:textId="77777777" w:rsidR="002A4C2F" w:rsidRDefault="002A4C2F" w:rsidP="004E4E36">
      <w:pPr>
        <w:pStyle w:val="ListParagraph"/>
        <w:numPr>
          <w:ilvl w:val="1"/>
          <w:numId w:val="52"/>
        </w:numPr>
        <w:spacing w:line="240" w:lineRule="auto"/>
        <w:contextualSpacing/>
      </w:pPr>
      <w:r>
        <w:t xml:space="preserve">End-use </w:t>
      </w:r>
    </w:p>
    <w:p w14:paraId="3C416758" w14:textId="77777777" w:rsidR="002A4C2F" w:rsidRDefault="002A4C2F" w:rsidP="004E4E36">
      <w:pPr>
        <w:pStyle w:val="ListParagraph"/>
        <w:numPr>
          <w:ilvl w:val="1"/>
          <w:numId w:val="52"/>
        </w:numPr>
        <w:spacing w:line="240" w:lineRule="auto"/>
        <w:contextualSpacing/>
      </w:pPr>
      <w:r>
        <w:t>NAICS sector</w:t>
      </w:r>
      <w:r w:rsidR="00BA2A4B">
        <w:t xml:space="preserve"> (3 or 4 digit)</w:t>
      </w:r>
    </w:p>
    <w:p w14:paraId="34268179" w14:textId="77777777" w:rsidR="002A4C2F" w:rsidRDefault="002A4C2F" w:rsidP="004E4E36">
      <w:pPr>
        <w:pStyle w:val="ListParagraph"/>
        <w:numPr>
          <w:ilvl w:val="1"/>
          <w:numId w:val="52"/>
        </w:numPr>
        <w:spacing w:line="240" w:lineRule="auto"/>
        <w:contextualSpacing/>
      </w:pPr>
      <w:r>
        <w:t xml:space="preserve">Energy savings </w:t>
      </w:r>
      <w:r w:rsidR="00BA2A4B">
        <w:t>as a percent of sector consumption</w:t>
      </w:r>
    </w:p>
    <w:p w14:paraId="4441C504" w14:textId="77777777" w:rsidR="002A4C2F" w:rsidRDefault="002A4C2F" w:rsidP="004E4E36">
      <w:pPr>
        <w:pStyle w:val="ListParagraph"/>
        <w:numPr>
          <w:ilvl w:val="0"/>
          <w:numId w:val="52"/>
        </w:numPr>
        <w:spacing w:line="240" w:lineRule="auto"/>
        <w:contextualSpacing/>
      </w:pPr>
      <w:r>
        <w:t>Evaluation Criteria (used to calculate overall impact evaluation score)</w:t>
      </w:r>
    </w:p>
    <w:p w14:paraId="2A2FFDED" w14:textId="77777777" w:rsidR="002A4C2F" w:rsidRDefault="002A4C2F" w:rsidP="004E4E36">
      <w:pPr>
        <w:pStyle w:val="ListParagraph"/>
        <w:numPr>
          <w:ilvl w:val="1"/>
          <w:numId w:val="52"/>
        </w:numPr>
        <w:spacing w:line="240" w:lineRule="auto"/>
        <w:contextualSpacing/>
      </w:pPr>
      <w:r>
        <w:t>Energy technical potential</w:t>
      </w:r>
    </w:p>
    <w:p w14:paraId="0E2D2DEA" w14:textId="77777777" w:rsidR="002A4C2F" w:rsidRDefault="002A4C2F" w:rsidP="004E4E36">
      <w:pPr>
        <w:pStyle w:val="ListParagraph"/>
        <w:numPr>
          <w:ilvl w:val="1"/>
          <w:numId w:val="52"/>
        </w:numPr>
        <w:spacing w:line="240" w:lineRule="auto"/>
        <w:contextualSpacing/>
      </w:pPr>
      <w:r>
        <w:t>Energy market potential</w:t>
      </w:r>
    </w:p>
    <w:p w14:paraId="7647220D" w14:textId="77777777" w:rsidR="002A4C2F" w:rsidRDefault="002A4C2F" w:rsidP="004E4E36">
      <w:pPr>
        <w:pStyle w:val="ListParagraph"/>
        <w:numPr>
          <w:ilvl w:val="1"/>
          <w:numId w:val="52"/>
        </w:numPr>
        <w:spacing w:line="240" w:lineRule="auto"/>
        <w:contextualSpacing/>
      </w:pPr>
      <w:r>
        <w:t>Market risk</w:t>
      </w:r>
    </w:p>
    <w:p w14:paraId="21F247D5" w14:textId="77777777" w:rsidR="002A4C2F" w:rsidRDefault="002A4C2F" w:rsidP="004E4E36">
      <w:pPr>
        <w:pStyle w:val="ListParagraph"/>
        <w:numPr>
          <w:ilvl w:val="1"/>
          <w:numId w:val="52"/>
        </w:numPr>
        <w:spacing w:line="240" w:lineRule="auto"/>
        <w:contextualSpacing/>
      </w:pPr>
      <w:r>
        <w:t>Technical risk</w:t>
      </w:r>
    </w:p>
    <w:p w14:paraId="66BA7AA3" w14:textId="77777777" w:rsidR="002A4C2F" w:rsidRDefault="002A4C2F" w:rsidP="004E4E36">
      <w:pPr>
        <w:pStyle w:val="ListParagraph"/>
        <w:numPr>
          <w:ilvl w:val="1"/>
          <w:numId w:val="52"/>
        </w:numPr>
        <w:spacing w:line="240" w:lineRule="auto"/>
        <w:contextualSpacing/>
      </w:pPr>
      <w:r>
        <w:t>Utility ability to impact outcome</w:t>
      </w:r>
    </w:p>
    <w:p w14:paraId="1AFFAB44" w14:textId="77777777" w:rsidR="002A4C2F" w:rsidRDefault="002A4C2F" w:rsidP="004E4E36">
      <w:pPr>
        <w:pStyle w:val="ListParagraph"/>
        <w:numPr>
          <w:ilvl w:val="1"/>
          <w:numId w:val="52"/>
        </w:numPr>
        <w:spacing w:line="240" w:lineRule="auto"/>
        <w:contextualSpacing/>
      </w:pPr>
      <w:r>
        <w:t>Non-energy benefits</w:t>
      </w:r>
    </w:p>
    <w:p w14:paraId="5D5A0055" w14:textId="77777777" w:rsidR="00BA2A4B" w:rsidRDefault="00BA2A4B" w:rsidP="00BA2A4B">
      <w:pPr>
        <w:spacing w:line="240" w:lineRule="auto"/>
        <w:contextualSpacing/>
      </w:pPr>
    </w:p>
    <w:p w14:paraId="60CB924C" w14:textId="77777777" w:rsidR="002A4C2F" w:rsidRDefault="0051633E" w:rsidP="002A4C2F">
      <w:r>
        <w:t>The team gave e</w:t>
      </w:r>
      <w:r w:rsidR="002A4C2F">
        <w:t>ach ET a score of 1</w:t>
      </w:r>
      <w:r>
        <w:t xml:space="preserve"> through </w:t>
      </w:r>
      <w:r w:rsidR="002A4C2F">
        <w:t>5 for each evaluation criteria, which were then weighted and summed to calculate the overall impact evaluation score. ETs that earn a higher score are expected to have a greater impact (i.e. greater energy savings) on the Agricultural</w:t>
      </w:r>
      <w:r>
        <w:t xml:space="preserve"> or </w:t>
      </w:r>
      <w:r w:rsidR="002A4C2F">
        <w:t xml:space="preserve">Industrial sectors. </w:t>
      </w:r>
      <w:r w:rsidR="00D068F8">
        <w:t>Table F</w:t>
      </w:r>
      <w:r w:rsidR="00BB59F5">
        <w:t xml:space="preserve">-4 </w:t>
      </w:r>
      <w:r w:rsidR="002A4C2F">
        <w:lastRenderedPageBreak/>
        <w:t>gives the scoring and weighting information for the evaluation criteria.</w:t>
      </w:r>
      <w:r w:rsidR="00EA3678">
        <w:t xml:space="preserve"> </w:t>
      </w:r>
      <w:r w:rsidR="00EA3678" w:rsidRPr="00EA3678">
        <w:t>The process ultimately yielded 169 emerging technology processes which were used to forecast the savings potential for ETs.</w:t>
      </w:r>
    </w:p>
    <w:p w14:paraId="7CB84A24" w14:textId="77777777" w:rsidR="007352B2" w:rsidRDefault="007352B2" w:rsidP="002A4C2F"/>
    <w:p w14:paraId="450153CB" w14:textId="77777777" w:rsidR="007352B2" w:rsidRDefault="007352B2" w:rsidP="007352B2">
      <w:pPr>
        <w:pStyle w:val="Caption"/>
      </w:pPr>
      <w:bookmarkStart w:id="1157" w:name="_Toc490226046"/>
      <w:r>
        <w:t xml:space="preserve">Table </w:t>
      </w:r>
      <w:fldSimple w:instr=" STYLEREF 5 \s ">
        <w:r w:rsidR="007566B9">
          <w:rPr>
            <w:noProof/>
          </w:rPr>
          <w:t>F</w:t>
        </w:r>
      </w:fldSimple>
      <w:r>
        <w:noBreakHyphen/>
      </w:r>
      <w:fldSimple w:instr=" SEQ Table_Apx \* ARABIC \s 5 ">
        <w:r w:rsidR="007566B9">
          <w:rPr>
            <w:noProof/>
          </w:rPr>
          <w:t>4</w:t>
        </w:r>
      </w:fldSimple>
      <w:r>
        <w:t>.</w:t>
      </w:r>
      <w:r w:rsidRPr="007352B2">
        <w:t xml:space="preserve"> </w:t>
      </w:r>
      <w:r>
        <w:t>Emerging Technology Evaluation Criteria</w:t>
      </w:r>
      <w:bookmarkEnd w:id="1157"/>
    </w:p>
    <w:tbl>
      <w:tblPr>
        <w:tblStyle w:val="EnergyTable1"/>
        <w:tblW w:w="9649" w:type="dxa"/>
        <w:tblLayout w:type="fixed"/>
        <w:tblLook w:val="04A0" w:firstRow="1" w:lastRow="0" w:firstColumn="1" w:lastColumn="0" w:noHBand="0" w:noVBand="1"/>
      </w:tblPr>
      <w:tblGrid>
        <w:gridCol w:w="1379"/>
        <w:gridCol w:w="1379"/>
        <w:gridCol w:w="1379"/>
        <w:gridCol w:w="1378"/>
        <w:gridCol w:w="1378"/>
        <w:gridCol w:w="1378"/>
        <w:gridCol w:w="1378"/>
      </w:tblGrid>
      <w:tr w:rsidR="001A5D37" w:rsidRPr="001A5D37" w14:paraId="695F7228" w14:textId="77777777" w:rsidTr="00AF21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5EF87161" w14:textId="77777777" w:rsidR="001A5D37" w:rsidRPr="001A5D37" w:rsidRDefault="001A5D37" w:rsidP="001A5D37">
            <w:pPr>
              <w:rPr>
                <w:rFonts w:ascii="Arial Narrow" w:hAnsi="Arial Narrow" w:cs="Arial"/>
                <w:sz w:val="18"/>
                <w:szCs w:val="18"/>
              </w:rPr>
            </w:pPr>
            <w:r w:rsidRPr="001A5D37">
              <w:rPr>
                <w:rFonts w:ascii="Arial Narrow" w:hAnsi="Arial Narrow" w:cs="Arial"/>
                <w:sz w:val="18"/>
                <w:szCs w:val="18"/>
              </w:rPr>
              <w:t>Technology Characteristics</w:t>
            </w:r>
          </w:p>
        </w:tc>
        <w:tc>
          <w:tcPr>
            <w:tcW w:w="0" w:type="dxa"/>
          </w:tcPr>
          <w:p w14:paraId="7C227FE2" w14:textId="77777777" w:rsidR="001A5D37" w:rsidRPr="001A5D37" w:rsidRDefault="001A5D37" w:rsidP="001A5D37">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Weight</w:t>
            </w:r>
          </w:p>
        </w:tc>
        <w:tc>
          <w:tcPr>
            <w:tcW w:w="0" w:type="dxa"/>
          </w:tcPr>
          <w:p w14:paraId="529105A6" w14:textId="77777777" w:rsidR="001A5D37" w:rsidRPr="001A5D37" w:rsidRDefault="001A5D37" w:rsidP="001A5D37">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1</w:t>
            </w:r>
          </w:p>
        </w:tc>
        <w:tc>
          <w:tcPr>
            <w:tcW w:w="0" w:type="dxa"/>
          </w:tcPr>
          <w:p w14:paraId="20929796" w14:textId="77777777" w:rsidR="001A5D37" w:rsidRPr="001A5D37" w:rsidRDefault="001A5D37" w:rsidP="001A5D37">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2</w:t>
            </w:r>
          </w:p>
        </w:tc>
        <w:tc>
          <w:tcPr>
            <w:tcW w:w="0" w:type="dxa"/>
          </w:tcPr>
          <w:p w14:paraId="32CE06A5" w14:textId="77777777" w:rsidR="001A5D37" w:rsidRPr="001A5D37" w:rsidRDefault="001A5D37" w:rsidP="001A5D37">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3</w:t>
            </w:r>
          </w:p>
        </w:tc>
        <w:tc>
          <w:tcPr>
            <w:tcW w:w="0" w:type="dxa"/>
          </w:tcPr>
          <w:p w14:paraId="24E1C7C7" w14:textId="77777777" w:rsidR="001A5D37" w:rsidRPr="001A5D37" w:rsidRDefault="001A5D37" w:rsidP="001A5D37">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4</w:t>
            </w:r>
          </w:p>
        </w:tc>
        <w:tc>
          <w:tcPr>
            <w:tcW w:w="0" w:type="dxa"/>
          </w:tcPr>
          <w:p w14:paraId="04B9DCFC" w14:textId="77777777" w:rsidR="001A5D37" w:rsidRPr="001A5D37" w:rsidRDefault="001A5D37" w:rsidP="001A5D37">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5</w:t>
            </w:r>
          </w:p>
        </w:tc>
      </w:tr>
      <w:tr w:rsidR="001A5D37" w:rsidRPr="001A5D37" w14:paraId="07945D63"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DAB54BB" w14:textId="77777777" w:rsidR="001A5D37" w:rsidRPr="001A5D37" w:rsidRDefault="001A5D37" w:rsidP="001A5D37">
            <w:pPr>
              <w:jc w:val="left"/>
              <w:rPr>
                <w:rFonts w:ascii="Arial Narrow" w:hAnsi="Arial Narrow" w:cs="Arial"/>
                <w:sz w:val="18"/>
                <w:szCs w:val="18"/>
              </w:rPr>
            </w:pPr>
            <w:r w:rsidRPr="001A5D37">
              <w:rPr>
                <w:rFonts w:ascii="Arial Narrow" w:hAnsi="Arial Narrow" w:cs="Arial"/>
                <w:sz w:val="18"/>
                <w:szCs w:val="18"/>
              </w:rPr>
              <w:t>Energy Technical Potential</w:t>
            </w:r>
          </w:p>
        </w:tc>
        <w:tc>
          <w:tcPr>
            <w:tcW w:w="0" w:type="dxa"/>
          </w:tcPr>
          <w:p w14:paraId="00DE4881"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3</w:t>
            </w:r>
          </w:p>
        </w:tc>
        <w:tc>
          <w:tcPr>
            <w:tcW w:w="0" w:type="dxa"/>
          </w:tcPr>
          <w:p w14:paraId="6A9023AD"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Low</w:t>
            </w:r>
          </w:p>
        </w:tc>
        <w:tc>
          <w:tcPr>
            <w:tcW w:w="0" w:type="dxa"/>
          </w:tcPr>
          <w:p w14:paraId="36B58123"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Low</w:t>
            </w:r>
          </w:p>
        </w:tc>
        <w:tc>
          <w:tcPr>
            <w:tcW w:w="0" w:type="dxa"/>
          </w:tcPr>
          <w:p w14:paraId="6C27E01F"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Medium</w:t>
            </w:r>
          </w:p>
        </w:tc>
        <w:tc>
          <w:tcPr>
            <w:tcW w:w="0" w:type="dxa"/>
          </w:tcPr>
          <w:p w14:paraId="50CDFF3F"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High</w:t>
            </w:r>
          </w:p>
        </w:tc>
        <w:tc>
          <w:tcPr>
            <w:tcW w:w="0" w:type="dxa"/>
          </w:tcPr>
          <w:p w14:paraId="09C5E2A4"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High</w:t>
            </w:r>
          </w:p>
        </w:tc>
      </w:tr>
      <w:tr w:rsidR="001A5D37" w:rsidRPr="001A5D37" w14:paraId="30EE598C"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1CF4E18" w14:textId="77777777" w:rsidR="001A5D37" w:rsidRPr="001A5D37" w:rsidRDefault="001A5D37" w:rsidP="001A5D37">
            <w:pPr>
              <w:jc w:val="left"/>
              <w:rPr>
                <w:rFonts w:ascii="Arial Narrow" w:hAnsi="Arial Narrow" w:cs="Arial"/>
                <w:sz w:val="18"/>
                <w:szCs w:val="18"/>
              </w:rPr>
            </w:pPr>
            <w:r w:rsidRPr="001A5D37">
              <w:rPr>
                <w:rFonts w:ascii="Arial Narrow" w:hAnsi="Arial Narrow" w:cs="Arial"/>
                <w:sz w:val="18"/>
                <w:szCs w:val="18"/>
              </w:rPr>
              <w:t>Energy Market Potential</w:t>
            </w:r>
          </w:p>
        </w:tc>
        <w:tc>
          <w:tcPr>
            <w:tcW w:w="0" w:type="dxa"/>
          </w:tcPr>
          <w:p w14:paraId="68F3D239"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3</w:t>
            </w:r>
          </w:p>
        </w:tc>
        <w:tc>
          <w:tcPr>
            <w:tcW w:w="0" w:type="dxa"/>
          </w:tcPr>
          <w:p w14:paraId="6CD4B6F0"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Low</w:t>
            </w:r>
          </w:p>
        </w:tc>
        <w:tc>
          <w:tcPr>
            <w:tcW w:w="0" w:type="dxa"/>
          </w:tcPr>
          <w:p w14:paraId="377AF40C"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Low</w:t>
            </w:r>
          </w:p>
        </w:tc>
        <w:tc>
          <w:tcPr>
            <w:tcW w:w="0" w:type="dxa"/>
          </w:tcPr>
          <w:p w14:paraId="02F148B4"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Medium</w:t>
            </w:r>
          </w:p>
        </w:tc>
        <w:tc>
          <w:tcPr>
            <w:tcW w:w="0" w:type="dxa"/>
          </w:tcPr>
          <w:p w14:paraId="7D7EDAC8"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High</w:t>
            </w:r>
          </w:p>
        </w:tc>
        <w:tc>
          <w:tcPr>
            <w:tcW w:w="0" w:type="dxa"/>
          </w:tcPr>
          <w:p w14:paraId="069C301C"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High</w:t>
            </w:r>
          </w:p>
        </w:tc>
      </w:tr>
      <w:tr w:rsidR="001A5D37" w:rsidRPr="001A5D37" w14:paraId="1FC75F50"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2EE0C40" w14:textId="77777777" w:rsidR="001A5D37" w:rsidRPr="001A5D37" w:rsidRDefault="001A5D37" w:rsidP="001A5D37">
            <w:pPr>
              <w:jc w:val="left"/>
              <w:rPr>
                <w:rFonts w:ascii="Arial Narrow" w:hAnsi="Arial Narrow" w:cs="Arial"/>
                <w:sz w:val="18"/>
                <w:szCs w:val="18"/>
              </w:rPr>
            </w:pPr>
            <w:r w:rsidRPr="001A5D37">
              <w:rPr>
                <w:rFonts w:ascii="Arial Narrow" w:hAnsi="Arial Narrow" w:cs="Arial"/>
                <w:sz w:val="18"/>
                <w:szCs w:val="18"/>
              </w:rPr>
              <w:t>Market Risk</w:t>
            </w:r>
          </w:p>
        </w:tc>
        <w:tc>
          <w:tcPr>
            <w:tcW w:w="0" w:type="dxa"/>
          </w:tcPr>
          <w:p w14:paraId="4158DC86"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2</w:t>
            </w:r>
          </w:p>
        </w:tc>
        <w:tc>
          <w:tcPr>
            <w:tcW w:w="0" w:type="dxa"/>
          </w:tcPr>
          <w:p w14:paraId="0910E264"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High Risk</w:t>
            </w:r>
          </w:p>
        </w:tc>
        <w:tc>
          <w:tcPr>
            <w:tcW w:w="0" w:type="dxa"/>
          </w:tcPr>
          <w:p w14:paraId="67C9C468"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High Risk</w:t>
            </w:r>
          </w:p>
        </w:tc>
        <w:tc>
          <w:tcPr>
            <w:tcW w:w="0" w:type="dxa"/>
          </w:tcPr>
          <w:p w14:paraId="4280BED2"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Medium Risk</w:t>
            </w:r>
          </w:p>
        </w:tc>
        <w:tc>
          <w:tcPr>
            <w:tcW w:w="0" w:type="dxa"/>
          </w:tcPr>
          <w:p w14:paraId="60254D7D"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Low Risk</w:t>
            </w:r>
          </w:p>
        </w:tc>
        <w:tc>
          <w:tcPr>
            <w:tcW w:w="0" w:type="dxa"/>
          </w:tcPr>
          <w:p w14:paraId="121A8E07"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Low Risk</w:t>
            </w:r>
          </w:p>
        </w:tc>
      </w:tr>
      <w:tr w:rsidR="001A5D37" w:rsidRPr="001A5D37" w14:paraId="6E0A7471"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EA03F74" w14:textId="77777777" w:rsidR="001A5D37" w:rsidRPr="001A5D37" w:rsidRDefault="001A5D37" w:rsidP="001A5D37">
            <w:pPr>
              <w:jc w:val="left"/>
              <w:rPr>
                <w:rFonts w:ascii="Arial Narrow" w:hAnsi="Arial Narrow" w:cs="Arial"/>
                <w:sz w:val="18"/>
                <w:szCs w:val="18"/>
              </w:rPr>
            </w:pPr>
            <w:r w:rsidRPr="001A5D37">
              <w:rPr>
                <w:rFonts w:ascii="Arial Narrow" w:hAnsi="Arial Narrow" w:cs="Arial"/>
                <w:sz w:val="18"/>
                <w:szCs w:val="18"/>
              </w:rPr>
              <w:t>Technical Risk</w:t>
            </w:r>
          </w:p>
        </w:tc>
        <w:tc>
          <w:tcPr>
            <w:tcW w:w="0" w:type="dxa"/>
          </w:tcPr>
          <w:p w14:paraId="24AF123E"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2</w:t>
            </w:r>
          </w:p>
        </w:tc>
        <w:tc>
          <w:tcPr>
            <w:tcW w:w="0" w:type="dxa"/>
          </w:tcPr>
          <w:p w14:paraId="6B5BAAD7"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High Risk</w:t>
            </w:r>
          </w:p>
        </w:tc>
        <w:tc>
          <w:tcPr>
            <w:tcW w:w="0" w:type="dxa"/>
          </w:tcPr>
          <w:p w14:paraId="36B5DD89"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High Risk</w:t>
            </w:r>
          </w:p>
        </w:tc>
        <w:tc>
          <w:tcPr>
            <w:tcW w:w="0" w:type="dxa"/>
          </w:tcPr>
          <w:p w14:paraId="7A00AC1B"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Medium Risk</w:t>
            </w:r>
          </w:p>
        </w:tc>
        <w:tc>
          <w:tcPr>
            <w:tcW w:w="0" w:type="dxa"/>
          </w:tcPr>
          <w:p w14:paraId="06D771C3"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Low Risk</w:t>
            </w:r>
          </w:p>
        </w:tc>
        <w:tc>
          <w:tcPr>
            <w:tcW w:w="0" w:type="dxa"/>
          </w:tcPr>
          <w:p w14:paraId="1233F353"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Low Risk</w:t>
            </w:r>
          </w:p>
        </w:tc>
      </w:tr>
      <w:tr w:rsidR="001A5D37" w:rsidRPr="001A5D37" w14:paraId="70270358"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2220338" w14:textId="77777777" w:rsidR="001A5D37" w:rsidRPr="001A5D37" w:rsidRDefault="001A5D37" w:rsidP="001A5D37">
            <w:pPr>
              <w:jc w:val="left"/>
              <w:rPr>
                <w:rFonts w:ascii="Arial Narrow" w:hAnsi="Arial Narrow" w:cs="Arial"/>
                <w:sz w:val="18"/>
                <w:szCs w:val="18"/>
              </w:rPr>
            </w:pPr>
            <w:r w:rsidRPr="001A5D37">
              <w:rPr>
                <w:rFonts w:ascii="Arial Narrow" w:hAnsi="Arial Narrow" w:cs="Arial"/>
                <w:sz w:val="18"/>
                <w:szCs w:val="18"/>
              </w:rPr>
              <w:t>Utility Ability to Impact Market</w:t>
            </w:r>
          </w:p>
        </w:tc>
        <w:tc>
          <w:tcPr>
            <w:tcW w:w="0" w:type="dxa"/>
          </w:tcPr>
          <w:p w14:paraId="0DE2520A"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1</w:t>
            </w:r>
          </w:p>
        </w:tc>
        <w:tc>
          <w:tcPr>
            <w:tcW w:w="0" w:type="dxa"/>
          </w:tcPr>
          <w:p w14:paraId="3E72032E"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Private sector will succeed without utility involvement</w:t>
            </w:r>
          </w:p>
        </w:tc>
        <w:tc>
          <w:tcPr>
            <w:tcW w:w="0" w:type="dxa"/>
          </w:tcPr>
          <w:p w14:paraId="36F0C25F"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Utility is unlikely to be critical to adoption</w:t>
            </w:r>
          </w:p>
        </w:tc>
        <w:tc>
          <w:tcPr>
            <w:tcW w:w="0" w:type="dxa"/>
          </w:tcPr>
          <w:p w14:paraId="4D5D7500"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Utility is likely to accelerate adoption</w:t>
            </w:r>
          </w:p>
        </w:tc>
        <w:tc>
          <w:tcPr>
            <w:tcW w:w="0" w:type="dxa"/>
          </w:tcPr>
          <w:p w14:paraId="155E6D93"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Utility is very important in accelerating adoption</w:t>
            </w:r>
          </w:p>
        </w:tc>
        <w:tc>
          <w:tcPr>
            <w:tcW w:w="0" w:type="dxa"/>
          </w:tcPr>
          <w:p w14:paraId="629E5B72" w14:textId="77777777" w:rsidR="001A5D37" w:rsidRPr="001A5D37" w:rsidRDefault="001A5D37" w:rsidP="001A5D37">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Utility is essential for catalyzing market</w:t>
            </w:r>
          </w:p>
        </w:tc>
      </w:tr>
      <w:tr w:rsidR="001A5D37" w:rsidRPr="001A5D37" w14:paraId="223CF3FA"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3B84C7E" w14:textId="77777777" w:rsidR="001A5D37" w:rsidRPr="001A5D37" w:rsidRDefault="001A5D37" w:rsidP="001A5D37">
            <w:pPr>
              <w:jc w:val="left"/>
              <w:rPr>
                <w:rFonts w:ascii="Arial Narrow" w:hAnsi="Arial Narrow" w:cs="Arial"/>
                <w:sz w:val="18"/>
                <w:szCs w:val="18"/>
              </w:rPr>
            </w:pPr>
            <w:r w:rsidRPr="001A5D37">
              <w:rPr>
                <w:rFonts w:ascii="Arial Narrow" w:hAnsi="Arial Narrow" w:cs="Arial"/>
                <w:sz w:val="18"/>
                <w:szCs w:val="18"/>
              </w:rPr>
              <w:t>Non-Energy Benefits (NEBs)</w:t>
            </w:r>
          </w:p>
        </w:tc>
        <w:tc>
          <w:tcPr>
            <w:tcW w:w="0" w:type="dxa"/>
          </w:tcPr>
          <w:p w14:paraId="705B4B9F"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1</w:t>
            </w:r>
          </w:p>
        </w:tc>
        <w:tc>
          <w:tcPr>
            <w:tcW w:w="0" w:type="dxa"/>
          </w:tcPr>
          <w:p w14:paraId="79710865"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Few or none NEBs</w:t>
            </w:r>
          </w:p>
        </w:tc>
        <w:tc>
          <w:tcPr>
            <w:tcW w:w="0" w:type="dxa"/>
          </w:tcPr>
          <w:p w14:paraId="005C11CB"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Some modest NEBs likely</w:t>
            </w:r>
          </w:p>
        </w:tc>
        <w:tc>
          <w:tcPr>
            <w:tcW w:w="0" w:type="dxa"/>
          </w:tcPr>
          <w:p w14:paraId="6723390A"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Significant benefits</w:t>
            </w:r>
            <w:r>
              <w:rPr>
                <w:rFonts w:ascii="Arial Narrow" w:hAnsi="Arial Narrow" w:cs="Arial"/>
                <w:sz w:val="18"/>
                <w:szCs w:val="18"/>
              </w:rPr>
              <w:t>, but</w:t>
            </w:r>
            <w:r w:rsidRPr="001A5D37">
              <w:rPr>
                <w:rFonts w:ascii="Arial Narrow" w:hAnsi="Arial Narrow" w:cs="Arial"/>
                <w:sz w:val="18"/>
                <w:szCs w:val="18"/>
              </w:rPr>
              <w:t xml:space="preserve"> difficult to quantify / not understood</w:t>
            </w:r>
          </w:p>
        </w:tc>
        <w:tc>
          <w:tcPr>
            <w:tcW w:w="0" w:type="dxa"/>
          </w:tcPr>
          <w:p w14:paraId="4D50197D"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1 or 2 quantified, well-documented NEBs</w:t>
            </w:r>
          </w:p>
        </w:tc>
        <w:tc>
          <w:tcPr>
            <w:tcW w:w="0" w:type="dxa"/>
          </w:tcPr>
          <w:p w14:paraId="14EEA502" w14:textId="77777777" w:rsidR="001A5D37" w:rsidRPr="001A5D37" w:rsidRDefault="001A5D37" w:rsidP="001A5D37">
            <w:pPr>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1A5D37">
              <w:rPr>
                <w:rFonts w:ascii="Arial Narrow" w:hAnsi="Arial Narrow" w:cs="Arial"/>
                <w:sz w:val="18"/>
                <w:szCs w:val="18"/>
              </w:rPr>
              <w:t>Extensive, quantified, well-understood NEBs</w:t>
            </w:r>
          </w:p>
        </w:tc>
      </w:tr>
    </w:tbl>
    <w:p w14:paraId="176884C8" w14:textId="77777777" w:rsidR="001A5D37" w:rsidRPr="001A5D37" w:rsidRDefault="001A5D37" w:rsidP="001A5D37">
      <w:pPr>
        <w:jc w:val="center"/>
        <w:rPr>
          <w:rFonts w:cs="Arial"/>
          <w:i/>
          <w:sz w:val="16"/>
          <w:szCs w:val="16"/>
        </w:rPr>
      </w:pPr>
      <w:r w:rsidRPr="001A5D37">
        <w:rPr>
          <w:rFonts w:cs="Arial"/>
          <w:i/>
          <w:sz w:val="16"/>
          <w:szCs w:val="16"/>
        </w:rPr>
        <w:t>Source: Navigant analysis</w:t>
      </w:r>
    </w:p>
    <w:p w14:paraId="1FBAA0A9" w14:textId="77777777" w:rsidR="0051633E" w:rsidRDefault="0051633E" w:rsidP="002A4C2F"/>
    <w:p w14:paraId="55B2291E" w14:textId="77777777" w:rsidR="002A4C2F" w:rsidRDefault="002A4C2F" w:rsidP="002A4C2F">
      <w:r>
        <w:t xml:space="preserve">The </w:t>
      </w:r>
      <w:r w:rsidR="00EA3678">
        <w:t>characterization process</w:t>
      </w:r>
      <w:r w:rsidR="001A5D37">
        <w:t xml:space="preserve"> </w:t>
      </w:r>
      <w:r>
        <w:t xml:space="preserve">worked to distinguish between energy technical potential and energy market potential. The energy technical potential evaluates the energy savings of the specific technology, relative to the energy consumption of the baseline equivalent technology. The energy market potential takes a broader view, and is a measure of the energy savings potential of that ET relative to the entire market energy consumption. ETs that have a high energy technical potential, but low energy market potential include technologies that drastically improve efficiency of a certain technology but have limited market application.  </w:t>
      </w:r>
    </w:p>
    <w:p w14:paraId="2EE046CE" w14:textId="77777777" w:rsidR="00F52378" w:rsidRDefault="00F52378" w:rsidP="002A4C2F">
      <w:pPr>
        <w:rPr>
          <w:rFonts w:ascii="Calibri Light" w:hAnsi="Calibri Light"/>
          <w:sz w:val="22"/>
        </w:rPr>
      </w:pPr>
    </w:p>
    <w:p w14:paraId="6D091DAE" w14:textId="77777777" w:rsidR="002A4C2F" w:rsidRDefault="002A4C2F" w:rsidP="00F52378">
      <w:pPr>
        <w:rPr>
          <w:b/>
          <w:u w:val="single"/>
        </w:rPr>
      </w:pPr>
      <w:r w:rsidRPr="00F52378">
        <w:rPr>
          <w:b/>
          <w:u w:val="single"/>
        </w:rPr>
        <w:t>Savings</w:t>
      </w:r>
    </w:p>
    <w:p w14:paraId="11C49C0B" w14:textId="77777777" w:rsidR="00BB59F5" w:rsidRPr="00F52378" w:rsidRDefault="00BB59F5" w:rsidP="00F52378">
      <w:pPr>
        <w:rPr>
          <w:b/>
          <w:u w:val="single"/>
        </w:rPr>
      </w:pPr>
    </w:p>
    <w:p w14:paraId="3EA300FA" w14:textId="77777777" w:rsidR="002A4C2F" w:rsidRDefault="002A4C2F" w:rsidP="002A4C2F">
      <w:r>
        <w:t xml:space="preserve">To </w:t>
      </w:r>
      <w:r w:rsidR="00064586">
        <w:t>estimate savings</w:t>
      </w:r>
      <w:r>
        <w:t xml:space="preserve">, </w:t>
      </w:r>
      <w:r w:rsidR="00CA021C">
        <w:t xml:space="preserve">the team calculated </w:t>
      </w:r>
      <w:r>
        <w:t xml:space="preserve">multipliers </w:t>
      </w:r>
      <w:r w:rsidR="00064586">
        <w:t xml:space="preserve">for </w:t>
      </w:r>
      <w:r>
        <w:t>each ET. These multipliers represent information on the total energy savings potential of the ET and other influential market data. The following formula was used to calculate the multiplier for each emerging technology</w:t>
      </w:r>
      <w:r w:rsidR="00CA021C">
        <w:t xml:space="preserve"> that are then </w:t>
      </w:r>
      <w:r>
        <w:t xml:space="preserve">applied to a specific market </w:t>
      </w:r>
      <w:r w:rsidR="009D1D9C">
        <w:t>segment</w:t>
      </w:r>
      <w:r>
        <w:t xml:space="preserve"> and end-use</w:t>
      </w:r>
      <w:r w:rsidR="00CA021C">
        <w:t xml:space="preserve"> energy consumption.</w:t>
      </w:r>
      <w:r>
        <w:t xml:space="preserve">  </w:t>
      </w:r>
    </w:p>
    <w:p w14:paraId="0E694C64" w14:textId="77777777" w:rsidR="00EE25AA" w:rsidRDefault="00EE25AA" w:rsidP="002A4C2F"/>
    <w:p w14:paraId="78A45C6F" w14:textId="77777777" w:rsidR="00EE25AA" w:rsidRDefault="00EE25AA" w:rsidP="00EE25AA">
      <w:pPr>
        <w:pStyle w:val="Caption"/>
      </w:pPr>
      <w:bookmarkStart w:id="1158" w:name="_Ref484087812"/>
      <w:r w:rsidRPr="00321BF9">
        <w:t xml:space="preserve">Equation </w:t>
      </w:r>
      <w:fldSimple w:instr=" SEQ Equation \* ARABIC ">
        <w:r w:rsidR="007566B9">
          <w:rPr>
            <w:noProof/>
          </w:rPr>
          <w:t>4</w:t>
        </w:r>
      </w:fldSimple>
      <w:bookmarkEnd w:id="1158"/>
      <w:r w:rsidRPr="00321BF9">
        <w:t>.</w:t>
      </w:r>
      <w:r w:rsidR="00A40F34">
        <w:t xml:space="preserve"> Emerging Technology Multiplier</w:t>
      </w:r>
    </w:p>
    <w:p w14:paraId="547B12CC" w14:textId="77777777" w:rsidR="002A4C2F" w:rsidRPr="007352B2" w:rsidRDefault="00260768" w:rsidP="002A4C2F">
      <m:oMathPara>
        <m:oMath>
          <m:sSub>
            <m:sSubPr>
              <m:ctrlPr>
                <w:rPr>
                  <w:rFonts w:ascii="Cambria Math" w:hAnsi="Cambria Math"/>
                  <w:i/>
                  <w:sz w:val="24"/>
                </w:rPr>
              </m:ctrlPr>
            </m:sSubPr>
            <m:e>
              <m:r>
                <w:rPr>
                  <w:rFonts w:ascii="Cambria Math" w:hAnsi="Cambria Math"/>
                </w:rPr>
                <m:t>M</m:t>
              </m:r>
            </m:e>
            <m:sub>
              <m:r>
                <w:rPr>
                  <w:rFonts w:ascii="Cambria Math" w:hAnsi="Cambria Math"/>
                </w:rPr>
                <m:t>e,i,j</m:t>
              </m:r>
            </m:sub>
          </m:sSub>
          <m:r>
            <w:rPr>
              <w:rFonts w:ascii="Cambria Math" w:hAnsi="Cambria Math"/>
            </w:rPr>
            <m:t>=</m:t>
          </m:r>
          <m:sSub>
            <m:sSubPr>
              <m:ctrlPr>
                <w:rPr>
                  <w:rFonts w:ascii="Cambria Math" w:hAnsi="Cambria Math"/>
                  <w:i/>
                  <w:sz w:val="24"/>
                </w:rPr>
              </m:ctrlPr>
            </m:sSubPr>
            <m:e>
              <m:r>
                <w:rPr>
                  <w:rFonts w:ascii="Cambria Math" w:hAnsi="Cambria Math"/>
                </w:rPr>
                <m:t>T</m:t>
              </m:r>
            </m:e>
            <m:sub>
              <m:r>
                <w:rPr>
                  <w:rFonts w:ascii="Cambria Math" w:hAnsi="Cambria Math"/>
                </w:rPr>
                <m:t>e</m:t>
              </m:r>
            </m:sub>
          </m:sSub>
          <m:r>
            <w:rPr>
              <w:rFonts w:ascii="Cambria Math" w:hAnsi="Cambria Math"/>
            </w:rPr>
            <m:t xml:space="preserve"> × </m:t>
          </m:r>
          <m:sSub>
            <m:sSubPr>
              <m:ctrlPr>
                <w:rPr>
                  <w:rFonts w:ascii="Cambria Math" w:hAnsi="Cambria Math"/>
                  <w:i/>
                  <w:sz w:val="24"/>
                </w:rPr>
              </m:ctrlPr>
            </m:sSubPr>
            <m:e>
              <m:r>
                <w:rPr>
                  <w:rFonts w:ascii="Cambria Math" w:hAnsi="Cambria Math"/>
                </w:rPr>
                <m:t>E</m:t>
              </m:r>
            </m:e>
            <m:sub>
              <m:r>
                <w:rPr>
                  <w:rFonts w:ascii="Cambria Math" w:hAnsi="Cambria Math"/>
                </w:rPr>
                <m:t>i,j</m:t>
              </m:r>
            </m:sub>
          </m:sSub>
          <m:r>
            <w:rPr>
              <w:rFonts w:ascii="Cambria Math" w:hAnsi="Cambria Math"/>
            </w:rPr>
            <m:t xml:space="preserve"> × </m:t>
          </m:r>
          <m:sSub>
            <m:sSubPr>
              <m:ctrlPr>
                <w:rPr>
                  <w:rFonts w:ascii="Cambria Math" w:hAnsi="Cambria Math"/>
                  <w:i/>
                  <w:sz w:val="24"/>
                </w:rPr>
              </m:ctrlPr>
            </m:sSubPr>
            <m:e>
              <m:r>
                <w:rPr>
                  <w:rFonts w:ascii="Cambria Math" w:hAnsi="Cambria Math"/>
                </w:rPr>
                <m:t>MT</m:t>
              </m:r>
            </m:e>
            <m:sub>
              <m:r>
                <w:rPr>
                  <w:rFonts w:ascii="Cambria Math" w:hAnsi="Cambria Math"/>
                </w:rPr>
                <m:t xml:space="preserve">j </m:t>
              </m:r>
            </m:sub>
          </m:sSub>
          <m:r>
            <w:rPr>
              <w:rFonts w:ascii="Cambria Math" w:hAnsi="Cambria Math"/>
            </w:rPr>
            <m:t xml:space="preserve">× </m:t>
          </m:r>
          <m:sSub>
            <m:sSubPr>
              <m:ctrlPr>
                <w:rPr>
                  <w:rFonts w:ascii="Cambria Math" w:hAnsi="Cambria Math"/>
                  <w:i/>
                  <w:sz w:val="24"/>
                </w:rPr>
              </m:ctrlPr>
            </m:sSubPr>
            <m:e>
              <m:r>
                <w:rPr>
                  <w:rFonts w:ascii="Cambria Math" w:hAnsi="Cambria Math"/>
                </w:rPr>
                <m:t>TW</m:t>
              </m:r>
            </m:e>
            <m:sub>
              <m:r>
                <w:rPr>
                  <w:rFonts w:ascii="Cambria Math" w:hAnsi="Cambria Math"/>
                </w:rPr>
                <m:t>j</m:t>
              </m:r>
            </m:sub>
          </m:sSub>
        </m:oMath>
      </m:oMathPara>
    </w:p>
    <w:p w14:paraId="108CFB59" w14:textId="77777777" w:rsidR="002A4C2F" w:rsidRDefault="002A4C2F" w:rsidP="002A4C2F">
      <w:r>
        <w:t>Where:</w:t>
      </w:r>
    </w:p>
    <w:p w14:paraId="0B9333A4" w14:textId="77777777" w:rsidR="00CA021C" w:rsidRDefault="00260768" w:rsidP="00CA021C">
      <w:pPr>
        <w:spacing w:before="40"/>
        <w:ind w:left="720"/>
      </w:pPr>
      <m:oMath>
        <m:sSub>
          <m:sSubPr>
            <m:ctrlPr>
              <w:rPr>
                <w:rFonts w:ascii="Cambria Math" w:hAnsi="Cambria Math"/>
                <w:i/>
                <w:sz w:val="24"/>
              </w:rPr>
            </m:ctrlPr>
          </m:sSubPr>
          <m:e>
            <m:r>
              <w:rPr>
                <w:rFonts w:ascii="Cambria Math" w:hAnsi="Cambria Math"/>
              </w:rPr>
              <m:t>M</m:t>
            </m:r>
          </m:e>
          <m:sub>
            <m:r>
              <w:rPr>
                <w:rFonts w:ascii="Cambria Math" w:hAnsi="Cambria Math"/>
              </w:rPr>
              <m:t>e,i,j</m:t>
            </m:r>
          </m:sub>
        </m:sSub>
      </m:oMath>
      <w:r w:rsidR="00CA021C">
        <w:t xml:space="preserve"> </w:t>
      </w:r>
      <w:r w:rsidR="00CA021C">
        <w:tab/>
        <w:t xml:space="preserve">= </w:t>
      </w:r>
      <w:r w:rsidR="00CA021C">
        <w:tab/>
        <w:t xml:space="preserve">multiplier for each ET, </w:t>
      </w:r>
      <w:r w:rsidR="00CA021C">
        <w:rPr>
          <w:i/>
        </w:rPr>
        <w:t>e</w:t>
      </w:r>
      <w:r w:rsidR="00CA021C">
        <w:t xml:space="preserve">, applied to end-use, </w:t>
      </w:r>
      <w:r w:rsidR="00CA021C">
        <w:rPr>
          <w:i/>
        </w:rPr>
        <w:t>i</w:t>
      </w:r>
      <w:r w:rsidR="00CA021C">
        <w:t xml:space="preserve">, and </w:t>
      </w:r>
      <w:r w:rsidR="002951C1">
        <w:t>segment</w:t>
      </w:r>
      <w:r w:rsidR="00CA021C">
        <w:t xml:space="preserve">, </w:t>
      </w:r>
      <w:r w:rsidR="00CA021C">
        <w:rPr>
          <w:i/>
        </w:rPr>
        <w:t>j</w:t>
      </w:r>
    </w:p>
    <w:p w14:paraId="2930D7CC" w14:textId="77777777" w:rsidR="002A4C2F" w:rsidRDefault="002A4C2F" w:rsidP="002A4C2F">
      <w:pPr>
        <w:spacing w:before="40"/>
        <w:ind w:left="720"/>
      </w:pPr>
      <w:r>
        <w:rPr>
          <w:i/>
        </w:rPr>
        <w:t>e</w:t>
      </w:r>
      <w:r>
        <w:tab/>
        <w:t>=</w:t>
      </w:r>
      <w:r>
        <w:tab/>
        <w:t xml:space="preserve">subscript indicating the </w:t>
      </w:r>
      <w:r w:rsidR="00CA021C">
        <w:t>ET</w:t>
      </w:r>
    </w:p>
    <w:p w14:paraId="51D36FF2" w14:textId="77777777" w:rsidR="002A4C2F" w:rsidRDefault="002A4C2F" w:rsidP="002A4C2F">
      <w:pPr>
        <w:spacing w:before="40"/>
        <w:ind w:left="720"/>
      </w:pPr>
      <w:r>
        <w:rPr>
          <w:i/>
        </w:rPr>
        <w:t>i</w:t>
      </w:r>
      <w:r>
        <w:tab/>
        <w:t>=</w:t>
      </w:r>
      <w:r>
        <w:tab/>
        <w:t>subscript indicating the end-use</w:t>
      </w:r>
    </w:p>
    <w:p w14:paraId="377A71A7" w14:textId="77777777" w:rsidR="002A4C2F" w:rsidRDefault="002A4C2F" w:rsidP="002A4C2F">
      <w:pPr>
        <w:spacing w:before="40"/>
        <w:ind w:left="720"/>
      </w:pPr>
      <w:r>
        <w:rPr>
          <w:i/>
        </w:rPr>
        <w:t>j</w:t>
      </w:r>
      <w:r>
        <w:tab/>
        <w:t>=</w:t>
      </w:r>
      <w:r>
        <w:tab/>
        <w:t xml:space="preserve">subscript indicating the market </w:t>
      </w:r>
      <w:r w:rsidR="009D1D9C">
        <w:t>segment</w:t>
      </w:r>
    </w:p>
    <w:p w14:paraId="6F66EC3B" w14:textId="77777777" w:rsidR="002A4C2F" w:rsidRDefault="00260768" w:rsidP="002A4C2F">
      <w:pPr>
        <w:spacing w:before="40"/>
        <w:ind w:left="720"/>
        <w:rPr>
          <w:i/>
        </w:rPr>
      </w:pPr>
      <m:oMath>
        <m:sSub>
          <m:sSubPr>
            <m:ctrlPr>
              <w:rPr>
                <w:rFonts w:ascii="Cambria Math" w:hAnsi="Cambria Math"/>
                <w:i/>
                <w:sz w:val="24"/>
              </w:rPr>
            </m:ctrlPr>
          </m:sSubPr>
          <m:e>
            <m:r>
              <w:rPr>
                <w:rFonts w:ascii="Cambria Math" w:hAnsi="Cambria Math"/>
              </w:rPr>
              <m:t>T</m:t>
            </m:r>
          </m:e>
          <m:sub>
            <m:r>
              <w:rPr>
                <w:rFonts w:ascii="Cambria Math" w:hAnsi="Cambria Math"/>
              </w:rPr>
              <m:t>e</m:t>
            </m:r>
          </m:sub>
        </m:sSub>
      </m:oMath>
      <w:r w:rsidR="002A4C2F">
        <w:tab/>
        <w:t>=</w:t>
      </w:r>
      <w:r w:rsidR="002A4C2F">
        <w:tab/>
        <w:t xml:space="preserve">technology energy savings percentage for </w:t>
      </w:r>
      <w:r w:rsidR="00CA021C">
        <w:t>ET</w:t>
      </w:r>
      <w:r w:rsidR="002A4C2F">
        <w:t xml:space="preserve">, </w:t>
      </w:r>
      <w:r w:rsidR="002A4C2F">
        <w:rPr>
          <w:i/>
        </w:rPr>
        <w:t>e</w:t>
      </w:r>
      <w:r w:rsidR="002A4C2F">
        <w:rPr>
          <w:rFonts w:eastAsiaTheme="minorEastAsia"/>
        </w:rPr>
        <w:tab/>
      </w:r>
    </w:p>
    <w:p w14:paraId="5A818818" w14:textId="77777777" w:rsidR="002A4C2F" w:rsidRDefault="00260768" w:rsidP="002A4C2F">
      <w:pPr>
        <w:spacing w:before="40"/>
        <w:ind w:left="720"/>
      </w:pPr>
      <m:oMath>
        <m:sSub>
          <m:sSubPr>
            <m:ctrlPr>
              <w:rPr>
                <w:rFonts w:ascii="Cambria Math" w:hAnsi="Cambria Math"/>
                <w:i/>
                <w:sz w:val="24"/>
              </w:rPr>
            </m:ctrlPr>
          </m:sSubPr>
          <m:e>
            <m:r>
              <w:rPr>
                <w:rFonts w:ascii="Cambria Math" w:hAnsi="Cambria Math"/>
              </w:rPr>
              <m:t>E</m:t>
            </m:r>
          </m:e>
          <m:sub>
            <m:r>
              <w:rPr>
                <w:rFonts w:ascii="Cambria Math" w:hAnsi="Cambria Math"/>
              </w:rPr>
              <m:t>i,j</m:t>
            </m:r>
          </m:sub>
        </m:sSub>
      </m:oMath>
      <w:r w:rsidR="002A4C2F">
        <w:t xml:space="preserve"> </w:t>
      </w:r>
      <w:r w:rsidR="002A4C2F">
        <w:tab/>
        <w:t xml:space="preserve">= </w:t>
      </w:r>
      <w:r w:rsidR="002A4C2F">
        <w:tab/>
        <w:t xml:space="preserve">percentage of </w:t>
      </w:r>
      <w:r w:rsidR="002951C1">
        <w:t>segment</w:t>
      </w:r>
      <w:r w:rsidR="002A4C2F">
        <w:t xml:space="preserve"> </w:t>
      </w:r>
      <w:r w:rsidR="002A4C2F">
        <w:rPr>
          <w:i/>
        </w:rPr>
        <w:t>j</w:t>
      </w:r>
      <w:r w:rsidR="002A4C2F">
        <w:t xml:space="preserve"> energy attributable to end-use, </w:t>
      </w:r>
      <w:r w:rsidR="002A4C2F">
        <w:rPr>
          <w:i/>
        </w:rPr>
        <w:t xml:space="preserve">i </w:t>
      </w:r>
      <w:r w:rsidR="002A4C2F">
        <w:t xml:space="preserve"> </w:t>
      </w:r>
    </w:p>
    <w:p w14:paraId="364EF9E1" w14:textId="77777777" w:rsidR="002A4C2F" w:rsidRDefault="00260768" w:rsidP="002A4C2F">
      <w:pPr>
        <w:spacing w:before="40"/>
        <w:ind w:left="720"/>
        <w:rPr>
          <w:i/>
        </w:rPr>
      </w:pPr>
      <m:oMath>
        <m:sSub>
          <m:sSubPr>
            <m:ctrlPr>
              <w:rPr>
                <w:rFonts w:ascii="Cambria Math" w:hAnsi="Cambria Math"/>
                <w:i/>
                <w:sz w:val="24"/>
              </w:rPr>
            </m:ctrlPr>
          </m:sSubPr>
          <m:e>
            <m:r>
              <w:rPr>
                <w:rFonts w:ascii="Cambria Math" w:hAnsi="Cambria Math"/>
              </w:rPr>
              <m:t>MT</m:t>
            </m:r>
          </m:e>
          <m:sub>
            <m:r>
              <w:rPr>
                <w:rFonts w:ascii="Cambria Math" w:hAnsi="Cambria Math"/>
              </w:rPr>
              <m:t xml:space="preserve">j </m:t>
            </m:r>
          </m:sub>
        </m:sSub>
      </m:oMath>
      <w:r w:rsidR="002A4C2F">
        <w:t xml:space="preserve"> </w:t>
      </w:r>
      <w:r w:rsidR="002A4C2F">
        <w:tab/>
        <w:t xml:space="preserve">= </w:t>
      </w:r>
      <w:r w:rsidR="002A4C2F">
        <w:tab/>
        <w:t xml:space="preserve">market trajectory for </w:t>
      </w:r>
      <w:r w:rsidR="002951C1">
        <w:t>segment</w:t>
      </w:r>
      <w:r w:rsidR="002A4C2F">
        <w:t xml:space="preserve"> </w:t>
      </w:r>
      <w:r w:rsidR="002A4C2F">
        <w:rPr>
          <w:i/>
        </w:rPr>
        <w:t>j</w:t>
      </w:r>
    </w:p>
    <w:p w14:paraId="0ED4FB91" w14:textId="77777777" w:rsidR="002A4C2F" w:rsidRDefault="00260768" w:rsidP="002A4C2F">
      <w:pPr>
        <w:spacing w:before="40"/>
        <w:ind w:left="720"/>
      </w:pPr>
      <m:oMath>
        <m:sSub>
          <m:sSubPr>
            <m:ctrlPr>
              <w:rPr>
                <w:rFonts w:ascii="Cambria Math" w:hAnsi="Cambria Math"/>
                <w:i/>
                <w:sz w:val="24"/>
              </w:rPr>
            </m:ctrlPr>
          </m:sSubPr>
          <m:e>
            <m:r>
              <w:rPr>
                <w:rFonts w:ascii="Cambria Math" w:hAnsi="Cambria Math"/>
              </w:rPr>
              <m:t>TW</m:t>
            </m:r>
          </m:e>
          <m:sub>
            <m:r>
              <w:rPr>
                <w:rFonts w:ascii="Cambria Math" w:hAnsi="Cambria Math"/>
              </w:rPr>
              <m:t>j</m:t>
            </m:r>
          </m:sub>
        </m:sSub>
      </m:oMath>
      <w:r w:rsidR="002A4C2F">
        <w:t xml:space="preserve"> </w:t>
      </w:r>
      <w:r w:rsidR="002A4C2F">
        <w:tab/>
        <w:t xml:space="preserve">= </w:t>
      </w:r>
      <w:r w:rsidR="002A4C2F">
        <w:tab/>
        <w:t xml:space="preserve">segment energy consumption trend weight for </w:t>
      </w:r>
      <w:r w:rsidR="002951C1">
        <w:t>segment</w:t>
      </w:r>
      <w:r w:rsidR="002A4C2F">
        <w:t xml:space="preserve"> </w:t>
      </w:r>
      <w:r w:rsidR="002A4C2F">
        <w:rPr>
          <w:i/>
        </w:rPr>
        <w:t>j</w:t>
      </w:r>
    </w:p>
    <w:p w14:paraId="1BC3A073" w14:textId="77777777" w:rsidR="002A4C2F" w:rsidRDefault="002A4C2F" w:rsidP="002A4C2F"/>
    <w:p w14:paraId="3AEF2D26" w14:textId="77777777" w:rsidR="00CA021C" w:rsidRPr="00CA021C" w:rsidRDefault="002A4C2F" w:rsidP="004E4E36">
      <w:pPr>
        <w:pStyle w:val="ListParagraph"/>
        <w:numPr>
          <w:ilvl w:val="0"/>
          <w:numId w:val="54"/>
        </w:numPr>
      </w:pPr>
      <w:r>
        <w:t xml:space="preserve">The technology energy savings percentage, </w:t>
      </w:r>
      <m:oMath>
        <m:sSub>
          <m:sSubPr>
            <m:ctrlPr>
              <w:rPr>
                <w:rFonts w:ascii="Cambria Math" w:hAnsi="Cambria Math"/>
                <w:i/>
                <w:sz w:val="24"/>
              </w:rPr>
            </m:ctrlPr>
          </m:sSubPr>
          <m:e>
            <m:r>
              <w:rPr>
                <w:rFonts w:ascii="Cambria Math" w:hAnsi="Cambria Math"/>
              </w:rPr>
              <m:t>T</m:t>
            </m:r>
          </m:e>
          <m:sub>
            <m:r>
              <w:rPr>
                <w:rFonts w:ascii="Cambria Math" w:hAnsi="Cambria Math"/>
              </w:rPr>
              <m:t>e</m:t>
            </m:r>
          </m:sub>
        </m:sSub>
      </m:oMath>
      <w:r>
        <w:rPr>
          <w:rFonts w:eastAsiaTheme="minorEastAsia"/>
        </w:rPr>
        <w:t>, was identified during the ET characterization process.</w:t>
      </w:r>
    </w:p>
    <w:p w14:paraId="04A3EEB0" w14:textId="77777777" w:rsidR="00CA021C" w:rsidRPr="00CA021C" w:rsidRDefault="002A4C2F" w:rsidP="004E4E36">
      <w:pPr>
        <w:pStyle w:val="ListParagraph"/>
        <w:numPr>
          <w:ilvl w:val="0"/>
          <w:numId w:val="54"/>
        </w:numPr>
      </w:pPr>
      <w:r>
        <w:rPr>
          <w:rFonts w:eastAsiaTheme="minorEastAsia"/>
        </w:rPr>
        <w:t xml:space="preserve">The </w:t>
      </w:r>
      <w:r w:rsidR="009D1D9C">
        <w:rPr>
          <w:rFonts w:eastAsiaTheme="minorEastAsia"/>
        </w:rPr>
        <w:t>segment</w:t>
      </w:r>
      <w:r>
        <w:rPr>
          <w:rFonts w:eastAsiaTheme="minorEastAsia"/>
        </w:rPr>
        <w:t xml:space="preserve"> end-use percentage, </w:t>
      </w:r>
      <m:oMath>
        <m:sSub>
          <m:sSubPr>
            <m:ctrlPr>
              <w:rPr>
                <w:rFonts w:ascii="Cambria Math" w:hAnsi="Cambria Math"/>
                <w:i/>
                <w:sz w:val="24"/>
              </w:rPr>
            </m:ctrlPr>
          </m:sSubPr>
          <m:e>
            <m:r>
              <w:rPr>
                <w:rFonts w:ascii="Cambria Math" w:hAnsi="Cambria Math"/>
              </w:rPr>
              <m:t>E</m:t>
            </m:r>
          </m:e>
          <m:sub>
            <m:r>
              <w:rPr>
                <w:rFonts w:ascii="Cambria Math" w:hAnsi="Cambria Math"/>
              </w:rPr>
              <m:t>i,j</m:t>
            </m:r>
          </m:sub>
        </m:sSub>
      </m:oMath>
      <w:r>
        <w:rPr>
          <w:rFonts w:eastAsiaTheme="minorEastAsia"/>
        </w:rPr>
        <w:t>, is derived from California market data.</w:t>
      </w:r>
      <w:r w:rsidR="00742FC0">
        <w:rPr>
          <w:rStyle w:val="FootnoteReference"/>
          <w:rFonts w:eastAsiaTheme="minorEastAsia"/>
        </w:rPr>
        <w:footnoteReference w:id="193"/>
      </w:r>
    </w:p>
    <w:p w14:paraId="20088E49" w14:textId="77777777" w:rsidR="00A40F34" w:rsidRPr="00A40F34" w:rsidRDefault="002A4C2F" w:rsidP="004E4E36">
      <w:pPr>
        <w:pStyle w:val="ListParagraph"/>
        <w:numPr>
          <w:ilvl w:val="0"/>
          <w:numId w:val="54"/>
        </w:numPr>
      </w:pPr>
      <w:r>
        <w:rPr>
          <w:rFonts w:eastAsiaTheme="minorEastAsia"/>
        </w:rPr>
        <w:t xml:space="preserve">The market trajectory for each sector, </w:t>
      </w:r>
      <m:oMath>
        <m:sSub>
          <m:sSubPr>
            <m:ctrlPr>
              <w:rPr>
                <w:rFonts w:ascii="Cambria Math" w:hAnsi="Cambria Math"/>
                <w:i/>
                <w:sz w:val="24"/>
              </w:rPr>
            </m:ctrlPr>
          </m:sSubPr>
          <m:e>
            <m:r>
              <w:rPr>
                <w:rFonts w:ascii="Cambria Math" w:hAnsi="Cambria Math" w:cs="Cambria Math"/>
              </w:rPr>
              <m:t>M</m:t>
            </m:r>
            <m:r>
              <w:rPr>
                <w:rFonts w:ascii="Cambria Math" w:hAnsi="Cambria Math"/>
              </w:rPr>
              <m:t>T</m:t>
            </m:r>
          </m:e>
          <m:sub>
            <m:r>
              <w:rPr>
                <w:rFonts w:ascii="Cambria Math" w:hAnsi="Cambria Math"/>
              </w:rPr>
              <m:t xml:space="preserve">j </m:t>
            </m:r>
          </m:sub>
        </m:sSub>
      </m:oMath>
      <w:r>
        <w:rPr>
          <w:rFonts w:eastAsiaTheme="minorEastAsia"/>
        </w:rPr>
        <w:t xml:space="preserve">, is a value between 0 and 1 and is intended to define if </w:t>
      </w:r>
      <w:r w:rsidRPr="00CA021C">
        <w:rPr>
          <w:rFonts w:eastAsiaTheme="minorEastAsia"/>
        </w:rPr>
        <w:t>a</w:t>
      </w:r>
      <w:r w:rsidR="00A40F34">
        <w:rPr>
          <w:rFonts w:eastAsiaTheme="minorEastAsia"/>
        </w:rPr>
        <w:t xml:space="preserve"> market segment</w:t>
      </w:r>
      <w:r>
        <w:rPr>
          <w:rFonts w:eastAsiaTheme="minorEastAsia"/>
        </w:rPr>
        <w:t xml:space="preserve"> is likely to stay active in California long enough for </w:t>
      </w:r>
      <w:r w:rsidR="00A40F34">
        <w:rPr>
          <w:rFonts w:eastAsiaTheme="minorEastAsia"/>
        </w:rPr>
        <w:t xml:space="preserve">the </w:t>
      </w:r>
      <w:r>
        <w:rPr>
          <w:rFonts w:eastAsiaTheme="minorEastAsia"/>
        </w:rPr>
        <w:t xml:space="preserve">ET to move up the adoption curve to a point where they make an impact on segment energy use. No specific timeline was defined, however </w:t>
      </w:r>
      <w:r w:rsidR="00A40F34">
        <w:rPr>
          <w:rFonts w:eastAsiaTheme="minorEastAsia"/>
        </w:rPr>
        <w:t>the team assigned</w:t>
      </w:r>
      <w:r w:rsidRPr="00CA021C">
        <w:rPr>
          <w:rFonts w:eastAsiaTheme="minorEastAsia"/>
        </w:rPr>
        <w:t xml:space="preserve"> </w:t>
      </w:r>
      <w:r>
        <w:rPr>
          <w:rFonts w:eastAsiaTheme="minorEastAsia"/>
        </w:rPr>
        <w:t>segments a weight</w:t>
      </w:r>
      <w:r w:rsidR="00A40F34">
        <w:rPr>
          <w:rFonts w:eastAsiaTheme="minorEastAsia"/>
        </w:rPr>
        <w:t>:</w:t>
      </w:r>
      <w:r w:rsidR="00A40F34">
        <w:rPr>
          <w:rStyle w:val="FootnoteReference"/>
          <w:rFonts w:eastAsiaTheme="minorEastAsia"/>
        </w:rPr>
        <w:footnoteReference w:id="194"/>
      </w:r>
      <w:r w:rsidR="00A40F34" w:rsidRPr="00CA021C">
        <w:rPr>
          <w:rFonts w:eastAsiaTheme="minorEastAsia"/>
        </w:rPr>
        <w:t xml:space="preserve"> </w:t>
      </w:r>
    </w:p>
    <w:p w14:paraId="034750C7" w14:textId="77777777" w:rsidR="00A40F34" w:rsidRPr="00742FC0" w:rsidRDefault="002A4C2F" w:rsidP="004E4E36">
      <w:pPr>
        <w:pStyle w:val="ListParagraph"/>
        <w:numPr>
          <w:ilvl w:val="1"/>
          <w:numId w:val="54"/>
        </w:numPr>
      </w:pPr>
      <w:r>
        <w:rPr>
          <w:rFonts w:eastAsiaTheme="minorEastAsia"/>
        </w:rPr>
        <w:t>0.33</w:t>
      </w:r>
      <w:r w:rsidR="00A40F34">
        <w:rPr>
          <w:rFonts w:eastAsiaTheme="minorEastAsia"/>
        </w:rPr>
        <w:t>. I</w:t>
      </w:r>
      <w:r w:rsidRPr="00CA021C">
        <w:rPr>
          <w:rFonts w:eastAsiaTheme="minorEastAsia"/>
        </w:rPr>
        <w:t>ndicate</w:t>
      </w:r>
      <w:r w:rsidR="00A40F34">
        <w:rPr>
          <w:rFonts w:eastAsiaTheme="minorEastAsia"/>
        </w:rPr>
        <w:t>s</w:t>
      </w:r>
      <w:r>
        <w:rPr>
          <w:rFonts w:eastAsiaTheme="minorEastAsia"/>
        </w:rPr>
        <w:t xml:space="preserve"> a segment is likely to </w:t>
      </w:r>
      <w:r w:rsidR="00A40F34">
        <w:rPr>
          <w:rFonts w:eastAsiaTheme="minorEastAsia"/>
        </w:rPr>
        <w:t xml:space="preserve">move or </w:t>
      </w:r>
      <w:r>
        <w:rPr>
          <w:rFonts w:eastAsiaTheme="minorEastAsia"/>
        </w:rPr>
        <w:t>remain offshore</w:t>
      </w:r>
      <w:r w:rsidR="00A40F34">
        <w:rPr>
          <w:rFonts w:eastAsiaTheme="minorEastAsia"/>
        </w:rPr>
        <w:t>.</w:t>
      </w:r>
      <w:r w:rsidR="0097255F">
        <w:rPr>
          <w:rFonts w:eastAsiaTheme="minorEastAsia"/>
        </w:rPr>
        <w:t xml:space="preserve"> It is</w:t>
      </w:r>
      <w:r w:rsidR="0097255F" w:rsidRPr="00CA021C">
        <w:rPr>
          <w:rFonts w:eastAsiaTheme="minorEastAsia"/>
        </w:rPr>
        <w:t xml:space="preserve"> </w:t>
      </w:r>
      <w:r w:rsidR="0097255F">
        <w:rPr>
          <w:rFonts w:eastAsiaTheme="minorEastAsia"/>
        </w:rPr>
        <w:t>not expected to benefit</w:t>
      </w:r>
      <w:r w:rsidR="0097255F" w:rsidRPr="00CA021C">
        <w:rPr>
          <w:rFonts w:eastAsiaTheme="minorEastAsia"/>
        </w:rPr>
        <w:t xml:space="preserve"> from the ET adoption cycle</w:t>
      </w:r>
      <w:r w:rsidR="0097255F">
        <w:rPr>
          <w:rFonts w:eastAsiaTheme="minorEastAsia"/>
        </w:rPr>
        <w:t>.</w:t>
      </w:r>
    </w:p>
    <w:p w14:paraId="61F295FE" w14:textId="77777777" w:rsidR="00A40F34" w:rsidRPr="00A40F34" w:rsidRDefault="002A4C2F" w:rsidP="004E4E36">
      <w:pPr>
        <w:pStyle w:val="ListParagraph"/>
        <w:numPr>
          <w:ilvl w:val="1"/>
          <w:numId w:val="54"/>
        </w:numPr>
      </w:pPr>
      <w:r>
        <w:rPr>
          <w:rFonts w:eastAsiaTheme="minorEastAsia"/>
        </w:rPr>
        <w:t>0.67</w:t>
      </w:r>
      <w:r w:rsidR="00A40F34">
        <w:rPr>
          <w:rFonts w:eastAsiaTheme="minorEastAsia"/>
        </w:rPr>
        <w:t>. I</w:t>
      </w:r>
      <w:r>
        <w:rPr>
          <w:rFonts w:eastAsiaTheme="minorEastAsia"/>
        </w:rPr>
        <w:t xml:space="preserve">ndicates a segment is close to </w:t>
      </w:r>
      <w:r w:rsidR="00A40F34">
        <w:rPr>
          <w:rFonts w:eastAsiaTheme="minorEastAsia"/>
        </w:rPr>
        <w:t xml:space="preserve">the </w:t>
      </w:r>
      <w:r>
        <w:rPr>
          <w:rFonts w:eastAsiaTheme="minorEastAsia"/>
        </w:rPr>
        <w:t>tipping point of moving out of California or the U.S</w:t>
      </w:r>
      <w:r w:rsidRPr="00CA021C">
        <w:rPr>
          <w:rFonts w:eastAsiaTheme="minorEastAsia"/>
        </w:rPr>
        <w:t>.</w:t>
      </w:r>
      <w:r w:rsidR="0097255F">
        <w:rPr>
          <w:rFonts w:eastAsiaTheme="minorEastAsia"/>
        </w:rPr>
        <w:t xml:space="preserve"> It is</w:t>
      </w:r>
      <w:r>
        <w:rPr>
          <w:rFonts w:eastAsiaTheme="minorEastAsia"/>
        </w:rPr>
        <w:t xml:space="preserve"> at risk of not benefiting from the ET adoption cycle</w:t>
      </w:r>
      <w:r w:rsidR="00A40F34">
        <w:rPr>
          <w:rFonts w:eastAsiaTheme="minorEastAsia"/>
        </w:rPr>
        <w:t>.</w:t>
      </w:r>
    </w:p>
    <w:p w14:paraId="327117DB" w14:textId="77777777" w:rsidR="005F4903" w:rsidRPr="005F4903" w:rsidRDefault="002A4C2F" w:rsidP="004E4E36">
      <w:pPr>
        <w:pStyle w:val="ListParagraph"/>
        <w:numPr>
          <w:ilvl w:val="1"/>
          <w:numId w:val="54"/>
        </w:numPr>
      </w:pPr>
      <w:r>
        <w:rPr>
          <w:rFonts w:eastAsiaTheme="minorEastAsia"/>
        </w:rPr>
        <w:t>1.0</w:t>
      </w:r>
      <w:r w:rsidR="0097255F">
        <w:rPr>
          <w:rFonts w:eastAsiaTheme="minorEastAsia"/>
        </w:rPr>
        <w:t>. I</w:t>
      </w:r>
      <w:r w:rsidRPr="00CA021C">
        <w:rPr>
          <w:rFonts w:eastAsiaTheme="minorEastAsia"/>
        </w:rPr>
        <w:t>ndicat</w:t>
      </w:r>
      <w:r w:rsidR="0097255F">
        <w:rPr>
          <w:rFonts w:eastAsiaTheme="minorEastAsia"/>
        </w:rPr>
        <w:t>es</w:t>
      </w:r>
      <w:r>
        <w:rPr>
          <w:rFonts w:eastAsiaTheme="minorEastAsia"/>
        </w:rPr>
        <w:t xml:space="preserve"> a segment is likely to remain in the California.</w:t>
      </w:r>
      <w:r w:rsidR="0097255F">
        <w:rPr>
          <w:rFonts w:eastAsiaTheme="minorEastAsia"/>
        </w:rPr>
        <w:t xml:space="preserve"> It is</w:t>
      </w:r>
      <w:r w:rsidR="0097255F" w:rsidRPr="00CA021C">
        <w:rPr>
          <w:rFonts w:eastAsiaTheme="minorEastAsia"/>
        </w:rPr>
        <w:t xml:space="preserve"> </w:t>
      </w:r>
      <w:r w:rsidR="0097255F">
        <w:rPr>
          <w:rFonts w:eastAsiaTheme="minorEastAsia"/>
        </w:rPr>
        <w:t>expected to benefit</w:t>
      </w:r>
      <w:r w:rsidR="0097255F" w:rsidRPr="00CA021C">
        <w:rPr>
          <w:rFonts w:eastAsiaTheme="minorEastAsia"/>
        </w:rPr>
        <w:t xml:space="preserve"> from the ET adoption cycle</w:t>
      </w:r>
      <w:r w:rsidR="0097255F">
        <w:rPr>
          <w:rFonts w:eastAsiaTheme="minorEastAsia"/>
        </w:rPr>
        <w:t>.</w:t>
      </w:r>
    </w:p>
    <w:p w14:paraId="37ACEA3A" w14:textId="77777777" w:rsidR="002A4C2F" w:rsidRDefault="00D068F8" w:rsidP="004E4E36">
      <w:pPr>
        <w:pStyle w:val="ListParagraph"/>
        <w:numPr>
          <w:ilvl w:val="0"/>
          <w:numId w:val="54"/>
        </w:numPr>
      </w:pPr>
      <w:r>
        <w:t>Figure F</w:t>
      </w:r>
      <w:r w:rsidR="007352B2">
        <w:t>-1</w:t>
      </w:r>
      <w:r w:rsidR="00064586">
        <w:t xml:space="preserve"> </w:t>
      </w:r>
      <w:r w:rsidR="00064586" w:rsidRPr="00064586">
        <w:t xml:space="preserve">provides an illustration of segment offshoring trends from the reference source used to define segment market trajectory. The segment energy consumption trend weight in </w:t>
      </w:r>
      <w:r w:rsidR="00064586">
        <w:fldChar w:fldCharType="begin"/>
      </w:r>
      <w:r w:rsidR="00064586">
        <w:instrText xml:space="preserve"> REF _Ref484087812 \h </w:instrText>
      </w:r>
      <w:r w:rsidR="00064586">
        <w:fldChar w:fldCharType="separate"/>
      </w:r>
      <w:r w:rsidR="007566B9" w:rsidRPr="00321BF9">
        <w:t xml:space="preserve">Equation </w:t>
      </w:r>
      <w:r w:rsidR="007566B9">
        <w:rPr>
          <w:noProof/>
        </w:rPr>
        <w:t>4</w:t>
      </w:r>
      <w:r w:rsidR="00064586">
        <w:fldChar w:fldCharType="end"/>
      </w:r>
      <w:r w:rsidR="00064586" w:rsidRPr="00064586">
        <w:t>,</w:t>
      </w:r>
      <w:r w:rsidR="00064586">
        <w:t xml:space="preserve"> </w:t>
      </w:r>
      <w:r w:rsidR="00064586" w:rsidRPr="005F4903">
        <w:rPr>
          <w:i/>
        </w:rPr>
        <w:t>TW</w:t>
      </w:r>
      <w:r w:rsidR="00064586" w:rsidRPr="005F4903">
        <w:rPr>
          <w:i/>
          <w:vertAlign w:val="subscript"/>
        </w:rPr>
        <w:t>j</w:t>
      </w:r>
      <w:r w:rsidR="00064586" w:rsidRPr="00064586">
        <w:t>, is a value between 0 and 1, indicating the trend of energy consump</w:t>
      </w:r>
      <w:r w:rsidR="00064586">
        <w:t xml:space="preserve">tion of each sector over time, </w:t>
      </w:r>
      <w:r w:rsidR="00064586" w:rsidRPr="00064586">
        <w:t>and i</w:t>
      </w:r>
      <w:r w:rsidR="00064586">
        <w:t xml:space="preserve">s depicted in </w:t>
      </w:r>
      <w:r>
        <w:t>Figure F</w:t>
      </w:r>
      <w:r w:rsidR="007352B2">
        <w:t>-2</w:t>
      </w:r>
      <w:r w:rsidR="00064586">
        <w:t>.</w:t>
      </w:r>
    </w:p>
    <w:p w14:paraId="7FA27959" w14:textId="77777777" w:rsidR="002A4C2F" w:rsidRDefault="002A4C2F" w:rsidP="002A4C2F"/>
    <w:p w14:paraId="17165A13" w14:textId="77777777" w:rsidR="007352B2" w:rsidRDefault="007352B2" w:rsidP="007352B2">
      <w:pPr>
        <w:pStyle w:val="Caption"/>
      </w:pPr>
      <w:bookmarkStart w:id="1159" w:name="_Toc490561166"/>
      <w:r w:rsidRPr="00323BFA">
        <w:lastRenderedPageBreak/>
        <w:t xml:space="preserve">Figure </w:t>
      </w:r>
      <w:fldSimple w:instr=" STYLEREF 5 \s ">
        <w:r w:rsidR="007566B9">
          <w:rPr>
            <w:noProof/>
          </w:rPr>
          <w:t>F</w:t>
        </w:r>
      </w:fldSimple>
      <w:r w:rsidRPr="00323BFA">
        <w:noBreakHyphen/>
      </w:r>
      <w:fldSimple w:instr=" SEQ Figure_Apx \* ARABIC \s 5 ">
        <w:r w:rsidR="007566B9">
          <w:rPr>
            <w:noProof/>
          </w:rPr>
          <w:t>1</w:t>
        </w:r>
      </w:fldSimple>
      <w:r w:rsidRPr="00323BFA">
        <w:t>.</w:t>
      </w:r>
      <w:r w:rsidRPr="007352B2">
        <w:t xml:space="preserve"> </w:t>
      </w:r>
      <w:r>
        <w:t>Examples of Industrial Market Segments at Risk of Relocating Offshore</w:t>
      </w:r>
      <w:bookmarkEnd w:id="1159"/>
    </w:p>
    <w:p w14:paraId="4F8A3F6D" w14:textId="77777777" w:rsidR="002A4C2F" w:rsidRDefault="002A4C2F" w:rsidP="00742FC0">
      <w:pPr>
        <w:jc w:val="center"/>
      </w:pPr>
      <w:r>
        <w:rPr>
          <w:noProof/>
        </w:rPr>
        <w:drawing>
          <wp:inline distT="0" distB="0" distL="0" distR="0" wp14:anchorId="0D4F3276" wp14:editId="324F8813">
            <wp:extent cx="5469467" cy="27273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2">
                      <a:extLst>
                        <a:ext uri="{28A0092B-C50C-407E-A947-70E740481C1C}">
                          <a14:useLocalDpi xmlns:a14="http://schemas.microsoft.com/office/drawing/2010/main" val="0"/>
                        </a:ext>
                      </a:extLst>
                    </a:blip>
                    <a:srcRect l="18794" t="37321" r="33568" b="20444"/>
                    <a:stretch>
                      <a:fillRect/>
                    </a:stretch>
                  </pic:blipFill>
                  <pic:spPr bwMode="auto">
                    <a:xfrm>
                      <a:off x="0" y="0"/>
                      <a:ext cx="5472188" cy="2728719"/>
                    </a:xfrm>
                    <a:prstGeom prst="rect">
                      <a:avLst/>
                    </a:prstGeom>
                    <a:noFill/>
                    <a:ln>
                      <a:noFill/>
                    </a:ln>
                  </pic:spPr>
                </pic:pic>
              </a:graphicData>
            </a:graphic>
          </wp:inline>
        </w:drawing>
      </w:r>
    </w:p>
    <w:p w14:paraId="05B01F1A" w14:textId="77777777" w:rsidR="00742FC0" w:rsidRPr="001A5D37" w:rsidRDefault="00742FC0" w:rsidP="00742FC0">
      <w:pPr>
        <w:jc w:val="center"/>
        <w:rPr>
          <w:rFonts w:cs="Arial"/>
          <w:i/>
          <w:sz w:val="16"/>
          <w:szCs w:val="16"/>
        </w:rPr>
      </w:pPr>
      <w:r w:rsidRPr="001A5D37">
        <w:rPr>
          <w:rFonts w:cs="Arial"/>
          <w:i/>
          <w:sz w:val="16"/>
          <w:szCs w:val="16"/>
        </w:rPr>
        <w:t xml:space="preserve">Source: </w:t>
      </w:r>
      <w:r w:rsidRPr="00742FC0">
        <w:rPr>
          <w:rFonts w:cs="Arial"/>
          <w:i/>
          <w:sz w:val="16"/>
          <w:szCs w:val="16"/>
        </w:rPr>
        <w:t>Sirkin, H. et al. U.S. Manufacturing Nears the Tipping Point, The Boston Consulting Group, March 2012.</w:t>
      </w:r>
    </w:p>
    <w:p w14:paraId="50A5EE81" w14:textId="77777777" w:rsidR="00742FC0" w:rsidRDefault="00742FC0" w:rsidP="002A4C2F"/>
    <w:p w14:paraId="08BB9E56" w14:textId="77777777" w:rsidR="007352B2" w:rsidRDefault="007352B2" w:rsidP="007352B2">
      <w:pPr>
        <w:pStyle w:val="Caption"/>
      </w:pPr>
      <w:bookmarkStart w:id="1160" w:name="_Toc490561167"/>
      <w:r w:rsidRPr="00323BFA">
        <w:lastRenderedPageBreak/>
        <w:t xml:space="preserve">Figure </w:t>
      </w:r>
      <w:fldSimple w:instr=" STYLEREF 5 \s ">
        <w:r w:rsidR="007566B9">
          <w:rPr>
            <w:noProof/>
          </w:rPr>
          <w:t>F</w:t>
        </w:r>
      </w:fldSimple>
      <w:r w:rsidRPr="00323BFA">
        <w:noBreakHyphen/>
      </w:r>
      <w:fldSimple w:instr=" SEQ Figure_Apx \* ARABIC \s 5 ">
        <w:r w:rsidR="007566B9">
          <w:rPr>
            <w:noProof/>
          </w:rPr>
          <w:t>2</w:t>
        </w:r>
      </w:fldSimple>
      <w:r w:rsidRPr="00323BFA">
        <w:t>.</w:t>
      </w:r>
      <w:r w:rsidRPr="007352B2">
        <w:t xml:space="preserve"> </w:t>
      </w:r>
      <w:r>
        <w:t>Example Trends in PG&amp;E Electric Energy Usage (Indexed to 1990 Usage = 1)</w:t>
      </w:r>
      <w:bookmarkEnd w:id="1160"/>
    </w:p>
    <w:p w14:paraId="20B60A0F" w14:textId="77777777" w:rsidR="00742FC0" w:rsidRDefault="00064586" w:rsidP="00742FC0">
      <w:pPr>
        <w:jc w:val="center"/>
        <w:rPr>
          <w:highlight w:val="yellow"/>
        </w:rPr>
      </w:pPr>
      <w:r w:rsidRPr="00C26591">
        <w:rPr>
          <w:noProof/>
        </w:rPr>
        <w:drawing>
          <wp:inline distT="0" distB="0" distL="0" distR="0" wp14:anchorId="30240503" wp14:editId="70E12232">
            <wp:extent cx="5275298" cy="4774630"/>
            <wp:effectExtent l="19050" t="19050" r="20955"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3"/>
                    <a:srcRect t="4840" b="3802"/>
                    <a:stretch/>
                  </pic:blipFill>
                  <pic:spPr bwMode="auto">
                    <a:xfrm>
                      <a:off x="0" y="0"/>
                      <a:ext cx="5279252" cy="4778208"/>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02AC9980" w14:textId="77777777" w:rsidR="00742FC0" w:rsidRDefault="00742FC0" w:rsidP="00742FC0">
      <w:pPr>
        <w:jc w:val="center"/>
        <w:rPr>
          <w:rFonts w:cs="Arial"/>
          <w:i/>
          <w:sz w:val="16"/>
          <w:szCs w:val="16"/>
        </w:rPr>
      </w:pPr>
      <w:r w:rsidRPr="001A5D37">
        <w:rPr>
          <w:rFonts w:cs="Arial"/>
          <w:i/>
          <w:sz w:val="16"/>
          <w:szCs w:val="16"/>
        </w:rPr>
        <w:t xml:space="preserve">Source: </w:t>
      </w:r>
      <w:r w:rsidRPr="00742FC0">
        <w:rPr>
          <w:rFonts w:cs="Arial"/>
          <w:i/>
          <w:sz w:val="16"/>
          <w:szCs w:val="16"/>
        </w:rPr>
        <w:t>Energy use trend analysis provided by CEC.</w:t>
      </w:r>
      <w:r w:rsidRPr="00742FC0" w:rsidDel="002A4C2F">
        <w:rPr>
          <w:rFonts w:cs="Arial"/>
          <w:i/>
          <w:sz w:val="16"/>
          <w:szCs w:val="16"/>
        </w:rPr>
        <w:t xml:space="preserve"> </w:t>
      </w:r>
    </w:p>
    <w:p w14:paraId="328971E2" w14:textId="77777777" w:rsidR="00064586" w:rsidRDefault="00064586" w:rsidP="00742FC0"/>
    <w:p w14:paraId="5DE2AF4A" w14:textId="77777777" w:rsidR="00064586" w:rsidRDefault="00064586" w:rsidP="00064586">
      <w:r w:rsidRPr="00064586">
        <w:t>The value</w:t>
      </w:r>
      <w:r>
        <w:t>s</w:t>
      </w:r>
      <w:r w:rsidRPr="00064586">
        <w:t xml:space="preserve"> of all applicable </w:t>
      </w:r>
      <w:r>
        <w:t>ET</w:t>
      </w:r>
      <w:r w:rsidRPr="00064586">
        <w:t xml:space="preserve"> multipliers w</w:t>
      </w:r>
      <w:r>
        <w:t>ere</w:t>
      </w:r>
      <w:r w:rsidRPr="00064586">
        <w:t xml:space="preserve"> summed for each market segment to define an ET UES multiplier, provided in Table </w:t>
      </w:r>
      <w:r w:rsidR="00D068F8">
        <w:t>F</w:t>
      </w:r>
      <w:r>
        <w:t>-</w:t>
      </w:r>
      <w:r w:rsidR="007352B2">
        <w:t>5</w:t>
      </w:r>
      <w:r>
        <w:t>,</w:t>
      </w:r>
      <w:r w:rsidRPr="00064586">
        <w:t xml:space="preserve"> to forecast segment level potential net savings using the following equation: </w:t>
      </w:r>
    </w:p>
    <w:p w14:paraId="5C6B7F99" w14:textId="77777777" w:rsidR="0081097F" w:rsidRDefault="0081097F" w:rsidP="00064586"/>
    <w:p w14:paraId="230B08FE" w14:textId="77777777" w:rsidR="00064586" w:rsidRPr="004C3E4D" w:rsidRDefault="00064586" w:rsidP="00064586">
      <w:pPr>
        <w:pStyle w:val="Caption"/>
        <w:rPr>
          <w:lang w:val="en-CA"/>
        </w:rPr>
      </w:pPr>
      <w:r w:rsidRPr="00321BF9">
        <w:t xml:space="preserve">Equation </w:t>
      </w:r>
      <w:fldSimple w:instr=" SEQ Equation \* ARABIC ">
        <w:r w:rsidR="007566B9">
          <w:rPr>
            <w:noProof/>
          </w:rPr>
          <w:t>5</w:t>
        </w:r>
      </w:fldSimple>
      <w:r w:rsidRPr="00321BF9">
        <w:t>.</w:t>
      </w:r>
      <w:r w:rsidR="0081097F">
        <w:t xml:space="preserve"> Emerging Technology</w:t>
      </w:r>
      <w:r>
        <w:t xml:space="preserve"> Segment Net Savings Potential</w:t>
      </w:r>
    </w:p>
    <w:p w14:paraId="7964CE23" w14:textId="77777777" w:rsidR="00064586" w:rsidRPr="007352B2" w:rsidRDefault="0081097F" w:rsidP="00064586">
      <w:pPr>
        <w:ind w:left="720"/>
        <w:jc w:val="center"/>
        <w:rPr>
          <w:rFonts w:ascii="Cambria Math" w:hAnsi="Cambria Math" w:cs="Cambria Math"/>
          <w:i/>
        </w:rPr>
      </w:pPr>
      <w:r w:rsidRPr="007352B2">
        <w:rPr>
          <w:rFonts w:ascii="Cambria Math" w:hAnsi="Cambria Math" w:cs="Cambria Math"/>
          <w:i/>
        </w:rPr>
        <w:t>ET</w:t>
      </w:r>
      <w:r w:rsidR="00064586" w:rsidRPr="007352B2">
        <w:rPr>
          <w:rFonts w:ascii="Cambria Math" w:hAnsi="Cambria Math" w:cs="Cambria Math"/>
          <w:i/>
        </w:rPr>
        <w:t xml:space="preserve"> segment level EE net savings potential = </w:t>
      </w:r>
      <w:r w:rsidRPr="007352B2">
        <w:rPr>
          <w:rFonts w:ascii="Cambria Math" w:hAnsi="Cambria Math" w:cs="Cambria Math"/>
          <w:i/>
        </w:rPr>
        <w:t>ET</w:t>
      </w:r>
      <w:r w:rsidR="00064586" w:rsidRPr="007352B2">
        <w:rPr>
          <w:rFonts w:ascii="Cambria Math" w:hAnsi="Cambria Math" w:cs="Cambria Math"/>
          <w:i/>
        </w:rPr>
        <w:t xml:space="preserve"> UES Multiplier x Annual Segment Consumption</w:t>
      </w:r>
      <w:r w:rsidR="00064586" w:rsidRPr="007352B2">
        <w:rPr>
          <w:rStyle w:val="FootnoteReference"/>
          <w:rFonts w:cs="Cambria Math"/>
          <w:i/>
        </w:rPr>
        <w:footnoteReference w:id="195"/>
      </w:r>
    </w:p>
    <w:p w14:paraId="2B451B10" w14:textId="77777777" w:rsidR="00064586" w:rsidRDefault="00064586" w:rsidP="00064586">
      <w:pPr>
        <w:rPr>
          <w:highlight w:val="yellow"/>
        </w:rPr>
      </w:pPr>
    </w:p>
    <w:p w14:paraId="152C0284" w14:textId="77777777" w:rsidR="00064586" w:rsidRDefault="00064586" w:rsidP="00742FC0"/>
    <w:p w14:paraId="5469434A" w14:textId="77777777" w:rsidR="00064586" w:rsidRDefault="00064586" w:rsidP="00742FC0"/>
    <w:p w14:paraId="654756B5" w14:textId="77777777" w:rsidR="00064586" w:rsidRDefault="00064586" w:rsidP="00742FC0"/>
    <w:p w14:paraId="7CD63C03" w14:textId="77777777" w:rsidR="00064586" w:rsidRDefault="00064586" w:rsidP="00064586">
      <w:pPr>
        <w:pStyle w:val="Caption"/>
      </w:pPr>
      <w:bookmarkStart w:id="1161" w:name="_Toc490226047"/>
      <w:r>
        <w:lastRenderedPageBreak/>
        <w:t xml:space="preserve">Table </w:t>
      </w:r>
      <w:fldSimple w:instr=" STYLEREF 5 \s ">
        <w:r w:rsidR="007566B9">
          <w:rPr>
            <w:noProof/>
          </w:rPr>
          <w:t>F</w:t>
        </w:r>
      </w:fldSimple>
      <w:r>
        <w:noBreakHyphen/>
      </w:r>
      <w:fldSimple w:instr=" SEQ Table_Apx \* ARABIC \s 5 ">
        <w:r w:rsidR="007566B9">
          <w:rPr>
            <w:noProof/>
          </w:rPr>
          <w:t>5</w:t>
        </w:r>
      </w:fldSimple>
      <w:r>
        <w:t xml:space="preserve">. </w:t>
      </w:r>
      <w:r w:rsidR="0081097F" w:rsidRPr="0081097F">
        <w:t xml:space="preserve">Emerging Technologies UES </w:t>
      </w:r>
      <w:r w:rsidR="0081097F">
        <w:t xml:space="preserve">Multipliers </w:t>
      </w:r>
      <w:r w:rsidR="0081097F" w:rsidRPr="0081097F">
        <w:t>by Segment and Fuel</w:t>
      </w:r>
      <w:bookmarkEnd w:id="1161"/>
    </w:p>
    <w:tbl>
      <w:tblPr>
        <w:tblStyle w:val="EnergyTable1"/>
        <w:tblW w:w="7549" w:type="dxa"/>
        <w:tblLayout w:type="fixed"/>
        <w:tblLook w:val="04A0" w:firstRow="1" w:lastRow="0" w:firstColumn="1" w:lastColumn="0" w:noHBand="0" w:noVBand="1"/>
      </w:tblPr>
      <w:tblGrid>
        <w:gridCol w:w="2517"/>
        <w:gridCol w:w="2516"/>
        <w:gridCol w:w="2516"/>
      </w:tblGrid>
      <w:tr w:rsidR="00064586" w14:paraId="2FEDE674" w14:textId="77777777" w:rsidTr="00AF21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41C92C43" w14:textId="77777777" w:rsidR="00064586" w:rsidRPr="00E01C42" w:rsidRDefault="00064586" w:rsidP="001839BE">
            <w:pPr>
              <w:rPr>
                <w:rFonts w:ascii="Arial Narrow" w:hAnsi="Arial Narrow" w:cs="Arial"/>
                <w:color w:val="FFFFFF" w:themeColor="background1"/>
                <w:szCs w:val="18"/>
              </w:rPr>
            </w:pPr>
            <w:r w:rsidRPr="00E01C42">
              <w:rPr>
                <w:rFonts w:ascii="Arial Narrow" w:hAnsi="Arial Narrow" w:cstheme="majorHAnsi"/>
                <w:color w:val="FFFFFF" w:themeColor="background1"/>
                <w:szCs w:val="18"/>
              </w:rPr>
              <w:t>Segment</w:t>
            </w:r>
          </w:p>
        </w:tc>
        <w:tc>
          <w:tcPr>
            <w:tcW w:w="0" w:type="dxa"/>
          </w:tcPr>
          <w:p w14:paraId="5DB3D2D7" w14:textId="77777777" w:rsidR="00064586" w:rsidRPr="00E01C42" w:rsidRDefault="0081097F" w:rsidP="001839BE">
            <w:pP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1"/>
                <w:szCs w:val="18"/>
              </w:rPr>
            </w:pPr>
            <w:r>
              <w:rPr>
                <w:rFonts w:ascii="Arial Narrow" w:hAnsi="Arial Narrow" w:cstheme="majorHAnsi"/>
                <w:color w:val="FFFFFF" w:themeColor="background1"/>
                <w:szCs w:val="18"/>
              </w:rPr>
              <w:t>UES Multiplier (kWh)</w:t>
            </w:r>
          </w:p>
        </w:tc>
        <w:tc>
          <w:tcPr>
            <w:tcW w:w="0" w:type="dxa"/>
          </w:tcPr>
          <w:p w14:paraId="56AC6D67" w14:textId="77777777" w:rsidR="00064586" w:rsidRPr="00E01C42" w:rsidRDefault="0081097F" w:rsidP="001839BE">
            <w:pP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1"/>
                <w:szCs w:val="18"/>
              </w:rPr>
            </w:pPr>
            <w:r>
              <w:rPr>
                <w:rFonts w:ascii="Arial Narrow" w:hAnsi="Arial Narrow" w:cstheme="majorHAnsi"/>
                <w:color w:val="FFFFFF" w:themeColor="background1"/>
                <w:szCs w:val="18"/>
              </w:rPr>
              <w:t>UES Multiplier (therm)</w:t>
            </w:r>
          </w:p>
        </w:tc>
      </w:tr>
      <w:tr w:rsidR="0081097F" w14:paraId="0401B140"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54AEC868" w14:textId="77777777" w:rsidR="0081097F" w:rsidRPr="0081097F" w:rsidRDefault="0081097F" w:rsidP="0081097F">
            <w:pPr>
              <w:rPr>
                <w:rFonts w:ascii="Arial Narrow" w:hAnsi="Arial Narrow" w:cs="Arial"/>
                <w:szCs w:val="20"/>
              </w:rPr>
            </w:pPr>
            <w:r w:rsidRPr="0081097F">
              <w:rPr>
                <w:rFonts w:ascii="Arial Narrow" w:hAnsi="Arial Narrow"/>
                <w:szCs w:val="20"/>
              </w:rPr>
              <w:t>Ind - Petroleum</w:t>
            </w:r>
          </w:p>
        </w:tc>
        <w:tc>
          <w:tcPr>
            <w:tcW w:w="0" w:type="dxa"/>
            <w:vAlign w:val="top"/>
          </w:tcPr>
          <w:p w14:paraId="504B1692"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0.175%</w:t>
            </w:r>
          </w:p>
        </w:tc>
        <w:tc>
          <w:tcPr>
            <w:tcW w:w="0" w:type="dxa"/>
            <w:vAlign w:val="top"/>
          </w:tcPr>
          <w:p w14:paraId="6BADC23E"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1.218%</w:t>
            </w:r>
          </w:p>
        </w:tc>
      </w:tr>
      <w:tr w:rsidR="0081097F" w14:paraId="481E54D0"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4FF986F1" w14:textId="77777777" w:rsidR="0081097F" w:rsidRPr="0081097F" w:rsidRDefault="0081097F" w:rsidP="0081097F">
            <w:pPr>
              <w:rPr>
                <w:rFonts w:ascii="Arial Narrow" w:hAnsi="Arial Narrow" w:cs="Arial"/>
                <w:szCs w:val="20"/>
              </w:rPr>
            </w:pPr>
            <w:r w:rsidRPr="0081097F">
              <w:rPr>
                <w:rFonts w:ascii="Arial Narrow" w:hAnsi="Arial Narrow"/>
                <w:szCs w:val="20"/>
              </w:rPr>
              <w:t>Ind – Food</w:t>
            </w:r>
          </w:p>
        </w:tc>
        <w:tc>
          <w:tcPr>
            <w:tcW w:w="0" w:type="dxa"/>
            <w:vAlign w:val="top"/>
          </w:tcPr>
          <w:p w14:paraId="32BAA936"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1.658%</w:t>
            </w:r>
          </w:p>
        </w:tc>
        <w:tc>
          <w:tcPr>
            <w:tcW w:w="0" w:type="dxa"/>
            <w:vAlign w:val="top"/>
          </w:tcPr>
          <w:p w14:paraId="3DFA5868"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9.178%</w:t>
            </w:r>
          </w:p>
        </w:tc>
      </w:tr>
      <w:tr w:rsidR="0081097F" w14:paraId="6884B6E3"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4EA890E5" w14:textId="77777777" w:rsidR="0081097F" w:rsidRPr="0081097F" w:rsidRDefault="0081097F" w:rsidP="0081097F">
            <w:pPr>
              <w:rPr>
                <w:rFonts w:ascii="Arial Narrow" w:hAnsi="Arial Narrow" w:cs="Arial"/>
                <w:szCs w:val="20"/>
              </w:rPr>
            </w:pPr>
            <w:r w:rsidRPr="0081097F">
              <w:rPr>
                <w:rFonts w:ascii="Arial Narrow" w:hAnsi="Arial Narrow"/>
                <w:szCs w:val="20"/>
              </w:rPr>
              <w:t>Ind - Electronics</w:t>
            </w:r>
          </w:p>
        </w:tc>
        <w:tc>
          <w:tcPr>
            <w:tcW w:w="0" w:type="dxa"/>
            <w:vAlign w:val="top"/>
          </w:tcPr>
          <w:p w14:paraId="33CB7929"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0.815%</w:t>
            </w:r>
          </w:p>
        </w:tc>
        <w:tc>
          <w:tcPr>
            <w:tcW w:w="0" w:type="dxa"/>
            <w:vAlign w:val="top"/>
          </w:tcPr>
          <w:p w14:paraId="1FF3D6D0"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1.366%</w:t>
            </w:r>
          </w:p>
        </w:tc>
      </w:tr>
      <w:tr w:rsidR="0081097F" w14:paraId="54C9C82A"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46690DB0" w14:textId="77777777" w:rsidR="0081097F" w:rsidRPr="0081097F" w:rsidRDefault="0081097F" w:rsidP="0081097F">
            <w:pPr>
              <w:rPr>
                <w:rFonts w:ascii="Arial Narrow" w:hAnsi="Arial Narrow" w:cs="Arial"/>
                <w:szCs w:val="20"/>
              </w:rPr>
            </w:pPr>
            <w:r w:rsidRPr="0081097F">
              <w:rPr>
                <w:rFonts w:ascii="Arial Narrow" w:hAnsi="Arial Narrow"/>
                <w:szCs w:val="20"/>
              </w:rPr>
              <w:t>Ind - Stone-Glass-Clay</w:t>
            </w:r>
          </w:p>
        </w:tc>
        <w:tc>
          <w:tcPr>
            <w:tcW w:w="0" w:type="dxa"/>
            <w:vAlign w:val="top"/>
          </w:tcPr>
          <w:p w14:paraId="473EF001"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0.968%</w:t>
            </w:r>
          </w:p>
        </w:tc>
        <w:tc>
          <w:tcPr>
            <w:tcW w:w="0" w:type="dxa"/>
            <w:vAlign w:val="top"/>
          </w:tcPr>
          <w:p w14:paraId="548A32C0"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0.994%</w:t>
            </w:r>
          </w:p>
        </w:tc>
      </w:tr>
      <w:tr w:rsidR="0081097F" w14:paraId="319DA7F7"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5C10D9FC" w14:textId="77777777" w:rsidR="0081097F" w:rsidRPr="0081097F" w:rsidRDefault="0081097F" w:rsidP="0081097F">
            <w:pPr>
              <w:rPr>
                <w:rFonts w:ascii="Arial Narrow" w:hAnsi="Arial Narrow" w:cs="Arial"/>
                <w:szCs w:val="20"/>
              </w:rPr>
            </w:pPr>
            <w:r w:rsidRPr="0081097F">
              <w:rPr>
                <w:rFonts w:ascii="Arial Narrow" w:hAnsi="Arial Narrow"/>
                <w:szCs w:val="20"/>
              </w:rPr>
              <w:t>Ind - Chemicals</w:t>
            </w:r>
          </w:p>
        </w:tc>
        <w:tc>
          <w:tcPr>
            <w:tcW w:w="0" w:type="dxa"/>
            <w:vAlign w:val="top"/>
          </w:tcPr>
          <w:p w14:paraId="0D877383"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0.926%</w:t>
            </w:r>
          </w:p>
        </w:tc>
        <w:tc>
          <w:tcPr>
            <w:tcW w:w="0" w:type="dxa"/>
            <w:vAlign w:val="top"/>
          </w:tcPr>
          <w:p w14:paraId="20672FB3"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9.185%</w:t>
            </w:r>
          </w:p>
        </w:tc>
      </w:tr>
      <w:tr w:rsidR="0081097F" w14:paraId="12A3E63C"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08418294" w14:textId="77777777" w:rsidR="0081097F" w:rsidRPr="0081097F" w:rsidRDefault="0081097F" w:rsidP="0081097F">
            <w:pPr>
              <w:rPr>
                <w:rFonts w:ascii="Arial Narrow" w:hAnsi="Arial Narrow" w:cs="Arial"/>
                <w:szCs w:val="20"/>
              </w:rPr>
            </w:pPr>
            <w:r w:rsidRPr="0081097F">
              <w:rPr>
                <w:rFonts w:ascii="Arial Narrow" w:hAnsi="Arial Narrow"/>
                <w:szCs w:val="20"/>
              </w:rPr>
              <w:t>Ind - Plastics</w:t>
            </w:r>
          </w:p>
        </w:tc>
        <w:tc>
          <w:tcPr>
            <w:tcW w:w="0" w:type="dxa"/>
            <w:vAlign w:val="top"/>
          </w:tcPr>
          <w:p w14:paraId="543B250E"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0.935%</w:t>
            </w:r>
          </w:p>
        </w:tc>
        <w:tc>
          <w:tcPr>
            <w:tcW w:w="0" w:type="dxa"/>
            <w:vAlign w:val="top"/>
          </w:tcPr>
          <w:p w14:paraId="7C097A40"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3.580%</w:t>
            </w:r>
          </w:p>
        </w:tc>
      </w:tr>
      <w:tr w:rsidR="0081097F" w14:paraId="768F6588"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34C43E60" w14:textId="77777777" w:rsidR="0081097F" w:rsidRPr="0081097F" w:rsidRDefault="0081097F" w:rsidP="0081097F">
            <w:pPr>
              <w:rPr>
                <w:rFonts w:ascii="Arial Narrow" w:hAnsi="Arial Narrow" w:cs="Arial"/>
                <w:szCs w:val="20"/>
              </w:rPr>
            </w:pPr>
            <w:r w:rsidRPr="0081097F">
              <w:rPr>
                <w:rFonts w:ascii="Arial Narrow" w:hAnsi="Arial Narrow"/>
                <w:szCs w:val="20"/>
              </w:rPr>
              <w:t>Ind - Fabricated Metals</w:t>
            </w:r>
          </w:p>
        </w:tc>
        <w:tc>
          <w:tcPr>
            <w:tcW w:w="0" w:type="dxa"/>
            <w:vAlign w:val="top"/>
          </w:tcPr>
          <w:p w14:paraId="6799B3A7"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0.967%</w:t>
            </w:r>
          </w:p>
        </w:tc>
        <w:tc>
          <w:tcPr>
            <w:tcW w:w="0" w:type="dxa"/>
            <w:vAlign w:val="top"/>
          </w:tcPr>
          <w:p w14:paraId="0E8DF226"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9.472%</w:t>
            </w:r>
          </w:p>
        </w:tc>
      </w:tr>
      <w:tr w:rsidR="0081097F" w14:paraId="001D26D6"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7637086A" w14:textId="77777777" w:rsidR="0081097F" w:rsidRPr="0081097F" w:rsidRDefault="0081097F" w:rsidP="0081097F">
            <w:pPr>
              <w:rPr>
                <w:rFonts w:ascii="Arial Narrow" w:hAnsi="Arial Narrow" w:cs="Arial"/>
                <w:szCs w:val="20"/>
              </w:rPr>
            </w:pPr>
            <w:r w:rsidRPr="0081097F">
              <w:rPr>
                <w:rFonts w:ascii="Arial Narrow" w:hAnsi="Arial Narrow"/>
                <w:szCs w:val="20"/>
              </w:rPr>
              <w:t>Ind - Primary Metals</w:t>
            </w:r>
          </w:p>
        </w:tc>
        <w:tc>
          <w:tcPr>
            <w:tcW w:w="0" w:type="dxa"/>
            <w:vAlign w:val="top"/>
          </w:tcPr>
          <w:p w14:paraId="384ACE02"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0.261%</w:t>
            </w:r>
          </w:p>
        </w:tc>
        <w:tc>
          <w:tcPr>
            <w:tcW w:w="0" w:type="dxa"/>
            <w:vAlign w:val="top"/>
          </w:tcPr>
          <w:p w14:paraId="28CDF42D"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8.612%</w:t>
            </w:r>
          </w:p>
        </w:tc>
      </w:tr>
      <w:tr w:rsidR="0081097F" w14:paraId="3A81E4E4"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796793F7" w14:textId="77777777" w:rsidR="0081097F" w:rsidRPr="0081097F" w:rsidRDefault="0081097F" w:rsidP="0081097F">
            <w:pPr>
              <w:rPr>
                <w:rFonts w:ascii="Arial Narrow" w:hAnsi="Arial Narrow" w:cs="Arial"/>
                <w:szCs w:val="20"/>
              </w:rPr>
            </w:pPr>
            <w:r w:rsidRPr="0081097F">
              <w:rPr>
                <w:rFonts w:ascii="Arial Narrow" w:hAnsi="Arial Narrow"/>
                <w:szCs w:val="20"/>
              </w:rPr>
              <w:t>Ind - Industrial Machinery</w:t>
            </w:r>
          </w:p>
        </w:tc>
        <w:tc>
          <w:tcPr>
            <w:tcW w:w="0" w:type="dxa"/>
            <w:vAlign w:val="top"/>
          </w:tcPr>
          <w:p w14:paraId="15A45BBA"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1.933%</w:t>
            </w:r>
          </w:p>
        </w:tc>
        <w:tc>
          <w:tcPr>
            <w:tcW w:w="0" w:type="dxa"/>
            <w:vAlign w:val="top"/>
          </w:tcPr>
          <w:p w14:paraId="5D5FAD22"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3.744%</w:t>
            </w:r>
          </w:p>
        </w:tc>
      </w:tr>
      <w:tr w:rsidR="0081097F" w14:paraId="152C7845"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2436DC1E" w14:textId="77777777" w:rsidR="0081097F" w:rsidRPr="0081097F" w:rsidRDefault="0081097F" w:rsidP="0081097F">
            <w:pPr>
              <w:rPr>
                <w:rFonts w:ascii="Arial Narrow" w:hAnsi="Arial Narrow" w:cs="Arial"/>
                <w:szCs w:val="20"/>
              </w:rPr>
            </w:pPr>
            <w:r w:rsidRPr="0081097F">
              <w:rPr>
                <w:rFonts w:ascii="Arial Narrow" w:hAnsi="Arial Narrow"/>
                <w:szCs w:val="20"/>
              </w:rPr>
              <w:t>Ind - Transportation Equipment</w:t>
            </w:r>
          </w:p>
        </w:tc>
        <w:tc>
          <w:tcPr>
            <w:tcW w:w="0" w:type="dxa"/>
            <w:vAlign w:val="top"/>
          </w:tcPr>
          <w:p w14:paraId="67A723D8"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0.784%</w:t>
            </w:r>
          </w:p>
        </w:tc>
        <w:tc>
          <w:tcPr>
            <w:tcW w:w="0" w:type="dxa"/>
            <w:vAlign w:val="top"/>
          </w:tcPr>
          <w:p w14:paraId="1216F11C"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1.295%</w:t>
            </w:r>
          </w:p>
        </w:tc>
      </w:tr>
      <w:tr w:rsidR="0081097F" w14:paraId="749DCAE5"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660EB246" w14:textId="77777777" w:rsidR="0081097F" w:rsidRPr="0081097F" w:rsidRDefault="0081097F" w:rsidP="0081097F">
            <w:pPr>
              <w:rPr>
                <w:rFonts w:ascii="Arial Narrow" w:hAnsi="Arial Narrow" w:cs="Arial"/>
                <w:szCs w:val="20"/>
              </w:rPr>
            </w:pPr>
            <w:r w:rsidRPr="0081097F">
              <w:rPr>
                <w:rFonts w:ascii="Arial Narrow" w:hAnsi="Arial Narrow"/>
                <w:szCs w:val="20"/>
              </w:rPr>
              <w:t>Ind - Paper</w:t>
            </w:r>
          </w:p>
        </w:tc>
        <w:tc>
          <w:tcPr>
            <w:tcW w:w="0" w:type="dxa"/>
            <w:vAlign w:val="top"/>
          </w:tcPr>
          <w:p w14:paraId="5CDA2502"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0.710%</w:t>
            </w:r>
          </w:p>
        </w:tc>
        <w:tc>
          <w:tcPr>
            <w:tcW w:w="0" w:type="dxa"/>
            <w:vAlign w:val="top"/>
          </w:tcPr>
          <w:p w14:paraId="37CAA80D"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1.868%</w:t>
            </w:r>
          </w:p>
        </w:tc>
      </w:tr>
      <w:tr w:rsidR="0081097F" w14:paraId="46EEAB8D"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647D9AAA" w14:textId="77777777" w:rsidR="0081097F" w:rsidRPr="0081097F" w:rsidRDefault="0081097F" w:rsidP="0081097F">
            <w:pPr>
              <w:rPr>
                <w:rFonts w:ascii="Arial Narrow" w:hAnsi="Arial Narrow" w:cs="Arial"/>
                <w:szCs w:val="20"/>
              </w:rPr>
            </w:pPr>
            <w:r w:rsidRPr="0081097F">
              <w:rPr>
                <w:rFonts w:ascii="Arial Narrow" w:hAnsi="Arial Narrow"/>
                <w:szCs w:val="20"/>
              </w:rPr>
              <w:t>Ind - Printing &amp; Publishing</w:t>
            </w:r>
          </w:p>
        </w:tc>
        <w:tc>
          <w:tcPr>
            <w:tcW w:w="0" w:type="dxa"/>
            <w:vAlign w:val="top"/>
          </w:tcPr>
          <w:p w14:paraId="41A3661E"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0.990%</w:t>
            </w:r>
          </w:p>
        </w:tc>
        <w:tc>
          <w:tcPr>
            <w:tcW w:w="0" w:type="dxa"/>
            <w:vAlign w:val="top"/>
          </w:tcPr>
          <w:p w14:paraId="34915821"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1.022%</w:t>
            </w:r>
          </w:p>
        </w:tc>
      </w:tr>
      <w:tr w:rsidR="0081097F" w14:paraId="7AFBE738"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4D381797" w14:textId="77777777" w:rsidR="0081097F" w:rsidRPr="0081097F" w:rsidRDefault="0081097F" w:rsidP="0081097F">
            <w:pPr>
              <w:rPr>
                <w:rFonts w:ascii="Arial Narrow" w:hAnsi="Arial Narrow" w:cs="Arial"/>
                <w:szCs w:val="20"/>
              </w:rPr>
            </w:pPr>
            <w:r w:rsidRPr="0081097F">
              <w:rPr>
                <w:rFonts w:ascii="Arial Narrow" w:hAnsi="Arial Narrow"/>
                <w:szCs w:val="20"/>
              </w:rPr>
              <w:t>Ind - Textiles</w:t>
            </w:r>
          </w:p>
        </w:tc>
        <w:tc>
          <w:tcPr>
            <w:tcW w:w="0" w:type="dxa"/>
            <w:vAlign w:val="top"/>
          </w:tcPr>
          <w:p w14:paraId="7BEDCDC0"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0.474%</w:t>
            </w:r>
          </w:p>
        </w:tc>
        <w:tc>
          <w:tcPr>
            <w:tcW w:w="0" w:type="dxa"/>
            <w:vAlign w:val="top"/>
          </w:tcPr>
          <w:p w14:paraId="6CFB2D0B"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0.951%</w:t>
            </w:r>
          </w:p>
        </w:tc>
      </w:tr>
      <w:tr w:rsidR="0081097F" w14:paraId="5C22B07F"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2CE242A9" w14:textId="77777777" w:rsidR="0081097F" w:rsidRPr="0081097F" w:rsidRDefault="0081097F" w:rsidP="0081097F">
            <w:pPr>
              <w:rPr>
                <w:rFonts w:ascii="Arial Narrow" w:hAnsi="Arial Narrow" w:cs="Arial"/>
                <w:szCs w:val="20"/>
              </w:rPr>
            </w:pPr>
            <w:r w:rsidRPr="0081097F">
              <w:rPr>
                <w:rFonts w:ascii="Arial Narrow" w:hAnsi="Arial Narrow"/>
                <w:szCs w:val="20"/>
              </w:rPr>
              <w:t>Ind - Lumber &amp; Furniture</w:t>
            </w:r>
          </w:p>
        </w:tc>
        <w:tc>
          <w:tcPr>
            <w:tcW w:w="0" w:type="dxa"/>
            <w:vAlign w:val="top"/>
          </w:tcPr>
          <w:p w14:paraId="7F2415D9"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0.852%</w:t>
            </w:r>
          </w:p>
        </w:tc>
        <w:tc>
          <w:tcPr>
            <w:tcW w:w="0" w:type="dxa"/>
            <w:vAlign w:val="top"/>
          </w:tcPr>
          <w:p w14:paraId="26671879"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1.828%</w:t>
            </w:r>
          </w:p>
        </w:tc>
      </w:tr>
      <w:tr w:rsidR="0081097F" w14:paraId="2ADB2803"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39D9F079" w14:textId="77777777" w:rsidR="0081097F" w:rsidRPr="0081097F" w:rsidRDefault="0081097F" w:rsidP="0081097F">
            <w:pPr>
              <w:rPr>
                <w:rFonts w:ascii="Arial Narrow" w:hAnsi="Arial Narrow" w:cs="Arial"/>
                <w:szCs w:val="20"/>
              </w:rPr>
            </w:pPr>
            <w:r w:rsidRPr="0081097F">
              <w:rPr>
                <w:rFonts w:ascii="Arial Narrow" w:hAnsi="Arial Narrow"/>
                <w:szCs w:val="20"/>
              </w:rPr>
              <w:t>Ind - All Other Industrial</w:t>
            </w:r>
          </w:p>
        </w:tc>
        <w:tc>
          <w:tcPr>
            <w:tcW w:w="0" w:type="dxa"/>
            <w:vAlign w:val="top"/>
          </w:tcPr>
          <w:p w14:paraId="78EB20DA"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4.523%</w:t>
            </w:r>
          </w:p>
        </w:tc>
        <w:tc>
          <w:tcPr>
            <w:tcW w:w="0" w:type="dxa"/>
            <w:vAlign w:val="top"/>
          </w:tcPr>
          <w:p w14:paraId="6F5855A9"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4.579%</w:t>
            </w:r>
          </w:p>
        </w:tc>
      </w:tr>
      <w:tr w:rsidR="0081097F" w14:paraId="30D2C8D2"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349AB90E" w14:textId="77777777" w:rsidR="0081097F" w:rsidRPr="0081097F" w:rsidRDefault="0081097F" w:rsidP="0081097F">
            <w:pPr>
              <w:rPr>
                <w:rFonts w:ascii="Arial Narrow" w:hAnsi="Arial Narrow" w:cs="Arial"/>
                <w:szCs w:val="20"/>
              </w:rPr>
            </w:pPr>
            <w:r w:rsidRPr="0081097F">
              <w:rPr>
                <w:rFonts w:ascii="Arial Narrow" w:hAnsi="Arial Narrow"/>
                <w:szCs w:val="20"/>
              </w:rPr>
              <w:t>Ag - Irrigated Agriculture</w:t>
            </w:r>
          </w:p>
        </w:tc>
        <w:tc>
          <w:tcPr>
            <w:tcW w:w="0" w:type="dxa"/>
            <w:vAlign w:val="top"/>
          </w:tcPr>
          <w:p w14:paraId="2EBA303E"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4.809%</w:t>
            </w:r>
          </w:p>
        </w:tc>
        <w:tc>
          <w:tcPr>
            <w:tcW w:w="0" w:type="dxa"/>
            <w:vAlign w:val="top"/>
          </w:tcPr>
          <w:p w14:paraId="37D9926A"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0.000%</w:t>
            </w:r>
          </w:p>
        </w:tc>
      </w:tr>
      <w:tr w:rsidR="0081097F" w14:paraId="7491CF88"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216EF1BD" w14:textId="77777777" w:rsidR="0081097F" w:rsidRPr="0081097F" w:rsidRDefault="0081097F" w:rsidP="0081097F">
            <w:pPr>
              <w:rPr>
                <w:rFonts w:ascii="Arial Narrow" w:hAnsi="Arial Narrow" w:cs="Arial"/>
                <w:szCs w:val="20"/>
              </w:rPr>
            </w:pPr>
            <w:r w:rsidRPr="0081097F">
              <w:rPr>
                <w:rFonts w:ascii="Arial Narrow" w:hAnsi="Arial Narrow"/>
                <w:szCs w:val="20"/>
              </w:rPr>
              <w:t>Ag - Post-Harvest Processing</w:t>
            </w:r>
          </w:p>
        </w:tc>
        <w:tc>
          <w:tcPr>
            <w:tcW w:w="0" w:type="dxa"/>
            <w:vAlign w:val="top"/>
          </w:tcPr>
          <w:p w14:paraId="383CA425"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4.095%</w:t>
            </w:r>
          </w:p>
        </w:tc>
        <w:tc>
          <w:tcPr>
            <w:tcW w:w="0" w:type="dxa"/>
            <w:vAlign w:val="top"/>
          </w:tcPr>
          <w:p w14:paraId="0971FA09"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9.240%</w:t>
            </w:r>
          </w:p>
        </w:tc>
      </w:tr>
      <w:tr w:rsidR="0081097F" w14:paraId="4825A39E"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18D39150" w14:textId="77777777" w:rsidR="0081097F" w:rsidRPr="0081097F" w:rsidRDefault="0081097F" w:rsidP="0081097F">
            <w:pPr>
              <w:rPr>
                <w:rFonts w:ascii="Arial Narrow" w:hAnsi="Arial Narrow" w:cs="Arial"/>
                <w:szCs w:val="20"/>
              </w:rPr>
            </w:pPr>
            <w:r w:rsidRPr="0081097F">
              <w:rPr>
                <w:rFonts w:ascii="Arial Narrow" w:hAnsi="Arial Narrow"/>
                <w:szCs w:val="20"/>
              </w:rPr>
              <w:t>Ag - Dairies</w:t>
            </w:r>
          </w:p>
        </w:tc>
        <w:tc>
          <w:tcPr>
            <w:tcW w:w="0" w:type="dxa"/>
            <w:vAlign w:val="top"/>
          </w:tcPr>
          <w:p w14:paraId="077A7C1D"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1.648%</w:t>
            </w:r>
          </w:p>
        </w:tc>
        <w:tc>
          <w:tcPr>
            <w:tcW w:w="0" w:type="dxa"/>
            <w:vAlign w:val="top"/>
          </w:tcPr>
          <w:p w14:paraId="00F8140B"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9.240%</w:t>
            </w:r>
          </w:p>
        </w:tc>
      </w:tr>
      <w:tr w:rsidR="0081097F" w14:paraId="749FD316"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6702B206" w14:textId="77777777" w:rsidR="0081097F" w:rsidRPr="0081097F" w:rsidRDefault="0081097F" w:rsidP="0081097F">
            <w:pPr>
              <w:rPr>
                <w:rFonts w:ascii="Arial Narrow" w:hAnsi="Arial Narrow" w:cs="Arial"/>
                <w:szCs w:val="20"/>
              </w:rPr>
            </w:pPr>
            <w:r w:rsidRPr="0081097F">
              <w:rPr>
                <w:rFonts w:ascii="Arial Narrow" w:hAnsi="Arial Narrow"/>
                <w:szCs w:val="20"/>
              </w:rPr>
              <w:t>Ag - Refrigerated Warehouses</w:t>
            </w:r>
          </w:p>
        </w:tc>
        <w:tc>
          <w:tcPr>
            <w:tcW w:w="0" w:type="dxa"/>
            <w:vAlign w:val="top"/>
          </w:tcPr>
          <w:p w14:paraId="6D747C60"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4.095%</w:t>
            </w:r>
          </w:p>
        </w:tc>
        <w:tc>
          <w:tcPr>
            <w:tcW w:w="0" w:type="dxa"/>
            <w:vAlign w:val="top"/>
          </w:tcPr>
          <w:p w14:paraId="28D453CE"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0.000%</w:t>
            </w:r>
          </w:p>
        </w:tc>
      </w:tr>
      <w:tr w:rsidR="0081097F" w14:paraId="30F803BA"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3271D73F" w14:textId="77777777" w:rsidR="0081097F" w:rsidRPr="0081097F" w:rsidRDefault="0081097F" w:rsidP="0081097F">
            <w:pPr>
              <w:rPr>
                <w:rFonts w:ascii="Arial Narrow" w:hAnsi="Arial Narrow" w:cs="Arial"/>
                <w:szCs w:val="20"/>
              </w:rPr>
            </w:pPr>
            <w:r w:rsidRPr="0081097F">
              <w:rPr>
                <w:rFonts w:ascii="Arial Narrow" w:hAnsi="Arial Narrow"/>
                <w:szCs w:val="20"/>
              </w:rPr>
              <w:t>Ag - Wineries and Vineyards</w:t>
            </w:r>
          </w:p>
        </w:tc>
        <w:tc>
          <w:tcPr>
            <w:tcW w:w="0" w:type="dxa"/>
            <w:vAlign w:val="top"/>
          </w:tcPr>
          <w:p w14:paraId="545B6739"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1.675%</w:t>
            </w:r>
          </w:p>
        </w:tc>
        <w:tc>
          <w:tcPr>
            <w:tcW w:w="0" w:type="dxa"/>
            <w:vAlign w:val="top"/>
          </w:tcPr>
          <w:p w14:paraId="5193DFA8"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9.240%</w:t>
            </w:r>
          </w:p>
        </w:tc>
      </w:tr>
      <w:tr w:rsidR="0081097F" w14:paraId="5AA81A7F" w14:textId="77777777" w:rsidTr="00AF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35B3CC4A" w14:textId="77777777" w:rsidR="0081097F" w:rsidRPr="0081097F" w:rsidRDefault="0081097F" w:rsidP="0081097F">
            <w:pPr>
              <w:rPr>
                <w:rFonts w:ascii="Arial Narrow" w:hAnsi="Arial Narrow" w:cs="Arial"/>
                <w:szCs w:val="20"/>
              </w:rPr>
            </w:pPr>
            <w:r w:rsidRPr="0081097F">
              <w:rPr>
                <w:rFonts w:ascii="Arial Narrow" w:hAnsi="Arial Narrow"/>
                <w:szCs w:val="20"/>
              </w:rPr>
              <w:t>Ag - Concentrated Animal Feeding Operation</w:t>
            </w:r>
          </w:p>
        </w:tc>
        <w:tc>
          <w:tcPr>
            <w:tcW w:w="0" w:type="dxa"/>
            <w:vAlign w:val="top"/>
          </w:tcPr>
          <w:p w14:paraId="4DB104EE"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0.957%</w:t>
            </w:r>
          </w:p>
        </w:tc>
        <w:tc>
          <w:tcPr>
            <w:tcW w:w="0" w:type="dxa"/>
            <w:vAlign w:val="top"/>
          </w:tcPr>
          <w:p w14:paraId="1B16F455" w14:textId="77777777" w:rsidR="0081097F" w:rsidRPr="0081097F" w:rsidRDefault="0081097F" w:rsidP="0081097F">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81097F">
              <w:rPr>
                <w:rFonts w:ascii="Arial Narrow" w:hAnsi="Arial Narrow"/>
                <w:szCs w:val="20"/>
              </w:rPr>
              <w:t>0.440%</w:t>
            </w:r>
          </w:p>
        </w:tc>
      </w:tr>
      <w:tr w:rsidR="0081097F" w14:paraId="2425661F" w14:textId="77777777" w:rsidTr="00AF2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7E0D6E1F" w14:textId="77777777" w:rsidR="0081097F" w:rsidRPr="0081097F" w:rsidRDefault="0081097F" w:rsidP="0081097F">
            <w:pPr>
              <w:rPr>
                <w:rFonts w:ascii="Arial Narrow" w:hAnsi="Arial Narrow" w:cs="Arial"/>
                <w:szCs w:val="20"/>
              </w:rPr>
            </w:pPr>
            <w:r w:rsidRPr="0081097F">
              <w:rPr>
                <w:rFonts w:ascii="Arial Narrow" w:hAnsi="Arial Narrow"/>
                <w:szCs w:val="20"/>
              </w:rPr>
              <w:t>Ag - Greenhouses</w:t>
            </w:r>
          </w:p>
        </w:tc>
        <w:tc>
          <w:tcPr>
            <w:tcW w:w="0" w:type="dxa"/>
            <w:vAlign w:val="top"/>
          </w:tcPr>
          <w:p w14:paraId="6446A25B"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4.095%</w:t>
            </w:r>
          </w:p>
        </w:tc>
        <w:tc>
          <w:tcPr>
            <w:tcW w:w="0" w:type="dxa"/>
            <w:vAlign w:val="top"/>
          </w:tcPr>
          <w:p w14:paraId="04CF6A15" w14:textId="77777777" w:rsidR="0081097F" w:rsidRPr="0081097F" w:rsidRDefault="0081097F" w:rsidP="0081097F">
            <w:pPr>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81097F">
              <w:rPr>
                <w:rFonts w:ascii="Arial Narrow" w:hAnsi="Arial Narrow"/>
                <w:szCs w:val="20"/>
              </w:rPr>
              <w:t>0.733%</w:t>
            </w:r>
          </w:p>
        </w:tc>
      </w:tr>
    </w:tbl>
    <w:p w14:paraId="49CB7978" w14:textId="77777777" w:rsidR="00064586" w:rsidRPr="001A5D37" w:rsidRDefault="00064586" w:rsidP="00064586">
      <w:pPr>
        <w:keepLines/>
        <w:jc w:val="center"/>
        <w:rPr>
          <w:rFonts w:cs="Arial"/>
          <w:i/>
          <w:sz w:val="16"/>
          <w:szCs w:val="16"/>
        </w:rPr>
      </w:pPr>
      <w:r w:rsidRPr="001A5D37">
        <w:rPr>
          <w:rFonts w:cs="Arial"/>
          <w:i/>
          <w:sz w:val="16"/>
          <w:szCs w:val="16"/>
        </w:rPr>
        <w:t>Source: Navigant analysis</w:t>
      </w:r>
    </w:p>
    <w:p w14:paraId="1DFFD201" w14:textId="77777777" w:rsidR="00064586" w:rsidRDefault="00064586" w:rsidP="00742FC0"/>
    <w:p w14:paraId="7A2828EE" w14:textId="77777777" w:rsidR="0081097F" w:rsidRDefault="0081097F" w:rsidP="00742FC0"/>
    <w:p w14:paraId="71B737FB" w14:textId="77777777" w:rsidR="0081097F" w:rsidRDefault="0081097F" w:rsidP="0081097F">
      <w:r>
        <w:t xml:space="preserve">The ET UES multipliers were held constant throughout the 2018 study forecast horizon. The team developed a reference and aggressive case forecast based on a compound annual growth rate (CAGR) by which the portfolio of ETs is expected to be adopted by the market (i.e., penetration). The reference case assumes a CAGR of 2.95%, achieving 21% market penetration within the forecast horizon ending in 2030. The aggressive case assumes a CAGR of 3.36% to achieve market penetration of 32% by 2030.   </w:t>
      </w:r>
    </w:p>
    <w:p w14:paraId="1CEB8C66" w14:textId="77777777" w:rsidR="0081097F" w:rsidRDefault="0081097F" w:rsidP="0081097F"/>
    <w:p w14:paraId="1375F468" w14:textId="77777777" w:rsidR="0081097F" w:rsidRPr="0081097F" w:rsidRDefault="0081097F" w:rsidP="0081097F">
      <w:pPr>
        <w:rPr>
          <w:b/>
          <w:u w:val="single"/>
        </w:rPr>
      </w:pPr>
      <w:r>
        <w:rPr>
          <w:b/>
          <w:u w:val="single"/>
        </w:rPr>
        <w:t>Other Input Assumptions</w:t>
      </w:r>
    </w:p>
    <w:p w14:paraId="2F2DFAF8" w14:textId="77777777" w:rsidR="0081097F" w:rsidRDefault="0081097F" w:rsidP="0081097F">
      <w:r>
        <w:t>The model uses a universal EUL of 15 years to accommodate the broad range of emerging technology adoption curves.</w:t>
      </w:r>
    </w:p>
    <w:p w14:paraId="1201D6FC" w14:textId="77777777" w:rsidR="0081097F" w:rsidRDefault="0081097F" w:rsidP="0081097F"/>
    <w:p w14:paraId="6BA141AF" w14:textId="77777777" w:rsidR="0081097F" w:rsidRDefault="0081097F" w:rsidP="0081097F">
      <w:r>
        <w:t>A ratio of kW to kWh of 0.000195 was applied.</w:t>
      </w:r>
    </w:p>
    <w:p w14:paraId="2461C2FF" w14:textId="77777777" w:rsidR="0081097F" w:rsidRDefault="0081097F" w:rsidP="0081097F">
      <w:r>
        <w:t xml:space="preserve"> </w:t>
      </w:r>
    </w:p>
    <w:p w14:paraId="5582842E" w14:textId="77777777" w:rsidR="0081097F" w:rsidRDefault="0081097F" w:rsidP="0081097F">
      <w:r>
        <w:lastRenderedPageBreak/>
        <w:t xml:space="preserve">Finally, costs for electricity and natural gas savings are estimated at $0.42/kWh and $2.83/therm, and are applied consistently for all utilities and across all Industrial and Agricultural sectors. Costs are based on an analysis of industrial and agricultural programs operating throughout 2016, and reflect costs that are higher than average for the portfolio based on the expectation that ETs will be more expensive than more established technologies, and so will require higher incentives and EM&amp;V costs to verify performance. </w:t>
      </w:r>
    </w:p>
    <w:p w14:paraId="0B15C6DC" w14:textId="77777777" w:rsidR="00181744" w:rsidRDefault="00181744" w:rsidP="0081097F">
      <w:pPr>
        <w:sectPr w:rsidR="00181744" w:rsidSect="00146A54">
          <w:pgSz w:w="12240" w:h="15840" w:code="1"/>
          <w:pgMar w:top="1440" w:right="1440" w:bottom="1440" w:left="1440" w:header="720" w:footer="720" w:gutter="0"/>
          <w:pgNumType w:start="1" w:chapStyle="5"/>
          <w:cols w:space="720"/>
          <w:docGrid w:linePitch="360"/>
        </w:sectPr>
      </w:pPr>
    </w:p>
    <w:p w14:paraId="5D7A99D9" w14:textId="77777777" w:rsidR="00E86334" w:rsidRDefault="00E86334" w:rsidP="00E86334">
      <w:pPr>
        <w:pStyle w:val="Heading5"/>
      </w:pPr>
      <w:bookmarkStart w:id="1162" w:name="_Ref483566421"/>
      <w:bookmarkStart w:id="1163" w:name="_Toc484092530"/>
      <w:bookmarkStart w:id="1164" w:name="_Toc484172735"/>
      <w:bookmarkStart w:id="1165" w:name="_Toc484183082"/>
      <w:bookmarkStart w:id="1166" w:name="_Toc490225848"/>
      <w:r>
        <w:lastRenderedPageBreak/>
        <w:t>Low Income Programs</w:t>
      </w:r>
      <w:bookmarkEnd w:id="1162"/>
      <w:bookmarkEnd w:id="1163"/>
      <w:bookmarkEnd w:id="1164"/>
      <w:bookmarkEnd w:id="1165"/>
      <w:bookmarkEnd w:id="1166"/>
    </w:p>
    <w:p w14:paraId="436CEEF3" w14:textId="77777777" w:rsidR="00E86334" w:rsidRDefault="00E86334" w:rsidP="00E86334">
      <w:pPr>
        <w:pStyle w:val="Heading6"/>
      </w:pPr>
      <w:bookmarkStart w:id="1167" w:name="_Toc484092531"/>
      <w:bookmarkStart w:id="1168" w:name="_Toc484172736"/>
      <w:bookmarkStart w:id="1169" w:name="_Toc484183083"/>
      <w:bookmarkStart w:id="1170" w:name="_Toc490225849"/>
      <w:r>
        <w:t>PG&amp;E</w:t>
      </w:r>
      <w:bookmarkEnd w:id="1167"/>
      <w:bookmarkEnd w:id="1168"/>
      <w:bookmarkEnd w:id="1169"/>
      <w:bookmarkEnd w:id="1170"/>
      <w:r>
        <w:t xml:space="preserve"> </w:t>
      </w:r>
    </w:p>
    <w:p w14:paraId="4517C74E" w14:textId="77777777" w:rsidR="00E86334" w:rsidRDefault="00BB59F5" w:rsidP="00E86334">
      <w:pPr>
        <w:pStyle w:val="Caption"/>
      </w:pPr>
      <w:bookmarkStart w:id="1171" w:name="_Toc484436983"/>
      <w:bookmarkStart w:id="1172" w:name="_Toc490226048"/>
      <w:r w:rsidRPr="00122CD3">
        <w:t xml:space="preserve">Table </w:t>
      </w:r>
      <w:fldSimple w:instr=" STYLEREF 5 \s ">
        <w:r w:rsidR="007566B9">
          <w:rPr>
            <w:noProof/>
          </w:rPr>
          <w:t>G</w:t>
        </w:r>
      </w:fldSimple>
      <w:r w:rsidRPr="00323BFA">
        <w:noBreakHyphen/>
      </w:r>
      <w:fldSimple w:instr=" SEQ Table_Apx \* ARABIC \s 5 ">
        <w:r w:rsidR="007566B9">
          <w:rPr>
            <w:noProof/>
          </w:rPr>
          <w:t>1</w:t>
        </w:r>
      </w:fldSimple>
      <w:r w:rsidRPr="006F2DA9">
        <w:t>.</w:t>
      </w:r>
      <w:r w:rsidR="00E86334">
        <w:t xml:space="preserve"> PG&amp;E Households Treated</w:t>
      </w:r>
      <w:bookmarkEnd w:id="1171"/>
      <w:bookmarkEnd w:id="1172"/>
    </w:p>
    <w:tbl>
      <w:tblPr>
        <w:tblStyle w:val="EnergyTable1"/>
        <w:tblW w:w="6198" w:type="dxa"/>
        <w:tblLook w:val="04A0" w:firstRow="1" w:lastRow="0" w:firstColumn="1" w:lastColumn="0" w:noHBand="0" w:noVBand="1"/>
      </w:tblPr>
      <w:tblGrid>
        <w:gridCol w:w="1253"/>
        <w:gridCol w:w="1430"/>
        <w:gridCol w:w="2085"/>
        <w:gridCol w:w="1430"/>
      </w:tblGrid>
      <w:tr w:rsidR="00E86334" w:rsidRPr="00B37F3E" w14:paraId="25B34A50" w14:textId="77777777" w:rsidTr="00AF21B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C45CBCF" w14:textId="77777777" w:rsidR="00E86334" w:rsidRPr="00B37F3E" w:rsidRDefault="00E86334" w:rsidP="00E86334">
            <w:pPr>
              <w:spacing w:line="240" w:lineRule="auto"/>
              <w:rPr>
                <w:rFonts w:ascii="Arial Narrow" w:hAnsi="Arial Narrow"/>
                <w:bCs/>
                <w:szCs w:val="20"/>
              </w:rPr>
            </w:pPr>
          </w:p>
        </w:tc>
        <w:tc>
          <w:tcPr>
            <w:tcW w:w="0" w:type="dxa"/>
            <w:noWrap/>
            <w:hideMark/>
          </w:tcPr>
          <w:p w14:paraId="5CA8A12F" w14:textId="77777777" w:rsidR="00E86334" w:rsidRPr="00B37F3E" w:rsidRDefault="00E86334" w:rsidP="00E86334">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B37F3E">
              <w:rPr>
                <w:rFonts w:ascii="Arial Narrow" w:hAnsi="Arial Narrow"/>
                <w:szCs w:val="20"/>
              </w:rPr>
              <w:t xml:space="preserve"> Single Family </w:t>
            </w:r>
          </w:p>
        </w:tc>
        <w:tc>
          <w:tcPr>
            <w:tcW w:w="0" w:type="dxa"/>
            <w:noWrap/>
            <w:hideMark/>
          </w:tcPr>
          <w:p w14:paraId="4C3C71DF" w14:textId="77777777" w:rsidR="00E86334" w:rsidRPr="00B37F3E" w:rsidRDefault="00E86334" w:rsidP="00E86334">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B37F3E">
              <w:rPr>
                <w:rFonts w:ascii="Arial Narrow" w:hAnsi="Arial Narrow"/>
                <w:szCs w:val="20"/>
              </w:rPr>
              <w:t>Multifamily</w:t>
            </w:r>
          </w:p>
        </w:tc>
        <w:tc>
          <w:tcPr>
            <w:tcW w:w="0" w:type="dxa"/>
            <w:noWrap/>
            <w:hideMark/>
          </w:tcPr>
          <w:p w14:paraId="45E96422" w14:textId="77777777" w:rsidR="00E86334" w:rsidRPr="00B37F3E" w:rsidRDefault="00E86334" w:rsidP="00E86334">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B37F3E">
              <w:rPr>
                <w:rFonts w:ascii="Arial Narrow" w:hAnsi="Arial Narrow"/>
                <w:szCs w:val="20"/>
              </w:rPr>
              <w:t xml:space="preserve"> Mobile Home</w:t>
            </w:r>
          </w:p>
        </w:tc>
      </w:tr>
      <w:tr w:rsidR="00E86334" w:rsidRPr="00B37F3E" w14:paraId="4F189655"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gridSpan w:val="4"/>
            <w:shd w:val="clear" w:color="auto" w:fill="F2F2F2" w:themeFill="background2"/>
            <w:noWrap/>
          </w:tcPr>
          <w:p w14:paraId="6A36B05C" w14:textId="77777777" w:rsidR="00E86334" w:rsidRPr="00B37F3E" w:rsidRDefault="00E86334" w:rsidP="00E86334">
            <w:pPr>
              <w:spacing w:line="240" w:lineRule="auto"/>
              <w:rPr>
                <w:rFonts w:ascii="Arial Narrow" w:hAnsi="Arial Narrow"/>
                <w:b/>
                <w:szCs w:val="20"/>
              </w:rPr>
            </w:pPr>
            <w:r w:rsidRPr="00B37F3E">
              <w:rPr>
                <w:rFonts w:ascii="Arial Narrow" w:hAnsi="Arial Narrow"/>
                <w:b/>
                <w:szCs w:val="20"/>
              </w:rPr>
              <w:t>First Time Treatment</w:t>
            </w:r>
          </w:p>
        </w:tc>
      </w:tr>
      <w:tr w:rsidR="00E86334" w:rsidRPr="00B37F3E" w14:paraId="32BBE8D9"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D4C1DB5" w14:textId="77777777" w:rsidR="00E86334" w:rsidRPr="00B37F3E" w:rsidRDefault="00E86334" w:rsidP="00E86334">
            <w:pPr>
              <w:spacing w:line="240" w:lineRule="auto"/>
              <w:rPr>
                <w:rFonts w:ascii="Arial Narrow" w:hAnsi="Arial Narrow"/>
                <w:b/>
                <w:bCs/>
                <w:szCs w:val="20"/>
              </w:rPr>
            </w:pPr>
            <w:r w:rsidRPr="00B37F3E">
              <w:rPr>
                <w:rFonts w:ascii="Arial Narrow" w:hAnsi="Arial Narrow"/>
                <w:b/>
                <w:bCs/>
                <w:szCs w:val="20"/>
              </w:rPr>
              <w:t>2017</w:t>
            </w:r>
          </w:p>
        </w:tc>
        <w:tc>
          <w:tcPr>
            <w:tcW w:w="0" w:type="dxa"/>
            <w:noWrap/>
            <w:hideMark/>
          </w:tcPr>
          <w:p w14:paraId="6C1C98FE"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B37F3E">
              <w:rPr>
                <w:rFonts w:ascii="Arial Narrow" w:hAnsi="Arial Narrow"/>
                <w:szCs w:val="20"/>
              </w:rPr>
              <w:t>46,636</w:t>
            </w:r>
          </w:p>
        </w:tc>
        <w:tc>
          <w:tcPr>
            <w:tcW w:w="0" w:type="dxa"/>
            <w:noWrap/>
            <w:hideMark/>
          </w:tcPr>
          <w:p w14:paraId="20264C60"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B37F3E">
              <w:rPr>
                <w:rFonts w:ascii="Arial Narrow" w:hAnsi="Arial Narrow"/>
                <w:szCs w:val="20"/>
              </w:rPr>
              <w:t>12,604</w:t>
            </w:r>
          </w:p>
        </w:tc>
        <w:tc>
          <w:tcPr>
            <w:tcW w:w="0" w:type="dxa"/>
            <w:noWrap/>
            <w:hideMark/>
          </w:tcPr>
          <w:p w14:paraId="784CBB57"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B37F3E">
              <w:rPr>
                <w:rFonts w:ascii="Arial Narrow" w:hAnsi="Arial Narrow"/>
                <w:szCs w:val="20"/>
              </w:rPr>
              <w:t>3,781</w:t>
            </w:r>
          </w:p>
        </w:tc>
      </w:tr>
      <w:tr w:rsidR="00E86334" w:rsidRPr="00B37F3E" w14:paraId="38842817"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DE0AA91" w14:textId="77777777" w:rsidR="00E86334" w:rsidRPr="00B37F3E" w:rsidRDefault="00E86334" w:rsidP="00E86334">
            <w:pPr>
              <w:spacing w:line="240" w:lineRule="auto"/>
              <w:rPr>
                <w:rFonts w:ascii="Arial Narrow" w:hAnsi="Arial Narrow"/>
                <w:b/>
                <w:bCs/>
                <w:szCs w:val="20"/>
              </w:rPr>
            </w:pPr>
            <w:r w:rsidRPr="00B37F3E">
              <w:rPr>
                <w:rFonts w:ascii="Arial Narrow" w:hAnsi="Arial Narrow"/>
                <w:b/>
                <w:bCs/>
                <w:szCs w:val="20"/>
              </w:rPr>
              <w:t>2018</w:t>
            </w:r>
          </w:p>
        </w:tc>
        <w:tc>
          <w:tcPr>
            <w:tcW w:w="0" w:type="dxa"/>
            <w:noWrap/>
            <w:hideMark/>
          </w:tcPr>
          <w:p w14:paraId="5EFC5F6E"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37F3E">
              <w:rPr>
                <w:rFonts w:ascii="Arial Narrow" w:hAnsi="Arial Narrow"/>
                <w:szCs w:val="20"/>
              </w:rPr>
              <w:t>34,977</w:t>
            </w:r>
          </w:p>
        </w:tc>
        <w:tc>
          <w:tcPr>
            <w:tcW w:w="0" w:type="dxa"/>
            <w:noWrap/>
            <w:hideMark/>
          </w:tcPr>
          <w:p w14:paraId="12E5E863"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37F3E">
              <w:rPr>
                <w:rFonts w:ascii="Arial Narrow" w:hAnsi="Arial Narrow"/>
                <w:szCs w:val="20"/>
              </w:rPr>
              <w:t>9,453</w:t>
            </w:r>
          </w:p>
        </w:tc>
        <w:tc>
          <w:tcPr>
            <w:tcW w:w="0" w:type="dxa"/>
            <w:noWrap/>
            <w:hideMark/>
          </w:tcPr>
          <w:p w14:paraId="1910E73F"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37F3E">
              <w:rPr>
                <w:rFonts w:ascii="Arial Narrow" w:hAnsi="Arial Narrow"/>
                <w:szCs w:val="20"/>
              </w:rPr>
              <w:t>2,836</w:t>
            </w:r>
          </w:p>
        </w:tc>
      </w:tr>
      <w:tr w:rsidR="00E86334" w:rsidRPr="00B37F3E" w14:paraId="0CEEB93B"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102C9C8" w14:textId="77777777" w:rsidR="00E86334" w:rsidRPr="00B37F3E" w:rsidRDefault="00E86334" w:rsidP="00E86334">
            <w:pPr>
              <w:spacing w:line="240" w:lineRule="auto"/>
              <w:rPr>
                <w:rFonts w:ascii="Arial Narrow" w:hAnsi="Arial Narrow"/>
                <w:b/>
                <w:bCs/>
                <w:szCs w:val="20"/>
              </w:rPr>
            </w:pPr>
            <w:r w:rsidRPr="00B37F3E">
              <w:rPr>
                <w:rFonts w:ascii="Arial Narrow" w:hAnsi="Arial Narrow"/>
                <w:b/>
                <w:bCs/>
                <w:szCs w:val="20"/>
              </w:rPr>
              <w:t>2019</w:t>
            </w:r>
          </w:p>
        </w:tc>
        <w:tc>
          <w:tcPr>
            <w:tcW w:w="0" w:type="dxa"/>
            <w:noWrap/>
            <w:hideMark/>
          </w:tcPr>
          <w:p w14:paraId="2303C5D0"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B37F3E">
              <w:rPr>
                <w:rFonts w:ascii="Arial Narrow" w:hAnsi="Arial Narrow"/>
                <w:szCs w:val="20"/>
              </w:rPr>
              <w:t>33,053</w:t>
            </w:r>
          </w:p>
        </w:tc>
        <w:tc>
          <w:tcPr>
            <w:tcW w:w="0" w:type="dxa"/>
            <w:noWrap/>
            <w:hideMark/>
          </w:tcPr>
          <w:p w14:paraId="62C89354"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B37F3E">
              <w:rPr>
                <w:rFonts w:ascii="Arial Narrow" w:hAnsi="Arial Narrow"/>
                <w:szCs w:val="20"/>
              </w:rPr>
              <w:t>8,933</w:t>
            </w:r>
          </w:p>
        </w:tc>
        <w:tc>
          <w:tcPr>
            <w:tcW w:w="0" w:type="dxa"/>
            <w:noWrap/>
            <w:hideMark/>
          </w:tcPr>
          <w:p w14:paraId="43C8E464"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B37F3E">
              <w:rPr>
                <w:rFonts w:ascii="Arial Narrow" w:hAnsi="Arial Narrow"/>
                <w:szCs w:val="20"/>
              </w:rPr>
              <w:t>2,680</w:t>
            </w:r>
          </w:p>
        </w:tc>
      </w:tr>
      <w:tr w:rsidR="00E86334" w:rsidRPr="00B37F3E" w14:paraId="07CB9B03"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D44CB4D" w14:textId="77777777" w:rsidR="00E86334" w:rsidRPr="00B37F3E" w:rsidRDefault="00E86334" w:rsidP="00E86334">
            <w:pPr>
              <w:spacing w:line="240" w:lineRule="auto"/>
              <w:rPr>
                <w:rFonts w:ascii="Arial Narrow" w:hAnsi="Arial Narrow"/>
                <w:b/>
                <w:bCs/>
                <w:szCs w:val="20"/>
              </w:rPr>
            </w:pPr>
            <w:r w:rsidRPr="00B37F3E">
              <w:rPr>
                <w:rFonts w:ascii="Arial Narrow" w:hAnsi="Arial Narrow"/>
                <w:b/>
                <w:bCs/>
                <w:szCs w:val="20"/>
              </w:rPr>
              <w:t>2020</w:t>
            </w:r>
          </w:p>
        </w:tc>
        <w:tc>
          <w:tcPr>
            <w:tcW w:w="0" w:type="dxa"/>
            <w:noWrap/>
            <w:hideMark/>
          </w:tcPr>
          <w:p w14:paraId="13380BA9"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37F3E">
              <w:rPr>
                <w:rFonts w:ascii="Arial Narrow" w:hAnsi="Arial Narrow"/>
                <w:szCs w:val="20"/>
              </w:rPr>
              <w:t>17,471</w:t>
            </w:r>
          </w:p>
        </w:tc>
        <w:tc>
          <w:tcPr>
            <w:tcW w:w="0" w:type="dxa"/>
            <w:noWrap/>
            <w:hideMark/>
          </w:tcPr>
          <w:p w14:paraId="68241F32"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37F3E">
              <w:rPr>
                <w:rFonts w:ascii="Arial Narrow" w:hAnsi="Arial Narrow"/>
                <w:szCs w:val="20"/>
              </w:rPr>
              <w:t>4,722</w:t>
            </w:r>
          </w:p>
        </w:tc>
        <w:tc>
          <w:tcPr>
            <w:tcW w:w="0" w:type="dxa"/>
            <w:noWrap/>
            <w:hideMark/>
          </w:tcPr>
          <w:p w14:paraId="4CCDA1F9"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B37F3E">
              <w:rPr>
                <w:rFonts w:ascii="Arial Narrow" w:hAnsi="Arial Narrow"/>
                <w:szCs w:val="20"/>
              </w:rPr>
              <w:t>1,417</w:t>
            </w:r>
          </w:p>
        </w:tc>
      </w:tr>
      <w:tr w:rsidR="00E86334" w:rsidRPr="00B37F3E" w14:paraId="77D62D79"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gridSpan w:val="4"/>
            <w:shd w:val="clear" w:color="auto" w:fill="F2F2F2" w:themeFill="background2"/>
            <w:noWrap/>
          </w:tcPr>
          <w:p w14:paraId="2906757E" w14:textId="77777777" w:rsidR="00E86334" w:rsidRPr="00B37F3E" w:rsidRDefault="00E86334" w:rsidP="00E86334">
            <w:pPr>
              <w:spacing w:line="240" w:lineRule="auto"/>
              <w:rPr>
                <w:rFonts w:ascii="Arial Narrow" w:hAnsi="Arial Narrow"/>
                <w:b/>
                <w:szCs w:val="20"/>
              </w:rPr>
            </w:pPr>
            <w:r w:rsidRPr="00B37F3E">
              <w:rPr>
                <w:rFonts w:ascii="Arial Narrow" w:hAnsi="Arial Narrow"/>
                <w:b/>
                <w:szCs w:val="20"/>
              </w:rPr>
              <w:t>Retreatment</w:t>
            </w:r>
          </w:p>
        </w:tc>
      </w:tr>
      <w:tr w:rsidR="00E86334" w:rsidRPr="00B37F3E" w14:paraId="0080FD25"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6E9B7ED4" w14:textId="77777777" w:rsidR="00E86334" w:rsidRPr="00B37F3E" w:rsidRDefault="00E86334" w:rsidP="00E86334">
            <w:pPr>
              <w:spacing w:line="240" w:lineRule="auto"/>
              <w:rPr>
                <w:rFonts w:ascii="Arial Narrow" w:hAnsi="Arial Narrow"/>
                <w:b/>
                <w:bCs/>
                <w:szCs w:val="20"/>
              </w:rPr>
            </w:pPr>
            <w:r w:rsidRPr="00B37F3E">
              <w:rPr>
                <w:rFonts w:ascii="Arial Narrow" w:hAnsi="Arial Narrow"/>
                <w:b/>
                <w:bCs/>
                <w:szCs w:val="20"/>
              </w:rPr>
              <w:t>2017</w:t>
            </w:r>
          </w:p>
        </w:tc>
        <w:tc>
          <w:tcPr>
            <w:tcW w:w="0" w:type="dxa"/>
            <w:noWrap/>
          </w:tcPr>
          <w:p w14:paraId="5E5D7F3A"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B37F3E">
              <w:rPr>
                <w:rFonts w:ascii="Arial Narrow" w:hAnsi="Arial Narrow"/>
                <w:szCs w:val="20"/>
              </w:rPr>
              <w:t>19,987</w:t>
            </w:r>
          </w:p>
        </w:tc>
        <w:tc>
          <w:tcPr>
            <w:tcW w:w="0" w:type="dxa"/>
            <w:noWrap/>
          </w:tcPr>
          <w:p w14:paraId="43E6C9C8"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B37F3E">
              <w:rPr>
                <w:rFonts w:ascii="Arial Narrow" w:hAnsi="Arial Narrow"/>
                <w:szCs w:val="20"/>
              </w:rPr>
              <w:t>5,402</w:t>
            </w:r>
          </w:p>
        </w:tc>
        <w:tc>
          <w:tcPr>
            <w:tcW w:w="0" w:type="dxa"/>
            <w:noWrap/>
          </w:tcPr>
          <w:p w14:paraId="07D7E536"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B37F3E">
              <w:rPr>
                <w:rFonts w:ascii="Arial Narrow" w:hAnsi="Arial Narrow"/>
                <w:szCs w:val="20"/>
              </w:rPr>
              <w:t>1,621</w:t>
            </w:r>
          </w:p>
        </w:tc>
      </w:tr>
      <w:tr w:rsidR="00E86334" w:rsidRPr="00B37F3E" w14:paraId="3870BCF8"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6F7C3494" w14:textId="77777777" w:rsidR="00E86334" w:rsidRPr="00B37F3E" w:rsidRDefault="00E86334" w:rsidP="00E86334">
            <w:pPr>
              <w:spacing w:line="240" w:lineRule="auto"/>
              <w:rPr>
                <w:rFonts w:ascii="Arial Narrow" w:hAnsi="Arial Narrow"/>
                <w:b/>
                <w:bCs/>
                <w:szCs w:val="20"/>
              </w:rPr>
            </w:pPr>
            <w:r w:rsidRPr="00B37F3E">
              <w:rPr>
                <w:rFonts w:ascii="Arial Narrow" w:hAnsi="Arial Narrow"/>
                <w:b/>
                <w:bCs/>
                <w:szCs w:val="20"/>
              </w:rPr>
              <w:t>2018</w:t>
            </w:r>
          </w:p>
        </w:tc>
        <w:tc>
          <w:tcPr>
            <w:tcW w:w="0" w:type="dxa"/>
            <w:noWrap/>
          </w:tcPr>
          <w:p w14:paraId="0AF9FE31"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B37F3E">
              <w:rPr>
                <w:rFonts w:ascii="Arial Narrow" w:hAnsi="Arial Narrow"/>
                <w:szCs w:val="20"/>
              </w:rPr>
              <w:t>34,977</w:t>
            </w:r>
          </w:p>
        </w:tc>
        <w:tc>
          <w:tcPr>
            <w:tcW w:w="0" w:type="dxa"/>
            <w:noWrap/>
          </w:tcPr>
          <w:p w14:paraId="33995686"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B37F3E">
              <w:rPr>
                <w:rFonts w:ascii="Arial Narrow" w:hAnsi="Arial Narrow"/>
                <w:szCs w:val="20"/>
              </w:rPr>
              <w:t>9,453</w:t>
            </w:r>
          </w:p>
        </w:tc>
        <w:tc>
          <w:tcPr>
            <w:tcW w:w="0" w:type="dxa"/>
            <w:noWrap/>
          </w:tcPr>
          <w:p w14:paraId="1C99196A"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B37F3E">
              <w:rPr>
                <w:rFonts w:ascii="Arial Narrow" w:hAnsi="Arial Narrow"/>
                <w:szCs w:val="20"/>
              </w:rPr>
              <w:t>2,836</w:t>
            </w:r>
          </w:p>
        </w:tc>
      </w:tr>
      <w:tr w:rsidR="00E86334" w:rsidRPr="00B37F3E" w14:paraId="6E6209D8"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580E382E" w14:textId="77777777" w:rsidR="00E86334" w:rsidRPr="00B37F3E" w:rsidRDefault="00E86334" w:rsidP="00E86334">
            <w:pPr>
              <w:spacing w:line="240" w:lineRule="auto"/>
              <w:rPr>
                <w:rFonts w:ascii="Arial Narrow" w:hAnsi="Arial Narrow"/>
                <w:b/>
                <w:bCs/>
                <w:szCs w:val="20"/>
              </w:rPr>
            </w:pPr>
            <w:r w:rsidRPr="00B37F3E">
              <w:rPr>
                <w:rFonts w:ascii="Arial Narrow" w:hAnsi="Arial Narrow"/>
                <w:b/>
                <w:bCs/>
                <w:szCs w:val="20"/>
              </w:rPr>
              <w:t>2019</w:t>
            </w:r>
          </w:p>
        </w:tc>
        <w:tc>
          <w:tcPr>
            <w:tcW w:w="0" w:type="dxa"/>
            <w:noWrap/>
          </w:tcPr>
          <w:p w14:paraId="348E1E7E"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B37F3E">
              <w:rPr>
                <w:rFonts w:ascii="Arial Narrow" w:hAnsi="Arial Narrow"/>
                <w:szCs w:val="20"/>
              </w:rPr>
              <w:t>40,398</w:t>
            </w:r>
          </w:p>
        </w:tc>
        <w:tc>
          <w:tcPr>
            <w:tcW w:w="0" w:type="dxa"/>
            <w:noWrap/>
          </w:tcPr>
          <w:p w14:paraId="4B34A330"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B37F3E">
              <w:rPr>
                <w:rFonts w:ascii="Arial Narrow" w:hAnsi="Arial Narrow"/>
                <w:szCs w:val="20"/>
              </w:rPr>
              <w:t>10,918</w:t>
            </w:r>
          </w:p>
        </w:tc>
        <w:tc>
          <w:tcPr>
            <w:tcW w:w="0" w:type="dxa"/>
            <w:noWrap/>
          </w:tcPr>
          <w:p w14:paraId="3D6532FE" w14:textId="77777777" w:rsidR="00E86334" w:rsidRPr="00B37F3E" w:rsidRDefault="00E86334" w:rsidP="00E86334">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B37F3E">
              <w:rPr>
                <w:rFonts w:ascii="Arial Narrow" w:hAnsi="Arial Narrow"/>
                <w:szCs w:val="20"/>
              </w:rPr>
              <w:t>3,276</w:t>
            </w:r>
          </w:p>
        </w:tc>
      </w:tr>
      <w:tr w:rsidR="00E86334" w:rsidRPr="00B37F3E" w14:paraId="623661DF"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42209FED" w14:textId="77777777" w:rsidR="00E86334" w:rsidRPr="00B37F3E" w:rsidRDefault="00E86334" w:rsidP="00E86334">
            <w:pPr>
              <w:spacing w:line="240" w:lineRule="auto"/>
              <w:rPr>
                <w:rFonts w:ascii="Arial Narrow" w:hAnsi="Arial Narrow"/>
                <w:b/>
                <w:bCs/>
                <w:szCs w:val="20"/>
              </w:rPr>
            </w:pPr>
            <w:r w:rsidRPr="00B37F3E">
              <w:rPr>
                <w:rFonts w:ascii="Arial Narrow" w:hAnsi="Arial Narrow"/>
                <w:b/>
                <w:bCs/>
                <w:szCs w:val="20"/>
              </w:rPr>
              <w:t>2020</w:t>
            </w:r>
            <w:r w:rsidR="000D7073" w:rsidRPr="00B37F3E">
              <w:rPr>
                <w:rFonts w:ascii="Arial Narrow" w:hAnsi="Arial Narrow"/>
                <w:b/>
                <w:bCs/>
                <w:szCs w:val="20"/>
              </w:rPr>
              <w:t xml:space="preserve"> -2030*</w:t>
            </w:r>
          </w:p>
        </w:tc>
        <w:tc>
          <w:tcPr>
            <w:tcW w:w="0" w:type="dxa"/>
            <w:noWrap/>
          </w:tcPr>
          <w:p w14:paraId="78A415B2"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B37F3E">
              <w:rPr>
                <w:rFonts w:ascii="Arial Narrow" w:hAnsi="Arial Narrow"/>
                <w:szCs w:val="20"/>
              </w:rPr>
              <w:t>59,653</w:t>
            </w:r>
          </w:p>
        </w:tc>
        <w:tc>
          <w:tcPr>
            <w:tcW w:w="0" w:type="dxa"/>
            <w:noWrap/>
          </w:tcPr>
          <w:p w14:paraId="49E13C42"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B37F3E">
              <w:rPr>
                <w:rFonts w:ascii="Arial Narrow" w:hAnsi="Arial Narrow"/>
                <w:szCs w:val="20"/>
              </w:rPr>
              <w:t>16,122</w:t>
            </w:r>
          </w:p>
        </w:tc>
        <w:tc>
          <w:tcPr>
            <w:tcW w:w="0" w:type="dxa"/>
            <w:noWrap/>
          </w:tcPr>
          <w:p w14:paraId="60D18DB6" w14:textId="77777777" w:rsidR="00E86334" w:rsidRPr="00B37F3E" w:rsidRDefault="00E86334" w:rsidP="00E8633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B37F3E">
              <w:rPr>
                <w:rFonts w:ascii="Arial Narrow" w:hAnsi="Arial Narrow"/>
                <w:szCs w:val="20"/>
              </w:rPr>
              <w:t>4,837</w:t>
            </w:r>
          </w:p>
        </w:tc>
      </w:tr>
    </w:tbl>
    <w:p w14:paraId="5B559149" w14:textId="77777777" w:rsidR="000D7073" w:rsidRDefault="000D7073" w:rsidP="000D7073">
      <w:pPr>
        <w:spacing w:line="240" w:lineRule="auto"/>
        <w:jc w:val="center"/>
      </w:pPr>
      <w:r>
        <w:t>*Annual treatment</w:t>
      </w:r>
    </w:p>
    <w:p w14:paraId="7CB37F39" w14:textId="77777777" w:rsidR="00E86334" w:rsidRDefault="00E86334" w:rsidP="00E86334"/>
    <w:p w14:paraId="0D24A885" w14:textId="77777777" w:rsidR="000D7073" w:rsidRPr="00E86334" w:rsidRDefault="000D7073" w:rsidP="00E86334"/>
    <w:p w14:paraId="52619EB4" w14:textId="77777777" w:rsidR="00E86334" w:rsidRDefault="00BB59F5" w:rsidP="00E86334">
      <w:pPr>
        <w:pStyle w:val="Caption"/>
      </w:pPr>
      <w:bookmarkStart w:id="1173" w:name="_Toc484436984"/>
      <w:bookmarkStart w:id="1174" w:name="_Toc490226049"/>
      <w:r w:rsidRPr="00122CD3">
        <w:t xml:space="preserve">Table </w:t>
      </w:r>
      <w:fldSimple w:instr=" STYLEREF 5 \s ">
        <w:r w:rsidR="007566B9">
          <w:rPr>
            <w:noProof/>
          </w:rPr>
          <w:t>G</w:t>
        </w:r>
      </w:fldSimple>
      <w:r w:rsidRPr="00323BFA">
        <w:noBreakHyphen/>
      </w:r>
      <w:fldSimple w:instr=" SEQ Table_Apx \* ARABIC \s 5 ">
        <w:r w:rsidR="007566B9">
          <w:rPr>
            <w:noProof/>
          </w:rPr>
          <w:t>2</w:t>
        </w:r>
      </w:fldSimple>
      <w:r w:rsidRPr="006F2DA9">
        <w:t xml:space="preserve">. </w:t>
      </w:r>
      <w:r w:rsidR="00E86334">
        <w:t>PG&amp;E UES</w:t>
      </w:r>
      <w:bookmarkEnd w:id="1173"/>
      <w:bookmarkEnd w:id="1174"/>
    </w:p>
    <w:tbl>
      <w:tblPr>
        <w:tblStyle w:val="EnergyTable1"/>
        <w:tblW w:w="9150" w:type="dxa"/>
        <w:tblLayout w:type="fixed"/>
        <w:tblLook w:val="04A0" w:firstRow="1" w:lastRow="0" w:firstColumn="1" w:lastColumn="0" w:noHBand="0" w:noVBand="1"/>
      </w:tblPr>
      <w:tblGrid>
        <w:gridCol w:w="1440"/>
        <w:gridCol w:w="1047"/>
        <w:gridCol w:w="720"/>
        <w:gridCol w:w="925"/>
        <w:gridCol w:w="918"/>
        <w:gridCol w:w="677"/>
        <w:gridCol w:w="918"/>
        <w:gridCol w:w="918"/>
        <w:gridCol w:w="684"/>
        <w:gridCol w:w="903"/>
      </w:tblGrid>
      <w:tr w:rsidR="000D7073" w:rsidRPr="00B37F3E" w14:paraId="72528BC8" w14:textId="77777777" w:rsidTr="00AF21BE">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06123590" w14:textId="77777777" w:rsidR="000D7073" w:rsidRPr="000D7073" w:rsidRDefault="000D7073" w:rsidP="000D7073">
            <w:pPr>
              <w:spacing w:line="240" w:lineRule="auto"/>
              <w:rPr>
                <w:rFonts w:ascii="Arial Narrow" w:hAnsi="Arial Narrow"/>
                <w:szCs w:val="20"/>
              </w:rPr>
            </w:pPr>
          </w:p>
        </w:tc>
        <w:tc>
          <w:tcPr>
            <w:tcW w:w="0" w:type="dxa"/>
            <w:gridSpan w:val="3"/>
            <w:noWrap/>
            <w:hideMark/>
          </w:tcPr>
          <w:p w14:paraId="039D8472" w14:textId="77777777" w:rsidR="000D7073" w:rsidRPr="000D7073" w:rsidRDefault="000D7073" w:rsidP="000D707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 xml:space="preserve"> Single Family </w:t>
            </w:r>
          </w:p>
        </w:tc>
        <w:tc>
          <w:tcPr>
            <w:tcW w:w="0" w:type="dxa"/>
            <w:gridSpan w:val="3"/>
            <w:noWrap/>
            <w:hideMark/>
          </w:tcPr>
          <w:p w14:paraId="4CEEC68E" w14:textId="77777777" w:rsidR="000D7073" w:rsidRPr="000D7073" w:rsidRDefault="000D7073" w:rsidP="000D707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Multifamily</w:t>
            </w:r>
          </w:p>
        </w:tc>
        <w:tc>
          <w:tcPr>
            <w:tcW w:w="0" w:type="dxa"/>
            <w:gridSpan w:val="3"/>
            <w:noWrap/>
            <w:hideMark/>
          </w:tcPr>
          <w:p w14:paraId="7F4417D0" w14:textId="77777777" w:rsidR="000D7073" w:rsidRPr="000D7073" w:rsidRDefault="000D7073" w:rsidP="000D707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 xml:space="preserve"> Mobile Home</w:t>
            </w:r>
          </w:p>
        </w:tc>
      </w:tr>
      <w:tr w:rsidR="000D7073" w:rsidRPr="00B37F3E" w14:paraId="0984206D"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63C9765C" w14:textId="77777777" w:rsidR="000D7073" w:rsidRPr="000D7073" w:rsidRDefault="000D7073" w:rsidP="000D7073">
            <w:pPr>
              <w:spacing w:line="240" w:lineRule="auto"/>
              <w:rPr>
                <w:rFonts w:ascii="Arial Narrow" w:hAnsi="Arial Narrow"/>
                <w:b/>
                <w:bCs/>
                <w:szCs w:val="20"/>
              </w:rPr>
            </w:pPr>
            <w:r w:rsidRPr="000D7073">
              <w:rPr>
                <w:rFonts w:ascii="Arial Narrow" w:hAnsi="Arial Narrow"/>
                <w:b/>
                <w:bCs/>
                <w:szCs w:val="20"/>
              </w:rPr>
              <w:t> </w:t>
            </w:r>
          </w:p>
        </w:tc>
        <w:tc>
          <w:tcPr>
            <w:tcW w:w="0" w:type="dxa"/>
            <w:noWrap/>
            <w:hideMark/>
          </w:tcPr>
          <w:p w14:paraId="42CE8741"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0" w:type="dxa"/>
            <w:noWrap/>
            <w:hideMark/>
          </w:tcPr>
          <w:p w14:paraId="0827AEAB"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0" w:type="dxa"/>
            <w:noWrap/>
            <w:hideMark/>
          </w:tcPr>
          <w:p w14:paraId="756498BB"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c>
          <w:tcPr>
            <w:tcW w:w="0" w:type="dxa"/>
            <w:noWrap/>
            <w:hideMark/>
          </w:tcPr>
          <w:p w14:paraId="2F442A22"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0" w:type="dxa"/>
            <w:noWrap/>
            <w:hideMark/>
          </w:tcPr>
          <w:p w14:paraId="651118EA"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0" w:type="dxa"/>
            <w:noWrap/>
            <w:hideMark/>
          </w:tcPr>
          <w:p w14:paraId="5BF5BC8C"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c>
          <w:tcPr>
            <w:tcW w:w="0" w:type="dxa"/>
            <w:noWrap/>
            <w:hideMark/>
          </w:tcPr>
          <w:p w14:paraId="7D4F2424"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0" w:type="dxa"/>
            <w:noWrap/>
            <w:hideMark/>
          </w:tcPr>
          <w:p w14:paraId="602A7EC0"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0" w:type="dxa"/>
            <w:noWrap/>
            <w:hideMark/>
          </w:tcPr>
          <w:p w14:paraId="594D6763"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r>
      <w:tr w:rsidR="000D7073" w:rsidRPr="000D7073" w14:paraId="2AAAB46B" w14:textId="77777777" w:rsidTr="00AF21BE">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gridSpan w:val="10"/>
            <w:shd w:val="clear" w:color="auto" w:fill="F2F2F2" w:themeFill="background2"/>
            <w:noWrap/>
            <w:hideMark/>
          </w:tcPr>
          <w:p w14:paraId="2CDCB8CF" w14:textId="77777777" w:rsidR="000D7073" w:rsidRPr="000D7073" w:rsidRDefault="000D7073" w:rsidP="000D7073">
            <w:pPr>
              <w:spacing w:line="240" w:lineRule="auto"/>
              <w:rPr>
                <w:rFonts w:ascii="Arial Narrow" w:hAnsi="Arial Narrow"/>
                <w:b/>
                <w:bCs/>
                <w:szCs w:val="20"/>
              </w:rPr>
            </w:pPr>
            <w:r w:rsidRPr="000D7073">
              <w:rPr>
                <w:rFonts w:ascii="Arial Narrow" w:hAnsi="Arial Narrow"/>
                <w:b/>
                <w:bCs/>
                <w:szCs w:val="20"/>
              </w:rPr>
              <w:t>First Time Treatment</w:t>
            </w:r>
          </w:p>
        </w:tc>
      </w:tr>
      <w:tr w:rsidR="000D7073" w:rsidRPr="00B37F3E" w14:paraId="5FD8D398"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71D830D4" w14:textId="77777777" w:rsidR="000D7073" w:rsidRPr="000D7073" w:rsidRDefault="000D7073" w:rsidP="000D7073">
            <w:pPr>
              <w:spacing w:line="240" w:lineRule="auto"/>
              <w:rPr>
                <w:rFonts w:ascii="Arial Narrow" w:hAnsi="Arial Narrow"/>
                <w:b/>
                <w:bCs/>
                <w:szCs w:val="20"/>
              </w:rPr>
            </w:pPr>
            <w:r w:rsidRPr="000D7073">
              <w:rPr>
                <w:rFonts w:ascii="Arial Narrow" w:hAnsi="Arial Narrow"/>
                <w:b/>
                <w:bCs/>
                <w:szCs w:val="20"/>
              </w:rPr>
              <w:t>2017</w:t>
            </w:r>
          </w:p>
        </w:tc>
        <w:tc>
          <w:tcPr>
            <w:tcW w:w="0" w:type="dxa"/>
            <w:noWrap/>
            <w:hideMark/>
          </w:tcPr>
          <w:p w14:paraId="0DD62B8E"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0.0726</w:t>
            </w:r>
          </w:p>
        </w:tc>
        <w:tc>
          <w:tcPr>
            <w:tcW w:w="0" w:type="dxa"/>
            <w:noWrap/>
            <w:hideMark/>
          </w:tcPr>
          <w:p w14:paraId="6C51A7D9"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370</w:t>
            </w:r>
          </w:p>
        </w:tc>
        <w:tc>
          <w:tcPr>
            <w:tcW w:w="0" w:type="dxa"/>
            <w:noWrap/>
            <w:hideMark/>
          </w:tcPr>
          <w:p w14:paraId="13A111B1"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28.6</w:t>
            </w:r>
          </w:p>
        </w:tc>
        <w:tc>
          <w:tcPr>
            <w:tcW w:w="0" w:type="dxa"/>
            <w:noWrap/>
            <w:hideMark/>
          </w:tcPr>
          <w:p w14:paraId="25306F78"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0.0247</w:t>
            </w:r>
          </w:p>
        </w:tc>
        <w:tc>
          <w:tcPr>
            <w:tcW w:w="0" w:type="dxa"/>
            <w:noWrap/>
            <w:hideMark/>
          </w:tcPr>
          <w:p w14:paraId="4E3122F6"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230</w:t>
            </w:r>
          </w:p>
        </w:tc>
        <w:tc>
          <w:tcPr>
            <w:tcW w:w="0" w:type="dxa"/>
            <w:noWrap/>
            <w:hideMark/>
          </w:tcPr>
          <w:p w14:paraId="4E172570"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13.6</w:t>
            </w:r>
          </w:p>
        </w:tc>
        <w:tc>
          <w:tcPr>
            <w:tcW w:w="0" w:type="dxa"/>
            <w:noWrap/>
            <w:hideMark/>
          </w:tcPr>
          <w:p w14:paraId="69040D01"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0.0452</w:t>
            </w:r>
          </w:p>
        </w:tc>
        <w:tc>
          <w:tcPr>
            <w:tcW w:w="0" w:type="dxa"/>
            <w:noWrap/>
            <w:hideMark/>
          </w:tcPr>
          <w:p w14:paraId="5B73DEF7"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295</w:t>
            </w:r>
          </w:p>
        </w:tc>
        <w:tc>
          <w:tcPr>
            <w:tcW w:w="0" w:type="dxa"/>
            <w:noWrap/>
            <w:hideMark/>
          </w:tcPr>
          <w:p w14:paraId="073D9063"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22.2</w:t>
            </w:r>
          </w:p>
        </w:tc>
      </w:tr>
      <w:tr w:rsidR="002544A3" w:rsidRPr="00B37F3E" w14:paraId="4F6E4CEF" w14:textId="77777777" w:rsidTr="000D707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C3A5FD0" w14:textId="77777777" w:rsidR="000D7073" w:rsidRPr="000D7073" w:rsidRDefault="000D7073" w:rsidP="000D7073">
            <w:pPr>
              <w:spacing w:line="240" w:lineRule="auto"/>
              <w:rPr>
                <w:rFonts w:ascii="Arial Narrow" w:hAnsi="Arial Narrow"/>
                <w:b/>
                <w:bCs/>
                <w:szCs w:val="20"/>
              </w:rPr>
            </w:pPr>
            <w:r w:rsidRPr="000D7073">
              <w:rPr>
                <w:rFonts w:ascii="Arial Narrow" w:hAnsi="Arial Narrow"/>
                <w:b/>
                <w:bCs/>
                <w:szCs w:val="20"/>
              </w:rPr>
              <w:t>2018</w:t>
            </w:r>
          </w:p>
        </w:tc>
        <w:tc>
          <w:tcPr>
            <w:tcW w:w="1047" w:type="dxa"/>
            <w:noWrap/>
            <w:hideMark/>
          </w:tcPr>
          <w:p w14:paraId="067A7021"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0.0726</w:t>
            </w:r>
          </w:p>
        </w:tc>
        <w:tc>
          <w:tcPr>
            <w:tcW w:w="720" w:type="dxa"/>
            <w:noWrap/>
            <w:hideMark/>
          </w:tcPr>
          <w:p w14:paraId="222C52FE"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370</w:t>
            </w:r>
          </w:p>
        </w:tc>
        <w:tc>
          <w:tcPr>
            <w:tcW w:w="925" w:type="dxa"/>
            <w:noWrap/>
            <w:hideMark/>
          </w:tcPr>
          <w:p w14:paraId="1978AC2C"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28.6</w:t>
            </w:r>
          </w:p>
        </w:tc>
        <w:tc>
          <w:tcPr>
            <w:tcW w:w="918" w:type="dxa"/>
            <w:noWrap/>
            <w:hideMark/>
          </w:tcPr>
          <w:p w14:paraId="4571DBEA"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0.0247</w:t>
            </w:r>
          </w:p>
        </w:tc>
        <w:tc>
          <w:tcPr>
            <w:tcW w:w="677" w:type="dxa"/>
            <w:noWrap/>
            <w:hideMark/>
          </w:tcPr>
          <w:p w14:paraId="3C0E883C"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230</w:t>
            </w:r>
          </w:p>
        </w:tc>
        <w:tc>
          <w:tcPr>
            <w:tcW w:w="918" w:type="dxa"/>
            <w:noWrap/>
            <w:hideMark/>
          </w:tcPr>
          <w:p w14:paraId="148D32AD"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13.6</w:t>
            </w:r>
          </w:p>
        </w:tc>
        <w:tc>
          <w:tcPr>
            <w:tcW w:w="918" w:type="dxa"/>
            <w:noWrap/>
            <w:hideMark/>
          </w:tcPr>
          <w:p w14:paraId="07DDD844"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0.0452</w:t>
            </w:r>
          </w:p>
        </w:tc>
        <w:tc>
          <w:tcPr>
            <w:tcW w:w="684" w:type="dxa"/>
            <w:noWrap/>
            <w:hideMark/>
          </w:tcPr>
          <w:p w14:paraId="64BE4BC5"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295</w:t>
            </w:r>
          </w:p>
        </w:tc>
        <w:tc>
          <w:tcPr>
            <w:tcW w:w="903" w:type="dxa"/>
            <w:noWrap/>
            <w:hideMark/>
          </w:tcPr>
          <w:p w14:paraId="736D9EB4"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22.2</w:t>
            </w:r>
          </w:p>
        </w:tc>
      </w:tr>
      <w:tr w:rsidR="000D7073" w:rsidRPr="00B37F3E" w14:paraId="10880951"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558A5C3E" w14:textId="77777777" w:rsidR="000D7073" w:rsidRPr="000D7073" w:rsidRDefault="000D7073" w:rsidP="000D7073">
            <w:pPr>
              <w:spacing w:line="240" w:lineRule="auto"/>
              <w:rPr>
                <w:rFonts w:ascii="Arial Narrow" w:hAnsi="Arial Narrow"/>
                <w:b/>
                <w:bCs/>
                <w:szCs w:val="20"/>
              </w:rPr>
            </w:pPr>
            <w:r w:rsidRPr="000D7073">
              <w:rPr>
                <w:rFonts w:ascii="Arial Narrow" w:hAnsi="Arial Narrow"/>
                <w:b/>
                <w:bCs/>
                <w:szCs w:val="20"/>
              </w:rPr>
              <w:t>2019</w:t>
            </w:r>
          </w:p>
        </w:tc>
        <w:tc>
          <w:tcPr>
            <w:tcW w:w="0" w:type="dxa"/>
            <w:noWrap/>
            <w:hideMark/>
          </w:tcPr>
          <w:p w14:paraId="3801942F"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0.0726</w:t>
            </w:r>
          </w:p>
        </w:tc>
        <w:tc>
          <w:tcPr>
            <w:tcW w:w="0" w:type="dxa"/>
            <w:noWrap/>
            <w:hideMark/>
          </w:tcPr>
          <w:p w14:paraId="2F9EAADD"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370</w:t>
            </w:r>
          </w:p>
        </w:tc>
        <w:tc>
          <w:tcPr>
            <w:tcW w:w="0" w:type="dxa"/>
            <w:noWrap/>
            <w:hideMark/>
          </w:tcPr>
          <w:p w14:paraId="750DA750"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28.6</w:t>
            </w:r>
          </w:p>
        </w:tc>
        <w:tc>
          <w:tcPr>
            <w:tcW w:w="0" w:type="dxa"/>
            <w:noWrap/>
            <w:hideMark/>
          </w:tcPr>
          <w:p w14:paraId="27D8AFC2"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0.0247</w:t>
            </w:r>
          </w:p>
        </w:tc>
        <w:tc>
          <w:tcPr>
            <w:tcW w:w="0" w:type="dxa"/>
            <w:noWrap/>
            <w:hideMark/>
          </w:tcPr>
          <w:p w14:paraId="3EDB7D85"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230</w:t>
            </w:r>
          </w:p>
        </w:tc>
        <w:tc>
          <w:tcPr>
            <w:tcW w:w="0" w:type="dxa"/>
            <w:noWrap/>
            <w:hideMark/>
          </w:tcPr>
          <w:p w14:paraId="056B1B35"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13.6</w:t>
            </w:r>
          </w:p>
        </w:tc>
        <w:tc>
          <w:tcPr>
            <w:tcW w:w="0" w:type="dxa"/>
            <w:noWrap/>
            <w:hideMark/>
          </w:tcPr>
          <w:p w14:paraId="78FF6318"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0.0452</w:t>
            </w:r>
          </w:p>
        </w:tc>
        <w:tc>
          <w:tcPr>
            <w:tcW w:w="0" w:type="dxa"/>
            <w:noWrap/>
            <w:hideMark/>
          </w:tcPr>
          <w:p w14:paraId="78897B50"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295</w:t>
            </w:r>
          </w:p>
        </w:tc>
        <w:tc>
          <w:tcPr>
            <w:tcW w:w="0" w:type="dxa"/>
            <w:noWrap/>
            <w:hideMark/>
          </w:tcPr>
          <w:p w14:paraId="4D4CA5F8"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22.2</w:t>
            </w:r>
          </w:p>
        </w:tc>
      </w:tr>
      <w:tr w:rsidR="002544A3" w:rsidRPr="00B37F3E" w14:paraId="29AD2D59" w14:textId="77777777" w:rsidTr="000D707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DDA2352" w14:textId="77777777" w:rsidR="000D7073" w:rsidRPr="000D7073" w:rsidRDefault="006D01BF" w:rsidP="000D7073">
            <w:pPr>
              <w:spacing w:line="240" w:lineRule="auto"/>
              <w:rPr>
                <w:rFonts w:ascii="Arial Narrow" w:hAnsi="Arial Narrow"/>
                <w:b/>
                <w:bCs/>
                <w:szCs w:val="20"/>
              </w:rPr>
            </w:pPr>
            <w:r>
              <w:rPr>
                <w:rFonts w:ascii="Arial Narrow" w:hAnsi="Arial Narrow"/>
                <w:b/>
                <w:bCs/>
                <w:szCs w:val="20"/>
              </w:rPr>
              <w:t>2020</w:t>
            </w:r>
          </w:p>
        </w:tc>
        <w:tc>
          <w:tcPr>
            <w:tcW w:w="1047" w:type="dxa"/>
            <w:noWrap/>
            <w:hideMark/>
          </w:tcPr>
          <w:p w14:paraId="4489D1C9"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0.0726</w:t>
            </w:r>
          </w:p>
        </w:tc>
        <w:tc>
          <w:tcPr>
            <w:tcW w:w="720" w:type="dxa"/>
            <w:noWrap/>
            <w:hideMark/>
          </w:tcPr>
          <w:p w14:paraId="7641F36B"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370</w:t>
            </w:r>
          </w:p>
        </w:tc>
        <w:tc>
          <w:tcPr>
            <w:tcW w:w="925" w:type="dxa"/>
            <w:noWrap/>
            <w:hideMark/>
          </w:tcPr>
          <w:p w14:paraId="5B24432F"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28.6</w:t>
            </w:r>
          </w:p>
        </w:tc>
        <w:tc>
          <w:tcPr>
            <w:tcW w:w="918" w:type="dxa"/>
            <w:noWrap/>
            <w:hideMark/>
          </w:tcPr>
          <w:p w14:paraId="193250E5"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0.0247</w:t>
            </w:r>
          </w:p>
        </w:tc>
        <w:tc>
          <w:tcPr>
            <w:tcW w:w="677" w:type="dxa"/>
            <w:noWrap/>
            <w:hideMark/>
          </w:tcPr>
          <w:p w14:paraId="3A562D78"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230</w:t>
            </w:r>
          </w:p>
        </w:tc>
        <w:tc>
          <w:tcPr>
            <w:tcW w:w="918" w:type="dxa"/>
            <w:noWrap/>
            <w:hideMark/>
          </w:tcPr>
          <w:p w14:paraId="171B2AFD"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13.6</w:t>
            </w:r>
          </w:p>
        </w:tc>
        <w:tc>
          <w:tcPr>
            <w:tcW w:w="918" w:type="dxa"/>
            <w:noWrap/>
            <w:hideMark/>
          </w:tcPr>
          <w:p w14:paraId="084CEFF3"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0.0452</w:t>
            </w:r>
          </w:p>
        </w:tc>
        <w:tc>
          <w:tcPr>
            <w:tcW w:w="684" w:type="dxa"/>
            <w:noWrap/>
            <w:hideMark/>
          </w:tcPr>
          <w:p w14:paraId="0A9DEE0F"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295</w:t>
            </w:r>
          </w:p>
        </w:tc>
        <w:tc>
          <w:tcPr>
            <w:tcW w:w="903" w:type="dxa"/>
            <w:noWrap/>
            <w:hideMark/>
          </w:tcPr>
          <w:p w14:paraId="67C27270"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22.2</w:t>
            </w:r>
          </w:p>
        </w:tc>
      </w:tr>
      <w:tr w:rsidR="000D7073" w:rsidRPr="000D7073" w14:paraId="792539FA"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gridSpan w:val="10"/>
            <w:shd w:val="clear" w:color="auto" w:fill="F2F2F2" w:themeFill="background2"/>
            <w:noWrap/>
            <w:hideMark/>
          </w:tcPr>
          <w:p w14:paraId="73B17011" w14:textId="77777777" w:rsidR="000D7073" w:rsidRPr="000D7073" w:rsidRDefault="000D7073" w:rsidP="000D7073">
            <w:pPr>
              <w:spacing w:line="240" w:lineRule="auto"/>
              <w:rPr>
                <w:rFonts w:ascii="Arial Narrow" w:hAnsi="Arial Narrow"/>
                <w:b/>
                <w:bCs/>
                <w:szCs w:val="20"/>
              </w:rPr>
            </w:pPr>
            <w:r w:rsidRPr="000D7073">
              <w:rPr>
                <w:rFonts w:ascii="Arial Narrow" w:hAnsi="Arial Narrow"/>
                <w:b/>
                <w:bCs/>
                <w:szCs w:val="20"/>
              </w:rPr>
              <w:t>Retreatment</w:t>
            </w:r>
          </w:p>
        </w:tc>
      </w:tr>
      <w:tr w:rsidR="002544A3" w:rsidRPr="00B37F3E" w14:paraId="4260B72A" w14:textId="77777777" w:rsidTr="000D707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42E2B20" w14:textId="77777777" w:rsidR="000D7073" w:rsidRPr="000D7073" w:rsidRDefault="000D7073" w:rsidP="000D7073">
            <w:pPr>
              <w:spacing w:line="240" w:lineRule="auto"/>
              <w:rPr>
                <w:rFonts w:ascii="Arial Narrow" w:hAnsi="Arial Narrow"/>
                <w:b/>
                <w:bCs/>
                <w:szCs w:val="20"/>
              </w:rPr>
            </w:pPr>
            <w:r w:rsidRPr="000D7073">
              <w:rPr>
                <w:rFonts w:ascii="Arial Narrow" w:hAnsi="Arial Narrow"/>
                <w:b/>
                <w:bCs/>
                <w:szCs w:val="20"/>
              </w:rPr>
              <w:t>2017</w:t>
            </w:r>
          </w:p>
        </w:tc>
        <w:tc>
          <w:tcPr>
            <w:tcW w:w="1047" w:type="dxa"/>
            <w:noWrap/>
            <w:hideMark/>
          </w:tcPr>
          <w:p w14:paraId="1A39357B"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0.0581</w:t>
            </w:r>
          </w:p>
        </w:tc>
        <w:tc>
          <w:tcPr>
            <w:tcW w:w="720" w:type="dxa"/>
            <w:noWrap/>
            <w:hideMark/>
          </w:tcPr>
          <w:p w14:paraId="1FC574C5"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296</w:t>
            </w:r>
          </w:p>
        </w:tc>
        <w:tc>
          <w:tcPr>
            <w:tcW w:w="925" w:type="dxa"/>
            <w:noWrap/>
            <w:hideMark/>
          </w:tcPr>
          <w:p w14:paraId="751D6F2C"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22.9</w:t>
            </w:r>
          </w:p>
        </w:tc>
        <w:tc>
          <w:tcPr>
            <w:tcW w:w="918" w:type="dxa"/>
            <w:noWrap/>
            <w:hideMark/>
          </w:tcPr>
          <w:p w14:paraId="053EE160"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0.0198</w:t>
            </w:r>
          </w:p>
        </w:tc>
        <w:tc>
          <w:tcPr>
            <w:tcW w:w="677" w:type="dxa"/>
            <w:noWrap/>
            <w:hideMark/>
          </w:tcPr>
          <w:p w14:paraId="5858D30D"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184</w:t>
            </w:r>
          </w:p>
        </w:tc>
        <w:tc>
          <w:tcPr>
            <w:tcW w:w="918" w:type="dxa"/>
            <w:noWrap/>
            <w:hideMark/>
          </w:tcPr>
          <w:p w14:paraId="62A575E2"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10.9</w:t>
            </w:r>
          </w:p>
        </w:tc>
        <w:tc>
          <w:tcPr>
            <w:tcW w:w="918" w:type="dxa"/>
            <w:noWrap/>
            <w:hideMark/>
          </w:tcPr>
          <w:p w14:paraId="00A848FB"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0.0362</w:t>
            </w:r>
          </w:p>
        </w:tc>
        <w:tc>
          <w:tcPr>
            <w:tcW w:w="684" w:type="dxa"/>
            <w:noWrap/>
            <w:hideMark/>
          </w:tcPr>
          <w:p w14:paraId="53046B8C"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236</w:t>
            </w:r>
          </w:p>
        </w:tc>
        <w:tc>
          <w:tcPr>
            <w:tcW w:w="903" w:type="dxa"/>
            <w:noWrap/>
            <w:hideMark/>
          </w:tcPr>
          <w:p w14:paraId="6B9EB3B2"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17.8</w:t>
            </w:r>
          </w:p>
        </w:tc>
      </w:tr>
      <w:tr w:rsidR="000D7073" w:rsidRPr="00B37F3E" w14:paraId="6BE8E66F"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135F97B5" w14:textId="77777777" w:rsidR="000D7073" w:rsidRPr="000D7073" w:rsidRDefault="000D7073" w:rsidP="000D7073">
            <w:pPr>
              <w:spacing w:line="240" w:lineRule="auto"/>
              <w:rPr>
                <w:rFonts w:ascii="Arial Narrow" w:hAnsi="Arial Narrow"/>
                <w:b/>
                <w:bCs/>
                <w:szCs w:val="20"/>
              </w:rPr>
            </w:pPr>
            <w:r w:rsidRPr="000D7073">
              <w:rPr>
                <w:rFonts w:ascii="Arial Narrow" w:hAnsi="Arial Narrow"/>
                <w:b/>
                <w:bCs/>
                <w:szCs w:val="20"/>
              </w:rPr>
              <w:t>2018</w:t>
            </w:r>
          </w:p>
        </w:tc>
        <w:tc>
          <w:tcPr>
            <w:tcW w:w="0" w:type="dxa"/>
            <w:noWrap/>
            <w:hideMark/>
          </w:tcPr>
          <w:p w14:paraId="554BBF3D"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0.0581</w:t>
            </w:r>
          </w:p>
        </w:tc>
        <w:tc>
          <w:tcPr>
            <w:tcW w:w="0" w:type="dxa"/>
            <w:noWrap/>
            <w:hideMark/>
          </w:tcPr>
          <w:p w14:paraId="55F461BF"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296</w:t>
            </w:r>
          </w:p>
        </w:tc>
        <w:tc>
          <w:tcPr>
            <w:tcW w:w="0" w:type="dxa"/>
            <w:noWrap/>
            <w:hideMark/>
          </w:tcPr>
          <w:p w14:paraId="1B56CD62"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22.9</w:t>
            </w:r>
          </w:p>
        </w:tc>
        <w:tc>
          <w:tcPr>
            <w:tcW w:w="0" w:type="dxa"/>
            <w:noWrap/>
            <w:hideMark/>
          </w:tcPr>
          <w:p w14:paraId="6C11D8C7"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0.0198</w:t>
            </w:r>
          </w:p>
        </w:tc>
        <w:tc>
          <w:tcPr>
            <w:tcW w:w="0" w:type="dxa"/>
            <w:noWrap/>
            <w:hideMark/>
          </w:tcPr>
          <w:p w14:paraId="03B642A2"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184</w:t>
            </w:r>
          </w:p>
        </w:tc>
        <w:tc>
          <w:tcPr>
            <w:tcW w:w="0" w:type="dxa"/>
            <w:noWrap/>
            <w:hideMark/>
          </w:tcPr>
          <w:p w14:paraId="0226E98B"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10.9</w:t>
            </w:r>
          </w:p>
        </w:tc>
        <w:tc>
          <w:tcPr>
            <w:tcW w:w="0" w:type="dxa"/>
            <w:noWrap/>
            <w:hideMark/>
          </w:tcPr>
          <w:p w14:paraId="29DA1ED0"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0.0362</w:t>
            </w:r>
          </w:p>
        </w:tc>
        <w:tc>
          <w:tcPr>
            <w:tcW w:w="0" w:type="dxa"/>
            <w:noWrap/>
            <w:hideMark/>
          </w:tcPr>
          <w:p w14:paraId="2FDCD693"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236</w:t>
            </w:r>
          </w:p>
        </w:tc>
        <w:tc>
          <w:tcPr>
            <w:tcW w:w="0" w:type="dxa"/>
            <w:noWrap/>
            <w:hideMark/>
          </w:tcPr>
          <w:p w14:paraId="46209B0C"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17.8</w:t>
            </w:r>
          </w:p>
        </w:tc>
      </w:tr>
      <w:tr w:rsidR="002544A3" w:rsidRPr="00B37F3E" w14:paraId="4FD6ECB3" w14:textId="77777777" w:rsidTr="000D707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0DD30AD" w14:textId="77777777" w:rsidR="000D7073" w:rsidRPr="000D7073" w:rsidRDefault="000D7073" w:rsidP="000D7073">
            <w:pPr>
              <w:spacing w:line="240" w:lineRule="auto"/>
              <w:rPr>
                <w:rFonts w:ascii="Arial Narrow" w:hAnsi="Arial Narrow"/>
                <w:b/>
                <w:bCs/>
                <w:szCs w:val="20"/>
              </w:rPr>
            </w:pPr>
            <w:r w:rsidRPr="000D7073">
              <w:rPr>
                <w:rFonts w:ascii="Arial Narrow" w:hAnsi="Arial Narrow"/>
                <w:b/>
                <w:bCs/>
                <w:szCs w:val="20"/>
              </w:rPr>
              <w:t>2019</w:t>
            </w:r>
          </w:p>
        </w:tc>
        <w:tc>
          <w:tcPr>
            <w:tcW w:w="1047" w:type="dxa"/>
            <w:noWrap/>
            <w:hideMark/>
          </w:tcPr>
          <w:p w14:paraId="20A13C89"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0.0581</w:t>
            </w:r>
          </w:p>
        </w:tc>
        <w:tc>
          <w:tcPr>
            <w:tcW w:w="720" w:type="dxa"/>
            <w:noWrap/>
            <w:hideMark/>
          </w:tcPr>
          <w:p w14:paraId="649C0585"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296</w:t>
            </w:r>
          </w:p>
        </w:tc>
        <w:tc>
          <w:tcPr>
            <w:tcW w:w="925" w:type="dxa"/>
            <w:noWrap/>
            <w:hideMark/>
          </w:tcPr>
          <w:p w14:paraId="508CB088"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22.9</w:t>
            </w:r>
          </w:p>
        </w:tc>
        <w:tc>
          <w:tcPr>
            <w:tcW w:w="918" w:type="dxa"/>
            <w:noWrap/>
            <w:hideMark/>
          </w:tcPr>
          <w:p w14:paraId="405D3CDB"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0.0198</w:t>
            </w:r>
          </w:p>
        </w:tc>
        <w:tc>
          <w:tcPr>
            <w:tcW w:w="677" w:type="dxa"/>
            <w:noWrap/>
            <w:hideMark/>
          </w:tcPr>
          <w:p w14:paraId="53F4632B"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184</w:t>
            </w:r>
          </w:p>
        </w:tc>
        <w:tc>
          <w:tcPr>
            <w:tcW w:w="918" w:type="dxa"/>
            <w:noWrap/>
            <w:hideMark/>
          </w:tcPr>
          <w:p w14:paraId="618D38A5"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10.9</w:t>
            </w:r>
          </w:p>
        </w:tc>
        <w:tc>
          <w:tcPr>
            <w:tcW w:w="918" w:type="dxa"/>
            <w:noWrap/>
            <w:hideMark/>
          </w:tcPr>
          <w:p w14:paraId="01C2EB7C"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0.0362</w:t>
            </w:r>
          </w:p>
        </w:tc>
        <w:tc>
          <w:tcPr>
            <w:tcW w:w="684" w:type="dxa"/>
            <w:noWrap/>
            <w:hideMark/>
          </w:tcPr>
          <w:p w14:paraId="2DD0A9D9"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236</w:t>
            </w:r>
          </w:p>
        </w:tc>
        <w:tc>
          <w:tcPr>
            <w:tcW w:w="903" w:type="dxa"/>
            <w:noWrap/>
            <w:hideMark/>
          </w:tcPr>
          <w:p w14:paraId="3910AD58" w14:textId="77777777" w:rsidR="000D7073" w:rsidRPr="000D7073" w:rsidRDefault="000D7073" w:rsidP="000D7073">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D7073">
              <w:rPr>
                <w:rFonts w:ascii="Arial Narrow" w:hAnsi="Arial Narrow"/>
                <w:szCs w:val="20"/>
              </w:rPr>
              <w:t>17.8</w:t>
            </w:r>
          </w:p>
        </w:tc>
      </w:tr>
      <w:tr w:rsidR="000D7073" w:rsidRPr="00B37F3E" w14:paraId="7EB82952"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03435FCE" w14:textId="77777777" w:rsidR="000D7073" w:rsidRPr="000D7073" w:rsidRDefault="000D7073" w:rsidP="000D7073">
            <w:pPr>
              <w:spacing w:line="240" w:lineRule="auto"/>
              <w:rPr>
                <w:rFonts w:ascii="Arial Narrow" w:hAnsi="Arial Narrow"/>
                <w:b/>
                <w:bCs/>
                <w:szCs w:val="20"/>
              </w:rPr>
            </w:pPr>
            <w:r w:rsidRPr="000D7073">
              <w:rPr>
                <w:rFonts w:ascii="Arial Narrow" w:hAnsi="Arial Narrow"/>
                <w:b/>
                <w:bCs/>
                <w:szCs w:val="20"/>
              </w:rPr>
              <w:t>2020 - 2030</w:t>
            </w:r>
          </w:p>
        </w:tc>
        <w:tc>
          <w:tcPr>
            <w:tcW w:w="0" w:type="dxa"/>
            <w:noWrap/>
            <w:hideMark/>
          </w:tcPr>
          <w:p w14:paraId="4ABF0DF8"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0.0581</w:t>
            </w:r>
          </w:p>
        </w:tc>
        <w:tc>
          <w:tcPr>
            <w:tcW w:w="0" w:type="dxa"/>
            <w:noWrap/>
            <w:hideMark/>
          </w:tcPr>
          <w:p w14:paraId="1E87BC6A"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296</w:t>
            </w:r>
          </w:p>
        </w:tc>
        <w:tc>
          <w:tcPr>
            <w:tcW w:w="0" w:type="dxa"/>
            <w:noWrap/>
            <w:hideMark/>
          </w:tcPr>
          <w:p w14:paraId="5853E667"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22.9</w:t>
            </w:r>
          </w:p>
        </w:tc>
        <w:tc>
          <w:tcPr>
            <w:tcW w:w="0" w:type="dxa"/>
            <w:noWrap/>
            <w:hideMark/>
          </w:tcPr>
          <w:p w14:paraId="25BAEA97"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0.0198</w:t>
            </w:r>
          </w:p>
        </w:tc>
        <w:tc>
          <w:tcPr>
            <w:tcW w:w="0" w:type="dxa"/>
            <w:noWrap/>
            <w:hideMark/>
          </w:tcPr>
          <w:p w14:paraId="0EC66F49"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184</w:t>
            </w:r>
          </w:p>
        </w:tc>
        <w:tc>
          <w:tcPr>
            <w:tcW w:w="0" w:type="dxa"/>
            <w:noWrap/>
            <w:hideMark/>
          </w:tcPr>
          <w:p w14:paraId="6DA8017C"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10.9</w:t>
            </w:r>
          </w:p>
        </w:tc>
        <w:tc>
          <w:tcPr>
            <w:tcW w:w="0" w:type="dxa"/>
            <w:noWrap/>
            <w:hideMark/>
          </w:tcPr>
          <w:p w14:paraId="614DD434"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0.0362</w:t>
            </w:r>
          </w:p>
        </w:tc>
        <w:tc>
          <w:tcPr>
            <w:tcW w:w="0" w:type="dxa"/>
            <w:noWrap/>
            <w:hideMark/>
          </w:tcPr>
          <w:p w14:paraId="01D2A6EF"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236</w:t>
            </w:r>
          </w:p>
        </w:tc>
        <w:tc>
          <w:tcPr>
            <w:tcW w:w="0" w:type="dxa"/>
            <w:noWrap/>
            <w:hideMark/>
          </w:tcPr>
          <w:p w14:paraId="095AE2B7" w14:textId="77777777" w:rsidR="000D7073" w:rsidRPr="000D7073" w:rsidRDefault="000D7073" w:rsidP="000D707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D7073">
              <w:rPr>
                <w:rFonts w:ascii="Arial Narrow" w:hAnsi="Arial Narrow"/>
                <w:szCs w:val="20"/>
              </w:rPr>
              <w:t>17.8</w:t>
            </w:r>
          </w:p>
        </w:tc>
      </w:tr>
    </w:tbl>
    <w:p w14:paraId="7A163160" w14:textId="77777777" w:rsidR="00B37F3E" w:rsidRDefault="00B37F3E" w:rsidP="00B37F3E"/>
    <w:p w14:paraId="407137DF" w14:textId="77777777" w:rsidR="00B37F3E" w:rsidRDefault="00B37F3E">
      <w:pPr>
        <w:spacing w:line="240" w:lineRule="auto"/>
      </w:pPr>
      <w:r>
        <w:br w:type="page"/>
      </w:r>
    </w:p>
    <w:p w14:paraId="52793390" w14:textId="77777777" w:rsidR="000D7073" w:rsidRDefault="000D7073" w:rsidP="000D7073">
      <w:pPr>
        <w:pStyle w:val="Heading6"/>
      </w:pPr>
      <w:bookmarkStart w:id="1175" w:name="_Toc484092532"/>
      <w:bookmarkStart w:id="1176" w:name="_Toc484172737"/>
      <w:bookmarkStart w:id="1177" w:name="_Toc484183084"/>
      <w:bookmarkStart w:id="1178" w:name="_Toc490225850"/>
      <w:r>
        <w:lastRenderedPageBreak/>
        <w:t>SCE</w:t>
      </w:r>
      <w:bookmarkEnd w:id="1175"/>
      <w:bookmarkEnd w:id="1176"/>
      <w:bookmarkEnd w:id="1177"/>
      <w:bookmarkEnd w:id="1178"/>
    </w:p>
    <w:p w14:paraId="0EBBF514" w14:textId="77777777" w:rsidR="000D7073" w:rsidRDefault="00BB59F5" w:rsidP="000D7073">
      <w:pPr>
        <w:pStyle w:val="Caption"/>
      </w:pPr>
      <w:bookmarkStart w:id="1179" w:name="_Toc484436985"/>
      <w:bookmarkStart w:id="1180" w:name="_Toc490226050"/>
      <w:r w:rsidRPr="00122CD3">
        <w:t xml:space="preserve">Table </w:t>
      </w:r>
      <w:fldSimple w:instr=" STYLEREF 5 \s ">
        <w:r w:rsidR="007566B9">
          <w:rPr>
            <w:noProof/>
          </w:rPr>
          <w:t>G</w:t>
        </w:r>
      </w:fldSimple>
      <w:r w:rsidRPr="00323BFA">
        <w:noBreakHyphen/>
      </w:r>
      <w:fldSimple w:instr=" SEQ Table_Apx \* ARABIC \s 5 ">
        <w:r w:rsidR="007566B9">
          <w:rPr>
            <w:noProof/>
          </w:rPr>
          <w:t>3</w:t>
        </w:r>
      </w:fldSimple>
      <w:r w:rsidRPr="006F2DA9">
        <w:t xml:space="preserve">. </w:t>
      </w:r>
      <w:r w:rsidR="000D7073">
        <w:t>SCE Households Treated</w:t>
      </w:r>
      <w:bookmarkEnd w:id="1179"/>
      <w:bookmarkEnd w:id="1180"/>
    </w:p>
    <w:tbl>
      <w:tblPr>
        <w:tblStyle w:val="EnergyTable1"/>
        <w:tblW w:w="6198" w:type="dxa"/>
        <w:tblLook w:val="04A0" w:firstRow="1" w:lastRow="0" w:firstColumn="1" w:lastColumn="0" w:noHBand="0" w:noVBand="1"/>
      </w:tblPr>
      <w:tblGrid>
        <w:gridCol w:w="1253"/>
        <w:gridCol w:w="1430"/>
        <w:gridCol w:w="2085"/>
        <w:gridCol w:w="1430"/>
      </w:tblGrid>
      <w:tr w:rsidR="000D7073" w:rsidRPr="00B37F3E" w14:paraId="48824B34" w14:textId="77777777" w:rsidTr="00AF21B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BB5CAF8" w14:textId="77777777" w:rsidR="000D7073" w:rsidRPr="00B37F3E" w:rsidRDefault="000D7073" w:rsidP="007D30B3">
            <w:pPr>
              <w:spacing w:line="240" w:lineRule="auto"/>
              <w:rPr>
                <w:rFonts w:ascii="Arial Narrow" w:hAnsi="Arial Narrow"/>
                <w:bCs/>
                <w:szCs w:val="20"/>
              </w:rPr>
            </w:pPr>
          </w:p>
        </w:tc>
        <w:tc>
          <w:tcPr>
            <w:tcW w:w="0" w:type="dxa"/>
            <w:noWrap/>
            <w:hideMark/>
          </w:tcPr>
          <w:p w14:paraId="6838699A" w14:textId="77777777" w:rsidR="000D7073" w:rsidRPr="00B37F3E"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B37F3E">
              <w:rPr>
                <w:rFonts w:ascii="Arial Narrow" w:hAnsi="Arial Narrow"/>
                <w:szCs w:val="20"/>
              </w:rPr>
              <w:t xml:space="preserve"> Single Family </w:t>
            </w:r>
          </w:p>
        </w:tc>
        <w:tc>
          <w:tcPr>
            <w:tcW w:w="0" w:type="dxa"/>
            <w:noWrap/>
            <w:hideMark/>
          </w:tcPr>
          <w:p w14:paraId="57382D28" w14:textId="77777777" w:rsidR="000D7073" w:rsidRPr="00B37F3E"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B37F3E">
              <w:rPr>
                <w:rFonts w:ascii="Arial Narrow" w:hAnsi="Arial Narrow"/>
                <w:szCs w:val="20"/>
              </w:rPr>
              <w:t>Multifamily</w:t>
            </w:r>
          </w:p>
        </w:tc>
        <w:tc>
          <w:tcPr>
            <w:tcW w:w="0" w:type="dxa"/>
            <w:noWrap/>
            <w:hideMark/>
          </w:tcPr>
          <w:p w14:paraId="21294D2C" w14:textId="77777777" w:rsidR="000D7073" w:rsidRPr="00B37F3E"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B37F3E">
              <w:rPr>
                <w:rFonts w:ascii="Arial Narrow" w:hAnsi="Arial Narrow"/>
                <w:szCs w:val="20"/>
              </w:rPr>
              <w:t xml:space="preserve"> Mobile Home</w:t>
            </w:r>
          </w:p>
        </w:tc>
      </w:tr>
      <w:tr w:rsidR="000D7073" w:rsidRPr="00B37F3E" w14:paraId="1772A5AF"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gridSpan w:val="4"/>
            <w:shd w:val="clear" w:color="auto" w:fill="F2F2F2" w:themeFill="background2"/>
            <w:noWrap/>
          </w:tcPr>
          <w:p w14:paraId="498BE8E6" w14:textId="77777777" w:rsidR="000D7073" w:rsidRPr="00B37F3E" w:rsidRDefault="000D7073" w:rsidP="007D30B3">
            <w:pPr>
              <w:spacing w:line="240" w:lineRule="auto"/>
              <w:rPr>
                <w:rFonts w:ascii="Arial Narrow" w:hAnsi="Arial Narrow"/>
                <w:b/>
                <w:szCs w:val="20"/>
              </w:rPr>
            </w:pPr>
            <w:r w:rsidRPr="00B37F3E">
              <w:rPr>
                <w:rFonts w:ascii="Arial Narrow" w:hAnsi="Arial Narrow"/>
                <w:b/>
                <w:szCs w:val="20"/>
              </w:rPr>
              <w:t>First Time Treatment</w:t>
            </w:r>
          </w:p>
        </w:tc>
      </w:tr>
      <w:tr w:rsidR="00AE06FA" w:rsidRPr="00B37F3E" w14:paraId="0443002B"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44AF428" w14:textId="77777777" w:rsidR="00AE06FA" w:rsidRPr="00B37F3E" w:rsidRDefault="00AE06FA" w:rsidP="00AE06FA">
            <w:pPr>
              <w:spacing w:line="240" w:lineRule="auto"/>
              <w:rPr>
                <w:rFonts w:ascii="Arial Narrow" w:hAnsi="Arial Narrow"/>
                <w:b/>
                <w:bCs/>
                <w:szCs w:val="20"/>
              </w:rPr>
            </w:pPr>
            <w:r w:rsidRPr="00B37F3E">
              <w:rPr>
                <w:rFonts w:ascii="Arial Narrow" w:hAnsi="Arial Narrow"/>
                <w:b/>
                <w:bCs/>
                <w:szCs w:val="20"/>
              </w:rPr>
              <w:t>2017</w:t>
            </w:r>
          </w:p>
        </w:tc>
        <w:tc>
          <w:tcPr>
            <w:tcW w:w="0" w:type="dxa"/>
            <w:noWrap/>
            <w:vAlign w:val="bottom"/>
          </w:tcPr>
          <w:p w14:paraId="6A85643E"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25,069 </w:t>
            </w:r>
          </w:p>
        </w:tc>
        <w:tc>
          <w:tcPr>
            <w:tcW w:w="0" w:type="dxa"/>
            <w:noWrap/>
            <w:vAlign w:val="bottom"/>
          </w:tcPr>
          <w:p w14:paraId="1A6383D4"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7,504 </w:t>
            </w:r>
          </w:p>
        </w:tc>
        <w:tc>
          <w:tcPr>
            <w:tcW w:w="0" w:type="dxa"/>
            <w:noWrap/>
            <w:vAlign w:val="bottom"/>
          </w:tcPr>
          <w:p w14:paraId="76C525AB"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3,949 </w:t>
            </w:r>
          </w:p>
        </w:tc>
      </w:tr>
      <w:tr w:rsidR="00AE06FA" w:rsidRPr="00B37F3E" w14:paraId="335DC802"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96A2C98" w14:textId="77777777" w:rsidR="00AE06FA" w:rsidRPr="00B37F3E" w:rsidRDefault="00AE06FA" w:rsidP="00AE06FA">
            <w:pPr>
              <w:spacing w:line="240" w:lineRule="auto"/>
              <w:rPr>
                <w:rFonts w:ascii="Arial Narrow" w:hAnsi="Arial Narrow"/>
                <w:b/>
                <w:bCs/>
                <w:szCs w:val="20"/>
              </w:rPr>
            </w:pPr>
            <w:r w:rsidRPr="00B37F3E">
              <w:rPr>
                <w:rFonts w:ascii="Arial Narrow" w:hAnsi="Arial Narrow"/>
                <w:b/>
                <w:bCs/>
                <w:szCs w:val="20"/>
              </w:rPr>
              <w:t>2018</w:t>
            </w:r>
          </w:p>
        </w:tc>
        <w:tc>
          <w:tcPr>
            <w:tcW w:w="0" w:type="dxa"/>
            <w:noWrap/>
            <w:vAlign w:val="bottom"/>
          </w:tcPr>
          <w:p w14:paraId="193D74D3"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26,322 </w:t>
            </w:r>
          </w:p>
        </w:tc>
        <w:tc>
          <w:tcPr>
            <w:tcW w:w="0" w:type="dxa"/>
            <w:noWrap/>
            <w:vAlign w:val="bottom"/>
          </w:tcPr>
          <w:p w14:paraId="65B77F91"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7,879 </w:t>
            </w:r>
          </w:p>
        </w:tc>
        <w:tc>
          <w:tcPr>
            <w:tcW w:w="0" w:type="dxa"/>
            <w:noWrap/>
            <w:vAlign w:val="bottom"/>
          </w:tcPr>
          <w:p w14:paraId="4BA5D15D"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4,146 </w:t>
            </w:r>
          </w:p>
        </w:tc>
      </w:tr>
      <w:tr w:rsidR="00AE06FA" w:rsidRPr="00B37F3E" w14:paraId="1AA8296D"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FCECBCB" w14:textId="77777777" w:rsidR="00AE06FA" w:rsidRPr="00B37F3E" w:rsidRDefault="00AE06FA" w:rsidP="00AE06FA">
            <w:pPr>
              <w:spacing w:line="240" w:lineRule="auto"/>
              <w:rPr>
                <w:rFonts w:ascii="Arial Narrow" w:hAnsi="Arial Narrow"/>
                <w:b/>
                <w:bCs/>
                <w:szCs w:val="20"/>
              </w:rPr>
            </w:pPr>
            <w:r w:rsidRPr="00B37F3E">
              <w:rPr>
                <w:rFonts w:ascii="Arial Narrow" w:hAnsi="Arial Narrow"/>
                <w:b/>
                <w:bCs/>
                <w:szCs w:val="20"/>
              </w:rPr>
              <w:t>2019</w:t>
            </w:r>
          </w:p>
        </w:tc>
        <w:tc>
          <w:tcPr>
            <w:tcW w:w="0" w:type="dxa"/>
            <w:noWrap/>
            <w:vAlign w:val="bottom"/>
          </w:tcPr>
          <w:p w14:paraId="2B6D0722"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27,638 </w:t>
            </w:r>
          </w:p>
        </w:tc>
        <w:tc>
          <w:tcPr>
            <w:tcW w:w="0" w:type="dxa"/>
            <w:noWrap/>
            <w:vAlign w:val="bottom"/>
          </w:tcPr>
          <w:p w14:paraId="10B77BC5"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8,273 </w:t>
            </w:r>
          </w:p>
        </w:tc>
        <w:tc>
          <w:tcPr>
            <w:tcW w:w="0" w:type="dxa"/>
            <w:noWrap/>
            <w:vAlign w:val="bottom"/>
          </w:tcPr>
          <w:p w14:paraId="6A13F4ED"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4,353 </w:t>
            </w:r>
          </w:p>
        </w:tc>
      </w:tr>
      <w:tr w:rsidR="00AE06FA" w:rsidRPr="00B37F3E" w14:paraId="37F89BC2"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04A01B4" w14:textId="77777777" w:rsidR="00AE06FA" w:rsidRPr="00B37F3E" w:rsidRDefault="00AE06FA" w:rsidP="00AE06FA">
            <w:pPr>
              <w:spacing w:line="240" w:lineRule="auto"/>
              <w:rPr>
                <w:rFonts w:ascii="Arial Narrow" w:hAnsi="Arial Narrow"/>
                <w:b/>
                <w:bCs/>
                <w:szCs w:val="20"/>
              </w:rPr>
            </w:pPr>
            <w:r w:rsidRPr="00B37F3E">
              <w:rPr>
                <w:rFonts w:ascii="Arial Narrow" w:hAnsi="Arial Narrow"/>
                <w:b/>
                <w:bCs/>
                <w:szCs w:val="20"/>
              </w:rPr>
              <w:t>2020</w:t>
            </w:r>
          </w:p>
        </w:tc>
        <w:tc>
          <w:tcPr>
            <w:tcW w:w="0" w:type="dxa"/>
            <w:noWrap/>
            <w:vAlign w:val="bottom"/>
          </w:tcPr>
          <w:p w14:paraId="72303EB0"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29,020 </w:t>
            </w:r>
          </w:p>
        </w:tc>
        <w:tc>
          <w:tcPr>
            <w:tcW w:w="0" w:type="dxa"/>
            <w:noWrap/>
            <w:vAlign w:val="bottom"/>
          </w:tcPr>
          <w:p w14:paraId="3FE1E025"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8,686 </w:t>
            </w:r>
          </w:p>
        </w:tc>
        <w:tc>
          <w:tcPr>
            <w:tcW w:w="0" w:type="dxa"/>
            <w:noWrap/>
            <w:vAlign w:val="bottom"/>
          </w:tcPr>
          <w:p w14:paraId="5760CF2B"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4,571 </w:t>
            </w:r>
          </w:p>
        </w:tc>
      </w:tr>
      <w:tr w:rsidR="000D7073" w:rsidRPr="00B37F3E" w14:paraId="52E2B0C5"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gridSpan w:val="4"/>
            <w:shd w:val="clear" w:color="auto" w:fill="F2F2F2" w:themeFill="background2"/>
            <w:noWrap/>
          </w:tcPr>
          <w:p w14:paraId="577C33F9" w14:textId="77777777" w:rsidR="000D7073" w:rsidRPr="00AE06FA" w:rsidRDefault="000D7073" w:rsidP="007D30B3">
            <w:pPr>
              <w:spacing w:line="240" w:lineRule="auto"/>
              <w:rPr>
                <w:rFonts w:ascii="Arial Narrow" w:hAnsi="Arial Narrow"/>
                <w:b/>
                <w:szCs w:val="20"/>
              </w:rPr>
            </w:pPr>
            <w:r w:rsidRPr="00AE06FA">
              <w:rPr>
                <w:rFonts w:ascii="Arial Narrow" w:hAnsi="Arial Narrow"/>
                <w:b/>
                <w:szCs w:val="20"/>
              </w:rPr>
              <w:t>Retreatment</w:t>
            </w:r>
          </w:p>
        </w:tc>
      </w:tr>
      <w:tr w:rsidR="00AE06FA" w:rsidRPr="00B37F3E" w14:paraId="664A1404"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5DA4632F" w14:textId="77777777" w:rsidR="00AE06FA" w:rsidRPr="00B37F3E" w:rsidRDefault="00AE06FA" w:rsidP="00AE06FA">
            <w:pPr>
              <w:spacing w:line="240" w:lineRule="auto"/>
              <w:rPr>
                <w:rFonts w:ascii="Arial Narrow" w:hAnsi="Arial Narrow"/>
                <w:b/>
                <w:bCs/>
                <w:szCs w:val="20"/>
              </w:rPr>
            </w:pPr>
            <w:r w:rsidRPr="00B37F3E">
              <w:rPr>
                <w:rFonts w:ascii="Arial Narrow" w:hAnsi="Arial Narrow"/>
                <w:b/>
                <w:bCs/>
                <w:szCs w:val="20"/>
              </w:rPr>
              <w:t>2017</w:t>
            </w:r>
          </w:p>
        </w:tc>
        <w:tc>
          <w:tcPr>
            <w:tcW w:w="0" w:type="dxa"/>
            <w:noWrap/>
            <w:vAlign w:val="bottom"/>
          </w:tcPr>
          <w:p w14:paraId="067DF851"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12,347 </w:t>
            </w:r>
          </w:p>
        </w:tc>
        <w:tc>
          <w:tcPr>
            <w:tcW w:w="0" w:type="dxa"/>
            <w:noWrap/>
            <w:vAlign w:val="bottom"/>
          </w:tcPr>
          <w:p w14:paraId="29ABE0AB"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3,696 </w:t>
            </w:r>
          </w:p>
        </w:tc>
        <w:tc>
          <w:tcPr>
            <w:tcW w:w="0" w:type="dxa"/>
            <w:noWrap/>
            <w:vAlign w:val="bottom"/>
          </w:tcPr>
          <w:p w14:paraId="41D6BE29"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1,945 </w:t>
            </w:r>
          </w:p>
        </w:tc>
      </w:tr>
      <w:tr w:rsidR="00AE06FA" w:rsidRPr="00B37F3E" w14:paraId="10A1B7F8"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42EED796" w14:textId="77777777" w:rsidR="00AE06FA" w:rsidRPr="00B37F3E" w:rsidRDefault="00AE06FA" w:rsidP="00AE06FA">
            <w:pPr>
              <w:spacing w:line="240" w:lineRule="auto"/>
              <w:rPr>
                <w:rFonts w:ascii="Arial Narrow" w:hAnsi="Arial Narrow"/>
                <w:b/>
                <w:bCs/>
                <w:szCs w:val="20"/>
              </w:rPr>
            </w:pPr>
            <w:r w:rsidRPr="00B37F3E">
              <w:rPr>
                <w:rFonts w:ascii="Arial Narrow" w:hAnsi="Arial Narrow"/>
                <w:b/>
                <w:bCs/>
                <w:szCs w:val="20"/>
              </w:rPr>
              <w:t>2018</w:t>
            </w:r>
          </w:p>
        </w:tc>
        <w:tc>
          <w:tcPr>
            <w:tcW w:w="0" w:type="dxa"/>
            <w:noWrap/>
            <w:vAlign w:val="bottom"/>
          </w:tcPr>
          <w:p w14:paraId="5FD1722D"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12,965 </w:t>
            </w:r>
          </w:p>
        </w:tc>
        <w:tc>
          <w:tcPr>
            <w:tcW w:w="0" w:type="dxa"/>
            <w:noWrap/>
            <w:vAlign w:val="bottom"/>
          </w:tcPr>
          <w:p w14:paraId="01161CA4"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3,881 </w:t>
            </w:r>
          </w:p>
        </w:tc>
        <w:tc>
          <w:tcPr>
            <w:tcW w:w="0" w:type="dxa"/>
            <w:noWrap/>
            <w:vAlign w:val="bottom"/>
          </w:tcPr>
          <w:p w14:paraId="48556F75"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2,042 </w:t>
            </w:r>
          </w:p>
        </w:tc>
      </w:tr>
      <w:tr w:rsidR="00AE06FA" w:rsidRPr="00B37F3E" w14:paraId="7A2954BA"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271B6994" w14:textId="77777777" w:rsidR="00AE06FA" w:rsidRPr="00B37F3E" w:rsidRDefault="00AE06FA" w:rsidP="00AE06FA">
            <w:pPr>
              <w:spacing w:line="240" w:lineRule="auto"/>
              <w:rPr>
                <w:rFonts w:ascii="Arial Narrow" w:hAnsi="Arial Narrow"/>
                <w:b/>
                <w:bCs/>
                <w:szCs w:val="20"/>
              </w:rPr>
            </w:pPr>
            <w:r w:rsidRPr="00B37F3E">
              <w:rPr>
                <w:rFonts w:ascii="Arial Narrow" w:hAnsi="Arial Narrow"/>
                <w:b/>
                <w:bCs/>
                <w:szCs w:val="20"/>
              </w:rPr>
              <w:t>2019</w:t>
            </w:r>
          </w:p>
        </w:tc>
        <w:tc>
          <w:tcPr>
            <w:tcW w:w="0" w:type="dxa"/>
            <w:noWrap/>
            <w:vAlign w:val="bottom"/>
          </w:tcPr>
          <w:p w14:paraId="61AE2D5A"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13,613 </w:t>
            </w:r>
          </w:p>
        </w:tc>
        <w:tc>
          <w:tcPr>
            <w:tcW w:w="0" w:type="dxa"/>
            <w:noWrap/>
            <w:vAlign w:val="bottom"/>
          </w:tcPr>
          <w:p w14:paraId="720EC6AF"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4,075 </w:t>
            </w:r>
          </w:p>
        </w:tc>
        <w:tc>
          <w:tcPr>
            <w:tcW w:w="0" w:type="dxa"/>
            <w:noWrap/>
            <w:vAlign w:val="bottom"/>
          </w:tcPr>
          <w:p w14:paraId="3BE9247B"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2,144 </w:t>
            </w:r>
          </w:p>
        </w:tc>
      </w:tr>
      <w:tr w:rsidR="00AE06FA" w:rsidRPr="00B37F3E" w14:paraId="5BBA7732"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1EA45FCE" w14:textId="77777777" w:rsidR="00AE06FA" w:rsidRPr="00B37F3E" w:rsidRDefault="00AE06FA" w:rsidP="00AE06FA">
            <w:pPr>
              <w:spacing w:line="240" w:lineRule="auto"/>
              <w:rPr>
                <w:rFonts w:ascii="Arial Narrow" w:hAnsi="Arial Narrow"/>
                <w:b/>
                <w:bCs/>
                <w:szCs w:val="20"/>
              </w:rPr>
            </w:pPr>
            <w:r w:rsidRPr="00B37F3E">
              <w:rPr>
                <w:rFonts w:ascii="Arial Narrow" w:hAnsi="Arial Narrow"/>
                <w:b/>
                <w:bCs/>
                <w:szCs w:val="20"/>
              </w:rPr>
              <w:t>2020 -2030*</w:t>
            </w:r>
          </w:p>
        </w:tc>
        <w:tc>
          <w:tcPr>
            <w:tcW w:w="0" w:type="dxa"/>
            <w:noWrap/>
            <w:vAlign w:val="bottom"/>
          </w:tcPr>
          <w:p w14:paraId="22FC1B9C"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14,294 </w:t>
            </w:r>
          </w:p>
        </w:tc>
        <w:tc>
          <w:tcPr>
            <w:tcW w:w="0" w:type="dxa"/>
            <w:noWrap/>
            <w:vAlign w:val="bottom"/>
          </w:tcPr>
          <w:p w14:paraId="3CBBE4DF"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4,278 </w:t>
            </w:r>
          </w:p>
        </w:tc>
        <w:tc>
          <w:tcPr>
            <w:tcW w:w="0" w:type="dxa"/>
            <w:noWrap/>
            <w:vAlign w:val="bottom"/>
          </w:tcPr>
          <w:p w14:paraId="0F481781"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2,251 </w:t>
            </w:r>
          </w:p>
        </w:tc>
      </w:tr>
    </w:tbl>
    <w:p w14:paraId="1B7B9002" w14:textId="77777777" w:rsidR="000D7073" w:rsidRDefault="000D7073" w:rsidP="000D7073">
      <w:pPr>
        <w:spacing w:line="240" w:lineRule="auto"/>
        <w:jc w:val="center"/>
      </w:pPr>
      <w:r>
        <w:t>*Annual treatment</w:t>
      </w:r>
    </w:p>
    <w:p w14:paraId="6E506435" w14:textId="77777777" w:rsidR="000D7073" w:rsidRDefault="000D7073" w:rsidP="000D7073"/>
    <w:p w14:paraId="1D212A09" w14:textId="77777777" w:rsidR="000D7073" w:rsidRPr="00E86334" w:rsidRDefault="000D7073" w:rsidP="000D7073"/>
    <w:p w14:paraId="1C565A96" w14:textId="77777777" w:rsidR="000D7073" w:rsidRDefault="00BB59F5" w:rsidP="000D7073">
      <w:pPr>
        <w:pStyle w:val="Caption"/>
      </w:pPr>
      <w:bookmarkStart w:id="1181" w:name="_Toc484436986"/>
      <w:bookmarkStart w:id="1182" w:name="_Toc490226051"/>
      <w:r w:rsidRPr="00122CD3">
        <w:t xml:space="preserve">Table </w:t>
      </w:r>
      <w:fldSimple w:instr=" STYLEREF 5 \s ">
        <w:r w:rsidR="007566B9">
          <w:rPr>
            <w:noProof/>
          </w:rPr>
          <w:t>G</w:t>
        </w:r>
      </w:fldSimple>
      <w:r w:rsidRPr="00323BFA">
        <w:noBreakHyphen/>
      </w:r>
      <w:fldSimple w:instr=" SEQ Table_Apx \* ARABIC \s 5 ">
        <w:r w:rsidR="007566B9">
          <w:rPr>
            <w:noProof/>
          </w:rPr>
          <w:t>4</w:t>
        </w:r>
      </w:fldSimple>
      <w:r w:rsidRPr="006F2DA9">
        <w:t xml:space="preserve">. </w:t>
      </w:r>
      <w:r w:rsidR="000D7073">
        <w:t>SCE UES</w:t>
      </w:r>
      <w:bookmarkEnd w:id="1181"/>
      <w:bookmarkEnd w:id="1182"/>
    </w:p>
    <w:tbl>
      <w:tblPr>
        <w:tblStyle w:val="EnergyTable1"/>
        <w:tblW w:w="9150" w:type="dxa"/>
        <w:tblLayout w:type="fixed"/>
        <w:tblLook w:val="04A0" w:firstRow="1" w:lastRow="0" w:firstColumn="1" w:lastColumn="0" w:noHBand="0" w:noVBand="1"/>
      </w:tblPr>
      <w:tblGrid>
        <w:gridCol w:w="1440"/>
        <w:gridCol w:w="1047"/>
        <w:gridCol w:w="720"/>
        <w:gridCol w:w="925"/>
        <w:gridCol w:w="918"/>
        <w:gridCol w:w="677"/>
        <w:gridCol w:w="918"/>
        <w:gridCol w:w="918"/>
        <w:gridCol w:w="684"/>
        <w:gridCol w:w="903"/>
      </w:tblGrid>
      <w:tr w:rsidR="000D7073" w:rsidRPr="00B37F3E" w14:paraId="2F066B0C" w14:textId="77777777" w:rsidTr="00AF21BE">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37DDF2A0" w14:textId="77777777" w:rsidR="000D7073" w:rsidRPr="000D7073" w:rsidRDefault="000D7073" w:rsidP="007D30B3">
            <w:pPr>
              <w:spacing w:line="240" w:lineRule="auto"/>
              <w:rPr>
                <w:rFonts w:ascii="Arial Narrow" w:hAnsi="Arial Narrow"/>
                <w:szCs w:val="20"/>
              </w:rPr>
            </w:pPr>
          </w:p>
        </w:tc>
        <w:tc>
          <w:tcPr>
            <w:tcW w:w="0" w:type="dxa"/>
            <w:gridSpan w:val="3"/>
            <w:noWrap/>
            <w:hideMark/>
          </w:tcPr>
          <w:p w14:paraId="58B1BE90" w14:textId="77777777" w:rsidR="000D7073" w:rsidRPr="000D7073"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 xml:space="preserve"> Single Family </w:t>
            </w:r>
          </w:p>
        </w:tc>
        <w:tc>
          <w:tcPr>
            <w:tcW w:w="0" w:type="dxa"/>
            <w:gridSpan w:val="3"/>
            <w:noWrap/>
            <w:hideMark/>
          </w:tcPr>
          <w:p w14:paraId="35E87D5E" w14:textId="77777777" w:rsidR="000D7073" w:rsidRPr="000D7073"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Multifamily</w:t>
            </w:r>
          </w:p>
        </w:tc>
        <w:tc>
          <w:tcPr>
            <w:tcW w:w="0" w:type="dxa"/>
            <w:gridSpan w:val="3"/>
            <w:noWrap/>
            <w:hideMark/>
          </w:tcPr>
          <w:p w14:paraId="331E5DEF" w14:textId="77777777" w:rsidR="000D7073" w:rsidRPr="000D7073"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 xml:space="preserve"> Mobile Home</w:t>
            </w:r>
          </w:p>
        </w:tc>
      </w:tr>
      <w:tr w:rsidR="000D7073" w:rsidRPr="00B37F3E" w14:paraId="4F704196"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2445814E" w14:textId="77777777" w:rsidR="000D7073" w:rsidRPr="000D7073" w:rsidRDefault="000D7073" w:rsidP="007D30B3">
            <w:pPr>
              <w:spacing w:line="240" w:lineRule="auto"/>
              <w:rPr>
                <w:rFonts w:ascii="Arial Narrow" w:hAnsi="Arial Narrow"/>
                <w:b/>
                <w:bCs/>
                <w:szCs w:val="20"/>
              </w:rPr>
            </w:pPr>
            <w:r w:rsidRPr="000D7073">
              <w:rPr>
                <w:rFonts w:ascii="Arial Narrow" w:hAnsi="Arial Narrow"/>
                <w:b/>
                <w:bCs/>
                <w:szCs w:val="20"/>
              </w:rPr>
              <w:t> </w:t>
            </w:r>
          </w:p>
        </w:tc>
        <w:tc>
          <w:tcPr>
            <w:tcW w:w="0" w:type="dxa"/>
            <w:noWrap/>
            <w:hideMark/>
          </w:tcPr>
          <w:p w14:paraId="197E4DED" w14:textId="77777777" w:rsidR="000D7073" w:rsidRPr="000D7073" w:rsidRDefault="000D7073" w:rsidP="007D30B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0" w:type="dxa"/>
            <w:noWrap/>
            <w:hideMark/>
          </w:tcPr>
          <w:p w14:paraId="1D80469B" w14:textId="77777777" w:rsidR="000D7073" w:rsidRPr="000D7073" w:rsidRDefault="000D7073" w:rsidP="007D30B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0" w:type="dxa"/>
            <w:noWrap/>
            <w:hideMark/>
          </w:tcPr>
          <w:p w14:paraId="5D21630D" w14:textId="77777777" w:rsidR="000D7073" w:rsidRPr="000D7073" w:rsidRDefault="000D7073" w:rsidP="007D30B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c>
          <w:tcPr>
            <w:tcW w:w="0" w:type="dxa"/>
            <w:noWrap/>
            <w:hideMark/>
          </w:tcPr>
          <w:p w14:paraId="64E1D325" w14:textId="77777777" w:rsidR="000D7073" w:rsidRPr="000D7073" w:rsidRDefault="000D7073" w:rsidP="007D30B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0" w:type="dxa"/>
            <w:noWrap/>
            <w:hideMark/>
          </w:tcPr>
          <w:p w14:paraId="466E2216" w14:textId="77777777" w:rsidR="000D7073" w:rsidRPr="000D7073" w:rsidRDefault="000D7073" w:rsidP="007D30B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0" w:type="dxa"/>
            <w:noWrap/>
            <w:hideMark/>
          </w:tcPr>
          <w:p w14:paraId="0A1E7233" w14:textId="77777777" w:rsidR="000D7073" w:rsidRPr="000D7073" w:rsidRDefault="000D7073" w:rsidP="007D30B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c>
          <w:tcPr>
            <w:tcW w:w="0" w:type="dxa"/>
            <w:noWrap/>
            <w:hideMark/>
          </w:tcPr>
          <w:p w14:paraId="4D0FB796" w14:textId="77777777" w:rsidR="000D7073" w:rsidRPr="000D7073" w:rsidRDefault="000D7073" w:rsidP="007D30B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0" w:type="dxa"/>
            <w:noWrap/>
            <w:hideMark/>
          </w:tcPr>
          <w:p w14:paraId="6F02E402" w14:textId="77777777" w:rsidR="000D7073" w:rsidRPr="000D7073" w:rsidRDefault="000D7073" w:rsidP="007D30B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0" w:type="dxa"/>
            <w:noWrap/>
            <w:hideMark/>
          </w:tcPr>
          <w:p w14:paraId="5CF21DDB" w14:textId="77777777" w:rsidR="000D7073" w:rsidRPr="000D7073" w:rsidRDefault="000D7073" w:rsidP="007D30B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r>
      <w:tr w:rsidR="000D7073" w:rsidRPr="00B37F3E" w14:paraId="721FCBB7" w14:textId="77777777" w:rsidTr="00AF21BE">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gridSpan w:val="10"/>
            <w:shd w:val="clear" w:color="auto" w:fill="F2F2F2" w:themeFill="background2"/>
            <w:noWrap/>
            <w:hideMark/>
          </w:tcPr>
          <w:p w14:paraId="2090E7F8" w14:textId="77777777" w:rsidR="000D7073" w:rsidRPr="000D7073" w:rsidRDefault="000D7073" w:rsidP="007D30B3">
            <w:pPr>
              <w:spacing w:line="240" w:lineRule="auto"/>
              <w:rPr>
                <w:rFonts w:ascii="Arial Narrow" w:hAnsi="Arial Narrow"/>
                <w:b/>
                <w:bCs/>
                <w:szCs w:val="20"/>
              </w:rPr>
            </w:pPr>
            <w:r w:rsidRPr="000D7073">
              <w:rPr>
                <w:rFonts w:ascii="Arial Narrow" w:hAnsi="Arial Narrow"/>
                <w:b/>
                <w:bCs/>
                <w:szCs w:val="20"/>
              </w:rPr>
              <w:t>First Time Treatment</w:t>
            </w:r>
          </w:p>
        </w:tc>
      </w:tr>
      <w:tr w:rsidR="00A13EF0" w:rsidRPr="00B37F3E" w14:paraId="516F775D"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48D71547"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2017</w:t>
            </w:r>
          </w:p>
        </w:tc>
        <w:tc>
          <w:tcPr>
            <w:tcW w:w="0" w:type="dxa"/>
            <w:noWrap/>
          </w:tcPr>
          <w:p w14:paraId="7E5830E9"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0.1034</w:t>
            </w:r>
          </w:p>
        </w:tc>
        <w:tc>
          <w:tcPr>
            <w:tcW w:w="0" w:type="dxa"/>
            <w:noWrap/>
          </w:tcPr>
          <w:p w14:paraId="18595EF8"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527</w:t>
            </w:r>
          </w:p>
        </w:tc>
        <w:tc>
          <w:tcPr>
            <w:tcW w:w="0" w:type="dxa"/>
            <w:noWrap/>
            <w:vAlign w:val="top"/>
          </w:tcPr>
          <w:p w14:paraId="379D218B"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5114E2">
              <w:rPr>
                <w:rFonts w:ascii="Calibri Light" w:hAnsi="Calibri Light"/>
                <w:szCs w:val="20"/>
              </w:rPr>
              <w:t xml:space="preserve">-  </w:t>
            </w:r>
          </w:p>
        </w:tc>
        <w:tc>
          <w:tcPr>
            <w:tcW w:w="0" w:type="dxa"/>
            <w:noWrap/>
          </w:tcPr>
          <w:p w14:paraId="221C95FC"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0.0375</w:t>
            </w:r>
          </w:p>
        </w:tc>
        <w:tc>
          <w:tcPr>
            <w:tcW w:w="0" w:type="dxa"/>
            <w:noWrap/>
          </w:tcPr>
          <w:p w14:paraId="3DB298C6"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348</w:t>
            </w:r>
          </w:p>
        </w:tc>
        <w:tc>
          <w:tcPr>
            <w:tcW w:w="0" w:type="dxa"/>
            <w:noWrap/>
            <w:vAlign w:val="top"/>
          </w:tcPr>
          <w:p w14:paraId="079BAE90"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206EB">
              <w:rPr>
                <w:rFonts w:ascii="Calibri Light" w:hAnsi="Calibri Light"/>
                <w:szCs w:val="20"/>
              </w:rPr>
              <w:t xml:space="preserve">-  </w:t>
            </w:r>
          </w:p>
        </w:tc>
        <w:tc>
          <w:tcPr>
            <w:tcW w:w="0" w:type="dxa"/>
            <w:noWrap/>
          </w:tcPr>
          <w:p w14:paraId="7A847A7D"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0.0417</w:t>
            </w:r>
          </w:p>
        </w:tc>
        <w:tc>
          <w:tcPr>
            <w:tcW w:w="0" w:type="dxa"/>
            <w:noWrap/>
          </w:tcPr>
          <w:p w14:paraId="475C05BF"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272</w:t>
            </w:r>
          </w:p>
        </w:tc>
        <w:tc>
          <w:tcPr>
            <w:tcW w:w="0" w:type="dxa"/>
            <w:noWrap/>
            <w:vAlign w:val="top"/>
          </w:tcPr>
          <w:p w14:paraId="30553F70"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0787F">
              <w:rPr>
                <w:rFonts w:ascii="Calibri Light" w:hAnsi="Calibri Light"/>
                <w:szCs w:val="20"/>
              </w:rPr>
              <w:t xml:space="preserve">-  </w:t>
            </w:r>
          </w:p>
        </w:tc>
      </w:tr>
      <w:tr w:rsidR="002544A3" w:rsidRPr="00B37F3E" w14:paraId="4B6B0C89" w14:textId="77777777" w:rsidTr="007D30B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C431628"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2018</w:t>
            </w:r>
          </w:p>
        </w:tc>
        <w:tc>
          <w:tcPr>
            <w:tcW w:w="1047" w:type="dxa"/>
            <w:noWrap/>
          </w:tcPr>
          <w:p w14:paraId="74B5E188"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0.0983</w:t>
            </w:r>
          </w:p>
        </w:tc>
        <w:tc>
          <w:tcPr>
            <w:tcW w:w="720" w:type="dxa"/>
            <w:noWrap/>
          </w:tcPr>
          <w:p w14:paraId="009A18EB"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501</w:t>
            </w:r>
          </w:p>
        </w:tc>
        <w:tc>
          <w:tcPr>
            <w:tcW w:w="925" w:type="dxa"/>
            <w:noWrap/>
            <w:vAlign w:val="top"/>
          </w:tcPr>
          <w:p w14:paraId="32BAA240"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5114E2">
              <w:rPr>
                <w:rFonts w:ascii="Calibri Light" w:hAnsi="Calibri Light"/>
                <w:szCs w:val="20"/>
              </w:rPr>
              <w:t xml:space="preserve">-  </w:t>
            </w:r>
          </w:p>
        </w:tc>
        <w:tc>
          <w:tcPr>
            <w:tcW w:w="918" w:type="dxa"/>
            <w:noWrap/>
          </w:tcPr>
          <w:p w14:paraId="3CEF318A"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0.0356</w:t>
            </w:r>
          </w:p>
        </w:tc>
        <w:tc>
          <w:tcPr>
            <w:tcW w:w="677" w:type="dxa"/>
            <w:noWrap/>
          </w:tcPr>
          <w:p w14:paraId="3F4C5AA1"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331</w:t>
            </w:r>
          </w:p>
        </w:tc>
        <w:tc>
          <w:tcPr>
            <w:tcW w:w="918" w:type="dxa"/>
            <w:noWrap/>
            <w:vAlign w:val="top"/>
          </w:tcPr>
          <w:p w14:paraId="6F3DAC66"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206EB">
              <w:rPr>
                <w:rFonts w:ascii="Calibri Light" w:hAnsi="Calibri Light"/>
                <w:szCs w:val="20"/>
              </w:rPr>
              <w:t xml:space="preserve">-  </w:t>
            </w:r>
          </w:p>
        </w:tc>
        <w:tc>
          <w:tcPr>
            <w:tcW w:w="918" w:type="dxa"/>
            <w:noWrap/>
          </w:tcPr>
          <w:p w14:paraId="2C0BC40F"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0.0407</w:t>
            </w:r>
          </w:p>
        </w:tc>
        <w:tc>
          <w:tcPr>
            <w:tcW w:w="684" w:type="dxa"/>
            <w:noWrap/>
          </w:tcPr>
          <w:p w14:paraId="5A6D48CB"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266</w:t>
            </w:r>
          </w:p>
        </w:tc>
        <w:tc>
          <w:tcPr>
            <w:tcW w:w="903" w:type="dxa"/>
            <w:noWrap/>
            <w:vAlign w:val="top"/>
          </w:tcPr>
          <w:p w14:paraId="2D8E6951"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0787F">
              <w:rPr>
                <w:rFonts w:ascii="Calibri Light" w:hAnsi="Calibri Light"/>
                <w:szCs w:val="20"/>
              </w:rPr>
              <w:t xml:space="preserve">-  </w:t>
            </w:r>
          </w:p>
        </w:tc>
      </w:tr>
      <w:tr w:rsidR="00A13EF0" w:rsidRPr="00B37F3E" w14:paraId="5FA6F52B"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64CCC1E1"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2019</w:t>
            </w:r>
          </w:p>
        </w:tc>
        <w:tc>
          <w:tcPr>
            <w:tcW w:w="0" w:type="dxa"/>
            <w:noWrap/>
          </w:tcPr>
          <w:p w14:paraId="1E36B3F9"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0.0906</w:t>
            </w:r>
          </w:p>
        </w:tc>
        <w:tc>
          <w:tcPr>
            <w:tcW w:w="0" w:type="dxa"/>
            <w:noWrap/>
          </w:tcPr>
          <w:p w14:paraId="33A32C21"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462</w:t>
            </w:r>
          </w:p>
        </w:tc>
        <w:tc>
          <w:tcPr>
            <w:tcW w:w="0" w:type="dxa"/>
            <w:noWrap/>
            <w:vAlign w:val="top"/>
          </w:tcPr>
          <w:p w14:paraId="15E0AB35"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5114E2">
              <w:rPr>
                <w:rFonts w:ascii="Calibri Light" w:hAnsi="Calibri Light"/>
                <w:szCs w:val="20"/>
              </w:rPr>
              <w:t xml:space="preserve">-  </w:t>
            </w:r>
          </w:p>
        </w:tc>
        <w:tc>
          <w:tcPr>
            <w:tcW w:w="0" w:type="dxa"/>
            <w:noWrap/>
          </w:tcPr>
          <w:p w14:paraId="6714D316"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0.0322</w:t>
            </w:r>
          </w:p>
        </w:tc>
        <w:tc>
          <w:tcPr>
            <w:tcW w:w="0" w:type="dxa"/>
            <w:noWrap/>
          </w:tcPr>
          <w:p w14:paraId="24F2F418"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299</w:t>
            </w:r>
          </w:p>
        </w:tc>
        <w:tc>
          <w:tcPr>
            <w:tcW w:w="0" w:type="dxa"/>
            <w:noWrap/>
            <w:vAlign w:val="top"/>
          </w:tcPr>
          <w:p w14:paraId="178B1549"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206EB">
              <w:rPr>
                <w:rFonts w:ascii="Calibri Light" w:hAnsi="Calibri Light"/>
                <w:szCs w:val="20"/>
              </w:rPr>
              <w:t xml:space="preserve">-  </w:t>
            </w:r>
          </w:p>
        </w:tc>
        <w:tc>
          <w:tcPr>
            <w:tcW w:w="0" w:type="dxa"/>
            <w:noWrap/>
          </w:tcPr>
          <w:p w14:paraId="4DBC5FD2"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0.0371</w:t>
            </w:r>
          </w:p>
        </w:tc>
        <w:tc>
          <w:tcPr>
            <w:tcW w:w="0" w:type="dxa"/>
            <w:noWrap/>
          </w:tcPr>
          <w:p w14:paraId="4EB4CE02"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242</w:t>
            </w:r>
          </w:p>
        </w:tc>
        <w:tc>
          <w:tcPr>
            <w:tcW w:w="0" w:type="dxa"/>
            <w:noWrap/>
            <w:vAlign w:val="top"/>
          </w:tcPr>
          <w:p w14:paraId="095010F3"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0787F">
              <w:rPr>
                <w:rFonts w:ascii="Calibri Light" w:hAnsi="Calibri Light"/>
                <w:szCs w:val="20"/>
              </w:rPr>
              <w:t xml:space="preserve">-  </w:t>
            </w:r>
          </w:p>
        </w:tc>
      </w:tr>
      <w:tr w:rsidR="002544A3" w:rsidRPr="00B37F3E" w14:paraId="32555294" w14:textId="77777777" w:rsidTr="007D30B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31869FC" w14:textId="77777777" w:rsidR="00A13EF0" w:rsidRPr="000D7073" w:rsidRDefault="00A13EF0" w:rsidP="00A13EF0">
            <w:pPr>
              <w:spacing w:line="240" w:lineRule="auto"/>
              <w:rPr>
                <w:rFonts w:ascii="Arial Narrow" w:hAnsi="Arial Narrow"/>
                <w:b/>
                <w:bCs/>
                <w:szCs w:val="20"/>
              </w:rPr>
            </w:pPr>
            <w:r>
              <w:rPr>
                <w:rFonts w:ascii="Arial Narrow" w:hAnsi="Arial Narrow"/>
                <w:b/>
                <w:bCs/>
                <w:szCs w:val="20"/>
              </w:rPr>
              <w:t>2020</w:t>
            </w:r>
          </w:p>
        </w:tc>
        <w:tc>
          <w:tcPr>
            <w:tcW w:w="1047" w:type="dxa"/>
            <w:noWrap/>
          </w:tcPr>
          <w:p w14:paraId="7AA6A995"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0.0867</w:t>
            </w:r>
          </w:p>
        </w:tc>
        <w:tc>
          <w:tcPr>
            <w:tcW w:w="720" w:type="dxa"/>
            <w:noWrap/>
          </w:tcPr>
          <w:p w14:paraId="66C4AC71"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442</w:t>
            </w:r>
          </w:p>
        </w:tc>
        <w:tc>
          <w:tcPr>
            <w:tcW w:w="925" w:type="dxa"/>
            <w:noWrap/>
            <w:vAlign w:val="top"/>
          </w:tcPr>
          <w:p w14:paraId="221859DF"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5114E2">
              <w:rPr>
                <w:rFonts w:ascii="Calibri Light" w:hAnsi="Calibri Light"/>
                <w:szCs w:val="20"/>
              </w:rPr>
              <w:t xml:space="preserve">-  </w:t>
            </w:r>
          </w:p>
        </w:tc>
        <w:tc>
          <w:tcPr>
            <w:tcW w:w="918" w:type="dxa"/>
            <w:noWrap/>
          </w:tcPr>
          <w:p w14:paraId="1B3C8C4B"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0.0305</w:t>
            </w:r>
          </w:p>
        </w:tc>
        <w:tc>
          <w:tcPr>
            <w:tcW w:w="677" w:type="dxa"/>
            <w:noWrap/>
          </w:tcPr>
          <w:p w14:paraId="7CDEC946"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283</w:t>
            </w:r>
          </w:p>
        </w:tc>
        <w:tc>
          <w:tcPr>
            <w:tcW w:w="918" w:type="dxa"/>
            <w:noWrap/>
            <w:vAlign w:val="top"/>
          </w:tcPr>
          <w:p w14:paraId="09DC6CD5"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206EB">
              <w:rPr>
                <w:rFonts w:ascii="Calibri Light" w:hAnsi="Calibri Light"/>
                <w:szCs w:val="20"/>
              </w:rPr>
              <w:t xml:space="preserve">-  </w:t>
            </w:r>
          </w:p>
        </w:tc>
        <w:tc>
          <w:tcPr>
            <w:tcW w:w="918" w:type="dxa"/>
            <w:noWrap/>
          </w:tcPr>
          <w:p w14:paraId="6847D828"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0.0354</w:t>
            </w:r>
          </w:p>
        </w:tc>
        <w:tc>
          <w:tcPr>
            <w:tcW w:w="684" w:type="dxa"/>
            <w:noWrap/>
          </w:tcPr>
          <w:p w14:paraId="273C59E3"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231</w:t>
            </w:r>
          </w:p>
        </w:tc>
        <w:tc>
          <w:tcPr>
            <w:tcW w:w="903" w:type="dxa"/>
            <w:noWrap/>
            <w:vAlign w:val="top"/>
          </w:tcPr>
          <w:p w14:paraId="51512DC2"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0787F">
              <w:rPr>
                <w:rFonts w:ascii="Calibri Light" w:hAnsi="Calibri Light"/>
                <w:szCs w:val="20"/>
              </w:rPr>
              <w:t xml:space="preserve">-  </w:t>
            </w:r>
          </w:p>
        </w:tc>
      </w:tr>
      <w:tr w:rsidR="000D7073" w:rsidRPr="000D7073" w14:paraId="5A12FD1E"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gridSpan w:val="10"/>
            <w:shd w:val="clear" w:color="auto" w:fill="F2F2F2" w:themeFill="background2"/>
            <w:noWrap/>
            <w:hideMark/>
          </w:tcPr>
          <w:p w14:paraId="0E4DCF36" w14:textId="77777777" w:rsidR="000D7073" w:rsidRPr="000D7073" w:rsidRDefault="000D7073" w:rsidP="007D30B3">
            <w:pPr>
              <w:spacing w:line="240" w:lineRule="auto"/>
              <w:rPr>
                <w:rFonts w:ascii="Arial Narrow" w:hAnsi="Arial Narrow"/>
                <w:b/>
                <w:bCs/>
                <w:szCs w:val="20"/>
              </w:rPr>
            </w:pPr>
            <w:r w:rsidRPr="000D7073">
              <w:rPr>
                <w:rFonts w:ascii="Arial Narrow" w:hAnsi="Arial Narrow"/>
                <w:b/>
                <w:bCs/>
                <w:szCs w:val="20"/>
              </w:rPr>
              <w:t>Retreatment</w:t>
            </w:r>
          </w:p>
        </w:tc>
      </w:tr>
      <w:tr w:rsidR="002544A3" w:rsidRPr="00B37F3E" w14:paraId="42A373B2" w14:textId="77777777" w:rsidTr="007D30B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5855213"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2017</w:t>
            </w:r>
          </w:p>
        </w:tc>
        <w:tc>
          <w:tcPr>
            <w:tcW w:w="1047" w:type="dxa"/>
            <w:noWrap/>
          </w:tcPr>
          <w:p w14:paraId="06AA6525"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0.0286</w:t>
            </w:r>
          </w:p>
        </w:tc>
        <w:tc>
          <w:tcPr>
            <w:tcW w:w="720" w:type="dxa"/>
            <w:noWrap/>
          </w:tcPr>
          <w:p w14:paraId="51F6DF6F"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146</w:t>
            </w:r>
          </w:p>
        </w:tc>
        <w:tc>
          <w:tcPr>
            <w:tcW w:w="925" w:type="dxa"/>
            <w:noWrap/>
            <w:vAlign w:val="top"/>
          </w:tcPr>
          <w:p w14:paraId="06E67880"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2D516D">
              <w:rPr>
                <w:rFonts w:ascii="Calibri Light" w:hAnsi="Calibri Light"/>
                <w:szCs w:val="20"/>
              </w:rPr>
              <w:t xml:space="preserve">-  </w:t>
            </w:r>
          </w:p>
        </w:tc>
        <w:tc>
          <w:tcPr>
            <w:tcW w:w="918" w:type="dxa"/>
            <w:noWrap/>
          </w:tcPr>
          <w:p w14:paraId="52A96B70"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0.0103</w:t>
            </w:r>
          </w:p>
        </w:tc>
        <w:tc>
          <w:tcPr>
            <w:tcW w:w="677" w:type="dxa"/>
            <w:noWrap/>
          </w:tcPr>
          <w:p w14:paraId="488B9695"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96</w:t>
            </w:r>
          </w:p>
        </w:tc>
        <w:tc>
          <w:tcPr>
            <w:tcW w:w="918" w:type="dxa"/>
            <w:noWrap/>
            <w:vAlign w:val="top"/>
          </w:tcPr>
          <w:p w14:paraId="2E1CA560"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85E81">
              <w:rPr>
                <w:rFonts w:ascii="Calibri Light" w:hAnsi="Calibri Light"/>
                <w:szCs w:val="20"/>
              </w:rPr>
              <w:t xml:space="preserve">-  </w:t>
            </w:r>
          </w:p>
        </w:tc>
        <w:tc>
          <w:tcPr>
            <w:tcW w:w="918" w:type="dxa"/>
            <w:noWrap/>
          </w:tcPr>
          <w:p w14:paraId="1C012626"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0.0001</w:t>
            </w:r>
          </w:p>
        </w:tc>
        <w:tc>
          <w:tcPr>
            <w:tcW w:w="684" w:type="dxa"/>
            <w:noWrap/>
          </w:tcPr>
          <w:p w14:paraId="73214436"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75</w:t>
            </w:r>
          </w:p>
        </w:tc>
        <w:tc>
          <w:tcPr>
            <w:tcW w:w="903" w:type="dxa"/>
            <w:noWrap/>
            <w:vAlign w:val="top"/>
          </w:tcPr>
          <w:p w14:paraId="5E42C599"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C45068">
              <w:rPr>
                <w:rFonts w:ascii="Calibri Light" w:hAnsi="Calibri Light"/>
                <w:szCs w:val="20"/>
              </w:rPr>
              <w:t xml:space="preserve">-  </w:t>
            </w:r>
          </w:p>
        </w:tc>
      </w:tr>
      <w:tr w:rsidR="00A13EF0" w:rsidRPr="00B37F3E" w14:paraId="1FE355D1"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139A49D6"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2018</w:t>
            </w:r>
          </w:p>
        </w:tc>
        <w:tc>
          <w:tcPr>
            <w:tcW w:w="0" w:type="dxa"/>
            <w:noWrap/>
          </w:tcPr>
          <w:p w14:paraId="210F45E0"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0.0273</w:t>
            </w:r>
          </w:p>
        </w:tc>
        <w:tc>
          <w:tcPr>
            <w:tcW w:w="0" w:type="dxa"/>
            <w:noWrap/>
          </w:tcPr>
          <w:p w14:paraId="61F85F84"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139</w:t>
            </w:r>
          </w:p>
        </w:tc>
        <w:tc>
          <w:tcPr>
            <w:tcW w:w="0" w:type="dxa"/>
            <w:noWrap/>
            <w:vAlign w:val="top"/>
          </w:tcPr>
          <w:p w14:paraId="10752D30"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2D516D">
              <w:rPr>
                <w:rFonts w:ascii="Calibri Light" w:hAnsi="Calibri Light"/>
                <w:szCs w:val="20"/>
              </w:rPr>
              <w:t xml:space="preserve">-  </w:t>
            </w:r>
          </w:p>
        </w:tc>
        <w:tc>
          <w:tcPr>
            <w:tcW w:w="0" w:type="dxa"/>
            <w:noWrap/>
          </w:tcPr>
          <w:p w14:paraId="7A5342EE"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0.0099</w:t>
            </w:r>
          </w:p>
        </w:tc>
        <w:tc>
          <w:tcPr>
            <w:tcW w:w="0" w:type="dxa"/>
            <w:noWrap/>
          </w:tcPr>
          <w:p w14:paraId="673BA303"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92</w:t>
            </w:r>
          </w:p>
        </w:tc>
        <w:tc>
          <w:tcPr>
            <w:tcW w:w="0" w:type="dxa"/>
            <w:noWrap/>
            <w:vAlign w:val="top"/>
          </w:tcPr>
          <w:p w14:paraId="75E9A259"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85E81">
              <w:rPr>
                <w:rFonts w:ascii="Calibri Light" w:hAnsi="Calibri Light"/>
                <w:szCs w:val="20"/>
              </w:rPr>
              <w:t xml:space="preserve">-  </w:t>
            </w:r>
          </w:p>
        </w:tc>
        <w:tc>
          <w:tcPr>
            <w:tcW w:w="0" w:type="dxa"/>
            <w:noWrap/>
          </w:tcPr>
          <w:p w14:paraId="1F061EA1"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0.0001</w:t>
            </w:r>
          </w:p>
        </w:tc>
        <w:tc>
          <w:tcPr>
            <w:tcW w:w="0" w:type="dxa"/>
            <w:noWrap/>
          </w:tcPr>
          <w:p w14:paraId="48D1C85A"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74</w:t>
            </w:r>
          </w:p>
        </w:tc>
        <w:tc>
          <w:tcPr>
            <w:tcW w:w="0" w:type="dxa"/>
            <w:noWrap/>
            <w:vAlign w:val="top"/>
          </w:tcPr>
          <w:p w14:paraId="32FFF193"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C45068">
              <w:rPr>
                <w:rFonts w:ascii="Calibri Light" w:hAnsi="Calibri Light"/>
                <w:szCs w:val="20"/>
              </w:rPr>
              <w:t xml:space="preserve">-  </w:t>
            </w:r>
          </w:p>
        </w:tc>
      </w:tr>
      <w:tr w:rsidR="002544A3" w:rsidRPr="00B37F3E" w14:paraId="3F5C9796" w14:textId="77777777" w:rsidTr="007D30B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F5FFC5A"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2019</w:t>
            </w:r>
          </w:p>
        </w:tc>
        <w:tc>
          <w:tcPr>
            <w:tcW w:w="1047" w:type="dxa"/>
            <w:noWrap/>
          </w:tcPr>
          <w:p w14:paraId="50610932"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0.0251</w:t>
            </w:r>
          </w:p>
        </w:tc>
        <w:tc>
          <w:tcPr>
            <w:tcW w:w="720" w:type="dxa"/>
            <w:noWrap/>
          </w:tcPr>
          <w:p w14:paraId="35AAB0C9"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128</w:t>
            </w:r>
          </w:p>
        </w:tc>
        <w:tc>
          <w:tcPr>
            <w:tcW w:w="925" w:type="dxa"/>
            <w:noWrap/>
            <w:vAlign w:val="top"/>
          </w:tcPr>
          <w:p w14:paraId="704CDEE4"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2D516D">
              <w:rPr>
                <w:rFonts w:ascii="Calibri Light" w:hAnsi="Calibri Light"/>
                <w:szCs w:val="20"/>
              </w:rPr>
              <w:t xml:space="preserve">-  </w:t>
            </w:r>
          </w:p>
        </w:tc>
        <w:tc>
          <w:tcPr>
            <w:tcW w:w="918" w:type="dxa"/>
            <w:noWrap/>
          </w:tcPr>
          <w:p w14:paraId="500FC2CB"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0.0089</w:t>
            </w:r>
          </w:p>
        </w:tc>
        <w:tc>
          <w:tcPr>
            <w:tcW w:w="677" w:type="dxa"/>
            <w:noWrap/>
          </w:tcPr>
          <w:p w14:paraId="07B0CA3B"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83</w:t>
            </w:r>
          </w:p>
        </w:tc>
        <w:tc>
          <w:tcPr>
            <w:tcW w:w="918" w:type="dxa"/>
            <w:noWrap/>
            <w:vAlign w:val="top"/>
          </w:tcPr>
          <w:p w14:paraId="244ADCCD"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85E81">
              <w:rPr>
                <w:rFonts w:ascii="Calibri Light" w:hAnsi="Calibri Light"/>
                <w:szCs w:val="20"/>
              </w:rPr>
              <w:t xml:space="preserve">-  </w:t>
            </w:r>
          </w:p>
        </w:tc>
        <w:tc>
          <w:tcPr>
            <w:tcW w:w="918" w:type="dxa"/>
            <w:noWrap/>
          </w:tcPr>
          <w:p w14:paraId="6705741F"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0.0001</w:t>
            </w:r>
          </w:p>
        </w:tc>
        <w:tc>
          <w:tcPr>
            <w:tcW w:w="684" w:type="dxa"/>
            <w:noWrap/>
          </w:tcPr>
          <w:p w14:paraId="5744A652"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67</w:t>
            </w:r>
          </w:p>
        </w:tc>
        <w:tc>
          <w:tcPr>
            <w:tcW w:w="903" w:type="dxa"/>
            <w:noWrap/>
            <w:vAlign w:val="top"/>
          </w:tcPr>
          <w:p w14:paraId="7FAD888D"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C45068">
              <w:rPr>
                <w:rFonts w:ascii="Calibri Light" w:hAnsi="Calibri Light"/>
                <w:szCs w:val="20"/>
              </w:rPr>
              <w:t xml:space="preserve">-  </w:t>
            </w:r>
          </w:p>
        </w:tc>
      </w:tr>
      <w:tr w:rsidR="00A13EF0" w:rsidRPr="00B37F3E" w14:paraId="13E4ECFF"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5E3033D3"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2020 - 2030</w:t>
            </w:r>
          </w:p>
        </w:tc>
        <w:tc>
          <w:tcPr>
            <w:tcW w:w="0" w:type="dxa"/>
            <w:noWrap/>
          </w:tcPr>
          <w:p w14:paraId="7A4119CA"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0.0239</w:t>
            </w:r>
          </w:p>
        </w:tc>
        <w:tc>
          <w:tcPr>
            <w:tcW w:w="0" w:type="dxa"/>
            <w:noWrap/>
          </w:tcPr>
          <w:p w14:paraId="2E87490E"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122</w:t>
            </w:r>
          </w:p>
        </w:tc>
        <w:tc>
          <w:tcPr>
            <w:tcW w:w="0" w:type="dxa"/>
            <w:noWrap/>
            <w:vAlign w:val="top"/>
          </w:tcPr>
          <w:p w14:paraId="170A5C81"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2D516D">
              <w:rPr>
                <w:rFonts w:ascii="Calibri Light" w:hAnsi="Calibri Light"/>
                <w:szCs w:val="20"/>
              </w:rPr>
              <w:t xml:space="preserve">-  </w:t>
            </w:r>
          </w:p>
        </w:tc>
        <w:tc>
          <w:tcPr>
            <w:tcW w:w="0" w:type="dxa"/>
            <w:noWrap/>
          </w:tcPr>
          <w:p w14:paraId="038B801B"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0.0084</w:t>
            </w:r>
          </w:p>
        </w:tc>
        <w:tc>
          <w:tcPr>
            <w:tcW w:w="0" w:type="dxa"/>
            <w:noWrap/>
          </w:tcPr>
          <w:p w14:paraId="19BE4AFA"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78</w:t>
            </w:r>
          </w:p>
        </w:tc>
        <w:tc>
          <w:tcPr>
            <w:tcW w:w="0" w:type="dxa"/>
            <w:noWrap/>
            <w:vAlign w:val="top"/>
          </w:tcPr>
          <w:p w14:paraId="344F1104"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85E81">
              <w:rPr>
                <w:rFonts w:ascii="Calibri Light" w:hAnsi="Calibri Light"/>
                <w:szCs w:val="20"/>
              </w:rPr>
              <w:t xml:space="preserve">-  </w:t>
            </w:r>
          </w:p>
        </w:tc>
        <w:tc>
          <w:tcPr>
            <w:tcW w:w="0" w:type="dxa"/>
            <w:noWrap/>
          </w:tcPr>
          <w:p w14:paraId="584CA922"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0.0002</w:t>
            </w:r>
          </w:p>
        </w:tc>
        <w:tc>
          <w:tcPr>
            <w:tcW w:w="0" w:type="dxa"/>
            <w:noWrap/>
          </w:tcPr>
          <w:p w14:paraId="10015FA9"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64</w:t>
            </w:r>
          </w:p>
        </w:tc>
        <w:tc>
          <w:tcPr>
            <w:tcW w:w="0" w:type="dxa"/>
            <w:noWrap/>
            <w:vAlign w:val="top"/>
          </w:tcPr>
          <w:p w14:paraId="1FBF95DC"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C45068">
              <w:rPr>
                <w:rFonts w:ascii="Calibri Light" w:hAnsi="Calibri Light"/>
                <w:szCs w:val="20"/>
              </w:rPr>
              <w:t xml:space="preserve">-  </w:t>
            </w:r>
          </w:p>
        </w:tc>
      </w:tr>
    </w:tbl>
    <w:p w14:paraId="50649E78" w14:textId="77777777" w:rsidR="00B37F3E" w:rsidRDefault="00B37F3E" w:rsidP="00B37F3E"/>
    <w:p w14:paraId="3F204566" w14:textId="77777777" w:rsidR="00B37F3E" w:rsidRDefault="00B37F3E">
      <w:pPr>
        <w:spacing w:line="240" w:lineRule="auto"/>
      </w:pPr>
      <w:r>
        <w:br w:type="page"/>
      </w:r>
    </w:p>
    <w:p w14:paraId="541331CB" w14:textId="77777777" w:rsidR="00B37F3E" w:rsidRDefault="00B37F3E" w:rsidP="00B37F3E"/>
    <w:p w14:paraId="7F6A2D7B" w14:textId="77777777" w:rsidR="000D7073" w:rsidRDefault="000D7073" w:rsidP="000D7073">
      <w:pPr>
        <w:pStyle w:val="Heading6"/>
      </w:pPr>
      <w:bookmarkStart w:id="1183" w:name="_Toc484092533"/>
      <w:bookmarkStart w:id="1184" w:name="_Toc484172738"/>
      <w:bookmarkStart w:id="1185" w:name="_Toc484183085"/>
      <w:bookmarkStart w:id="1186" w:name="_Toc490225851"/>
      <w:r>
        <w:t>SCG</w:t>
      </w:r>
      <w:bookmarkEnd w:id="1183"/>
      <w:bookmarkEnd w:id="1184"/>
      <w:bookmarkEnd w:id="1185"/>
      <w:bookmarkEnd w:id="1186"/>
    </w:p>
    <w:p w14:paraId="275FC7BD" w14:textId="77777777" w:rsidR="000D7073" w:rsidRDefault="00BB59F5" w:rsidP="000D7073">
      <w:pPr>
        <w:pStyle w:val="Caption"/>
      </w:pPr>
      <w:bookmarkStart w:id="1187" w:name="_Toc484436987"/>
      <w:bookmarkStart w:id="1188" w:name="_Toc490226052"/>
      <w:r w:rsidRPr="00122CD3">
        <w:t xml:space="preserve">Table </w:t>
      </w:r>
      <w:fldSimple w:instr=" STYLEREF 5 \s ">
        <w:r w:rsidR="007566B9">
          <w:rPr>
            <w:noProof/>
          </w:rPr>
          <w:t>G</w:t>
        </w:r>
      </w:fldSimple>
      <w:r w:rsidRPr="00323BFA">
        <w:noBreakHyphen/>
      </w:r>
      <w:fldSimple w:instr=" SEQ Table_Apx \* ARABIC \s 5 ">
        <w:r w:rsidR="007566B9">
          <w:rPr>
            <w:noProof/>
          </w:rPr>
          <w:t>5</w:t>
        </w:r>
      </w:fldSimple>
      <w:r w:rsidRPr="006F2DA9">
        <w:t xml:space="preserve">. </w:t>
      </w:r>
      <w:r w:rsidR="000D7073">
        <w:t>SC</w:t>
      </w:r>
      <w:r w:rsidR="00AE06FA">
        <w:t>G</w:t>
      </w:r>
      <w:r w:rsidR="000D7073">
        <w:t xml:space="preserve"> Households Treated</w:t>
      </w:r>
      <w:bookmarkEnd w:id="1187"/>
      <w:bookmarkEnd w:id="1188"/>
    </w:p>
    <w:tbl>
      <w:tblPr>
        <w:tblStyle w:val="EnergyTable1"/>
        <w:tblW w:w="6198" w:type="dxa"/>
        <w:tblLook w:val="04A0" w:firstRow="1" w:lastRow="0" w:firstColumn="1" w:lastColumn="0" w:noHBand="0" w:noVBand="1"/>
      </w:tblPr>
      <w:tblGrid>
        <w:gridCol w:w="1239"/>
        <w:gridCol w:w="1434"/>
        <w:gridCol w:w="2091"/>
        <w:gridCol w:w="1434"/>
      </w:tblGrid>
      <w:tr w:rsidR="000D7073" w:rsidRPr="00AE06FA" w14:paraId="1CF107B7" w14:textId="77777777" w:rsidTr="00AF21B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07E6179" w14:textId="77777777" w:rsidR="000D7073" w:rsidRPr="00AE06FA" w:rsidRDefault="000D7073" w:rsidP="007D30B3">
            <w:pPr>
              <w:spacing w:line="240" w:lineRule="auto"/>
              <w:rPr>
                <w:rFonts w:ascii="Arial Narrow" w:hAnsi="Arial Narrow"/>
                <w:bCs/>
                <w:szCs w:val="20"/>
              </w:rPr>
            </w:pPr>
          </w:p>
        </w:tc>
        <w:tc>
          <w:tcPr>
            <w:tcW w:w="0" w:type="dxa"/>
            <w:noWrap/>
            <w:hideMark/>
          </w:tcPr>
          <w:p w14:paraId="2B6E2132" w14:textId="77777777" w:rsidR="000D7073" w:rsidRPr="00AE06FA"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Single Family </w:t>
            </w:r>
          </w:p>
        </w:tc>
        <w:tc>
          <w:tcPr>
            <w:tcW w:w="0" w:type="dxa"/>
            <w:noWrap/>
            <w:hideMark/>
          </w:tcPr>
          <w:p w14:paraId="3AFC4485" w14:textId="77777777" w:rsidR="000D7073" w:rsidRPr="00AE06FA"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AE06FA">
              <w:rPr>
                <w:rFonts w:ascii="Arial Narrow" w:hAnsi="Arial Narrow"/>
                <w:szCs w:val="20"/>
              </w:rPr>
              <w:t>Multifamily</w:t>
            </w:r>
          </w:p>
        </w:tc>
        <w:tc>
          <w:tcPr>
            <w:tcW w:w="0" w:type="dxa"/>
            <w:noWrap/>
            <w:hideMark/>
          </w:tcPr>
          <w:p w14:paraId="7ADD757C" w14:textId="77777777" w:rsidR="000D7073" w:rsidRPr="00AE06FA"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Mobile Home</w:t>
            </w:r>
          </w:p>
        </w:tc>
      </w:tr>
      <w:tr w:rsidR="000D7073" w:rsidRPr="00AE06FA" w14:paraId="54F2E634"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gridSpan w:val="4"/>
            <w:shd w:val="clear" w:color="auto" w:fill="F2F2F2" w:themeFill="background2"/>
            <w:noWrap/>
          </w:tcPr>
          <w:p w14:paraId="65C1C016" w14:textId="77777777" w:rsidR="000D7073" w:rsidRPr="00AE06FA" w:rsidRDefault="000D7073" w:rsidP="007D30B3">
            <w:pPr>
              <w:spacing w:line="240" w:lineRule="auto"/>
              <w:rPr>
                <w:rFonts w:ascii="Arial Narrow" w:hAnsi="Arial Narrow"/>
                <w:b/>
                <w:szCs w:val="20"/>
              </w:rPr>
            </w:pPr>
            <w:r w:rsidRPr="00AE06FA">
              <w:rPr>
                <w:rFonts w:ascii="Arial Narrow" w:hAnsi="Arial Narrow"/>
                <w:b/>
                <w:szCs w:val="20"/>
              </w:rPr>
              <w:t>First Time Treatment</w:t>
            </w:r>
          </w:p>
        </w:tc>
      </w:tr>
      <w:tr w:rsidR="00AE06FA" w:rsidRPr="00AE06FA" w14:paraId="18C875BB"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5764D68" w14:textId="77777777" w:rsidR="00AE06FA" w:rsidRPr="00AE06FA" w:rsidRDefault="00AE06FA" w:rsidP="00AE06FA">
            <w:pPr>
              <w:spacing w:line="240" w:lineRule="auto"/>
              <w:rPr>
                <w:rFonts w:ascii="Arial Narrow" w:hAnsi="Arial Narrow"/>
                <w:b/>
                <w:bCs/>
                <w:szCs w:val="20"/>
              </w:rPr>
            </w:pPr>
            <w:r w:rsidRPr="00AE06FA">
              <w:rPr>
                <w:rFonts w:ascii="Arial Narrow" w:hAnsi="Arial Narrow"/>
                <w:b/>
                <w:bCs/>
                <w:szCs w:val="20"/>
              </w:rPr>
              <w:t>2017</w:t>
            </w:r>
          </w:p>
        </w:tc>
        <w:tc>
          <w:tcPr>
            <w:tcW w:w="0" w:type="dxa"/>
            <w:noWrap/>
            <w:vAlign w:val="bottom"/>
          </w:tcPr>
          <w:p w14:paraId="26845391"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46,528 </w:t>
            </w:r>
          </w:p>
        </w:tc>
        <w:tc>
          <w:tcPr>
            <w:tcW w:w="0" w:type="dxa"/>
            <w:noWrap/>
            <w:vAlign w:val="bottom"/>
          </w:tcPr>
          <w:p w14:paraId="3D86B1C6"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21,751 </w:t>
            </w:r>
          </w:p>
        </w:tc>
        <w:tc>
          <w:tcPr>
            <w:tcW w:w="0" w:type="dxa"/>
            <w:noWrap/>
            <w:vAlign w:val="bottom"/>
          </w:tcPr>
          <w:p w14:paraId="735ED96F"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4,739 </w:t>
            </w:r>
          </w:p>
        </w:tc>
      </w:tr>
      <w:tr w:rsidR="00AE06FA" w:rsidRPr="00AE06FA" w14:paraId="48865299"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D594AE4" w14:textId="77777777" w:rsidR="00AE06FA" w:rsidRPr="00AE06FA" w:rsidRDefault="00AE06FA" w:rsidP="00AE06FA">
            <w:pPr>
              <w:spacing w:line="240" w:lineRule="auto"/>
              <w:rPr>
                <w:rFonts w:ascii="Arial Narrow" w:hAnsi="Arial Narrow"/>
                <w:b/>
                <w:bCs/>
                <w:szCs w:val="20"/>
              </w:rPr>
            </w:pPr>
            <w:r w:rsidRPr="00AE06FA">
              <w:rPr>
                <w:rFonts w:ascii="Arial Narrow" w:hAnsi="Arial Narrow"/>
                <w:b/>
                <w:bCs/>
                <w:szCs w:val="20"/>
              </w:rPr>
              <w:t>2018</w:t>
            </w:r>
          </w:p>
        </w:tc>
        <w:tc>
          <w:tcPr>
            <w:tcW w:w="0" w:type="dxa"/>
            <w:noWrap/>
            <w:vAlign w:val="bottom"/>
          </w:tcPr>
          <w:p w14:paraId="459B035D"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48,798 </w:t>
            </w:r>
          </w:p>
        </w:tc>
        <w:tc>
          <w:tcPr>
            <w:tcW w:w="0" w:type="dxa"/>
            <w:noWrap/>
            <w:vAlign w:val="bottom"/>
          </w:tcPr>
          <w:p w14:paraId="66DCEE42"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22,812 </w:t>
            </w:r>
          </w:p>
        </w:tc>
        <w:tc>
          <w:tcPr>
            <w:tcW w:w="0" w:type="dxa"/>
            <w:noWrap/>
            <w:vAlign w:val="bottom"/>
          </w:tcPr>
          <w:p w14:paraId="44AD5442"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4,970 </w:t>
            </w:r>
          </w:p>
        </w:tc>
      </w:tr>
      <w:tr w:rsidR="00AE06FA" w:rsidRPr="00AE06FA" w14:paraId="4084EA89"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41BA3A0" w14:textId="77777777" w:rsidR="00AE06FA" w:rsidRPr="00AE06FA" w:rsidRDefault="00AE06FA" w:rsidP="00AE06FA">
            <w:pPr>
              <w:spacing w:line="240" w:lineRule="auto"/>
              <w:rPr>
                <w:rFonts w:ascii="Arial Narrow" w:hAnsi="Arial Narrow"/>
                <w:b/>
                <w:bCs/>
                <w:szCs w:val="20"/>
              </w:rPr>
            </w:pPr>
            <w:r w:rsidRPr="00AE06FA">
              <w:rPr>
                <w:rFonts w:ascii="Arial Narrow" w:hAnsi="Arial Narrow"/>
                <w:b/>
                <w:bCs/>
                <w:szCs w:val="20"/>
              </w:rPr>
              <w:t>2019</w:t>
            </w:r>
          </w:p>
        </w:tc>
        <w:tc>
          <w:tcPr>
            <w:tcW w:w="0" w:type="dxa"/>
            <w:noWrap/>
            <w:vAlign w:val="bottom"/>
          </w:tcPr>
          <w:p w14:paraId="13612E7C"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51,182 </w:t>
            </w:r>
          </w:p>
        </w:tc>
        <w:tc>
          <w:tcPr>
            <w:tcW w:w="0" w:type="dxa"/>
            <w:noWrap/>
            <w:vAlign w:val="bottom"/>
          </w:tcPr>
          <w:p w14:paraId="1240FA1B"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23,927 </w:t>
            </w:r>
          </w:p>
        </w:tc>
        <w:tc>
          <w:tcPr>
            <w:tcW w:w="0" w:type="dxa"/>
            <w:noWrap/>
            <w:vAlign w:val="bottom"/>
          </w:tcPr>
          <w:p w14:paraId="61C793FB"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E06FA">
              <w:rPr>
                <w:rFonts w:ascii="Arial Narrow" w:hAnsi="Arial Narrow"/>
                <w:szCs w:val="20"/>
              </w:rPr>
              <w:t xml:space="preserve">            5,213 </w:t>
            </w:r>
          </w:p>
        </w:tc>
      </w:tr>
      <w:tr w:rsidR="00AE06FA" w:rsidRPr="00AE06FA" w14:paraId="54338DEF"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6266841" w14:textId="77777777" w:rsidR="00AE06FA" w:rsidRPr="00AE06FA" w:rsidRDefault="00AE06FA" w:rsidP="00AE06FA">
            <w:pPr>
              <w:spacing w:line="240" w:lineRule="auto"/>
              <w:rPr>
                <w:rFonts w:ascii="Arial Narrow" w:hAnsi="Arial Narrow"/>
                <w:b/>
                <w:bCs/>
                <w:szCs w:val="20"/>
              </w:rPr>
            </w:pPr>
            <w:r w:rsidRPr="00AE06FA">
              <w:rPr>
                <w:rFonts w:ascii="Arial Narrow" w:hAnsi="Arial Narrow"/>
                <w:b/>
                <w:bCs/>
                <w:szCs w:val="20"/>
              </w:rPr>
              <w:t>2020</w:t>
            </w:r>
          </w:p>
        </w:tc>
        <w:tc>
          <w:tcPr>
            <w:tcW w:w="0" w:type="dxa"/>
            <w:noWrap/>
            <w:vAlign w:val="bottom"/>
          </w:tcPr>
          <w:p w14:paraId="4A7A6153"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46,528 </w:t>
            </w:r>
          </w:p>
        </w:tc>
        <w:tc>
          <w:tcPr>
            <w:tcW w:w="0" w:type="dxa"/>
            <w:noWrap/>
            <w:vAlign w:val="bottom"/>
          </w:tcPr>
          <w:p w14:paraId="53F49394"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21,751 </w:t>
            </w:r>
          </w:p>
        </w:tc>
        <w:tc>
          <w:tcPr>
            <w:tcW w:w="0" w:type="dxa"/>
            <w:noWrap/>
            <w:vAlign w:val="bottom"/>
          </w:tcPr>
          <w:p w14:paraId="68CE7A37"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E06FA">
              <w:rPr>
                <w:rFonts w:ascii="Arial Narrow" w:hAnsi="Arial Narrow"/>
                <w:szCs w:val="20"/>
              </w:rPr>
              <w:t xml:space="preserve">            4,739 </w:t>
            </w:r>
          </w:p>
        </w:tc>
      </w:tr>
      <w:tr w:rsidR="000D7073" w:rsidRPr="00AE06FA" w14:paraId="15940C0F"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gridSpan w:val="4"/>
            <w:shd w:val="clear" w:color="auto" w:fill="F2F2F2" w:themeFill="background2"/>
            <w:noWrap/>
          </w:tcPr>
          <w:p w14:paraId="58D8F0A0" w14:textId="77777777" w:rsidR="000D7073" w:rsidRPr="00AE06FA" w:rsidRDefault="000D7073" w:rsidP="007D30B3">
            <w:pPr>
              <w:spacing w:line="240" w:lineRule="auto"/>
              <w:rPr>
                <w:rFonts w:ascii="Arial Narrow" w:hAnsi="Arial Narrow"/>
                <w:b/>
                <w:szCs w:val="20"/>
              </w:rPr>
            </w:pPr>
            <w:r w:rsidRPr="00AE06FA">
              <w:rPr>
                <w:rFonts w:ascii="Arial Narrow" w:hAnsi="Arial Narrow"/>
                <w:b/>
                <w:szCs w:val="20"/>
              </w:rPr>
              <w:t>Retreatment</w:t>
            </w:r>
          </w:p>
        </w:tc>
      </w:tr>
      <w:tr w:rsidR="00AE06FA" w:rsidRPr="00AE06FA" w14:paraId="6C99A875"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6B9F5E6F" w14:textId="77777777" w:rsidR="00AE06FA" w:rsidRPr="00AE06FA" w:rsidRDefault="00AE06FA" w:rsidP="00AE06FA">
            <w:pPr>
              <w:spacing w:line="240" w:lineRule="auto"/>
              <w:rPr>
                <w:rFonts w:ascii="Arial Narrow" w:hAnsi="Arial Narrow"/>
                <w:b/>
                <w:bCs/>
                <w:szCs w:val="20"/>
              </w:rPr>
            </w:pPr>
            <w:r w:rsidRPr="00AE06FA">
              <w:rPr>
                <w:rFonts w:ascii="Arial Narrow" w:hAnsi="Arial Narrow"/>
                <w:b/>
                <w:bCs/>
                <w:szCs w:val="20"/>
              </w:rPr>
              <w:t>2017</w:t>
            </w:r>
          </w:p>
        </w:tc>
        <w:tc>
          <w:tcPr>
            <w:tcW w:w="0" w:type="dxa"/>
            <w:noWrap/>
            <w:vAlign w:val="bottom"/>
          </w:tcPr>
          <w:p w14:paraId="5BF6B0FF"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29,813 </w:t>
            </w:r>
          </w:p>
        </w:tc>
        <w:tc>
          <w:tcPr>
            <w:tcW w:w="0" w:type="dxa"/>
            <w:noWrap/>
            <w:vAlign w:val="bottom"/>
          </w:tcPr>
          <w:p w14:paraId="21F11D66"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13,937 </w:t>
            </w:r>
          </w:p>
        </w:tc>
        <w:tc>
          <w:tcPr>
            <w:tcW w:w="0" w:type="dxa"/>
            <w:noWrap/>
            <w:vAlign w:val="bottom"/>
          </w:tcPr>
          <w:p w14:paraId="3A01A813"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3,037 </w:t>
            </w:r>
          </w:p>
        </w:tc>
      </w:tr>
      <w:tr w:rsidR="00AE06FA" w:rsidRPr="00AE06FA" w14:paraId="7D163A22"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5DE07C40" w14:textId="77777777" w:rsidR="00AE06FA" w:rsidRPr="00AE06FA" w:rsidRDefault="00AE06FA" w:rsidP="00AE06FA">
            <w:pPr>
              <w:spacing w:line="240" w:lineRule="auto"/>
              <w:rPr>
                <w:rFonts w:ascii="Arial Narrow" w:hAnsi="Arial Narrow"/>
                <w:b/>
                <w:bCs/>
                <w:szCs w:val="20"/>
              </w:rPr>
            </w:pPr>
            <w:r w:rsidRPr="00AE06FA">
              <w:rPr>
                <w:rFonts w:ascii="Arial Narrow" w:hAnsi="Arial Narrow"/>
                <w:b/>
                <w:bCs/>
                <w:szCs w:val="20"/>
              </w:rPr>
              <w:t>2018</w:t>
            </w:r>
          </w:p>
        </w:tc>
        <w:tc>
          <w:tcPr>
            <w:tcW w:w="0" w:type="dxa"/>
            <w:noWrap/>
            <w:vAlign w:val="bottom"/>
          </w:tcPr>
          <w:p w14:paraId="080B84E3"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31,267 </w:t>
            </w:r>
          </w:p>
        </w:tc>
        <w:tc>
          <w:tcPr>
            <w:tcW w:w="0" w:type="dxa"/>
            <w:noWrap/>
            <w:vAlign w:val="bottom"/>
          </w:tcPr>
          <w:p w14:paraId="3CF59F94"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14,617 </w:t>
            </w:r>
          </w:p>
        </w:tc>
        <w:tc>
          <w:tcPr>
            <w:tcW w:w="0" w:type="dxa"/>
            <w:noWrap/>
            <w:vAlign w:val="bottom"/>
          </w:tcPr>
          <w:p w14:paraId="35F7C390"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3,185 </w:t>
            </w:r>
          </w:p>
        </w:tc>
      </w:tr>
      <w:tr w:rsidR="00AE06FA" w:rsidRPr="00AE06FA" w14:paraId="5DD88311"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58C12DD9" w14:textId="77777777" w:rsidR="00AE06FA" w:rsidRPr="00AE06FA" w:rsidRDefault="00AE06FA" w:rsidP="00AE06FA">
            <w:pPr>
              <w:spacing w:line="240" w:lineRule="auto"/>
              <w:rPr>
                <w:rFonts w:ascii="Arial Narrow" w:hAnsi="Arial Narrow"/>
                <w:b/>
                <w:bCs/>
                <w:szCs w:val="20"/>
              </w:rPr>
            </w:pPr>
            <w:r w:rsidRPr="00AE06FA">
              <w:rPr>
                <w:rFonts w:ascii="Arial Narrow" w:hAnsi="Arial Narrow"/>
                <w:b/>
                <w:bCs/>
                <w:szCs w:val="20"/>
              </w:rPr>
              <w:t>2019</w:t>
            </w:r>
          </w:p>
        </w:tc>
        <w:tc>
          <w:tcPr>
            <w:tcW w:w="0" w:type="dxa"/>
            <w:noWrap/>
            <w:vAlign w:val="bottom"/>
          </w:tcPr>
          <w:p w14:paraId="0608D5A5"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32,793 </w:t>
            </w:r>
          </w:p>
        </w:tc>
        <w:tc>
          <w:tcPr>
            <w:tcW w:w="0" w:type="dxa"/>
            <w:noWrap/>
            <w:vAlign w:val="bottom"/>
          </w:tcPr>
          <w:p w14:paraId="1BF8DF6E"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15,330 </w:t>
            </w:r>
          </w:p>
        </w:tc>
        <w:tc>
          <w:tcPr>
            <w:tcW w:w="0" w:type="dxa"/>
            <w:noWrap/>
            <w:vAlign w:val="bottom"/>
          </w:tcPr>
          <w:p w14:paraId="35A03330"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3,340 </w:t>
            </w:r>
          </w:p>
        </w:tc>
      </w:tr>
      <w:tr w:rsidR="00AE06FA" w:rsidRPr="00AE06FA" w14:paraId="54755699"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5628F9B8" w14:textId="77777777" w:rsidR="00AE06FA" w:rsidRPr="00AE06FA" w:rsidRDefault="00AE06FA" w:rsidP="00AE06FA">
            <w:pPr>
              <w:spacing w:line="240" w:lineRule="auto"/>
              <w:rPr>
                <w:rFonts w:ascii="Arial Narrow" w:hAnsi="Arial Narrow"/>
                <w:b/>
                <w:bCs/>
                <w:szCs w:val="20"/>
              </w:rPr>
            </w:pPr>
            <w:r w:rsidRPr="00AE06FA">
              <w:rPr>
                <w:rFonts w:ascii="Arial Narrow" w:hAnsi="Arial Narrow"/>
                <w:b/>
                <w:bCs/>
                <w:szCs w:val="20"/>
              </w:rPr>
              <w:t>2020</w:t>
            </w:r>
          </w:p>
        </w:tc>
        <w:tc>
          <w:tcPr>
            <w:tcW w:w="0" w:type="dxa"/>
            <w:noWrap/>
            <w:vAlign w:val="bottom"/>
          </w:tcPr>
          <w:p w14:paraId="7D00D9D0"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34,395 </w:t>
            </w:r>
          </w:p>
        </w:tc>
        <w:tc>
          <w:tcPr>
            <w:tcW w:w="0" w:type="dxa"/>
            <w:noWrap/>
            <w:vAlign w:val="bottom"/>
          </w:tcPr>
          <w:p w14:paraId="24B0F5D4"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16,079 </w:t>
            </w:r>
          </w:p>
        </w:tc>
        <w:tc>
          <w:tcPr>
            <w:tcW w:w="0" w:type="dxa"/>
            <w:noWrap/>
            <w:vAlign w:val="bottom"/>
          </w:tcPr>
          <w:p w14:paraId="33D383D5" w14:textId="77777777" w:rsidR="00AE06FA" w:rsidRPr="00AE06FA" w:rsidRDefault="00AE06FA" w:rsidP="00AE06F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AE06FA">
              <w:rPr>
                <w:rFonts w:ascii="Arial Narrow" w:hAnsi="Arial Narrow"/>
                <w:szCs w:val="20"/>
              </w:rPr>
              <w:t xml:space="preserve">            3,503 </w:t>
            </w:r>
          </w:p>
        </w:tc>
      </w:tr>
      <w:tr w:rsidR="00AE06FA" w:rsidRPr="00AE06FA" w14:paraId="6DD5DADD"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34880BB7" w14:textId="77777777" w:rsidR="00AE06FA" w:rsidRPr="00AE06FA" w:rsidRDefault="00AE06FA" w:rsidP="00AE06FA">
            <w:pPr>
              <w:spacing w:line="240" w:lineRule="auto"/>
              <w:rPr>
                <w:rFonts w:ascii="Arial Narrow" w:hAnsi="Arial Narrow"/>
                <w:b/>
                <w:bCs/>
                <w:szCs w:val="20"/>
              </w:rPr>
            </w:pPr>
            <w:r w:rsidRPr="00AE06FA">
              <w:rPr>
                <w:rFonts w:ascii="Arial Narrow" w:hAnsi="Arial Narrow"/>
                <w:b/>
                <w:bCs/>
                <w:szCs w:val="20"/>
              </w:rPr>
              <w:t>2021-2030</w:t>
            </w:r>
          </w:p>
        </w:tc>
        <w:tc>
          <w:tcPr>
            <w:tcW w:w="0" w:type="dxa"/>
            <w:noWrap/>
            <w:vAlign w:val="bottom"/>
          </w:tcPr>
          <w:p w14:paraId="6236470B"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81,142 </w:t>
            </w:r>
          </w:p>
        </w:tc>
        <w:tc>
          <w:tcPr>
            <w:tcW w:w="0" w:type="dxa"/>
            <w:noWrap/>
            <w:vAlign w:val="bottom"/>
          </w:tcPr>
          <w:p w14:paraId="5750497C"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37,932 </w:t>
            </w:r>
          </w:p>
        </w:tc>
        <w:tc>
          <w:tcPr>
            <w:tcW w:w="0" w:type="dxa"/>
            <w:noWrap/>
            <w:vAlign w:val="bottom"/>
          </w:tcPr>
          <w:p w14:paraId="3E2007BE" w14:textId="77777777" w:rsidR="00AE06FA" w:rsidRPr="00AE06FA" w:rsidRDefault="00AE06FA" w:rsidP="00AE06F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E06FA">
              <w:rPr>
                <w:rFonts w:ascii="Arial Narrow" w:hAnsi="Arial Narrow"/>
                <w:szCs w:val="20"/>
              </w:rPr>
              <w:t xml:space="preserve">            8,265 </w:t>
            </w:r>
          </w:p>
        </w:tc>
      </w:tr>
    </w:tbl>
    <w:p w14:paraId="403A3E21" w14:textId="77777777" w:rsidR="000D7073" w:rsidRDefault="000D7073" w:rsidP="000D7073">
      <w:pPr>
        <w:spacing w:line="240" w:lineRule="auto"/>
        <w:jc w:val="center"/>
      </w:pPr>
      <w:r>
        <w:t>*Annual treatment</w:t>
      </w:r>
    </w:p>
    <w:p w14:paraId="156E5CEB" w14:textId="77777777" w:rsidR="000D7073" w:rsidRDefault="000D7073" w:rsidP="000D7073"/>
    <w:p w14:paraId="45EF708C" w14:textId="77777777" w:rsidR="000D7073" w:rsidRPr="00E86334" w:rsidRDefault="000D7073" w:rsidP="000D7073"/>
    <w:p w14:paraId="0DBD8826" w14:textId="77777777" w:rsidR="000D7073" w:rsidRDefault="00BB59F5" w:rsidP="000D7073">
      <w:pPr>
        <w:pStyle w:val="Caption"/>
      </w:pPr>
      <w:bookmarkStart w:id="1189" w:name="_Toc484436988"/>
      <w:bookmarkStart w:id="1190" w:name="_Toc490226053"/>
      <w:r w:rsidRPr="00122CD3">
        <w:t xml:space="preserve">Table </w:t>
      </w:r>
      <w:fldSimple w:instr=" STYLEREF 5 \s ">
        <w:r w:rsidR="007566B9">
          <w:rPr>
            <w:noProof/>
          </w:rPr>
          <w:t>G</w:t>
        </w:r>
      </w:fldSimple>
      <w:r w:rsidRPr="00323BFA">
        <w:noBreakHyphen/>
      </w:r>
      <w:fldSimple w:instr=" SEQ Table_Apx \* ARABIC \s 5 ">
        <w:r w:rsidR="007566B9">
          <w:rPr>
            <w:noProof/>
          </w:rPr>
          <w:t>6</w:t>
        </w:r>
      </w:fldSimple>
      <w:r w:rsidRPr="006F2DA9">
        <w:t xml:space="preserve">. </w:t>
      </w:r>
      <w:r w:rsidR="000D7073">
        <w:t>S</w:t>
      </w:r>
      <w:r w:rsidR="00AE06FA">
        <w:t>CG</w:t>
      </w:r>
      <w:r w:rsidR="000D7073">
        <w:t xml:space="preserve"> UES</w:t>
      </w:r>
      <w:bookmarkEnd w:id="1189"/>
      <w:bookmarkEnd w:id="1190"/>
    </w:p>
    <w:tbl>
      <w:tblPr>
        <w:tblStyle w:val="EnergyTable1"/>
        <w:tblW w:w="9150" w:type="dxa"/>
        <w:tblLayout w:type="fixed"/>
        <w:tblLook w:val="04A0" w:firstRow="1" w:lastRow="0" w:firstColumn="1" w:lastColumn="0" w:noHBand="0" w:noVBand="1"/>
      </w:tblPr>
      <w:tblGrid>
        <w:gridCol w:w="1440"/>
        <w:gridCol w:w="1047"/>
        <w:gridCol w:w="720"/>
        <w:gridCol w:w="925"/>
        <w:gridCol w:w="918"/>
        <w:gridCol w:w="677"/>
        <w:gridCol w:w="918"/>
        <w:gridCol w:w="918"/>
        <w:gridCol w:w="684"/>
        <w:gridCol w:w="903"/>
      </w:tblGrid>
      <w:tr w:rsidR="000D7073" w:rsidRPr="006D01BF" w14:paraId="6A4D486A" w14:textId="77777777" w:rsidTr="00AF21BE">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3B1CD2C0" w14:textId="77777777" w:rsidR="000D7073" w:rsidRPr="000D7073" w:rsidRDefault="000D7073" w:rsidP="006D01BF">
            <w:pPr>
              <w:spacing w:line="240" w:lineRule="auto"/>
              <w:rPr>
                <w:rFonts w:ascii="Arial Narrow" w:hAnsi="Arial Narrow"/>
                <w:szCs w:val="20"/>
              </w:rPr>
            </w:pPr>
          </w:p>
        </w:tc>
        <w:tc>
          <w:tcPr>
            <w:tcW w:w="0" w:type="dxa"/>
            <w:gridSpan w:val="3"/>
            <w:noWrap/>
            <w:hideMark/>
          </w:tcPr>
          <w:p w14:paraId="5BCDEB63" w14:textId="77777777" w:rsidR="000D7073" w:rsidRPr="000D7073" w:rsidRDefault="000D7073" w:rsidP="006D01BF">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Single Family</w:t>
            </w:r>
          </w:p>
        </w:tc>
        <w:tc>
          <w:tcPr>
            <w:tcW w:w="0" w:type="dxa"/>
            <w:gridSpan w:val="3"/>
            <w:noWrap/>
            <w:hideMark/>
          </w:tcPr>
          <w:p w14:paraId="05CC146D" w14:textId="77777777" w:rsidR="000D7073" w:rsidRPr="000D7073" w:rsidRDefault="000D7073" w:rsidP="006D01BF">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Multifamily</w:t>
            </w:r>
          </w:p>
        </w:tc>
        <w:tc>
          <w:tcPr>
            <w:tcW w:w="0" w:type="dxa"/>
            <w:gridSpan w:val="3"/>
            <w:noWrap/>
            <w:hideMark/>
          </w:tcPr>
          <w:p w14:paraId="01385CD0" w14:textId="77777777" w:rsidR="000D7073" w:rsidRPr="000D7073" w:rsidRDefault="000D7073" w:rsidP="006D01BF">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Mobile Home</w:t>
            </w:r>
          </w:p>
        </w:tc>
      </w:tr>
      <w:tr w:rsidR="000D7073" w:rsidRPr="006D01BF" w14:paraId="3FAD7A47"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31DFF4D5" w14:textId="77777777" w:rsidR="000D7073" w:rsidRPr="000D7073" w:rsidRDefault="000D7073" w:rsidP="006D01BF">
            <w:pPr>
              <w:spacing w:line="240" w:lineRule="auto"/>
              <w:rPr>
                <w:rFonts w:ascii="Arial Narrow" w:hAnsi="Arial Narrow"/>
                <w:b/>
                <w:bCs/>
                <w:szCs w:val="20"/>
              </w:rPr>
            </w:pPr>
          </w:p>
        </w:tc>
        <w:tc>
          <w:tcPr>
            <w:tcW w:w="0" w:type="dxa"/>
            <w:noWrap/>
            <w:hideMark/>
          </w:tcPr>
          <w:p w14:paraId="77C06B03"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0" w:type="dxa"/>
            <w:noWrap/>
            <w:hideMark/>
          </w:tcPr>
          <w:p w14:paraId="2BD657EA"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0" w:type="dxa"/>
            <w:noWrap/>
            <w:hideMark/>
          </w:tcPr>
          <w:p w14:paraId="58F76F5E"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c>
          <w:tcPr>
            <w:tcW w:w="0" w:type="dxa"/>
            <w:noWrap/>
            <w:hideMark/>
          </w:tcPr>
          <w:p w14:paraId="27784E4E"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0" w:type="dxa"/>
            <w:noWrap/>
            <w:hideMark/>
          </w:tcPr>
          <w:p w14:paraId="4D60C20E"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0" w:type="dxa"/>
            <w:noWrap/>
            <w:hideMark/>
          </w:tcPr>
          <w:p w14:paraId="14016403"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c>
          <w:tcPr>
            <w:tcW w:w="0" w:type="dxa"/>
            <w:noWrap/>
            <w:hideMark/>
          </w:tcPr>
          <w:p w14:paraId="1466812A"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0" w:type="dxa"/>
            <w:noWrap/>
            <w:hideMark/>
          </w:tcPr>
          <w:p w14:paraId="3B75D2F8"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0" w:type="dxa"/>
            <w:noWrap/>
            <w:hideMark/>
          </w:tcPr>
          <w:p w14:paraId="322B3C1A"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r>
      <w:tr w:rsidR="000D7073" w:rsidRPr="006D01BF" w14:paraId="04F2E903" w14:textId="77777777" w:rsidTr="00AF21BE">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gridSpan w:val="10"/>
            <w:shd w:val="clear" w:color="auto" w:fill="F2F2F2" w:themeFill="background2"/>
            <w:noWrap/>
            <w:hideMark/>
          </w:tcPr>
          <w:p w14:paraId="7D38BE8C" w14:textId="77777777" w:rsidR="000D7073" w:rsidRPr="000D7073" w:rsidRDefault="000D7073" w:rsidP="006D01BF">
            <w:pPr>
              <w:spacing w:line="240" w:lineRule="auto"/>
              <w:rPr>
                <w:rFonts w:ascii="Arial Narrow" w:hAnsi="Arial Narrow"/>
                <w:b/>
                <w:bCs/>
                <w:szCs w:val="20"/>
              </w:rPr>
            </w:pPr>
            <w:r w:rsidRPr="000D7073">
              <w:rPr>
                <w:rFonts w:ascii="Arial Narrow" w:hAnsi="Arial Narrow"/>
                <w:b/>
                <w:bCs/>
                <w:szCs w:val="20"/>
              </w:rPr>
              <w:t>First Time Treatment</w:t>
            </w:r>
          </w:p>
        </w:tc>
      </w:tr>
      <w:tr w:rsidR="00A13EF0" w:rsidRPr="006D01BF" w14:paraId="051A1E5B"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75E1DE25"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2017</w:t>
            </w:r>
          </w:p>
        </w:tc>
        <w:tc>
          <w:tcPr>
            <w:tcW w:w="0" w:type="dxa"/>
            <w:noWrap/>
            <w:vAlign w:val="top"/>
          </w:tcPr>
          <w:p w14:paraId="75142B46"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35815">
              <w:rPr>
                <w:rFonts w:ascii="Calibri Light" w:hAnsi="Calibri Light"/>
                <w:szCs w:val="20"/>
              </w:rPr>
              <w:t xml:space="preserve">-  </w:t>
            </w:r>
          </w:p>
        </w:tc>
        <w:tc>
          <w:tcPr>
            <w:tcW w:w="0" w:type="dxa"/>
            <w:noWrap/>
            <w:vAlign w:val="top"/>
          </w:tcPr>
          <w:p w14:paraId="21CD03C2"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35815">
              <w:rPr>
                <w:rFonts w:ascii="Calibri Light" w:hAnsi="Calibri Light"/>
                <w:szCs w:val="20"/>
              </w:rPr>
              <w:t xml:space="preserve">-  </w:t>
            </w:r>
          </w:p>
        </w:tc>
        <w:tc>
          <w:tcPr>
            <w:tcW w:w="0" w:type="dxa"/>
            <w:noWrap/>
          </w:tcPr>
          <w:p w14:paraId="5115EF89"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32.6</w:t>
            </w:r>
          </w:p>
        </w:tc>
        <w:tc>
          <w:tcPr>
            <w:tcW w:w="0" w:type="dxa"/>
            <w:noWrap/>
            <w:vAlign w:val="top"/>
          </w:tcPr>
          <w:p w14:paraId="51932E3D"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640D2">
              <w:rPr>
                <w:rFonts w:ascii="Calibri Light" w:hAnsi="Calibri Light"/>
                <w:szCs w:val="20"/>
              </w:rPr>
              <w:t xml:space="preserve">-  </w:t>
            </w:r>
          </w:p>
        </w:tc>
        <w:tc>
          <w:tcPr>
            <w:tcW w:w="0" w:type="dxa"/>
            <w:noWrap/>
            <w:vAlign w:val="top"/>
          </w:tcPr>
          <w:p w14:paraId="1661C157"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640D2">
              <w:rPr>
                <w:rFonts w:ascii="Calibri Light" w:hAnsi="Calibri Light"/>
                <w:szCs w:val="20"/>
              </w:rPr>
              <w:t xml:space="preserve">-  </w:t>
            </w:r>
          </w:p>
        </w:tc>
        <w:tc>
          <w:tcPr>
            <w:tcW w:w="0" w:type="dxa"/>
            <w:noWrap/>
          </w:tcPr>
          <w:p w14:paraId="3F42DEA7"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14.8</w:t>
            </w:r>
          </w:p>
        </w:tc>
        <w:tc>
          <w:tcPr>
            <w:tcW w:w="0" w:type="dxa"/>
            <w:noWrap/>
            <w:vAlign w:val="top"/>
          </w:tcPr>
          <w:p w14:paraId="0364816A"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E22CF">
              <w:rPr>
                <w:rFonts w:ascii="Calibri Light" w:hAnsi="Calibri Light"/>
                <w:szCs w:val="20"/>
              </w:rPr>
              <w:t xml:space="preserve">-  </w:t>
            </w:r>
          </w:p>
        </w:tc>
        <w:tc>
          <w:tcPr>
            <w:tcW w:w="0" w:type="dxa"/>
            <w:noWrap/>
            <w:vAlign w:val="top"/>
          </w:tcPr>
          <w:p w14:paraId="41C583B1"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E22CF">
              <w:rPr>
                <w:rFonts w:ascii="Calibri Light" w:hAnsi="Calibri Light"/>
                <w:szCs w:val="20"/>
              </w:rPr>
              <w:t xml:space="preserve">-  </w:t>
            </w:r>
          </w:p>
        </w:tc>
        <w:tc>
          <w:tcPr>
            <w:tcW w:w="0" w:type="dxa"/>
            <w:noWrap/>
          </w:tcPr>
          <w:p w14:paraId="515A0261"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 xml:space="preserve">38.8 </w:t>
            </w:r>
          </w:p>
        </w:tc>
      </w:tr>
      <w:tr w:rsidR="002544A3" w:rsidRPr="006D01BF" w14:paraId="6536E9A2" w14:textId="77777777" w:rsidTr="007D30B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60B37BD"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2018</w:t>
            </w:r>
          </w:p>
        </w:tc>
        <w:tc>
          <w:tcPr>
            <w:tcW w:w="1047" w:type="dxa"/>
            <w:noWrap/>
            <w:vAlign w:val="top"/>
          </w:tcPr>
          <w:p w14:paraId="07662DB9"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35815">
              <w:rPr>
                <w:rFonts w:ascii="Calibri Light" w:hAnsi="Calibri Light"/>
                <w:szCs w:val="20"/>
              </w:rPr>
              <w:t xml:space="preserve">-  </w:t>
            </w:r>
          </w:p>
        </w:tc>
        <w:tc>
          <w:tcPr>
            <w:tcW w:w="720" w:type="dxa"/>
            <w:noWrap/>
            <w:vAlign w:val="top"/>
          </w:tcPr>
          <w:p w14:paraId="75F4C06F"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35815">
              <w:rPr>
                <w:rFonts w:ascii="Calibri Light" w:hAnsi="Calibri Light"/>
                <w:szCs w:val="20"/>
              </w:rPr>
              <w:t xml:space="preserve">-  </w:t>
            </w:r>
          </w:p>
        </w:tc>
        <w:tc>
          <w:tcPr>
            <w:tcW w:w="925" w:type="dxa"/>
            <w:noWrap/>
          </w:tcPr>
          <w:p w14:paraId="4987654C"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32.6</w:t>
            </w:r>
          </w:p>
        </w:tc>
        <w:tc>
          <w:tcPr>
            <w:tcW w:w="918" w:type="dxa"/>
            <w:noWrap/>
            <w:vAlign w:val="top"/>
          </w:tcPr>
          <w:p w14:paraId="6A4601ED"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640D2">
              <w:rPr>
                <w:rFonts w:ascii="Calibri Light" w:hAnsi="Calibri Light"/>
                <w:szCs w:val="20"/>
              </w:rPr>
              <w:t xml:space="preserve">-  </w:t>
            </w:r>
          </w:p>
        </w:tc>
        <w:tc>
          <w:tcPr>
            <w:tcW w:w="677" w:type="dxa"/>
            <w:noWrap/>
            <w:vAlign w:val="top"/>
          </w:tcPr>
          <w:p w14:paraId="1AC4E1D4"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640D2">
              <w:rPr>
                <w:rFonts w:ascii="Calibri Light" w:hAnsi="Calibri Light"/>
                <w:szCs w:val="20"/>
              </w:rPr>
              <w:t xml:space="preserve">-  </w:t>
            </w:r>
          </w:p>
        </w:tc>
        <w:tc>
          <w:tcPr>
            <w:tcW w:w="918" w:type="dxa"/>
            <w:noWrap/>
          </w:tcPr>
          <w:p w14:paraId="0E1837BE"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14.8</w:t>
            </w:r>
          </w:p>
        </w:tc>
        <w:tc>
          <w:tcPr>
            <w:tcW w:w="918" w:type="dxa"/>
            <w:noWrap/>
            <w:vAlign w:val="top"/>
          </w:tcPr>
          <w:p w14:paraId="521F3091"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E22CF">
              <w:rPr>
                <w:rFonts w:ascii="Calibri Light" w:hAnsi="Calibri Light"/>
                <w:szCs w:val="20"/>
              </w:rPr>
              <w:t xml:space="preserve">-  </w:t>
            </w:r>
          </w:p>
        </w:tc>
        <w:tc>
          <w:tcPr>
            <w:tcW w:w="684" w:type="dxa"/>
            <w:noWrap/>
            <w:vAlign w:val="top"/>
          </w:tcPr>
          <w:p w14:paraId="1196FB87"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E22CF">
              <w:rPr>
                <w:rFonts w:ascii="Calibri Light" w:hAnsi="Calibri Light"/>
                <w:szCs w:val="20"/>
              </w:rPr>
              <w:t xml:space="preserve">-  </w:t>
            </w:r>
          </w:p>
        </w:tc>
        <w:tc>
          <w:tcPr>
            <w:tcW w:w="903" w:type="dxa"/>
            <w:noWrap/>
          </w:tcPr>
          <w:p w14:paraId="683C1D24"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 xml:space="preserve">38.8 </w:t>
            </w:r>
          </w:p>
        </w:tc>
      </w:tr>
      <w:tr w:rsidR="00A13EF0" w:rsidRPr="006D01BF" w14:paraId="259CEA17"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06ADD9DA"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2019</w:t>
            </w:r>
          </w:p>
        </w:tc>
        <w:tc>
          <w:tcPr>
            <w:tcW w:w="0" w:type="dxa"/>
            <w:noWrap/>
            <w:vAlign w:val="top"/>
          </w:tcPr>
          <w:p w14:paraId="568B262F"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35815">
              <w:rPr>
                <w:rFonts w:ascii="Calibri Light" w:hAnsi="Calibri Light"/>
                <w:szCs w:val="20"/>
              </w:rPr>
              <w:t xml:space="preserve">-  </w:t>
            </w:r>
          </w:p>
        </w:tc>
        <w:tc>
          <w:tcPr>
            <w:tcW w:w="0" w:type="dxa"/>
            <w:noWrap/>
            <w:vAlign w:val="top"/>
          </w:tcPr>
          <w:p w14:paraId="3344B670"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35815">
              <w:rPr>
                <w:rFonts w:ascii="Calibri Light" w:hAnsi="Calibri Light"/>
                <w:szCs w:val="20"/>
              </w:rPr>
              <w:t xml:space="preserve">-  </w:t>
            </w:r>
          </w:p>
        </w:tc>
        <w:tc>
          <w:tcPr>
            <w:tcW w:w="0" w:type="dxa"/>
            <w:noWrap/>
          </w:tcPr>
          <w:p w14:paraId="6E17A699"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32.6</w:t>
            </w:r>
          </w:p>
        </w:tc>
        <w:tc>
          <w:tcPr>
            <w:tcW w:w="0" w:type="dxa"/>
            <w:noWrap/>
            <w:vAlign w:val="top"/>
          </w:tcPr>
          <w:p w14:paraId="1C5F3977"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640D2">
              <w:rPr>
                <w:rFonts w:ascii="Calibri Light" w:hAnsi="Calibri Light"/>
                <w:szCs w:val="20"/>
              </w:rPr>
              <w:t xml:space="preserve">-  </w:t>
            </w:r>
          </w:p>
        </w:tc>
        <w:tc>
          <w:tcPr>
            <w:tcW w:w="0" w:type="dxa"/>
            <w:noWrap/>
            <w:vAlign w:val="top"/>
          </w:tcPr>
          <w:p w14:paraId="0C2C43B4"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640D2">
              <w:rPr>
                <w:rFonts w:ascii="Calibri Light" w:hAnsi="Calibri Light"/>
                <w:szCs w:val="20"/>
              </w:rPr>
              <w:t xml:space="preserve">-  </w:t>
            </w:r>
          </w:p>
        </w:tc>
        <w:tc>
          <w:tcPr>
            <w:tcW w:w="0" w:type="dxa"/>
            <w:noWrap/>
          </w:tcPr>
          <w:p w14:paraId="192E1015"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14.8</w:t>
            </w:r>
          </w:p>
        </w:tc>
        <w:tc>
          <w:tcPr>
            <w:tcW w:w="0" w:type="dxa"/>
            <w:noWrap/>
            <w:vAlign w:val="top"/>
          </w:tcPr>
          <w:p w14:paraId="172BB83E"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E22CF">
              <w:rPr>
                <w:rFonts w:ascii="Calibri Light" w:hAnsi="Calibri Light"/>
                <w:szCs w:val="20"/>
              </w:rPr>
              <w:t xml:space="preserve">-  </w:t>
            </w:r>
          </w:p>
        </w:tc>
        <w:tc>
          <w:tcPr>
            <w:tcW w:w="0" w:type="dxa"/>
            <w:noWrap/>
            <w:vAlign w:val="top"/>
          </w:tcPr>
          <w:p w14:paraId="0347E85C"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DE22CF">
              <w:rPr>
                <w:rFonts w:ascii="Calibri Light" w:hAnsi="Calibri Light"/>
                <w:szCs w:val="20"/>
              </w:rPr>
              <w:t xml:space="preserve">-  </w:t>
            </w:r>
          </w:p>
        </w:tc>
        <w:tc>
          <w:tcPr>
            <w:tcW w:w="0" w:type="dxa"/>
            <w:noWrap/>
          </w:tcPr>
          <w:p w14:paraId="78A9CFFC"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 xml:space="preserve">38.8 </w:t>
            </w:r>
          </w:p>
        </w:tc>
      </w:tr>
      <w:tr w:rsidR="002544A3" w:rsidRPr="006D01BF" w14:paraId="365D3494" w14:textId="77777777" w:rsidTr="007D30B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FCD425C" w14:textId="77777777" w:rsidR="00A13EF0" w:rsidRPr="000D7073" w:rsidRDefault="00A13EF0" w:rsidP="00A13EF0">
            <w:pPr>
              <w:spacing w:line="240" w:lineRule="auto"/>
              <w:rPr>
                <w:rFonts w:ascii="Arial Narrow" w:hAnsi="Arial Narrow"/>
                <w:b/>
                <w:bCs/>
                <w:szCs w:val="20"/>
              </w:rPr>
            </w:pPr>
            <w:r>
              <w:rPr>
                <w:rFonts w:ascii="Arial Narrow" w:hAnsi="Arial Narrow"/>
                <w:b/>
                <w:bCs/>
                <w:szCs w:val="20"/>
              </w:rPr>
              <w:t>2020</w:t>
            </w:r>
          </w:p>
        </w:tc>
        <w:tc>
          <w:tcPr>
            <w:tcW w:w="1047" w:type="dxa"/>
            <w:noWrap/>
            <w:vAlign w:val="top"/>
          </w:tcPr>
          <w:p w14:paraId="50777A45"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35815">
              <w:rPr>
                <w:rFonts w:ascii="Calibri Light" w:hAnsi="Calibri Light"/>
                <w:szCs w:val="20"/>
              </w:rPr>
              <w:t xml:space="preserve">-  </w:t>
            </w:r>
          </w:p>
        </w:tc>
        <w:tc>
          <w:tcPr>
            <w:tcW w:w="720" w:type="dxa"/>
            <w:noWrap/>
            <w:vAlign w:val="top"/>
          </w:tcPr>
          <w:p w14:paraId="129A8169"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35815">
              <w:rPr>
                <w:rFonts w:ascii="Calibri Light" w:hAnsi="Calibri Light"/>
                <w:szCs w:val="20"/>
              </w:rPr>
              <w:t xml:space="preserve">-  </w:t>
            </w:r>
          </w:p>
        </w:tc>
        <w:tc>
          <w:tcPr>
            <w:tcW w:w="925" w:type="dxa"/>
            <w:noWrap/>
          </w:tcPr>
          <w:p w14:paraId="4C63528A"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32.6</w:t>
            </w:r>
          </w:p>
        </w:tc>
        <w:tc>
          <w:tcPr>
            <w:tcW w:w="918" w:type="dxa"/>
            <w:noWrap/>
            <w:vAlign w:val="top"/>
          </w:tcPr>
          <w:p w14:paraId="19625738"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640D2">
              <w:rPr>
                <w:rFonts w:ascii="Calibri Light" w:hAnsi="Calibri Light"/>
                <w:szCs w:val="20"/>
              </w:rPr>
              <w:t xml:space="preserve">-  </w:t>
            </w:r>
          </w:p>
        </w:tc>
        <w:tc>
          <w:tcPr>
            <w:tcW w:w="677" w:type="dxa"/>
            <w:noWrap/>
            <w:vAlign w:val="top"/>
          </w:tcPr>
          <w:p w14:paraId="6CB8C613"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640D2">
              <w:rPr>
                <w:rFonts w:ascii="Calibri Light" w:hAnsi="Calibri Light"/>
                <w:szCs w:val="20"/>
              </w:rPr>
              <w:t xml:space="preserve">-  </w:t>
            </w:r>
          </w:p>
        </w:tc>
        <w:tc>
          <w:tcPr>
            <w:tcW w:w="918" w:type="dxa"/>
            <w:noWrap/>
          </w:tcPr>
          <w:p w14:paraId="0793B2BA"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14.8</w:t>
            </w:r>
          </w:p>
        </w:tc>
        <w:tc>
          <w:tcPr>
            <w:tcW w:w="918" w:type="dxa"/>
            <w:noWrap/>
            <w:vAlign w:val="top"/>
          </w:tcPr>
          <w:p w14:paraId="483C4BBB"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E22CF">
              <w:rPr>
                <w:rFonts w:ascii="Calibri Light" w:hAnsi="Calibri Light"/>
                <w:szCs w:val="20"/>
              </w:rPr>
              <w:t xml:space="preserve">-  </w:t>
            </w:r>
          </w:p>
        </w:tc>
        <w:tc>
          <w:tcPr>
            <w:tcW w:w="684" w:type="dxa"/>
            <w:noWrap/>
            <w:vAlign w:val="top"/>
          </w:tcPr>
          <w:p w14:paraId="4C322DAF"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E22CF">
              <w:rPr>
                <w:rFonts w:ascii="Calibri Light" w:hAnsi="Calibri Light"/>
                <w:szCs w:val="20"/>
              </w:rPr>
              <w:t xml:space="preserve">-  </w:t>
            </w:r>
          </w:p>
        </w:tc>
        <w:tc>
          <w:tcPr>
            <w:tcW w:w="903" w:type="dxa"/>
            <w:noWrap/>
          </w:tcPr>
          <w:p w14:paraId="3C0F69DE"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 xml:space="preserve">38.8 </w:t>
            </w:r>
          </w:p>
        </w:tc>
      </w:tr>
      <w:tr w:rsidR="00AE06FA" w:rsidRPr="006D01BF" w14:paraId="726882C6"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gridSpan w:val="10"/>
            <w:shd w:val="clear" w:color="auto" w:fill="F2F2F2" w:themeFill="background2"/>
            <w:noWrap/>
            <w:hideMark/>
          </w:tcPr>
          <w:p w14:paraId="30B6DDD2" w14:textId="77777777" w:rsidR="000D7073" w:rsidRPr="000D7073" w:rsidRDefault="000D7073" w:rsidP="006D01BF">
            <w:pPr>
              <w:spacing w:line="240" w:lineRule="auto"/>
              <w:rPr>
                <w:rFonts w:ascii="Arial Narrow" w:hAnsi="Arial Narrow"/>
                <w:b/>
                <w:bCs/>
                <w:szCs w:val="20"/>
              </w:rPr>
            </w:pPr>
            <w:r w:rsidRPr="000D7073">
              <w:rPr>
                <w:rFonts w:ascii="Arial Narrow" w:hAnsi="Arial Narrow"/>
                <w:b/>
                <w:bCs/>
                <w:szCs w:val="20"/>
              </w:rPr>
              <w:t>Retreatment</w:t>
            </w:r>
          </w:p>
        </w:tc>
      </w:tr>
      <w:tr w:rsidR="002544A3" w:rsidRPr="006D01BF" w14:paraId="03EEF27D" w14:textId="77777777" w:rsidTr="007D30B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E6DDCB1"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2017</w:t>
            </w:r>
          </w:p>
        </w:tc>
        <w:tc>
          <w:tcPr>
            <w:tcW w:w="1047" w:type="dxa"/>
            <w:noWrap/>
            <w:vAlign w:val="top"/>
          </w:tcPr>
          <w:p w14:paraId="47B84865"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C26F8A">
              <w:rPr>
                <w:rFonts w:ascii="Calibri Light" w:hAnsi="Calibri Light"/>
                <w:szCs w:val="20"/>
              </w:rPr>
              <w:t xml:space="preserve">-  </w:t>
            </w:r>
          </w:p>
        </w:tc>
        <w:tc>
          <w:tcPr>
            <w:tcW w:w="720" w:type="dxa"/>
            <w:noWrap/>
            <w:vAlign w:val="top"/>
          </w:tcPr>
          <w:p w14:paraId="03BE1938"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C26F8A">
              <w:rPr>
                <w:rFonts w:ascii="Calibri Light" w:hAnsi="Calibri Light"/>
                <w:szCs w:val="20"/>
              </w:rPr>
              <w:t xml:space="preserve">-  </w:t>
            </w:r>
          </w:p>
        </w:tc>
        <w:tc>
          <w:tcPr>
            <w:tcW w:w="925" w:type="dxa"/>
            <w:noWrap/>
          </w:tcPr>
          <w:p w14:paraId="2EDA3A9C"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30.6</w:t>
            </w:r>
          </w:p>
        </w:tc>
        <w:tc>
          <w:tcPr>
            <w:tcW w:w="918" w:type="dxa"/>
            <w:noWrap/>
            <w:vAlign w:val="top"/>
          </w:tcPr>
          <w:p w14:paraId="05072E2B"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73D72">
              <w:rPr>
                <w:rFonts w:ascii="Calibri Light" w:hAnsi="Calibri Light"/>
                <w:szCs w:val="20"/>
              </w:rPr>
              <w:t xml:space="preserve">-  </w:t>
            </w:r>
          </w:p>
        </w:tc>
        <w:tc>
          <w:tcPr>
            <w:tcW w:w="677" w:type="dxa"/>
            <w:noWrap/>
            <w:vAlign w:val="top"/>
          </w:tcPr>
          <w:p w14:paraId="7F82E3A3"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73D72">
              <w:rPr>
                <w:rFonts w:ascii="Calibri Light" w:hAnsi="Calibri Light"/>
                <w:szCs w:val="20"/>
              </w:rPr>
              <w:t xml:space="preserve">-  </w:t>
            </w:r>
          </w:p>
        </w:tc>
        <w:tc>
          <w:tcPr>
            <w:tcW w:w="918" w:type="dxa"/>
            <w:noWrap/>
          </w:tcPr>
          <w:p w14:paraId="5B63D102"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13.6</w:t>
            </w:r>
          </w:p>
        </w:tc>
        <w:tc>
          <w:tcPr>
            <w:tcW w:w="918" w:type="dxa"/>
            <w:noWrap/>
            <w:vAlign w:val="top"/>
          </w:tcPr>
          <w:p w14:paraId="1F56300A"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117D3E">
              <w:rPr>
                <w:rFonts w:ascii="Calibri Light" w:hAnsi="Calibri Light"/>
                <w:szCs w:val="20"/>
              </w:rPr>
              <w:t xml:space="preserve">-  </w:t>
            </w:r>
          </w:p>
        </w:tc>
        <w:tc>
          <w:tcPr>
            <w:tcW w:w="684" w:type="dxa"/>
            <w:noWrap/>
            <w:vAlign w:val="top"/>
          </w:tcPr>
          <w:p w14:paraId="487DC234"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117D3E">
              <w:rPr>
                <w:rFonts w:ascii="Calibri Light" w:hAnsi="Calibri Light"/>
                <w:szCs w:val="20"/>
              </w:rPr>
              <w:t xml:space="preserve">-  </w:t>
            </w:r>
          </w:p>
        </w:tc>
        <w:tc>
          <w:tcPr>
            <w:tcW w:w="903" w:type="dxa"/>
            <w:noWrap/>
          </w:tcPr>
          <w:p w14:paraId="1B90252D"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 xml:space="preserve">38.8 </w:t>
            </w:r>
          </w:p>
        </w:tc>
      </w:tr>
      <w:tr w:rsidR="00A13EF0" w:rsidRPr="006D01BF" w14:paraId="5D5FE92D"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00D94F4D"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2018</w:t>
            </w:r>
          </w:p>
        </w:tc>
        <w:tc>
          <w:tcPr>
            <w:tcW w:w="0" w:type="dxa"/>
            <w:noWrap/>
            <w:vAlign w:val="top"/>
          </w:tcPr>
          <w:p w14:paraId="2BC3DEB1"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C26F8A">
              <w:rPr>
                <w:rFonts w:ascii="Calibri Light" w:hAnsi="Calibri Light"/>
                <w:szCs w:val="20"/>
              </w:rPr>
              <w:t xml:space="preserve">-  </w:t>
            </w:r>
          </w:p>
        </w:tc>
        <w:tc>
          <w:tcPr>
            <w:tcW w:w="0" w:type="dxa"/>
            <w:noWrap/>
            <w:vAlign w:val="top"/>
          </w:tcPr>
          <w:p w14:paraId="1442FC1B"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C26F8A">
              <w:rPr>
                <w:rFonts w:ascii="Calibri Light" w:hAnsi="Calibri Light"/>
                <w:szCs w:val="20"/>
              </w:rPr>
              <w:t xml:space="preserve">-  </w:t>
            </w:r>
          </w:p>
        </w:tc>
        <w:tc>
          <w:tcPr>
            <w:tcW w:w="0" w:type="dxa"/>
            <w:noWrap/>
          </w:tcPr>
          <w:p w14:paraId="68CE4194"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30.6</w:t>
            </w:r>
          </w:p>
        </w:tc>
        <w:tc>
          <w:tcPr>
            <w:tcW w:w="0" w:type="dxa"/>
            <w:noWrap/>
            <w:vAlign w:val="top"/>
          </w:tcPr>
          <w:p w14:paraId="4BB6C1F0"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73D72">
              <w:rPr>
                <w:rFonts w:ascii="Calibri Light" w:hAnsi="Calibri Light"/>
                <w:szCs w:val="20"/>
              </w:rPr>
              <w:t xml:space="preserve">-  </w:t>
            </w:r>
          </w:p>
        </w:tc>
        <w:tc>
          <w:tcPr>
            <w:tcW w:w="0" w:type="dxa"/>
            <w:noWrap/>
            <w:vAlign w:val="top"/>
          </w:tcPr>
          <w:p w14:paraId="3D3AFD63"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73D72">
              <w:rPr>
                <w:rFonts w:ascii="Calibri Light" w:hAnsi="Calibri Light"/>
                <w:szCs w:val="20"/>
              </w:rPr>
              <w:t xml:space="preserve">-  </w:t>
            </w:r>
          </w:p>
        </w:tc>
        <w:tc>
          <w:tcPr>
            <w:tcW w:w="0" w:type="dxa"/>
            <w:noWrap/>
          </w:tcPr>
          <w:p w14:paraId="1B1799B5"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13.6</w:t>
            </w:r>
          </w:p>
        </w:tc>
        <w:tc>
          <w:tcPr>
            <w:tcW w:w="0" w:type="dxa"/>
            <w:noWrap/>
            <w:vAlign w:val="top"/>
          </w:tcPr>
          <w:p w14:paraId="737066F4"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117D3E">
              <w:rPr>
                <w:rFonts w:ascii="Calibri Light" w:hAnsi="Calibri Light"/>
                <w:szCs w:val="20"/>
              </w:rPr>
              <w:t xml:space="preserve">-  </w:t>
            </w:r>
          </w:p>
        </w:tc>
        <w:tc>
          <w:tcPr>
            <w:tcW w:w="0" w:type="dxa"/>
            <w:noWrap/>
            <w:vAlign w:val="top"/>
          </w:tcPr>
          <w:p w14:paraId="3A2A934E"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117D3E">
              <w:rPr>
                <w:rFonts w:ascii="Calibri Light" w:hAnsi="Calibri Light"/>
                <w:szCs w:val="20"/>
              </w:rPr>
              <w:t xml:space="preserve">-  </w:t>
            </w:r>
          </w:p>
        </w:tc>
        <w:tc>
          <w:tcPr>
            <w:tcW w:w="0" w:type="dxa"/>
            <w:noWrap/>
          </w:tcPr>
          <w:p w14:paraId="0E61EA23"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 xml:space="preserve">38.8 </w:t>
            </w:r>
          </w:p>
        </w:tc>
      </w:tr>
      <w:tr w:rsidR="002544A3" w:rsidRPr="006D01BF" w14:paraId="0CA2D9C3" w14:textId="77777777" w:rsidTr="007D30B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381407C"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2019</w:t>
            </w:r>
          </w:p>
        </w:tc>
        <w:tc>
          <w:tcPr>
            <w:tcW w:w="1047" w:type="dxa"/>
            <w:noWrap/>
            <w:vAlign w:val="top"/>
          </w:tcPr>
          <w:p w14:paraId="5093A66B"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C26F8A">
              <w:rPr>
                <w:rFonts w:ascii="Calibri Light" w:hAnsi="Calibri Light"/>
                <w:szCs w:val="20"/>
              </w:rPr>
              <w:t xml:space="preserve">-  </w:t>
            </w:r>
          </w:p>
        </w:tc>
        <w:tc>
          <w:tcPr>
            <w:tcW w:w="720" w:type="dxa"/>
            <w:noWrap/>
            <w:vAlign w:val="top"/>
          </w:tcPr>
          <w:p w14:paraId="4B643AC0"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C26F8A">
              <w:rPr>
                <w:rFonts w:ascii="Calibri Light" w:hAnsi="Calibri Light"/>
                <w:szCs w:val="20"/>
              </w:rPr>
              <w:t xml:space="preserve">-  </w:t>
            </w:r>
          </w:p>
        </w:tc>
        <w:tc>
          <w:tcPr>
            <w:tcW w:w="925" w:type="dxa"/>
            <w:noWrap/>
          </w:tcPr>
          <w:p w14:paraId="5F2EB675"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30.6</w:t>
            </w:r>
          </w:p>
        </w:tc>
        <w:tc>
          <w:tcPr>
            <w:tcW w:w="918" w:type="dxa"/>
            <w:noWrap/>
            <w:vAlign w:val="top"/>
          </w:tcPr>
          <w:p w14:paraId="1E1A9720"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73D72">
              <w:rPr>
                <w:rFonts w:ascii="Calibri Light" w:hAnsi="Calibri Light"/>
                <w:szCs w:val="20"/>
              </w:rPr>
              <w:t xml:space="preserve">-  </w:t>
            </w:r>
          </w:p>
        </w:tc>
        <w:tc>
          <w:tcPr>
            <w:tcW w:w="677" w:type="dxa"/>
            <w:noWrap/>
            <w:vAlign w:val="top"/>
          </w:tcPr>
          <w:p w14:paraId="7D245A52"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73D72">
              <w:rPr>
                <w:rFonts w:ascii="Calibri Light" w:hAnsi="Calibri Light"/>
                <w:szCs w:val="20"/>
              </w:rPr>
              <w:t xml:space="preserve">-  </w:t>
            </w:r>
          </w:p>
        </w:tc>
        <w:tc>
          <w:tcPr>
            <w:tcW w:w="918" w:type="dxa"/>
            <w:noWrap/>
          </w:tcPr>
          <w:p w14:paraId="76AA08BA"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13.6</w:t>
            </w:r>
          </w:p>
        </w:tc>
        <w:tc>
          <w:tcPr>
            <w:tcW w:w="918" w:type="dxa"/>
            <w:noWrap/>
            <w:vAlign w:val="top"/>
          </w:tcPr>
          <w:p w14:paraId="741DBB08"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117D3E">
              <w:rPr>
                <w:rFonts w:ascii="Calibri Light" w:hAnsi="Calibri Light"/>
                <w:szCs w:val="20"/>
              </w:rPr>
              <w:t xml:space="preserve">-  </w:t>
            </w:r>
          </w:p>
        </w:tc>
        <w:tc>
          <w:tcPr>
            <w:tcW w:w="684" w:type="dxa"/>
            <w:noWrap/>
            <w:vAlign w:val="top"/>
          </w:tcPr>
          <w:p w14:paraId="339D1EAA"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117D3E">
              <w:rPr>
                <w:rFonts w:ascii="Calibri Light" w:hAnsi="Calibri Light"/>
                <w:szCs w:val="20"/>
              </w:rPr>
              <w:t xml:space="preserve">-  </w:t>
            </w:r>
          </w:p>
        </w:tc>
        <w:tc>
          <w:tcPr>
            <w:tcW w:w="903" w:type="dxa"/>
            <w:noWrap/>
          </w:tcPr>
          <w:p w14:paraId="2DAE23DE" w14:textId="77777777" w:rsidR="00A13EF0" w:rsidRPr="000D7073" w:rsidRDefault="00A13EF0" w:rsidP="00A13EF0">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 xml:space="preserve">38.8 </w:t>
            </w:r>
          </w:p>
        </w:tc>
      </w:tr>
      <w:tr w:rsidR="00A13EF0" w:rsidRPr="006D01BF" w14:paraId="27C38081"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5E88C6B5" w14:textId="77777777" w:rsidR="00A13EF0" w:rsidRPr="000D7073" w:rsidRDefault="00A13EF0" w:rsidP="00A13EF0">
            <w:pPr>
              <w:spacing w:line="240" w:lineRule="auto"/>
              <w:rPr>
                <w:rFonts w:ascii="Arial Narrow" w:hAnsi="Arial Narrow"/>
                <w:b/>
                <w:bCs/>
                <w:szCs w:val="20"/>
              </w:rPr>
            </w:pPr>
            <w:r w:rsidRPr="000D7073">
              <w:rPr>
                <w:rFonts w:ascii="Arial Narrow" w:hAnsi="Arial Narrow"/>
                <w:b/>
                <w:bCs/>
                <w:szCs w:val="20"/>
              </w:rPr>
              <w:t>2020 - 2030</w:t>
            </w:r>
          </w:p>
        </w:tc>
        <w:tc>
          <w:tcPr>
            <w:tcW w:w="0" w:type="dxa"/>
            <w:noWrap/>
            <w:vAlign w:val="top"/>
          </w:tcPr>
          <w:p w14:paraId="403C08C9"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C26F8A">
              <w:rPr>
                <w:rFonts w:ascii="Calibri Light" w:hAnsi="Calibri Light"/>
                <w:szCs w:val="20"/>
              </w:rPr>
              <w:t xml:space="preserve">-  </w:t>
            </w:r>
          </w:p>
        </w:tc>
        <w:tc>
          <w:tcPr>
            <w:tcW w:w="0" w:type="dxa"/>
            <w:noWrap/>
            <w:vAlign w:val="top"/>
          </w:tcPr>
          <w:p w14:paraId="5A29EA99"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C26F8A">
              <w:rPr>
                <w:rFonts w:ascii="Calibri Light" w:hAnsi="Calibri Light"/>
                <w:szCs w:val="20"/>
              </w:rPr>
              <w:t xml:space="preserve">-  </w:t>
            </w:r>
          </w:p>
        </w:tc>
        <w:tc>
          <w:tcPr>
            <w:tcW w:w="0" w:type="dxa"/>
            <w:noWrap/>
          </w:tcPr>
          <w:p w14:paraId="1519D8C9"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30.6</w:t>
            </w:r>
          </w:p>
        </w:tc>
        <w:tc>
          <w:tcPr>
            <w:tcW w:w="0" w:type="dxa"/>
            <w:noWrap/>
            <w:vAlign w:val="top"/>
          </w:tcPr>
          <w:p w14:paraId="1B9E4B66"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73D72">
              <w:rPr>
                <w:rFonts w:ascii="Calibri Light" w:hAnsi="Calibri Light"/>
                <w:szCs w:val="20"/>
              </w:rPr>
              <w:t xml:space="preserve">-  </w:t>
            </w:r>
          </w:p>
        </w:tc>
        <w:tc>
          <w:tcPr>
            <w:tcW w:w="0" w:type="dxa"/>
            <w:noWrap/>
            <w:vAlign w:val="top"/>
          </w:tcPr>
          <w:p w14:paraId="22BF3A42"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73D72">
              <w:rPr>
                <w:rFonts w:ascii="Calibri Light" w:hAnsi="Calibri Light"/>
                <w:szCs w:val="20"/>
              </w:rPr>
              <w:t xml:space="preserve">-  </w:t>
            </w:r>
          </w:p>
        </w:tc>
        <w:tc>
          <w:tcPr>
            <w:tcW w:w="0" w:type="dxa"/>
            <w:noWrap/>
          </w:tcPr>
          <w:p w14:paraId="1D2AC447"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13.6</w:t>
            </w:r>
          </w:p>
        </w:tc>
        <w:tc>
          <w:tcPr>
            <w:tcW w:w="0" w:type="dxa"/>
            <w:noWrap/>
            <w:vAlign w:val="top"/>
          </w:tcPr>
          <w:p w14:paraId="0CB8AA84"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117D3E">
              <w:rPr>
                <w:rFonts w:ascii="Calibri Light" w:hAnsi="Calibri Light"/>
                <w:szCs w:val="20"/>
              </w:rPr>
              <w:t xml:space="preserve">-  </w:t>
            </w:r>
          </w:p>
        </w:tc>
        <w:tc>
          <w:tcPr>
            <w:tcW w:w="0" w:type="dxa"/>
            <w:noWrap/>
            <w:vAlign w:val="top"/>
          </w:tcPr>
          <w:p w14:paraId="237251D0"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117D3E">
              <w:rPr>
                <w:rFonts w:ascii="Calibri Light" w:hAnsi="Calibri Light"/>
                <w:szCs w:val="20"/>
              </w:rPr>
              <w:t xml:space="preserve">-  </w:t>
            </w:r>
          </w:p>
        </w:tc>
        <w:tc>
          <w:tcPr>
            <w:tcW w:w="0" w:type="dxa"/>
            <w:noWrap/>
          </w:tcPr>
          <w:p w14:paraId="73B95374" w14:textId="77777777" w:rsidR="00A13EF0" w:rsidRPr="000D7073" w:rsidRDefault="00A13EF0" w:rsidP="00A13EF0">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 xml:space="preserve">38.8 </w:t>
            </w:r>
          </w:p>
        </w:tc>
      </w:tr>
    </w:tbl>
    <w:p w14:paraId="122595FB" w14:textId="77777777" w:rsidR="00B37F3E" w:rsidRDefault="00B37F3E" w:rsidP="00B37F3E"/>
    <w:p w14:paraId="46F76BBD" w14:textId="77777777" w:rsidR="00B37F3E" w:rsidRDefault="00B37F3E">
      <w:pPr>
        <w:spacing w:line="240" w:lineRule="auto"/>
      </w:pPr>
      <w:r>
        <w:br w:type="page"/>
      </w:r>
    </w:p>
    <w:p w14:paraId="1CED1C49" w14:textId="77777777" w:rsidR="000D7073" w:rsidRDefault="000D7073" w:rsidP="000D7073">
      <w:pPr>
        <w:pStyle w:val="Heading6"/>
      </w:pPr>
      <w:bookmarkStart w:id="1191" w:name="_Toc484092534"/>
      <w:bookmarkStart w:id="1192" w:name="_Toc484172739"/>
      <w:bookmarkStart w:id="1193" w:name="_Toc484183086"/>
      <w:bookmarkStart w:id="1194" w:name="_Toc490225852"/>
      <w:r>
        <w:lastRenderedPageBreak/>
        <w:t>SDG&amp;E</w:t>
      </w:r>
      <w:bookmarkEnd w:id="1191"/>
      <w:bookmarkEnd w:id="1192"/>
      <w:bookmarkEnd w:id="1193"/>
      <w:bookmarkEnd w:id="1194"/>
    </w:p>
    <w:p w14:paraId="4F62E234" w14:textId="77777777" w:rsidR="000D7073" w:rsidRDefault="00BB59F5" w:rsidP="000D7073">
      <w:pPr>
        <w:pStyle w:val="Caption"/>
      </w:pPr>
      <w:bookmarkStart w:id="1195" w:name="_Toc484436989"/>
      <w:bookmarkStart w:id="1196" w:name="_Toc490226054"/>
      <w:r w:rsidRPr="00122CD3">
        <w:t xml:space="preserve">Table </w:t>
      </w:r>
      <w:fldSimple w:instr=" STYLEREF 5 \s ">
        <w:r w:rsidR="007566B9">
          <w:rPr>
            <w:noProof/>
          </w:rPr>
          <w:t>G</w:t>
        </w:r>
      </w:fldSimple>
      <w:r w:rsidRPr="00323BFA">
        <w:noBreakHyphen/>
      </w:r>
      <w:fldSimple w:instr=" SEQ Table_Apx \* ARABIC \s 5 ">
        <w:r w:rsidR="007566B9">
          <w:rPr>
            <w:noProof/>
          </w:rPr>
          <w:t>7</w:t>
        </w:r>
      </w:fldSimple>
      <w:r w:rsidRPr="006F2DA9">
        <w:t xml:space="preserve">. </w:t>
      </w:r>
      <w:r>
        <w:t>SDG</w:t>
      </w:r>
      <w:r w:rsidR="000D7073">
        <w:t>&amp;E Households Treated</w:t>
      </w:r>
      <w:bookmarkEnd w:id="1195"/>
      <w:bookmarkEnd w:id="1196"/>
    </w:p>
    <w:tbl>
      <w:tblPr>
        <w:tblStyle w:val="EnergyTable1"/>
        <w:tblW w:w="6198" w:type="dxa"/>
        <w:tblLook w:val="04A0" w:firstRow="1" w:lastRow="0" w:firstColumn="1" w:lastColumn="0" w:noHBand="0" w:noVBand="1"/>
      </w:tblPr>
      <w:tblGrid>
        <w:gridCol w:w="1253"/>
        <w:gridCol w:w="1430"/>
        <w:gridCol w:w="2085"/>
        <w:gridCol w:w="1430"/>
      </w:tblGrid>
      <w:tr w:rsidR="000D7073" w:rsidRPr="00021116" w14:paraId="43FC2A37" w14:textId="77777777" w:rsidTr="00AF21B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F8CBBE2" w14:textId="77777777" w:rsidR="000D7073" w:rsidRPr="00021116" w:rsidRDefault="000D7073" w:rsidP="007D30B3">
            <w:pPr>
              <w:spacing w:line="240" w:lineRule="auto"/>
              <w:rPr>
                <w:rFonts w:ascii="Arial Narrow" w:hAnsi="Arial Narrow"/>
                <w:bCs/>
                <w:szCs w:val="20"/>
              </w:rPr>
            </w:pPr>
          </w:p>
        </w:tc>
        <w:tc>
          <w:tcPr>
            <w:tcW w:w="0" w:type="dxa"/>
            <w:noWrap/>
            <w:hideMark/>
          </w:tcPr>
          <w:p w14:paraId="7510A284" w14:textId="77777777" w:rsidR="000D7073" w:rsidRPr="00021116"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021116">
              <w:rPr>
                <w:rFonts w:ascii="Arial Narrow" w:hAnsi="Arial Narrow"/>
                <w:szCs w:val="20"/>
              </w:rPr>
              <w:t xml:space="preserve"> Single Family </w:t>
            </w:r>
          </w:p>
        </w:tc>
        <w:tc>
          <w:tcPr>
            <w:tcW w:w="0" w:type="dxa"/>
            <w:noWrap/>
            <w:hideMark/>
          </w:tcPr>
          <w:p w14:paraId="1A37A4DB" w14:textId="77777777" w:rsidR="000D7073" w:rsidRPr="00021116"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021116">
              <w:rPr>
                <w:rFonts w:ascii="Arial Narrow" w:hAnsi="Arial Narrow"/>
                <w:szCs w:val="20"/>
              </w:rPr>
              <w:t>Multifamily</w:t>
            </w:r>
          </w:p>
        </w:tc>
        <w:tc>
          <w:tcPr>
            <w:tcW w:w="0" w:type="dxa"/>
            <w:noWrap/>
            <w:hideMark/>
          </w:tcPr>
          <w:p w14:paraId="63BC259F" w14:textId="77777777" w:rsidR="000D7073" w:rsidRPr="00021116" w:rsidRDefault="000D7073" w:rsidP="007D30B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021116">
              <w:rPr>
                <w:rFonts w:ascii="Arial Narrow" w:hAnsi="Arial Narrow"/>
                <w:szCs w:val="20"/>
              </w:rPr>
              <w:t xml:space="preserve"> Mobile Home</w:t>
            </w:r>
          </w:p>
        </w:tc>
      </w:tr>
      <w:tr w:rsidR="000D7073" w:rsidRPr="00021116" w14:paraId="74E862D6"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gridSpan w:val="4"/>
            <w:shd w:val="clear" w:color="auto" w:fill="F2F2F2" w:themeFill="background2"/>
            <w:noWrap/>
          </w:tcPr>
          <w:p w14:paraId="3BEC5792" w14:textId="77777777" w:rsidR="000D7073" w:rsidRPr="00021116" w:rsidRDefault="000D7073" w:rsidP="007D30B3">
            <w:pPr>
              <w:spacing w:line="240" w:lineRule="auto"/>
              <w:rPr>
                <w:rFonts w:ascii="Arial Narrow" w:hAnsi="Arial Narrow"/>
                <w:b/>
                <w:szCs w:val="20"/>
              </w:rPr>
            </w:pPr>
            <w:r w:rsidRPr="00021116">
              <w:rPr>
                <w:rFonts w:ascii="Arial Narrow" w:hAnsi="Arial Narrow"/>
                <w:b/>
                <w:szCs w:val="20"/>
              </w:rPr>
              <w:t>First Time Treatment</w:t>
            </w:r>
          </w:p>
        </w:tc>
      </w:tr>
      <w:tr w:rsidR="006D01BF" w:rsidRPr="00021116" w14:paraId="27DA3953"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224B40A" w14:textId="77777777" w:rsidR="006D01BF" w:rsidRPr="00021116" w:rsidRDefault="006D01BF" w:rsidP="006D01BF">
            <w:pPr>
              <w:spacing w:line="240" w:lineRule="auto"/>
              <w:rPr>
                <w:rFonts w:ascii="Arial Narrow" w:hAnsi="Arial Narrow"/>
                <w:b/>
                <w:bCs/>
                <w:szCs w:val="20"/>
              </w:rPr>
            </w:pPr>
            <w:r w:rsidRPr="00021116">
              <w:rPr>
                <w:rFonts w:ascii="Arial Narrow" w:hAnsi="Arial Narrow"/>
                <w:b/>
                <w:bCs/>
                <w:szCs w:val="20"/>
              </w:rPr>
              <w:t>2017</w:t>
            </w:r>
          </w:p>
        </w:tc>
        <w:tc>
          <w:tcPr>
            <w:tcW w:w="0" w:type="dxa"/>
            <w:noWrap/>
            <w:vAlign w:val="bottom"/>
          </w:tcPr>
          <w:p w14:paraId="251BA6B2" w14:textId="77777777" w:rsidR="006D01BF" w:rsidRPr="00021116"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21116">
              <w:rPr>
                <w:rFonts w:ascii="Arial Narrow" w:hAnsi="Arial Narrow"/>
                <w:szCs w:val="20"/>
              </w:rPr>
              <w:t xml:space="preserve">             5,782 </w:t>
            </w:r>
          </w:p>
        </w:tc>
        <w:tc>
          <w:tcPr>
            <w:tcW w:w="0" w:type="dxa"/>
            <w:noWrap/>
            <w:vAlign w:val="bottom"/>
          </w:tcPr>
          <w:p w14:paraId="30D6C3F2" w14:textId="77777777" w:rsidR="006D01BF" w:rsidRPr="00021116"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21116">
              <w:rPr>
                <w:rFonts w:ascii="Arial Narrow" w:hAnsi="Arial Narrow"/>
                <w:szCs w:val="20"/>
              </w:rPr>
              <w:t xml:space="preserve">             4,625 </w:t>
            </w:r>
          </w:p>
        </w:tc>
        <w:tc>
          <w:tcPr>
            <w:tcW w:w="0" w:type="dxa"/>
            <w:noWrap/>
            <w:vAlign w:val="bottom"/>
          </w:tcPr>
          <w:p w14:paraId="3A27E71E" w14:textId="77777777" w:rsidR="006D01BF" w:rsidRPr="00021116"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21116">
              <w:rPr>
                <w:rFonts w:ascii="Arial Narrow" w:hAnsi="Arial Narrow"/>
                <w:szCs w:val="20"/>
              </w:rPr>
              <w:t xml:space="preserve">             1,156 </w:t>
            </w:r>
          </w:p>
        </w:tc>
      </w:tr>
      <w:tr w:rsidR="006D01BF" w:rsidRPr="00021116" w14:paraId="20A7F6C4"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9D5ED4E" w14:textId="77777777" w:rsidR="006D01BF" w:rsidRPr="00021116" w:rsidRDefault="006D01BF" w:rsidP="006D01BF">
            <w:pPr>
              <w:spacing w:line="240" w:lineRule="auto"/>
              <w:rPr>
                <w:rFonts w:ascii="Arial Narrow" w:hAnsi="Arial Narrow"/>
                <w:b/>
                <w:bCs/>
                <w:szCs w:val="20"/>
              </w:rPr>
            </w:pPr>
            <w:r w:rsidRPr="00021116">
              <w:rPr>
                <w:rFonts w:ascii="Arial Narrow" w:hAnsi="Arial Narrow"/>
                <w:b/>
                <w:bCs/>
                <w:szCs w:val="20"/>
              </w:rPr>
              <w:t>2018</w:t>
            </w:r>
          </w:p>
        </w:tc>
        <w:tc>
          <w:tcPr>
            <w:tcW w:w="0" w:type="dxa"/>
            <w:noWrap/>
            <w:vAlign w:val="bottom"/>
          </w:tcPr>
          <w:p w14:paraId="1EFDC678" w14:textId="77777777" w:rsidR="006D01BF" w:rsidRPr="00021116"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21116">
              <w:rPr>
                <w:rFonts w:ascii="Arial Narrow" w:hAnsi="Arial Narrow"/>
                <w:szCs w:val="20"/>
              </w:rPr>
              <w:t xml:space="preserve">             5,782 </w:t>
            </w:r>
          </w:p>
        </w:tc>
        <w:tc>
          <w:tcPr>
            <w:tcW w:w="0" w:type="dxa"/>
            <w:noWrap/>
            <w:vAlign w:val="bottom"/>
          </w:tcPr>
          <w:p w14:paraId="08B3AA43" w14:textId="77777777" w:rsidR="006D01BF" w:rsidRPr="00021116"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21116">
              <w:rPr>
                <w:rFonts w:ascii="Arial Narrow" w:hAnsi="Arial Narrow"/>
                <w:szCs w:val="20"/>
              </w:rPr>
              <w:t xml:space="preserve">             4,625 </w:t>
            </w:r>
          </w:p>
        </w:tc>
        <w:tc>
          <w:tcPr>
            <w:tcW w:w="0" w:type="dxa"/>
            <w:noWrap/>
            <w:vAlign w:val="bottom"/>
          </w:tcPr>
          <w:p w14:paraId="6F977672" w14:textId="77777777" w:rsidR="006D01BF" w:rsidRPr="00021116"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21116">
              <w:rPr>
                <w:rFonts w:ascii="Arial Narrow" w:hAnsi="Arial Narrow"/>
                <w:szCs w:val="20"/>
              </w:rPr>
              <w:t xml:space="preserve">             1,156 </w:t>
            </w:r>
          </w:p>
        </w:tc>
      </w:tr>
      <w:tr w:rsidR="006D01BF" w:rsidRPr="00021116" w14:paraId="0A8C57B9"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6B280B6" w14:textId="77777777" w:rsidR="006D01BF" w:rsidRPr="00021116" w:rsidRDefault="006D01BF" w:rsidP="006D01BF">
            <w:pPr>
              <w:spacing w:line="240" w:lineRule="auto"/>
              <w:rPr>
                <w:rFonts w:ascii="Arial Narrow" w:hAnsi="Arial Narrow"/>
                <w:b/>
                <w:bCs/>
                <w:szCs w:val="20"/>
              </w:rPr>
            </w:pPr>
            <w:r w:rsidRPr="00021116">
              <w:rPr>
                <w:rFonts w:ascii="Arial Narrow" w:hAnsi="Arial Narrow"/>
                <w:b/>
                <w:bCs/>
                <w:szCs w:val="20"/>
              </w:rPr>
              <w:t>2019</w:t>
            </w:r>
          </w:p>
        </w:tc>
        <w:tc>
          <w:tcPr>
            <w:tcW w:w="0" w:type="dxa"/>
            <w:noWrap/>
            <w:vAlign w:val="bottom"/>
          </w:tcPr>
          <w:p w14:paraId="6900B934" w14:textId="77777777" w:rsidR="006D01BF" w:rsidRPr="00021116"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21116">
              <w:rPr>
                <w:rFonts w:ascii="Arial Narrow" w:hAnsi="Arial Narrow"/>
                <w:szCs w:val="20"/>
              </w:rPr>
              <w:t xml:space="preserve">             5,781 </w:t>
            </w:r>
          </w:p>
        </w:tc>
        <w:tc>
          <w:tcPr>
            <w:tcW w:w="0" w:type="dxa"/>
            <w:noWrap/>
            <w:vAlign w:val="bottom"/>
          </w:tcPr>
          <w:p w14:paraId="5BCE0017" w14:textId="77777777" w:rsidR="006D01BF" w:rsidRPr="00021116"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21116">
              <w:rPr>
                <w:rFonts w:ascii="Arial Narrow" w:hAnsi="Arial Narrow"/>
                <w:szCs w:val="20"/>
              </w:rPr>
              <w:t xml:space="preserve">             4,625 </w:t>
            </w:r>
          </w:p>
        </w:tc>
        <w:tc>
          <w:tcPr>
            <w:tcW w:w="0" w:type="dxa"/>
            <w:noWrap/>
            <w:vAlign w:val="bottom"/>
          </w:tcPr>
          <w:p w14:paraId="08E66A65" w14:textId="77777777" w:rsidR="006D01BF" w:rsidRPr="00021116"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021116">
              <w:rPr>
                <w:rFonts w:ascii="Arial Narrow" w:hAnsi="Arial Narrow"/>
                <w:szCs w:val="20"/>
              </w:rPr>
              <w:t xml:space="preserve">             1,156 </w:t>
            </w:r>
          </w:p>
        </w:tc>
      </w:tr>
      <w:tr w:rsidR="006D01BF" w:rsidRPr="00021116" w14:paraId="57DD9760"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50DFC12" w14:textId="77777777" w:rsidR="006D01BF" w:rsidRPr="00021116" w:rsidRDefault="006D01BF" w:rsidP="006D01BF">
            <w:pPr>
              <w:spacing w:line="240" w:lineRule="auto"/>
              <w:rPr>
                <w:rFonts w:ascii="Arial Narrow" w:hAnsi="Arial Narrow"/>
                <w:b/>
                <w:bCs/>
                <w:szCs w:val="20"/>
              </w:rPr>
            </w:pPr>
            <w:r w:rsidRPr="00021116">
              <w:rPr>
                <w:rFonts w:ascii="Arial Narrow" w:hAnsi="Arial Narrow"/>
                <w:b/>
                <w:bCs/>
                <w:szCs w:val="20"/>
              </w:rPr>
              <w:t>2020</w:t>
            </w:r>
          </w:p>
        </w:tc>
        <w:tc>
          <w:tcPr>
            <w:tcW w:w="0" w:type="dxa"/>
            <w:noWrap/>
            <w:vAlign w:val="bottom"/>
          </w:tcPr>
          <w:p w14:paraId="448C0A4B" w14:textId="77777777" w:rsidR="006D01BF" w:rsidRPr="00021116"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21116">
              <w:rPr>
                <w:rFonts w:ascii="Arial Narrow" w:hAnsi="Arial Narrow"/>
                <w:szCs w:val="20"/>
              </w:rPr>
              <w:t xml:space="preserve">                     -   </w:t>
            </w:r>
          </w:p>
        </w:tc>
        <w:tc>
          <w:tcPr>
            <w:tcW w:w="0" w:type="dxa"/>
            <w:noWrap/>
            <w:vAlign w:val="bottom"/>
          </w:tcPr>
          <w:p w14:paraId="4B73AB39" w14:textId="77777777" w:rsidR="006D01BF" w:rsidRPr="00021116"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21116">
              <w:rPr>
                <w:rFonts w:ascii="Arial Narrow" w:hAnsi="Arial Narrow"/>
                <w:szCs w:val="20"/>
              </w:rPr>
              <w:t xml:space="preserve">                     -   </w:t>
            </w:r>
          </w:p>
        </w:tc>
        <w:tc>
          <w:tcPr>
            <w:tcW w:w="0" w:type="dxa"/>
            <w:noWrap/>
            <w:vAlign w:val="bottom"/>
          </w:tcPr>
          <w:p w14:paraId="2F7C8A97" w14:textId="77777777" w:rsidR="006D01BF" w:rsidRPr="00021116"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021116">
              <w:rPr>
                <w:rFonts w:ascii="Arial Narrow" w:hAnsi="Arial Narrow"/>
                <w:szCs w:val="20"/>
              </w:rPr>
              <w:t xml:space="preserve">                     -   </w:t>
            </w:r>
          </w:p>
        </w:tc>
      </w:tr>
      <w:tr w:rsidR="000D7073" w:rsidRPr="00021116" w14:paraId="3CCAA065"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gridSpan w:val="4"/>
            <w:shd w:val="clear" w:color="auto" w:fill="F2F2F2" w:themeFill="background2"/>
            <w:noWrap/>
          </w:tcPr>
          <w:p w14:paraId="6B051384" w14:textId="77777777" w:rsidR="000D7073" w:rsidRPr="00021116" w:rsidRDefault="000D7073" w:rsidP="007D30B3">
            <w:pPr>
              <w:spacing w:line="240" w:lineRule="auto"/>
              <w:rPr>
                <w:rFonts w:ascii="Arial Narrow" w:hAnsi="Arial Narrow"/>
                <w:b/>
                <w:szCs w:val="20"/>
              </w:rPr>
            </w:pPr>
            <w:r w:rsidRPr="00021116">
              <w:rPr>
                <w:rFonts w:ascii="Arial Narrow" w:hAnsi="Arial Narrow"/>
                <w:b/>
                <w:szCs w:val="20"/>
              </w:rPr>
              <w:t>Retreatment</w:t>
            </w:r>
          </w:p>
        </w:tc>
      </w:tr>
      <w:tr w:rsidR="006D01BF" w:rsidRPr="00021116" w14:paraId="0961AF35"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44781CD5" w14:textId="77777777" w:rsidR="006D01BF" w:rsidRPr="00021116" w:rsidRDefault="006D01BF" w:rsidP="006D01BF">
            <w:pPr>
              <w:spacing w:line="240" w:lineRule="auto"/>
              <w:rPr>
                <w:rFonts w:ascii="Arial Narrow" w:hAnsi="Arial Narrow"/>
                <w:b/>
                <w:bCs/>
                <w:szCs w:val="20"/>
              </w:rPr>
            </w:pPr>
            <w:r w:rsidRPr="00021116">
              <w:rPr>
                <w:rFonts w:ascii="Arial Narrow" w:hAnsi="Arial Narrow"/>
                <w:b/>
                <w:bCs/>
                <w:szCs w:val="20"/>
              </w:rPr>
              <w:t>2017</w:t>
            </w:r>
          </w:p>
        </w:tc>
        <w:tc>
          <w:tcPr>
            <w:tcW w:w="0" w:type="dxa"/>
            <w:noWrap/>
            <w:vAlign w:val="bottom"/>
          </w:tcPr>
          <w:p w14:paraId="4EF6DE8F" w14:textId="77777777" w:rsidR="006D01BF" w:rsidRPr="00021116"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21116">
              <w:rPr>
                <w:rFonts w:ascii="Arial Narrow" w:hAnsi="Arial Narrow"/>
                <w:szCs w:val="20"/>
              </w:rPr>
              <w:t xml:space="preserve">             4,377 </w:t>
            </w:r>
          </w:p>
        </w:tc>
        <w:tc>
          <w:tcPr>
            <w:tcW w:w="0" w:type="dxa"/>
            <w:noWrap/>
            <w:vAlign w:val="bottom"/>
          </w:tcPr>
          <w:p w14:paraId="6FC50337" w14:textId="77777777" w:rsidR="006D01BF" w:rsidRPr="00021116"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21116">
              <w:rPr>
                <w:rFonts w:ascii="Arial Narrow" w:hAnsi="Arial Narrow"/>
                <w:szCs w:val="20"/>
              </w:rPr>
              <w:t xml:space="preserve">             3,501 </w:t>
            </w:r>
          </w:p>
        </w:tc>
        <w:tc>
          <w:tcPr>
            <w:tcW w:w="0" w:type="dxa"/>
            <w:noWrap/>
            <w:vAlign w:val="bottom"/>
          </w:tcPr>
          <w:p w14:paraId="74194B11" w14:textId="77777777" w:rsidR="006D01BF" w:rsidRPr="00021116"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21116">
              <w:rPr>
                <w:rFonts w:ascii="Arial Narrow" w:hAnsi="Arial Narrow"/>
                <w:szCs w:val="20"/>
              </w:rPr>
              <w:t xml:space="preserve">                 875 </w:t>
            </w:r>
          </w:p>
        </w:tc>
      </w:tr>
      <w:tr w:rsidR="006D01BF" w:rsidRPr="00021116" w14:paraId="6B9D0C5A"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038B4A9E" w14:textId="77777777" w:rsidR="006D01BF" w:rsidRPr="00021116" w:rsidRDefault="006D01BF" w:rsidP="006D01BF">
            <w:pPr>
              <w:spacing w:line="240" w:lineRule="auto"/>
              <w:rPr>
                <w:rFonts w:ascii="Arial Narrow" w:hAnsi="Arial Narrow"/>
                <w:b/>
                <w:bCs/>
                <w:szCs w:val="20"/>
              </w:rPr>
            </w:pPr>
            <w:r w:rsidRPr="00021116">
              <w:rPr>
                <w:rFonts w:ascii="Arial Narrow" w:hAnsi="Arial Narrow"/>
                <w:b/>
                <w:bCs/>
                <w:szCs w:val="20"/>
              </w:rPr>
              <w:t>2018</w:t>
            </w:r>
          </w:p>
        </w:tc>
        <w:tc>
          <w:tcPr>
            <w:tcW w:w="0" w:type="dxa"/>
            <w:noWrap/>
            <w:vAlign w:val="bottom"/>
          </w:tcPr>
          <w:p w14:paraId="11BA3205" w14:textId="77777777" w:rsidR="006D01BF" w:rsidRPr="00021116"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021116">
              <w:rPr>
                <w:rFonts w:ascii="Arial Narrow" w:hAnsi="Arial Narrow"/>
                <w:szCs w:val="20"/>
              </w:rPr>
              <w:t xml:space="preserve">             4,885 </w:t>
            </w:r>
          </w:p>
        </w:tc>
        <w:tc>
          <w:tcPr>
            <w:tcW w:w="0" w:type="dxa"/>
            <w:noWrap/>
            <w:vAlign w:val="bottom"/>
          </w:tcPr>
          <w:p w14:paraId="2F1D9A26" w14:textId="77777777" w:rsidR="006D01BF" w:rsidRPr="00021116"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021116">
              <w:rPr>
                <w:rFonts w:ascii="Arial Narrow" w:hAnsi="Arial Narrow"/>
                <w:szCs w:val="20"/>
              </w:rPr>
              <w:t xml:space="preserve">             3,908 </w:t>
            </w:r>
          </w:p>
        </w:tc>
        <w:tc>
          <w:tcPr>
            <w:tcW w:w="0" w:type="dxa"/>
            <w:noWrap/>
            <w:vAlign w:val="bottom"/>
          </w:tcPr>
          <w:p w14:paraId="1DAF5D5A" w14:textId="77777777" w:rsidR="006D01BF" w:rsidRPr="00021116"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021116">
              <w:rPr>
                <w:rFonts w:ascii="Arial Narrow" w:hAnsi="Arial Narrow"/>
                <w:szCs w:val="20"/>
              </w:rPr>
              <w:t xml:space="preserve">                 977 </w:t>
            </w:r>
          </w:p>
        </w:tc>
      </w:tr>
      <w:tr w:rsidR="006D01BF" w:rsidRPr="00021116" w14:paraId="3CE0F37E" w14:textId="77777777" w:rsidTr="00AF2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02EFBD8E" w14:textId="77777777" w:rsidR="006D01BF" w:rsidRPr="00021116" w:rsidRDefault="006D01BF" w:rsidP="006D01BF">
            <w:pPr>
              <w:spacing w:line="240" w:lineRule="auto"/>
              <w:rPr>
                <w:rFonts w:ascii="Arial Narrow" w:hAnsi="Arial Narrow"/>
                <w:b/>
                <w:bCs/>
                <w:szCs w:val="20"/>
              </w:rPr>
            </w:pPr>
            <w:r w:rsidRPr="00021116">
              <w:rPr>
                <w:rFonts w:ascii="Arial Narrow" w:hAnsi="Arial Narrow"/>
                <w:b/>
                <w:bCs/>
                <w:szCs w:val="20"/>
              </w:rPr>
              <w:t>2019</w:t>
            </w:r>
          </w:p>
        </w:tc>
        <w:tc>
          <w:tcPr>
            <w:tcW w:w="0" w:type="dxa"/>
            <w:noWrap/>
            <w:vAlign w:val="bottom"/>
          </w:tcPr>
          <w:p w14:paraId="42479095" w14:textId="77777777" w:rsidR="006D01BF" w:rsidRPr="00021116"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21116">
              <w:rPr>
                <w:rFonts w:ascii="Arial Narrow" w:hAnsi="Arial Narrow"/>
                <w:szCs w:val="20"/>
              </w:rPr>
              <w:t xml:space="preserve">             5,418 </w:t>
            </w:r>
          </w:p>
        </w:tc>
        <w:tc>
          <w:tcPr>
            <w:tcW w:w="0" w:type="dxa"/>
            <w:noWrap/>
            <w:vAlign w:val="bottom"/>
          </w:tcPr>
          <w:p w14:paraId="4E826D1C" w14:textId="77777777" w:rsidR="006D01BF" w:rsidRPr="00021116"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21116">
              <w:rPr>
                <w:rFonts w:ascii="Arial Narrow" w:hAnsi="Arial Narrow"/>
                <w:szCs w:val="20"/>
              </w:rPr>
              <w:t xml:space="preserve">             4,334 </w:t>
            </w:r>
          </w:p>
        </w:tc>
        <w:tc>
          <w:tcPr>
            <w:tcW w:w="0" w:type="dxa"/>
            <w:noWrap/>
            <w:vAlign w:val="bottom"/>
          </w:tcPr>
          <w:p w14:paraId="7CA0B8DD" w14:textId="77777777" w:rsidR="006D01BF" w:rsidRPr="00021116"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21116">
              <w:rPr>
                <w:rFonts w:ascii="Arial Narrow" w:hAnsi="Arial Narrow"/>
                <w:szCs w:val="20"/>
              </w:rPr>
              <w:t xml:space="preserve">             1,084 </w:t>
            </w:r>
          </w:p>
        </w:tc>
      </w:tr>
      <w:tr w:rsidR="006D01BF" w:rsidRPr="00021116" w14:paraId="6B4055D6" w14:textId="77777777" w:rsidTr="00AF21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1CE9F055" w14:textId="77777777" w:rsidR="006D01BF" w:rsidRPr="00021116" w:rsidRDefault="006D01BF" w:rsidP="006D01BF">
            <w:pPr>
              <w:spacing w:line="240" w:lineRule="auto"/>
              <w:rPr>
                <w:rFonts w:ascii="Arial Narrow" w:hAnsi="Arial Narrow"/>
                <w:b/>
                <w:bCs/>
                <w:szCs w:val="20"/>
              </w:rPr>
            </w:pPr>
            <w:r w:rsidRPr="00021116">
              <w:rPr>
                <w:rFonts w:ascii="Arial Narrow" w:hAnsi="Arial Narrow"/>
                <w:b/>
                <w:bCs/>
                <w:szCs w:val="20"/>
              </w:rPr>
              <w:t>2020 -2030*</w:t>
            </w:r>
          </w:p>
        </w:tc>
        <w:tc>
          <w:tcPr>
            <w:tcW w:w="0" w:type="dxa"/>
            <w:noWrap/>
            <w:vAlign w:val="bottom"/>
          </w:tcPr>
          <w:p w14:paraId="55B5B243" w14:textId="77777777" w:rsidR="006D01BF" w:rsidRPr="00021116"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021116">
              <w:rPr>
                <w:rFonts w:ascii="Arial Narrow" w:hAnsi="Arial Narrow"/>
                <w:szCs w:val="20"/>
              </w:rPr>
              <w:t xml:space="preserve">          11,759 </w:t>
            </w:r>
          </w:p>
        </w:tc>
        <w:tc>
          <w:tcPr>
            <w:tcW w:w="0" w:type="dxa"/>
            <w:noWrap/>
            <w:vAlign w:val="bottom"/>
          </w:tcPr>
          <w:p w14:paraId="368495D3" w14:textId="77777777" w:rsidR="006D01BF" w:rsidRPr="00021116"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021116">
              <w:rPr>
                <w:rFonts w:ascii="Arial Narrow" w:hAnsi="Arial Narrow"/>
                <w:szCs w:val="20"/>
              </w:rPr>
              <w:t xml:space="preserve">             9,407 </w:t>
            </w:r>
          </w:p>
        </w:tc>
        <w:tc>
          <w:tcPr>
            <w:tcW w:w="0" w:type="dxa"/>
            <w:noWrap/>
            <w:vAlign w:val="bottom"/>
          </w:tcPr>
          <w:p w14:paraId="17747F32" w14:textId="77777777" w:rsidR="006D01BF" w:rsidRPr="00021116"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021116">
              <w:rPr>
                <w:rFonts w:ascii="Arial Narrow" w:hAnsi="Arial Narrow"/>
                <w:szCs w:val="20"/>
              </w:rPr>
              <w:t xml:space="preserve">             2,352 </w:t>
            </w:r>
          </w:p>
        </w:tc>
      </w:tr>
    </w:tbl>
    <w:p w14:paraId="1E29E72F" w14:textId="77777777" w:rsidR="000D7073" w:rsidRDefault="000D7073" w:rsidP="000D7073">
      <w:pPr>
        <w:spacing w:line="240" w:lineRule="auto"/>
        <w:jc w:val="center"/>
      </w:pPr>
      <w:r>
        <w:t>*Annual treatment</w:t>
      </w:r>
    </w:p>
    <w:p w14:paraId="4896B40A" w14:textId="77777777" w:rsidR="000D7073" w:rsidRDefault="000D7073" w:rsidP="000D7073"/>
    <w:p w14:paraId="5885C5CA" w14:textId="77777777" w:rsidR="000D7073" w:rsidRPr="00E86334" w:rsidRDefault="000D7073" w:rsidP="000D7073"/>
    <w:p w14:paraId="1F01AE47" w14:textId="77777777" w:rsidR="000D7073" w:rsidRDefault="00BB59F5" w:rsidP="000D7073">
      <w:pPr>
        <w:pStyle w:val="Caption"/>
      </w:pPr>
      <w:bookmarkStart w:id="1197" w:name="_Toc484436990"/>
      <w:bookmarkStart w:id="1198" w:name="_Toc490226055"/>
      <w:r w:rsidRPr="00122CD3">
        <w:t xml:space="preserve">Table </w:t>
      </w:r>
      <w:fldSimple w:instr=" STYLEREF 5 \s ">
        <w:r w:rsidR="007566B9">
          <w:rPr>
            <w:noProof/>
          </w:rPr>
          <w:t>G</w:t>
        </w:r>
      </w:fldSimple>
      <w:r w:rsidRPr="00323BFA">
        <w:noBreakHyphen/>
      </w:r>
      <w:fldSimple w:instr=" SEQ Table_Apx \* ARABIC \s 5 ">
        <w:r w:rsidR="007566B9">
          <w:rPr>
            <w:noProof/>
          </w:rPr>
          <w:t>8</w:t>
        </w:r>
      </w:fldSimple>
      <w:r w:rsidRPr="006F2DA9">
        <w:t xml:space="preserve">. </w:t>
      </w:r>
      <w:r w:rsidR="000D7073">
        <w:t>SDG&amp;E UES</w:t>
      </w:r>
      <w:bookmarkEnd w:id="1197"/>
      <w:bookmarkEnd w:id="1198"/>
    </w:p>
    <w:tbl>
      <w:tblPr>
        <w:tblStyle w:val="EnergyTable1"/>
        <w:tblW w:w="9150" w:type="dxa"/>
        <w:tblLayout w:type="fixed"/>
        <w:tblLook w:val="04A0" w:firstRow="1" w:lastRow="0" w:firstColumn="1" w:lastColumn="0" w:noHBand="0" w:noVBand="1"/>
      </w:tblPr>
      <w:tblGrid>
        <w:gridCol w:w="1440"/>
        <w:gridCol w:w="1047"/>
        <w:gridCol w:w="720"/>
        <w:gridCol w:w="925"/>
        <w:gridCol w:w="918"/>
        <w:gridCol w:w="677"/>
        <w:gridCol w:w="918"/>
        <w:gridCol w:w="918"/>
        <w:gridCol w:w="684"/>
        <w:gridCol w:w="903"/>
      </w:tblGrid>
      <w:tr w:rsidR="000D7073" w:rsidRPr="006D01BF" w14:paraId="34B12A35" w14:textId="77777777" w:rsidTr="00AF21BE">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1E878FBE" w14:textId="77777777" w:rsidR="000D7073" w:rsidRPr="000D7073" w:rsidRDefault="000D7073" w:rsidP="006D01BF">
            <w:pPr>
              <w:spacing w:line="240" w:lineRule="auto"/>
              <w:rPr>
                <w:rFonts w:ascii="Arial Narrow" w:hAnsi="Arial Narrow"/>
                <w:szCs w:val="20"/>
              </w:rPr>
            </w:pPr>
          </w:p>
        </w:tc>
        <w:tc>
          <w:tcPr>
            <w:tcW w:w="0" w:type="dxa"/>
            <w:gridSpan w:val="3"/>
            <w:noWrap/>
            <w:hideMark/>
          </w:tcPr>
          <w:p w14:paraId="51A23D78" w14:textId="77777777" w:rsidR="000D7073" w:rsidRPr="000D7073" w:rsidRDefault="000D7073" w:rsidP="006D01BF">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Single Family</w:t>
            </w:r>
          </w:p>
        </w:tc>
        <w:tc>
          <w:tcPr>
            <w:tcW w:w="0" w:type="dxa"/>
            <w:gridSpan w:val="3"/>
            <w:noWrap/>
            <w:hideMark/>
          </w:tcPr>
          <w:p w14:paraId="581D0F71" w14:textId="77777777" w:rsidR="000D7073" w:rsidRPr="000D7073" w:rsidRDefault="000D7073" w:rsidP="006D01BF">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Multifamily</w:t>
            </w:r>
          </w:p>
        </w:tc>
        <w:tc>
          <w:tcPr>
            <w:tcW w:w="0" w:type="dxa"/>
            <w:gridSpan w:val="3"/>
            <w:noWrap/>
            <w:hideMark/>
          </w:tcPr>
          <w:p w14:paraId="6DE63CA3" w14:textId="77777777" w:rsidR="000D7073" w:rsidRPr="000D7073" w:rsidRDefault="000D7073" w:rsidP="006D01BF">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szCs w:val="20"/>
              </w:rPr>
            </w:pPr>
            <w:r w:rsidRPr="000D7073">
              <w:rPr>
                <w:rFonts w:ascii="Arial Narrow" w:hAnsi="Arial Narrow"/>
                <w:bCs/>
                <w:szCs w:val="20"/>
              </w:rPr>
              <w:t>Mobile Home</w:t>
            </w:r>
          </w:p>
        </w:tc>
      </w:tr>
      <w:tr w:rsidR="000D7073" w:rsidRPr="006D01BF" w14:paraId="1B78256A"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0BAD09CD" w14:textId="77777777" w:rsidR="000D7073" w:rsidRPr="000D7073" w:rsidRDefault="000D7073" w:rsidP="006D01BF">
            <w:pPr>
              <w:spacing w:line="240" w:lineRule="auto"/>
              <w:rPr>
                <w:rFonts w:ascii="Arial Narrow" w:hAnsi="Arial Narrow"/>
                <w:b/>
                <w:bCs/>
                <w:szCs w:val="20"/>
              </w:rPr>
            </w:pPr>
          </w:p>
        </w:tc>
        <w:tc>
          <w:tcPr>
            <w:tcW w:w="0" w:type="dxa"/>
            <w:noWrap/>
            <w:hideMark/>
          </w:tcPr>
          <w:p w14:paraId="085DA916"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0" w:type="dxa"/>
            <w:noWrap/>
            <w:hideMark/>
          </w:tcPr>
          <w:p w14:paraId="0C2C5988"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0" w:type="dxa"/>
            <w:noWrap/>
            <w:hideMark/>
          </w:tcPr>
          <w:p w14:paraId="1C737426"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c>
          <w:tcPr>
            <w:tcW w:w="0" w:type="dxa"/>
            <w:noWrap/>
            <w:hideMark/>
          </w:tcPr>
          <w:p w14:paraId="143BA30F"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0" w:type="dxa"/>
            <w:noWrap/>
            <w:hideMark/>
          </w:tcPr>
          <w:p w14:paraId="4EEB3457"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0" w:type="dxa"/>
            <w:noWrap/>
            <w:hideMark/>
          </w:tcPr>
          <w:p w14:paraId="3043C8CB"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c>
          <w:tcPr>
            <w:tcW w:w="0" w:type="dxa"/>
            <w:noWrap/>
            <w:hideMark/>
          </w:tcPr>
          <w:p w14:paraId="337AEFC2"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w:t>
            </w:r>
          </w:p>
        </w:tc>
        <w:tc>
          <w:tcPr>
            <w:tcW w:w="0" w:type="dxa"/>
            <w:noWrap/>
            <w:hideMark/>
          </w:tcPr>
          <w:p w14:paraId="0E4CC16B"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kWh</w:t>
            </w:r>
          </w:p>
        </w:tc>
        <w:tc>
          <w:tcPr>
            <w:tcW w:w="0" w:type="dxa"/>
            <w:noWrap/>
            <w:hideMark/>
          </w:tcPr>
          <w:p w14:paraId="31A4D47A" w14:textId="77777777" w:rsidR="000D7073" w:rsidRPr="000D7073" w:rsidRDefault="000D7073"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0D7073">
              <w:rPr>
                <w:rFonts w:ascii="Arial Narrow" w:hAnsi="Arial Narrow"/>
                <w:b/>
                <w:szCs w:val="20"/>
              </w:rPr>
              <w:t>Therm</w:t>
            </w:r>
          </w:p>
        </w:tc>
      </w:tr>
      <w:tr w:rsidR="000D7073" w:rsidRPr="006D01BF" w14:paraId="122DA529" w14:textId="77777777" w:rsidTr="00AF21BE">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gridSpan w:val="10"/>
            <w:shd w:val="clear" w:color="auto" w:fill="F2F2F2" w:themeFill="background2"/>
            <w:noWrap/>
            <w:hideMark/>
          </w:tcPr>
          <w:p w14:paraId="6B4005DB" w14:textId="77777777" w:rsidR="000D7073" w:rsidRPr="000D7073" w:rsidRDefault="000D7073" w:rsidP="006D01BF">
            <w:pPr>
              <w:spacing w:line="240" w:lineRule="auto"/>
              <w:rPr>
                <w:rFonts w:ascii="Arial Narrow" w:hAnsi="Arial Narrow"/>
                <w:b/>
                <w:bCs/>
                <w:szCs w:val="20"/>
              </w:rPr>
            </w:pPr>
            <w:r w:rsidRPr="000D7073">
              <w:rPr>
                <w:rFonts w:ascii="Arial Narrow" w:hAnsi="Arial Narrow"/>
                <w:b/>
                <w:bCs/>
                <w:szCs w:val="20"/>
              </w:rPr>
              <w:t>First Time Treatment</w:t>
            </w:r>
          </w:p>
        </w:tc>
      </w:tr>
      <w:tr w:rsidR="006D01BF" w:rsidRPr="006D01BF" w14:paraId="705D5177"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7C25E072" w14:textId="77777777" w:rsidR="006D01BF" w:rsidRPr="000D7073" w:rsidRDefault="006D01BF" w:rsidP="006D01BF">
            <w:pPr>
              <w:spacing w:line="240" w:lineRule="auto"/>
              <w:rPr>
                <w:rFonts w:ascii="Arial Narrow" w:hAnsi="Arial Narrow"/>
                <w:b/>
                <w:bCs/>
                <w:szCs w:val="20"/>
              </w:rPr>
            </w:pPr>
            <w:r w:rsidRPr="000D7073">
              <w:rPr>
                <w:rFonts w:ascii="Arial Narrow" w:hAnsi="Arial Narrow"/>
                <w:b/>
                <w:bCs/>
                <w:szCs w:val="20"/>
              </w:rPr>
              <w:t>2017</w:t>
            </w:r>
          </w:p>
        </w:tc>
        <w:tc>
          <w:tcPr>
            <w:tcW w:w="0" w:type="dxa"/>
            <w:noWrap/>
          </w:tcPr>
          <w:p w14:paraId="54206B5A"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0.1120</w:t>
            </w:r>
          </w:p>
        </w:tc>
        <w:tc>
          <w:tcPr>
            <w:tcW w:w="0" w:type="dxa"/>
            <w:noWrap/>
          </w:tcPr>
          <w:p w14:paraId="7AC331EF"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571</w:t>
            </w:r>
          </w:p>
        </w:tc>
        <w:tc>
          <w:tcPr>
            <w:tcW w:w="0" w:type="dxa"/>
            <w:noWrap/>
          </w:tcPr>
          <w:p w14:paraId="2D5FA0A7"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24.0</w:t>
            </w:r>
          </w:p>
        </w:tc>
        <w:tc>
          <w:tcPr>
            <w:tcW w:w="0" w:type="dxa"/>
            <w:noWrap/>
          </w:tcPr>
          <w:p w14:paraId="48A2DFD7"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0.0460</w:t>
            </w:r>
          </w:p>
        </w:tc>
        <w:tc>
          <w:tcPr>
            <w:tcW w:w="0" w:type="dxa"/>
            <w:noWrap/>
          </w:tcPr>
          <w:p w14:paraId="2B720549"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427</w:t>
            </w:r>
          </w:p>
        </w:tc>
        <w:tc>
          <w:tcPr>
            <w:tcW w:w="0" w:type="dxa"/>
            <w:noWrap/>
          </w:tcPr>
          <w:p w14:paraId="5041949D"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9.0</w:t>
            </w:r>
          </w:p>
        </w:tc>
        <w:tc>
          <w:tcPr>
            <w:tcW w:w="0" w:type="dxa"/>
            <w:noWrap/>
          </w:tcPr>
          <w:p w14:paraId="7EEF35BB"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0.0642</w:t>
            </w:r>
          </w:p>
        </w:tc>
        <w:tc>
          <w:tcPr>
            <w:tcW w:w="0" w:type="dxa"/>
            <w:noWrap/>
          </w:tcPr>
          <w:p w14:paraId="39ED39F3"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419</w:t>
            </w:r>
          </w:p>
        </w:tc>
        <w:tc>
          <w:tcPr>
            <w:tcW w:w="0" w:type="dxa"/>
            <w:noWrap/>
          </w:tcPr>
          <w:p w14:paraId="5CD4F239"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 xml:space="preserve">10.0 </w:t>
            </w:r>
          </w:p>
        </w:tc>
      </w:tr>
      <w:tr w:rsidR="002544A3" w:rsidRPr="006D01BF" w14:paraId="03D7C170" w14:textId="77777777" w:rsidTr="006D01B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70B3D7D" w14:textId="77777777" w:rsidR="006D01BF" w:rsidRPr="000D7073" w:rsidRDefault="006D01BF" w:rsidP="006D01BF">
            <w:pPr>
              <w:spacing w:line="240" w:lineRule="auto"/>
              <w:rPr>
                <w:rFonts w:ascii="Arial Narrow" w:hAnsi="Arial Narrow"/>
                <w:b/>
                <w:bCs/>
                <w:szCs w:val="20"/>
              </w:rPr>
            </w:pPr>
            <w:r w:rsidRPr="000D7073">
              <w:rPr>
                <w:rFonts w:ascii="Arial Narrow" w:hAnsi="Arial Narrow"/>
                <w:b/>
                <w:bCs/>
                <w:szCs w:val="20"/>
              </w:rPr>
              <w:t>2018</w:t>
            </w:r>
          </w:p>
        </w:tc>
        <w:tc>
          <w:tcPr>
            <w:tcW w:w="1047" w:type="dxa"/>
            <w:noWrap/>
          </w:tcPr>
          <w:p w14:paraId="1542B69C"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0.0997</w:t>
            </w:r>
          </w:p>
        </w:tc>
        <w:tc>
          <w:tcPr>
            <w:tcW w:w="720" w:type="dxa"/>
            <w:noWrap/>
          </w:tcPr>
          <w:p w14:paraId="3B643C1D"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508</w:t>
            </w:r>
          </w:p>
        </w:tc>
        <w:tc>
          <w:tcPr>
            <w:tcW w:w="925" w:type="dxa"/>
            <w:noWrap/>
          </w:tcPr>
          <w:p w14:paraId="0F62FC48"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23.0</w:t>
            </w:r>
          </w:p>
        </w:tc>
        <w:tc>
          <w:tcPr>
            <w:tcW w:w="918" w:type="dxa"/>
            <w:noWrap/>
          </w:tcPr>
          <w:p w14:paraId="6374FE2B"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0.0436</w:t>
            </w:r>
          </w:p>
        </w:tc>
        <w:tc>
          <w:tcPr>
            <w:tcW w:w="677" w:type="dxa"/>
            <w:noWrap/>
          </w:tcPr>
          <w:p w14:paraId="1A479150"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405</w:t>
            </w:r>
          </w:p>
        </w:tc>
        <w:tc>
          <w:tcPr>
            <w:tcW w:w="918" w:type="dxa"/>
            <w:noWrap/>
          </w:tcPr>
          <w:p w14:paraId="469E6DCC"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9.0</w:t>
            </w:r>
          </w:p>
        </w:tc>
        <w:tc>
          <w:tcPr>
            <w:tcW w:w="918" w:type="dxa"/>
            <w:noWrap/>
          </w:tcPr>
          <w:p w14:paraId="46E70CBE"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0.0629</w:t>
            </w:r>
          </w:p>
        </w:tc>
        <w:tc>
          <w:tcPr>
            <w:tcW w:w="684" w:type="dxa"/>
            <w:noWrap/>
          </w:tcPr>
          <w:p w14:paraId="28E0A280"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411</w:t>
            </w:r>
          </w:p>
        </w:tc>
        <w:tc>
          <w:tcPr>
            <w:tcW w:w="903" w:type="dxa"/>
            <w:noWrap/>
          </w:tcPr>
          <w:p w14:paraId="4CC6DB4C"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 xml:space="preserve">10.0 </w:t>
            </w:r>
          </w:p>
        </w:tc>
      </w:tr>
      <w:tr w:rsidR="006D01BF" w:rsidRPr="006D01BF" w14:paraId="150F5AFC"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07249C77" w14:textId="77777777" w:rsidR="006D01BF" w:rsidRPr="000D7073" w:rsidRDefault="006D01BF" w:rsidP="006D01BF">
            <w:pPr>
              <w:spacing w:line="240" w:lineRule="auto"/>
              <w:rPr>
                <w:rFonts w:ascii="Arial Narrow" w:hAnsi="Arial Narrow"/>
                <w:b/>
                <w:bCs/>
                <w:szCs w:val="20"/>
              </w:rPr>
            </w:pPr>
            <w:r w:rsidRPr="000D7073">
              <w:rPr>
                <w:rFonts w:ascii="Arial Narrow" w:hAnsi="Arial Narrow"/>
                <w:b/>
                <w:bCs/>
                <w:szCs w:val="20"/>
              </w:rPr>
              <w:t>2019</w:t>
            </w:r>
          </w:p>
        </w:tc>
        <w:tc>
          <w:tcPr>
            <w:tcW w:w="0" w:type="dxa"/>
            <w:noWrap/>
          </w:tcPr>
          <w:p w14:paraId="22932C3E"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0.0991</w:t>
            </w:r>
          </w:p>
        </w:tc>
        <w:tc>
          <w:tcPr>
            <w:tcW w:w="0" w:type="dxa"/>
            <w:noWrap/>
          </w:tcPr>
          <w:p w14:paraId="0315040B"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505</w:t>
            </w:r>
          </w:p>
        </w:tc>
        <w:tc>
          <w:tcPr>
            <w:tcW w:w="0" w:type="dxa"/>
            <w:noWrap/>
          </w:tcPr>
          <w:p w14:paraId="5848D257"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22.0</w:t>
            </w:r>
          </w:p>
        </w:tc>
        <w:tc>
          <w:tcPr>
            <w:tcW w:w="0" w:type="dxa"/>
            <w:noWrap/>
          </w:tcPr>
          <w:p w14:paraId="7CBA4439"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0.0437</w:t>
            </w:r>
          </w:p>
        </w:tc>
        <w:tc>
          <w:tcPr>
            <w:tcW w:w="0" w:type="dxa"/>
            <w:noWrap/>
          </w:tcPr>
          <w:p w14:paraId="10D82FC7"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406</w:t>
            </w:r>
          </w:p>
        </w:tc>
        <w:tc>
          <w:tcPr>
            <w:tcW w:w="0" w:type="dxa"/>
            <w:noWrap/>
          </w:tcPr>
          <w:p w14:paraId="50AD9C84"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8.0</w:t>
            </w:r>
          </w:p>
        </w:tc>
        <w:tc>
          <w:tcPr>
            <w:tcW w:w="0" w:type="dxa"/>
            <w:noWrap/>
          </w:tcPr>
          <w:p w14:paraId="2F5A48C6"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0.0623</w:t>
            </w:r>
          </w:p>
        </w:tc>
        <w:tc>
          <w:tcPr>
            <w:tcW w:w="0" w:type="dxa"/>
            <w:noWrap/>
          </w:tcPr>
          <w:p w14:paraId="35A69F15"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407</w:t>
            </w:r>
          </w:p>
        </w:tc>
        <w:tc>
          <w:tcPr>
            <w:tcW w:w="0" w:type="dxa"/>
            <w:noWrap/>
          </w:tcPr>
          <w:p w14:paraId="5431C996"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 xml:space="preserve">9.0 </w:t>
            </w:r>
          </w:p>
        </w:tc>
      </w:tr>
      <w:tr w:rsidR="002544A3" w:rsidRPr="006D01BF" w14:paraId="45029289" w14:textId="77777777" w:rsidTr="007D30B3">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92220B6" w14:textId="77777777" w:rsidR="006D01BF" w:rsidRPr="000D7073" w:rsidRDefault="006D01BF" w:rsidP="006D01BF">
            <w:pPr>
              <w:spacing w:line="240" w:lineRule="auto"/>
              <w:rPr>
                <w:rFonts w:ascii="Arial Narrow" w:hAnsi="Arial Narrow"/>
                <w:b/>
                <w:bCs/>
                <w:szCs w:val="20"/>
              </w:rPr>
            </w:pPr>
            <w:r w:rsidRPr="006D01BF">
              <w:rPr>
                <w:rFonts w:ascii="Arial Narrow" w:hAnsi="Arial Narrow"/>
                <w:b/>
                <w:bCs/>
                <w:szCs w:val="20"/>
              </w:rPr>
              <w:t>2020</w:t>
            </w:r>
          </w:p>
        </w:tc>
        <w:tc>
          <w:tcPr>
            <w:tcW w:w="1047" w:type="dxa"/>
            <w:noWrap/>
            <w:vAlign w:val="top"/>
          </w:tcPr>
          <w:p w14:paraId="7D4D8B34"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66CEB">
              <w:rPr>
                <w:rFonts w:ascii="Calibri Light" w:hAnsi="Calibri Light"/>
                <w:szCs w:val="20"/>
              </w:rPr>
              <w:t xml:space="preserve">-   </w:t>
            </w:r>
          </w:p>
        </w:tc>
        <w:tc>
          <w:tcPr>
            <w:tcW w:w="720" w:type="dxa"/>
            <w:noWrap/>
            <w:vAlign w:val="top"/>
          </w:tcPr>
          <w:p w14:paraId="22E246B9"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66CEB">
              <w:rPr>
                <w:rFonts w:ascii="Calibri Light" w:hAnsi="Calibri Light"/>
                <w:szCs w:val="20"/>
              </w:rPr>
              <w:t xml:space="preserve">-   </w:t>
            </w:r>
          </w:p>
        </w:tc>
        <w:tc>
          <w:tcPr>
            <w:tcW w:w="925" w:type="dxa"/>
            <w:noWrap/>
            <w:vAlign w:val="top"/>
          </w:tcPr>
          <w:p w14:paraId="5DBFF25C"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66CEB">
              <w:rPr>
                <w:rFonts w:ascii="Calibri Light" w:hAnsi="Calibri Light"/>
                <w:szCs w:val="20"/>
              </w:rPr>
              <w:t xml:space="preserve">-   </w:t>
            </w:r>
          </w:p>
        </w:tc>
        <w:tc>
          <w:tcPr>
            <w:tcW w:w="918" w:type="dxa"/>
            <w:noWrap/>
            <w:vAlign w:val="top"/>
          </w:tcPr>
          <w:p w14:paraId="27C19462"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66CEB">
              <w:rPr>
                <w:rFonts w:ascii="Calibri Light" w:hAnsi="Calibri Light"/>
                <w:szCs w:val="20"/>
              </w:rPr>
              <w:t xml:space="preserve">-   </w:t>
            </w:r>
          </w:p>
        </w:tc>
        <w:tc>
          <w:tcPr>
            <w:tcW w:w="677" w:type="dxa"/>
            <w:noWrap/>
            <w:vAlign w:val="top"/>
          </w:tcPr>
          <w:p w14:paraId="486628BA"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66CEB">
              <w:rPr>
                <w:rFonts w:ascii="Calibri Light" w:hAnsi="Calibri Light"/>
                <w:szCs w:val="20"/>
              </w:rPr>
              <w:t xml:space="preserve">-   </w:t>
            </w:r>
          </w:p>
        </w:tc>
        <w:tc>
          <w:tcPr>
            <w:tcW w:w="918" w:type="dxa"/>
            <w:noWrap/>
            <w:vAlign w:val="top"/>
          </w:tcPr>
          <w:p w14:paraId="12353918"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66CEB">
              <w:rPr>
                <w:rFonts w:ascii="Calibri Light" w:hAnsi="Calibri Light"/>
                <w:szCs w:val="20"/>
              </w:rPr>
              <w:t xml:space="preserve">-   </w:t>
            </w:r>
          </w:p>
        </w:tc>
        <w:tc>
          <w:tcPr>
            <w:tcW w:w="918" w:type="dxa"/>
            <w:noWrap/>
            <w:vAlign w:val="top"/>
          </w:tcPr>
          <w:p w14:paraId="1EDC192D"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66CEB">
              <w:rPr>
                <w:rFonts w:ascii="Calibri Light" w:hAnsi="Calibri Light"/>
                <w:szCs w:val="20"/>
              </w:rPr>
              <w:t xml:space="preserve">-   </w:t>
            </w:r>
          </w:p>
        </w:tc>
        <w:tc>
          <w:tcPr>
            <w:tcW w:w="684" w:type="dxa"/>
            <w:noWrap/>
            <w:vAlign w:val="top"/>
          </w:tcPr>
          <w:p w14:paraId="7CBE8373"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66CEB">
              <w:rPr>
                <w:rFonts w:ascii="Calibri Light" w:hAnsi="Calibri Light"/>
                <w:szCs w:val="20"/>
              </w:rPr>
              <w:t xml:space="preserve">-   </w:t>
            </w:r>
          </w:p>
        </w:tc>
        <w:tc>
          <w:tcPr>
            <w:tcW w:w="903" w:type="dxa"/>
            <w:noWrap/>
            <w:vAlign w:val="top"/>
          </w:tcPr>
          <w:p w14:paraId="33C5C425"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D66CEB">
              <w:rPr>
                <w:rFonts w:ascii="Calibri Light" w:hAnsi="Calibri Light"/>
                <w:szCs w:val="20"/>
              </w:rPr>
              <w:t xml:space="preserve">-   </w:t>
            </w:r>
          </w:p>
        </w:tc>
      </w:tr>
      <w:tr w:rsidR="00AE06FA" w:rsidRPr="006D01BF" w14:paraId="6FFFD43E"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gridSpan w:val="10"/>
            <w:shd w:val="clear" w:color="auto" w:fill="F2F2F2" w:themeFill="background2"/>
            <w:noWrap/>
            <w:hideMark/>
          </w:tcPr>
          <w:p w14:paraId="0EBC7C79" w14:textId="77777777" w:rsidR="000D7073" w:rsidRPr="000D7073" w:rsidRDefault="000D7073" w:rsidP="006D01BF">
            <w:pPr>
              <w:spacing w:line="240" w:lineRule="auto"/>
              <w:rPr>
                <w:rFonts w:ascii="Arial Narrow" w:hAnsi="Arial Narrow"/>
                <w:b/>
                <w:bCs/>
                <w:szCs w:val="20"/>
              </w:rPr>
            </w:pPr>
            <w:r w:rsidRPr="000D7073">
              <w:rPr>
                <w:rFonts w:ascii="Arial Narrow" w:hAnsi="Arial Narrow"/>
                <w:b/>
                <w:bCs/>
                <w:szCs w:val="20"/>
              </w:rPr>
              <w:t>Retreatment</w:t>
            </w:r>
          </w:p>
        </w:tc>
      </w:tr>
      <w:tr w:rsidR="002544A3" w:rsidRPr="006D01BF" w14:paraId="05F2D066" w14:textId="77777777" w:rsidTr="006D01B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47E47C2" w14:textId="77777777" w:rsidR="006D01BF" w:rsidRPr="000D7073" w:rsidRDefault="006D01BF" w:rsidP="006D01BF">
            <w:pPr>
              <w:spacing w:line="240" w:lineRule="auto"/>
              <w:rPr>
                <w:rFonts w:ascii="Arial Narrow" w:hAnsi="Arial Narrow"/>
                <w:b/>
                <w:bCs/>
                <w:szCs w:val="20"/>
              </w:rPr>
            </w:pPr>
            <w:r w:rsidRPr="000D7073">
              <w:rPr>
                <w:rFonts w:ascii="Arial Narrow" w:hAnsi="Arial Narrow"/>
                <w:b/>
                <w:bCs/>
                <w:szCs w:val="20"/>
              </w:rPr>
              <w:t>2017</w:t>
            </w:r>
          </w:p>
        </w:tc>
        <w:tc>
          <w:tcPr>
            <w:tcW w:w="1047" w:type="dxa"/>
            <w:noWrap/>
          </w:tcPr>
          <w:p w14:paraId="3B93B36B"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0.0426</w:t>
            </w:r>
          </w:p>
        </w:tc>
        <w:tc>
          <w:tcPr>
            <w:tcW w:w="720" w:type="dxa"/>
            <w:noWrap/>
          </w:tcPr>
          <w:p w14:paraId="2C56F6D3"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217</w:t>
            </w:r>
          </w:p>
        </w:tc>
        <w:tc>
          <w:tcPr>
            <w:tcW w:w="925" w:type="dxa"/>
            <w:noWrap/>
          </w:tcPr>
          <w:p w14:paraId="1F47C629"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18.0</w:t>
            </w:r>
          </w:p>
        </w:tc>
        <w:tc>
          <w:tcPr>
            <w:tcW w:w="918" w:type="dxa"/>
            <w:noWrap/>
          </w:tcPr>
          <w:p w14:paraId="1F89CDA4"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0.0283</w:t>
            </w:r>
          </w:p>
        </w:tc>
        <w:tc>
          <w:tcPr>
            <w:tcW w:w="677" w:type="dxa"/>
            <w:noWrap/>
          </w:tcPr>
          <w:p w14:paraId="04A2CFA5"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263</w:t>
            </w:r>
          </w:p>
        </w:tc>
        <w:tc>
          <w:tcPr>
            <w:tcW w:w="918" w:type="dxa"/>
            <w:noWrap/>
          </w:tcPr>
          <w:p w14:paraId="75048FDB"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8.0</w:t>
            </w:r>
          </w:p>
        </w:tc>
        <w:tc>
          <w:tcPr>
            <w:tcW w:w="918" w:type="dxa"/>
            <w:noWrap/>
          </w:tcPr>
          <w:p w14:paraId="4B0FB720"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0.0003</w:t>
            </w:r>
          </w:p>
        </w:tc>
        <w:tc>
          <w:tcPr>
            <w:tcW w:w="684" w:type="dxa"/>
            <w:noWrap/>
          </w:tcPr>
          <w:p w14:paraId="34F11620"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135</w:t>
            </w:r>
          </w:p>
        </w:tc>
        <w:tc>
          <w:tcPr>
            <w:tcW w:w="903" w:type="dxa"/>
            <w:noWrap/>
          </w:tcPr>
          <w:p w14:paraId="1FEA98C0"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 xml:space="preserve">9.0 </w:t>
            </w:r>
          </w:p>
        </w:tc>
      </w:tr>
      <w:tr w:rsidR="006D01BF" w:rsidRPr="006D01BF" w14:paraId="78A31A15"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4F3199F1" w14:textId="77777777" w:rsidR="006D01BF" w:rsidRPr="000D7073" w:rsidRDefault="006D01BF" w:rsidP="006D01BF">
            <w:pPr>
              <w:spacing w:line="240" w:lineRule="auto"/>
              <w:rPr>
                <w:rFonts w:ascii="Arial Narrow" w:hAnsi="Arial Narrow"/>
                <w:b/>
                <w:bCs/>
                <w:szCs w:val="20"/>
              </w:rPr>
            </w:pPr>
            <w:r w:rsidRPr="000D7073">
              <w:rPr>
                <w:rFonts w:ascii="Arial Narrow" w:hAnsi="Arial Narrow"/>
                <w:b/>
                <w:bCs/>
                <w:szCs w:val="20"/>
              </w:rPr>
              <w:t>2018</w:t>
            </w:r>
          </w:p>
        </w:tc>
        <w:tc>
          <w:tcPr>
            <w:tcW w:w="0" w:type="dxa"/>
            <w:noWrap/>
          </w:tcPr>
          <w:p w14:paraId="3CEB97EE"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0.0379</w:t>
            </w:r>
          </w:p>
        </w:tc>
        <w:tc>
          <w:tcPr>
            <w:tcW w:w="0" w:type="dxa"/>
            <w:noWrap/>
          </w:tcPr>
          <w:p w14:paraId="35305616"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193</w:t>
            </w:r>
          </w:p>
        </w:tc>
        <w:tc>
          <w:tcPr>
            <w:tcW w:w="0" w:type="dxa"/>
            <w:noWrap/>
          </w:tcPr>
          <w:p w14:paraId="1A634E8E"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15.0</w:t>
            </w:r>
          </w:p>
        </w:tc>
        <w:tc>
          <w:tcPr>
            <w:tcW w:w="0" w:type="dxa"/>
            <w:noWrap/>
          </w:tcPr>
          <w:p w14:paraId="6EC958C7"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0.0253</w:t>
            </w:r>
          </w:p>
        </w:tc>
        <w:tc>
          <w:tcPr>
            <w:tcW w:w="0" w:type="dxa"/>
            <w:noWrap/>
          </w:tcPr>
          <w:p w14:paraId="3D5FB72A"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235</w:t>
            </w:r>
          </w:p>
        </w:tc>
        <w:tc>
          <w:tcPr>
            <w:tcW w:w="0" w:type="dxa"/>
            <w:noWrap/>
          </w:tcPr>
          <w:p w14:paraId="1C029D41"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7.0</w:t>
            </w:r>
          </w:p>
        </w:tc>
        <w:tc>
          <w:tcPr>
            <w:tcW w:w="0" w:type="dxa"/>
            <w:noWrap/>
          </w:tcPr>
          <w:p w14:paraId="2B5775AB"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0.0004</w:t>
            </w:r>
          </w:p>
        </w:tc>
        <w:tc>
          <w:tcPr>
            <w:tcW w:w="0" w:type="dxa"/>
            <w:noWrap/>
          </w:tcPr>
          <w:p w14:paraId="5549FDA8"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120</w:t>
            </w:r>
          </w:p>
        </w:tc>
        <w:tc>
          <w:tcPr>
            <w:tcW w:w="0" w:type="dxa"/>
            <w:noWrap/>
          </w:tcPr>
          <w:p w14:paraId="1294FC63"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 xml:space="preserve">7.0 </w:t>
            </w:r>
          </w:p>
        </w:tc>
      </w:tr>
      <w:tr w:rsidR="002544A3" w:rsidRPr="006D01BF" w14:paraId="4B26D180" w14:textId="77777777" w:rsidTr="006D01B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42C99B5" w14:textId="77777777" w:rsidR="006D01BF" w:rsidRPr="000D7073" w:rsidRDefault="006D01BF" w:rsidP="006D01BF">
            <w:pPr>
              <w:spacing w:line="240" w:lineRule="auto"/>
              <w:rPr>
                <w:rFonts w:ascii="Arial Narrow" w:hAnsi="Arial Narrow"/>
                <w:b/>
                <w:bCs/>
                <w:szCs w:val="20"/>
              </w:rPr>
            </w:pPr>
            <w:r w:rsidRPr="000D7073">
              <w:rPr>
                <w:rFonts w:ascii="Arial Narrow" w:hAnsi="Arial Narrow"/>
                <w:b/>
                <w:bCs/>
                <w:szCs w:val="20"/>
              </w:rPr>
              <w:t>2019</w:t>
            </w:r>
          </w:p>
        </w:tc>
        <w:tc>
          <w:tcPr>
            <w:tcW w:w="1047" w:type="dxa"/>
            <w:noWrap/>
          </w:tcPr>
          <w:p w14:paraId="5E1174D1"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0.0353</w:t>
            </w:r>
          </w:p>
        </w:tc>
        <w:tc>
          <w:tcPr>
            <w:tcW w:w="720" w:type="dxa"/>
            <w:noWrap/>
          </w:tcPr>
          <w:p w14:paraId="5EBB5B61"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180</w:t>
            </w:r>
          </w:p>
        </w:tc>
        <w:tc>
          <w:tcPr>
            <w:tcW w:w="925" w:type="dxa"/>
            <w:noWrap/>
          </w:tcPr>
          <w:p w14:paraId="54AD6FD4"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13.0</w:t>
            </w:r>
          </w:p>
        </w:tc>
        <w:tc>
          <w:tcPr>
            <w:tcW w:w="918" w:type="dxa"/>
            <w:noWrap/>
          </w:tcPr>
          <w:p w14:paraId="1CA7FED2"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0.0237</w:t>
            </w:r>
          </w:p>
        </w:tc>
        <w:tc>
          <w:tcPr>
            <w:tcW w:w="677" w:type="dxa"/>
            <w:noWrap/>
          </w:tcPr>
          <w:p w14:paraId="73E779DB"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220</w:t>
            </w:r>
          </w:p>
        </w:tc>
        <w:tc>
          <w:tcPr>
            <w:tcW w:w="918" w:type="dxa"/>
            <w:noWrap/>
          </w:tcPr>
          <w:p w14:paraId="123AAFE9"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6.0</w:t>
            </w:r>
          </w:p>
        </w:tc>
        <w:tc>
          <w:tcPr>
            <w:tcW w:w="918" w:type="dxa"/>
            <w:noWrap/>
          </w:tcPr>
          <w:p w14:paraId="707B401A"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0.0004</w:t>
            </w:r>
          </w:p>
        </w:tc>
        <w:tc>
          <w:tcPr>
            <w:tcW w:w="684" w:type="dxa"/>
            <w:noWrap/>
          </w:tcPr>
          <w:p w14:paraId="43572A12"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112</w:t>
            </w:r>
          </w:p>
        </w:tc>
        <w:tc>
          <w:tcPr>
            <w:tcW w:w="903" w:type="dxa"/>
            <w:noWrap/>
          </w:tcPr>
          <w:p w14:paraId="01F5BB80" w14:textId="77777777" w:rsidR="006D01BF" w:rsidRPr="000D7073" w:rsidRDefault="006D01BF" w:rsidP="006D01BF">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D01BF">
              <w:rPr>
                <w:rFonts w:ascii="Arial Narrow" w:hAnsi="Arial Narrow"/>
                <w:szCs w:val="20"/>
              </w:rPr>
              <w:t xml:space="preserve">6.0 </w:t>
            </w:r>
          </w:p>
        </w:tc>
      </w:tr>
      <w:tr w:rsidR="006D01BF" w:rsidRPr="006D01BF" w14:paraId="450324A8" w14:textId="77777777" w:rsidTr="00AF21B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noWrap/>
            <w:hideMark/>
          </w:tcPr>
          <w:p w14:paraId="2B3FF797" w14:textId="77777777" w:rsidR="006D01BF" w:rsidRPr="000D7073" w:rsidRDefault="006D01BF" w:rsidP="006D01BF">
            <w:pPr>
              <w:spacing w:line="240" w:lineRule="auto"/>
              <w:rPr>
                <w:rFonts w:ascii="Arial Narrow" w:hAnsi="Arial Narrow"/>
                <w:b/>
                <w:bCs/>
                <w:szCs w:val="20"/>
              </w:rPr>
            </w:pPr>
            <w:r w:rsidRPr="000D7073">
              <w:rPr>
                <w:rFonts w:ascii="Arial Narrow" w:hAnsi="Arial Narrow"/>
                <w:b/>
                <w:bCs/>
                <w:szCs w:val="20"/>
              </w:rPr>
              <w:t>2020 - 2030</w:t>
            </w:r>
          </w:p>
        </w:tc>
        <w:tc>
          <w:tcPr>
            <w:tcW w:w="0" w:type="dxa"/>
            <w:noWrap/>
          </w:tcPr>
          <w:p w14:paraId="500A2F66"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0.0630</w:t>
            </w:r>
          </w:p>
        </w:tc>
        <w:tc>
          <w:tcPr>
            <w:tcW w:w="0" w:type="dxa"/>
            <w:noWrap/>
          </w:tcPr>
          <w:p w14:paraId="31C94A33"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321</w:t>
            </w:r>
          </w:p>
        </w:tc>
        <w:tc>
          <w:tcPr>
            <w:tcW w:w="0" w:type="dxa"/>
            <w:noWrap/>
          </w:tcPr>
          <w:p w14:paraId="123060D2"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18.0</w:t>
            </w:r>
          </w:p>
        </w:tc>
        <w:tc>
          <w:tcPr>
            <w:tcW w:w="0" w:type="dxa"/>
            <w:noWrap/>
          </w:tcPr>
          <w:p w14:paraId="64FF070B"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0.0319</w:t>
            </w:r>
          </w:p>
        </w:tc>
        <w:tc>
          <w:tcPr>
            <w:tcW w:w="0" w:type="dxa"/>
            <w:noWrap/>
          </w:tcPr>
          <w:p w14:paraId="26BE1806"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296</w:t>
            </w:r>
          </w:p>
        </w:tc>
        <w:tc>
          <w:tcPr>
            <w:tcW w:w="0" w:type="dxa"/>
            <w:noWrap/>
          </w:tcPr>
          <w:p w14:paraId="65AC6EA7"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7.0</w:t>
            </w:r>
          </w:p>
        </w:tc>
        <w:tc>
          <w:tcPr>
            <w:tcW w:w="0" w:type="dxa"/>
            <w:noWrap/>
          </w:tcPr>
          <w:p w14:paraId="231DD9A8"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0.0028</w:t>
            </w:r>
          </w:p>
        </w:tc>
        <w:tc>
          <w:tcPr>
            <w:tcW w:w="0" w:type="dxa"/>
            <w:noWrap/>
          </w:tcPr>
          <w:p w14:paraId="4B33C577"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241</w:t>
            </w:r>
          </w:p>
        </w:tc>
        <w:tc>
          <w:tcPr>
            <w:tcW w:w="0" w:type="dxa"/>
            <w:noWrap/>
          </w:tcPr>
          <w:p w14:paraId="1C2B525B" w14:textId="77777777" w:rsidR="006D01BF" w:rsidRPr="000D7073" w:rsidRDefault="006D01BF" w:rsidP="006D01B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D01BF">
              <w:rPr>
                <w:rFonts w:ascii="Arial Narrow" w:hAnsi="Arial Narrow"/>
                <w:szCs w:val="20"/>
              </w:rPr>
              <w:t xml:space="preserve">8.0 </w:t>
            </w:r>
          </w:p>
        </w:tc>
      </w:tr>
    </w:tbl>
    <w:p w14:paraId="24A21255" w14:textId="77777777" w:rsidR="00B37F3E" w:rsidRDefault="00B37F3E" w:rsidP="00B37F3E"/>
    <w:p w14:paraId="78A5FD6C" w14:textId="77777777" w:rsidR="00B37F3E" w:rsidRDefault="00B37F3E">
      <w:pPr>
        <w:spacing w:line="240" w:lineRule="auto"/>
      </w:pPr>
      <w:r>
        <w:br w:type="page"/>
      </w:r>
    </w:p>
    <w:p w14:paraId="12F8216E" w14:textId="77777777" w:rsidR="00B37F3E" w:rsidRPr="00B37F3E" w:rsidRDefault="00B37F3E" w:rsidP="00B37F3E"/>
    <w:p w14:paraId="542742EA" w14:textId="77777777" w:rsidR="000D7073" w:rsidRDefault="00B37F3E" w:rsidP="00B37F3E">
      <w:pPr>
        <w:pStyle w:val="Heading6"/>
      </w:pPr>
      <w:bookmarkStart w:id="1199" w:name="_Toc484092535"/>
      <w:bookmarkStart w:id="1200" w:name="_Toc484172740"/>
      <w:bookmarkStart w:id="1201" w:name="_Toc484183087"/>
      <w:bookmarkStart w:id="1202" w:name="_Toc490225853"/>
      <w:r w:rsidRPr="00B37F3E">
        <w:t>Effective</w:t>
      </w:r>
      <w:r>
        <w:t xml:space="preserve"> Useful Life</w:t>
      </w:r>
      <w:bookmarkEnd w:id="1199"/>
      <w:bookmarkEnd w:id="1200"/>
      <w:bookmarkEnd w:id="1201"/>
      <w:bookmarkEnd w:id="1202"/>
    </w:p>
    <w:p w14:paraId="013EEF91" w14:textId="77777777" w:rsidR="00B37F3E" w:rsidRDefault="00B37F3E" w:rsidP="00B37F3E"/>
    <w:tbl>
      <w:tblPr>
        <w:tblStyle w:val="EnergyTable1"/>
        <w:tblW w:w="7556" w:type="dxa"/>
        <w:tblLook w:val="04A0" w:firstRow="1" w:lastRow="0" w:firstColumn="1" w:lastColumn="0" w:noHBand="0" w:noVBand="1"/>
      </w:tblPr>
      <w:tblGrid>
        <w:gridCol w:w="1508"/>
        <w:gridCol w:w="1889"/>
        <w:gridCol w:w="1923"/>
        <w:gridCol w:w="2236"/>
      </w:tblGrid>
      <w:tr w:rsidR="00B37F3E" w:rsidRPr="00B37F3E" w14:paraId="3257D6CB" w14:textId="77777777" w:rsidTr="00AF21BE">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dxa"/>
          </w:tcPr>
          <w:p w14:paraId="66793802" w14:textId="77777777" w:rsidR="00B37F3E" w:rsidRPr="00B37F3E" w:rsidRDefault="00B37F3E" w:rsidP="00B37F3E">
            <w:pPr>
              <w:spacing w:line="240" w:lineRule="auto"/>
              <w:rPr>
                <w:rFonts w:ascii="Arial Narrow" w:hAnsi="Arial Narrow"/>
                <w:color w:val="FFFFFF" w:themeColor="background1"/>
                <w:szCs w:val="20"/>
              </w:rPr>
            </w:pPr>
            <w:r w:rsidRPr="00B37F3E">
              <w:rPr>
                <w:rFonts w:ascii="Arial Narrow" w:hAnsi="Arial Narrow"/>
                <w:color w:val="FFFFFF" w:themeColor="background1"/>
                <w:szCs w:val="20"/>
              </w:rPr>
              <w:t xml:space="preserve">Utility </w:t>
            </w:r>
          </w:p>
        </w:tc>
        <w:tc>
          <w:tcPr>
            <w:tcW w:w="0" w:type="dxa"/>
            <w:hideMark/>
          </w:tcPr>
          <w:p w14:paraId="5366969E" w14:textId="77777777" w:rsidR="00B37F3E" w:rsidRPr="00B37F3E" w:rsidRDefault="00B37F3E" w:rsidP="00B37F3E">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Cs w:val="20"/>
              </w:rPr>
            </w:pPr>
            <w:r w:rsidRPr="00B37F3E">
              <w:rPr>
                <w:rFonts w:ascii="Arial Narrow" w:hAnsi="Arial Narrow"/>
                <w:color w:val="FFFFFF" w:themeColor="background1"/>
                <w:szCs w:val="20"/>
              </w:rPr>
              <w:t>Housing Type</w:t>
            </w:r>
          </w:p>
        </w:tc>
        <w:tc>
          <w:tcPr>
            <w:tcW w:w="0" w:type="dxa"/>
            <w:hideMark/>
          </w:tcPr>
          <w:p w14:paraId="21AD144D" w14:textId="77777777" w:rsidR="00B37F3E" w:rsidRPr="00B37F3E" w:rsidRDefault="00B37F3E" w:rsidP="00B37F3E">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Cs w:val="20"/>
              </w:rPr>
            </w:pPr>
            <w:r w:rsidRPr="00B37F3E">
              <w:rPr>
                <w:rFonts w:ascii="Arial Narrow" w:hAnsi="Arial Narrow"/>
                <w:color w:val="FFFFFF" w:themeColor="background1"/>
                <w:szCs w:val="20"/>
              </w:rPr>
              <w:t>First Time Treatment</w:t>
            </w:r>
          </w:p>
        </w:tc>
        <w:tc>
          <w:tcPr>
            <w:tcW w:w="0" w:type="dxa"/>
            <w:hideMark/>
          </w:tcPr>
          <w:p w14:paraId="07F08CD7" w14:textId="77777777" w:rsidR="00B37F3E" w:rsidRPr="00B37F3E" w:rsidRDefault="00B37F3E" w:rsidP="00B37F3E">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Cs w:val="20"/>
              </w:rPr>
            </w:pPr>
            <w:r w:rsidRPr="00B37F3E">
              <w:rPr>
                <w:rFonts w:ascii="Arial Narrow" w:hAnsi="Arial Narrow"/>
                <w:color w:val="FFFFFF" w:themeColor="background1"/>
                <w:szCs w:val="20"/>
              </w:rPr>
              <w:t>Retreatment</w:t>
            </w:r>
          </w:p>
        </w:tc>
      </w:tr>
      <w:tr w:rsidR="00B37F3E" w:rsidRPr="00B37F3E" w14:paraId="549113E6" w14:textId="77777777" w:rsidTr="00AF21B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dxa"/>
            <w:vMerge w:val="restart"/>
          </w:tcPr>
          <w:p w14:paraId="6ED7F68C" w14:textId="77777777" w:rsidR="00B37F3E" w:rsidRPr="00B37F3E" w:rsidRDefault="00B37F3E" w:rsidP="00B37F3E">
            <w:pPr>
              <w:spacing w:line="240" w:lineRule="auto"/>
              <w:rPr>
                <w:rFonts w:ascii="Arial Narrow" w:hAnsi="Arial Narrow"/>
                <w:color w:val="000000"/>
                <w:szCs w:val="20"/>
              </w:rPr>
            </w:pPr>
            <w:r w:rsidRPr="00B37F3E">
              <w:rPr>
                <w:rFonts w:ascii="Arial Narrow" w:hAnsi="Arial Narrow"/>
                <w:color w:val="000000"/>
                <w:szCs w:val="20"/>
              </w:rPr>
              <w:t>PG&amp;E</w:t>
            </w:r>
          </w:p>
        </w:tc>
        <w:tc>
          <w:tcPr>
            <w:tcW w:w="0" w:type="dxa"/>
            <w:hideMark/>
          </w:tcPr>
          <w:p w14:paraId="6E1A39AA"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Multifamily</w:t>
            </w:r>
          </w:p>
        </w:tc>
        <w:tc>
          <w:tcPr>
            <w:tcW w:w="0" w:type="dxa"/>
            <w:hideMark/>
          </w:tcPr>
          <w:p w14:paraId="7F2322AB"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8.0</w:t>
            </w:r>
          </w:p>
        </w:tc>
        <w:tc>
          <w:tcPr>
            <w:tcW w:w="0" w:type="dxa"/>
            <w:hideMark/>
          </w:tcPr>
          <w:p w14:paraId="01F5FA54"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8.0</w:t>
            </w:r>
          </w:p>
        </w:tc>
      </w:tr>
      <w:tr w:rsidR="00B37F3E" w:rsidRPr="00B37F3E" w14:paraId="26455BA9" w14:textId="77777777" w:rsidTr="00AF21BE">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dxa"/>
            <w:vMerge/>
          </w:tcPr>
          <w:p w14:paraId="5CB53EEA" w14:textId="77777777" w:rsidR="00B37F3E" w:rsidRPr="00B37F3E" w:rsidRDefault="00B37F3E" w:rsidP="00B37F3E">
            <w:pPr>
              <w:spacing w:line="240" w:lineRule="auto"/>
              <w:rPr>
                <w:rFonts w:ascii="Arial Narrow" w:hAnsi="Arial Narrow"/>
                <w:color w:val="000000"/>
                <w:szCs w:val="20"/>
              </w:rPr>
            </w:pPr>
          </w:p>
        </w:tc>
        <w:tc>
          <w:tcPr>
            <w:tcW w:w="0" w:type="dxa"/>
            <w:hideMark/>
          </w:tcPr>
          <w:p w14:paraId="303B781E"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Mobile Home</w:t>
            </w:r>
          </w:p>
        </w:tc>
        <w:tc>
          <w:tcPr>
            <w:tcW w:w="0" w:type="dxa"/>
            <w:hideMark/>
          </w:tcPr>
          <w:p w14:paraId="747BD9F5"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11.0</w:t>
            </w:r>
          </w:p>
        </w:tc>
        <w:tc>
          <w:tcPr>
            <w:tcW w:w="0" w:type="dxa"/>
            <w:hideMark/>
          </w:tcPr>
          <w:p w14:paraId="4E657BA6"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11.0</w:t>
            </w:r>
          </w:p>
        </w:tc>
      </w:tr>
      <w:tr w:rsidR="00B37F3E" w:rsidRPr="00B37F3E" w14:paraId="39146D1A" w14:textId="77777777" w:rsidTr="00AF21B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dxa"/>
            <w:vMerge/>
          </w:tcPr>
          <w:p w14:paraId="4DDA1964" w14:textId="77777777" w:rsidR="00B37F3E" w:rsidRPr="00B37F3E" w:rsidRDefault="00B37F3E" w:rsidP="00B37F3E">
            <w:pPr>
              <w:spacing w:line="240" w:lineRule="auto"/>
              <w:rPr>
                <w:rFonts w:ascii="Arial Narrow" w:hAnsi="Arial Narrow"/>
                <w:color w:val="000000"/>
                <w:szCs w:val="20"/>
              </w:rPr>
            </w:pPr>
          </w:p>
        </w:tc>
        <w:tc>
          <w:tcPr>
            <w:tcW w:w="0" w:type="dxa"/>
            <w:hideMark/>
          </w:tcPr>
          <w:p w14:paraId="430CF79B"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Single Family</w:t>
            </w:r>
          </w:p>
        </w:tc>
        <w:tc>
          <w:tcPr>
            <w:tcW w:w="0" w:type="dxa"/>
            <w:hideMark/>
          </w:tcPr>
          <w:p w14:paraId="6383CCD3"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11.0</w:t>
            </w:r>
          </w:p>
        </w:tc>
        <w:tc>
          <w:tcPr>
            <w:tcW w:w="0" w:type="dxa"/>
            <w:hideMark/>
          </w:tcPr>
          <w:p w14:paraId="52559A7C"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11.0</w:t>
            </w:r>
          </w:p>
        </w:tc>
      </w:tr>
      <w:tr w:rsidR="00B37F3E" w:rsidRPr="00B37F3E" w14:paraId="42C6F50F" w14:textId="77777777" w:rsidTr="00AF21BE">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dxa"/>
            <w:vMerge w:val="restart"/>
          </w:tcPr>
          <w:p w14:paraId="5FAA410E" w14:textId="77777777" w:rsidR="00B37F3E" w:rsidRPr="00B37F3E" w:rsidRDefault="00B37F3E" w:rsidP="00B37F3E">
            <w:pPr>
              <w:spacing w:line="240" w:lineRule="auto"/>
              <w:rPr>
                <w:rFonts w:ascii="Arial Narrow" w:hAnsi="Arial Narrow"/>
                <w:color w:val="000000"/>
                <w:szCs w:val="20"/>
              </w:rPr>
            </w:pPr>
            <w:r w:rsidRPr="00B37F3E">
              <w:rPr>
                <w:rFonts w:ascii="Arial Narrow" w:hAnsi="Arial Narrow"/>
                <w:color w:val="000000"/>
                <w:szCs w:val="20"/>
              </w:rPr>
              <w:t>SCE</w:t>
            </w:r>
          </w:p>
        </w:tc>
        <w:tc>
          <w:tcPr>
            <w:tcW w:w="0" w:type="dxa"/>
            <w:hideMark/>
          </w:tcPr>
          <w:p w14:paraId="218EA249"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Multifamily</w:t>
            </w:r>
          </w:p>
        </w:tc>
        <w:tc>
          <w:tcPr>
            <w:tcW w:w="0" w:type="dxa"/>
          </w:tcPr>
          <w:p w14:paraId="77F48915"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10.8</w:t>
            </w:r>
          </w:p>
        </w:tc>
        <w:tc>
          <w:tcPr>
            <w:tcW w:w="0" w:type="dxa"/>
          </w:tcPr>
          <w:p w14:paraId="7B3BDE2A"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10.8</w:t>
            </w:r>
          </w:p>
        </w:tc>
      </w:tr>
      <w:tr w:rsidR="00B37F3E" w:rsidRPr="00B37F3E" w14:paraId="76DD8A1F" w14:textId="77777777" w:rsidTr="00AF21B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dxa"/>
            <w:vMerge/>
          </w:tcPr>
          <w:p w14:paraId="65B40768" w14:textId="77777777" w:rsidR="00B37F3E" w:rsidRPr="00B37F3E" w:rsidRDefault="00B37F3E" w:rsidP="00B37F3E">
            <w:pPr>
              <w:spacing w:line="240" w:lineRule="auto"/>
              <w:rPr>
                <w:rFonts w:ascii="Arial Narrow" w:hAnsi="Arial Narrow"/>
                <w:color w:val="000000"/>
                <w:szCs w:val="20"/>
              </w:rPr>
            </w:pPr>
          </w:p>
        </w:tc>
        <w:tc>
          <w:tcPr>
            <w:tcW w:w="0" w:type="dxa"/>
            <w:hideMark/>
          </w:tcPr>
          <w:p w14:paraId="468CFB25"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Mobile Home</w:t>
            </w:r>
          </w:p>
        </w:tc>
        <w:tc>
          <w:tcPr>
            <w:tcW w:w="0" w:type="dxa"/>
          </w:tcPr>
          <w:p w14:paraId="298B9688"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11.8</w:t>
            </w:r>
          </w:p>
        </w:tc>
        <w:tc>
          <w:tcPr>
            <w:tcW w:w="0" w:type="dxa"/>
          </w:tcPr>
          <w:p w14:paraId="6B1A9BF2"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11.4</w:t>
            </w:r>
          </w:p>
        </w:tc>
      </w:tr>
      <w:tr w:rsidR="00B37F3E" w:rsidRPr="00B37F3E" w14:paraId="56E8FA93" w14:textId="77777777" w:rsidTr="00AF21BE">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dxa"/>
            <w:vMerge/>
          </w:tcPr>
          <w:p w14:paraId="2C08C72A" w14:textId="77777777" w:rsidR="00B37F3E" w:rsidRPr="00B37F3E" w:rsidRDefault="00B37F3E" w:rsidP="00B37F3E">
            <w:pPr>
              <w:spacing w:line="240" w:lineRule="auto"/>
              <w:rPr>
                <w:rFonts w:ascii="Arial Narrow" w:hAnsi="Arial Narrow"/>
                <w:color w:val="000000"/>
                <w:szCs w:val="20"/>
              </w:rPr>
            </w:pPr>
          </w:p>
        </w:tc>
        <w:tc>
          <w:tcPr>
            <w:tcW w:w="0" w:type="dxa"/>
            <w:hideMark/>
          </w:tcPr>
          <w:p w14:paraId="67CD727E"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Single Family</w:t>
            </w:r>
          </w:p>
        </w:tc>
        <w:tc>
          <w:tcPr>
            <w:tcW w:w="0" w:type="dxa"/>
          </w:tcPr>
          <w:p w14:paraId="4FAE3C9D"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11.9</w:t>
            </w:r>
          </w:p>
        </w:tc>
        <w:tc>
          <w:tcPr>
            <w:tcW w:w="0" w:type="dxa"/>
          </w:tcPr>
          <w:p w14:paraId="6A584200"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11.7</w:t>
            </w:r>
          </w:p>
        </w:tc>
      </w:tr>
      <w:tr w:rsidR="00B37F3E" w:rsidRPr="00B37F3E" w14:paraId="1823F58D" w14:textId="77777777" w:rsidTr="00AF21B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dxa"/>
            <w:vMerge w:val="restart"/>
          </w:tcPr>
          <w:p w14:paraId="42E1CDEA" w14:textId="77777777" w:rsidR="00B37F3E" w:rsidRPr="00B37F3E" w:rsidRDefault="00B37F3E" w:rsidP="00B37F3E">
            <w:pPr>
              <w:spacing w:line="240" w:lineRule="auto"/>
              <w:rPr>
                <w:rFonts w:ascii="Arial Narrow" w:hAnsi="Arial Narrow"/>
                <w:color w:val="000000"/>
                <w:szCs w:val="20"/>
              </w:rPr>
            </w:pPr>
            <w:r w:rsidRPr="00B37F3E">
              <w:rPr>
                <w:rFonts w:ascii="Arial Narrow" w:hAnsi="Arial Narrow"/>
                <w:color w:val="000000"/>
                <w:szCs w:val="20"/>
              </w:rPr>
              <w:t>SCG</w:t>
            </w:r>
          </w:p>
        </w:tc>
        <w:tc>
          <w:tcPr>
            <w:tcW w:w="0" w:type="dxa"/>
            <w:hideMark/>
          </w:tcPr>
          <w:p w14:paraId="6BA57527"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Multifamily</w:t>
            </w:r>
          </w:p>
        </w:tc>
        <w:tc>
          <w:tcPr>
            <w:tcW w:w="0" w:type="dxa"/>
          </w:tcPr>
          <w:p w14:paraId="458C4FA1"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10.4</w:t>
            </w:r>
          </w:p>
        </w:tc>
        <w:tc>
          <w:tcPr>
            <w:tcW w:w="0" w:type="dxa"/>
          </w:tcPr>
          <w:p w14:paraId="32D7B412"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10.4</w:t>
            </w:r>
          </w:p>
        </w:tc>
      </w:tr>
      <w:tr w:rsidR="00B37F3E" w:rsidRPr="00B37F3E" w14:paraId="21A6C35A" w14:textId="77777777" w:rsidTr="00AF21BE">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dxa"/>
            <w:vMerge/>
          </w:tcPr>
          <w:p w14:paraId="368FE1FD" w14:textId="77777777" w:rsidR="00B37F3E" w:rsidRPr="00B37F3E" w:rsidRDefault="00B37F3E" w:rsidP="00B37F3E">
            <w:pPr>
              <w:spacing w:line="240" w:lineRule="auto"/>
              <w:rPr>
                <w:rFonts w:ascii="Arial Narrow" w:hAnsi="Arial Narrow"/>
                <w:color w:val="000000"/>
                <w:szCs w:val="20"/>
              </w:rPr>
            </w:pPr>
          </w:p>
        </w:tc>
        <w:tc>
          <w:tcPr>
            <w:tcW w:w="0" w:type="dxa"/>
            <w:hideMark/>
          </w:tcPr>
          <w:p w14:paraId="48DD707D"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Mobile Home</w:t>
            </w:r>
          </w:p>
        </w:tc>
        <w:tc>
          <w:tcPr>
            <w:tcW w:w="0" w:type="dxa"/>
          </w:tcPr>
          <w:p w14:paraId="7231537C"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10.4</w:t>
            </w:r>
          </w:p>
        </w:tc>
        <w:tc>
          <w:tcPr>
            <w:tcW w:w="0" w:type="dxa"/>
          </w:tcPr>
          <w:p w14:paraId="695CA159"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10.2</w:t>
            </w:r>
          </w:p>
        </w:tc>
      </w:tr>
      <w:tr w:rsidR="00B37F3E" w:rsidRPr="00B37F3E" w14:paraId="01FBF30D" w14:textId="77777777" w:rsidTr="00AF21B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dxa"/>
            <w:vMerge/>
          </w:tcPr>
          <w:p w14:paraId="15A11C61" w14:textId="77777777" w:rsidR="00B37F3E" w:rsidRPr="00B37F3E" w:rsidRDefault="00B37F3E" w:rsidP="00B37F3E">
            <w:pPr>
              <w:spacing w:line="240" w:lineRule="auto"/>
              <w:rPr>
                <w:rFonts w:ascii="Arial Narrow" w:hAnsi="Arial Narrow"/>
                <w:color w:val="000000"/>
                <w:szCs w:val="20"/>
              </w:rPr>
            </w:pPr>
          </w:p>
        </w:tc>
        <w:tc>
          <w:tcPr>
            <w:tcW w:w="0" w:type="dxa"/>
            <w:hideMark/>
          </w:tcPr>
          <w:p w14:paraId="60CA700E"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Single Family</w:t>
            </w:r>
          </w:p>
        </w:tc>
        <w:tc>
          <w:tcPr>
            <w:tcW w:w="0" w:type="dxa"/>
          </w:tcPr>
          <w:p w14:paraId="5139B97A"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10.7</w:t>
            </w:r>
          </w:p>
        </w:tc>
        <w:tc>
          <w:tcPr>
            <w:tcW w:w="0" w:type="dxa"/>
          </w:tcPr>
          <w:p w14:paraId="2E8D68D8"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10.1</w:t>
            </w:r>
          </w:p>
        </w:tc>
      </w:tr>
      <w:tr w:rsidR="00B37F3E" w:rsidRPr="00B37F3E" w14:paraId="3856BBF4" w14:textId="77777777" w:rsidTr="00AF21BE">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dxa"/>
            <w:vMerge w:val="restart"/>
          </w:tcPr>
          <w:p w14:paraId="39A7DF43" w14:textId="77777777" w:rsidR="00B37F3E" w:rsidRPr="00B37F3E" w:rsidRDefault="00B37F3E" w:rsidP="00B37F3E">
            <w:pPr>
              <w:spacing w:line="240" w:lineRule="auto"/>
              <w:rPr>
                <w:rFonts w:ascii="Arial Narrow" w:hAnsi="Arial Narrow"/>
                <w:color w:val="000000"/>
                <w:szCs w:val="20"/>
              </w:rPr>
            </w:pPr>
            <w:r w:rsidRPr="00B37F3E">
              <w:rPr>
                <w:rFonts w:ascii="Arial Narrow" w:hAnsi="Arial Narrow"/>
                <w:color w:val="000000"/>
                <w:szCs w:val="20"/>
              </w:rPr>
              <w:t>SDG&amp;E</w:t>
            </w:r>
          </w:p>
        </w:tc>
        <w:tc>
          <w:tcPr>
            <w:tcW w:w="0" w:type="dxa"/>
            <w:hideMark/>
          </w:tcPr>
          <w:p w14:paraId="782CE741"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Multifamily</w:t>
            </w:r>
          </w:p>
        </w:tc>
        <w:tc>
          <w:tcPr>
            <w:tcW w:w="0" w:type="dxa"/>
          </w:tcPr>
          <w:p w14:paraId="6DB09841"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14.0</w:t>
            </w:r>
          </w:p>
        </w:tc>
        <w:tc>
          <w:tcPr>
            <w:tcW w:w="0" w:type="dxa"/>
          </w:tcPr>
          <w:p w14:paraId="2ACDE855"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14.0</w:t>
            </w:r>
          </w:p>
        </w:tc>
      </w:tr>
      <w:tr w:rsidR="00B37F3E" w:rsidRPr="00B37F3E" w14:paraId="1F546AA7" w14:textId="77777777" w:rsidTr="00AF21B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dxa"/>
            <w:vMerge/>
          </w:tcPr>
          <w:p w14:paraId="72754685" w14:textId="77777777" w:rsidR="00B37F3E" w:rsidRPr="00B37F3E" w:rsidRDefault="00B37F3E" w:rsidP="00B37F3E">
            <w:pPr>
              <w:spacing w:line="240" w:lineRule="auto"/>
              <w:rPr>
                <w:rFonts w:ascii="Arial Narrow" w:hAnsi="Arial Narrow"/>
                <w:color w:val="000000"/>
                <w:szCs w:val="20"/>
              </w:rPr>
            </w:pPr>
          </w:p>
        </w:tc>
        <w:tc>
          <w:tcPr>
            <w:tcW w:w="0" w:type="dxa"/>
            <w:hideMark/>
          </w:tcPr>
          <w:p w14:paraId="181F5614"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Mobile Home</w:t>
            </w:r>
          </w:p>
        </w:tc>
        <w:tc>
          <w:tcPr>
            <w:tcW w:w="0" w:type="dxa"/>
          </w:tcPr>
          <w:p w14:paraId="0535F730"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14.0</w:t>
            </w:r>
          </w:p>
        </w:tc>
        <w:tc>
          <w:tcPr>
            <w:tcW w:w="0" w:type="dxa"/>
          </w:tcPr>
          <w:p w14:paraId="0258AF94" w14:textId="77777777" w:rsidR="00B37F3E" w:rsidRPr="00B37F3E" w:rsidRDefault="00B37F3E" w:rsidP="00B37F3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13.0</w:t>
            </w:r>
          </w:p>
        </w:tc>
      </w:tr>
      <w:tr w:rsidR="00B37F3E" w:rsidRPr="00B37F3E" w14:paraId="656FD4A1" w14:textId="77777777" w:rsidTr="00AF21BE">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dxa"/>
            <w:vMerge/>
          </w:tcPr>
          <w:p w14:paraId="048C50C1" w14:textId="77777777" w:rsidR="00B37F3E" w:rsidRPr="00B37F3E" w:rsidRDefault="00B37F3E" w:rsidP="00B37F3E">
            <w:pPr>
              <w:spacing w:line="240" w:lineRule="auto"/>
              <w:rPr>
                <w:rFonts w:ascii="Arial Narrow" w:hAnsi="Arial Narrow"/>
                <w:color w:val="000000"/>
                <w:szCs w:val="20"/>
              </w:rPr>
            </w:pPr>
          </w:p>
        </w:tc>
        <w:tc>
          <w:tcPr>
            <w:tcW w:w="0" w:type="dxa"/>
            <w:hideMark/>
          </w:tcPr>
          <w:p w14:paraId="1602BC8E"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Single Family</w:t>
            </w:r>
          </w:p>
        </w:tc>
        <w:tc>
          <w:tcPr>
            <w:tcW w:w="0" w:type="dxa"/>
          </w:tcPr>
          <w:p w14:paraId="02084F28"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14.0</w:t>
            </w:r>
          </w:p>
        </w:tc>
        <w:tc>
          <w:tcPr>
            <w:tcW w:w="0" w:type="dxa"/>
          </w:tcPr>
          <w:p w14:paraId="13D17485" w14:textId="77777777" w:rsidR="00B37F3E" w:rsidRPr="00B37F3E" w:rsidRDefault="00B37F3E" w:rsidP="00B37F3E">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B37F3E">
              <w:rPr>
                <w:rFonts w:ascii="Arial Narrow" w:hAnsi="Arial Narrow"/>
                <w:color w:val="000000"/>
                <w:szCs w:val="20"/>
              </w:rPr>
              <w:t>14.0</w:t>
            </w:r>
          </w:p>
        </w:tc>
      </w:tr>
    </w:tbl>
    <w:p w14:paraId="0E3D0BD1" w14:textId="77777777" w:rsidR="00B37F3E" w:rsidRDefault="00B37F3E" w:rsidP="00B37F3E"/>
    <w:p w14:paraId="56FB16E8" w14:textId="77777777" w:rsidR="004B4A26" w:rsidRDefault="004B4A26" w:rsidP="00B37F3E"/>
    <w:p w14:paraId="79AAB525" w14:textId="77777777" w:rsidR="00181744" w:rsidRDefault="00181744">
      <w:pPr>
        <w:spacing w:line="240" w:lineRule="auto"/>
        <w:sectPr w:rsidR="00181744" w:rsidSect="00146A54">
          <w:pgSz w:w="12240" w:h="15840" w:code="1"/>
          <w:pgMar w:top="1440" w:right="1440" w:bottom="1440" w:left="1440" w:header="720" w:footer="720" w:gutter="0"/>
          <w:pgNumType w:start="1" w:chapStyle="5"/>
          <w:cols w:space="720"/>
          <w:docGrid w:linePitch="360"/>
        </w:sectPr>
      </w:pPr>
    </w:p>
    <w:p w14:paraId="24F437BE" w14:textId="77777777" w:rsidR="004B4A26" w:rsidRDefault="004B4A26" w:rsidP="004B4A26">
      <w:pPr>
        <w:pStyle w:val="Heading5"/>
      </w:pPr>
      <w:bookmarkStart w:id="1203" w:name="_Ref484597640"/>
      <w:bookmarkStart w:id="1204" w:name="_Toc490225854"/>
      <w:r>
        <w:lastRenderedPageBreak/>
        <w:t xml:space="preserve">Detailed </w:t>
      </w:r>
      <w:r w:rsidR="003808AB">
        <w:t>Sce</w:t>
      </w:r>
      <w:r w:rsidR="004F2EFD">
        <w:t>na</w:t>
      </w:r>
      <w:r w:rsidR="003808AB">
        <w:t xml:space="preserve">rio </w:t>
      </w:r>
      <w:r>
        <w:t>Results</w:t>
      </w:r>
      <w:bookmarkEnd w:id="1203"/>
      <w:bookmarkEnd w:id="1204"/>
    </w:p>
    <w:p w14:paraId="480B2BB2" w14:textId="77777777" w:rsidR="004B4A26" w:rsidRDefault="00D823AE" w:rsidP="00D823AE">
      <w:pPr>
        <w:pStyle w:val="Heading6"/>
      </w:pPr>
      <w:bookmarkStart w:id="1205" w:name="_Toc490225855"/>
      <w:r>
        <w:t>PG&amp;E</w:t>
      </w:r>
      <w:bookmarkEnd w:id="1205"/>
    </w:p>
    <w:p w14:paraId="6F9823ED" w14:textId="77777777" w:rsidR="00D823AE" w:rsidRDefault="00D823AE" w:rsidP="00D823AE">
      <w:pPr>
        <w:pStyle w:val="Caption"/>
      </w:pPr>
      <w:bookmarkStart w:id="1206" w:name="_Toc490226056"/>
      <w:r w:rsidRPr="00122CD3">
        <w:t xml:space="preserve">Table </w:t>
      </w:r>
      <w:fldSimple w:instr=" STYLEREF 5 \s ">
        <w:r w:rsidR="007566B9">
          <w:rPr>
            <w:noProof/>
          </w:rPr>
          <w:t>H</w:t>
        </w:r>
      </w:fldSimple>
      <w:r w:rsidRPr="00323BFA">
        <w:noBreakHyphen/>
      </w:r>
      <w:fldSimple w:instr=" SEQ Table_Apx \* ARABIC \s 5 ">
        <w:r w:rsidR="007566B9">
          <w:rPr>
            <w:noProof/>
          </w:rPr>
          <w:t>1</w:t>
        </w:r>
      </w:fldSimple>
      <w:r w:rsidRPr="006F2DA9">
        <w:t xml:space="preserve">. </w:t>
      </w:r>
      <w:r>
        <w:t>PG&amp;E Electric Savings</w:t>
      </w:r>
      <w:bookmarkEnd w:id="1206"/>
    </w:p>
    <w:tbl>
      <w:tblPr>
        <w:tblW w:w="8597" w:type="dxa"/>
        <w:jc w:val="center"/>
        <w:tblLook w:val="04A0" w:firstRow="1" w:lastRow="0" w:firstColumn="1" w:lastColumn="0" w:noHBand="0" w:noVBand="1"/>
      </w:tblPr>
      <w:tblGrid>
        <w:gridCol w:w="979"/>
        <w:gridCol w:w="586"/>
        <w:gridCol w:w="586"/>
        <w:gridCol w:w="586"/>
        <w:gridCol w:w="586"/>
        <w:gridCol w:w="586"/>
        <w:gridCol w:w="586"/>
        <w:gridCol w:w="586"/>
        <w:gridCol w:w="586"/>
        <w:gridCol w:w="586"/>
        <w:gridCol w:w="586"/>
        <w:gridCol w:w="586"/>
        <w:gridCol w:w="586"/>
        <w:gridCol w:w="586"/>
      </w:tblGrid>
      <w:tr w:rsidR="00490035" w:rsidRPr="00490035" w14:paraId="3C728C88" w14:textId="77777777" w:rsidTr="002A760B">
        <w:trPr>
          <w:trHeight w:val="315"/>
          <w:jc w:val="center"/>
        </w:trPr>
        <w:tc>
          <w:tcPr>
            <w:tcW w:w="8597" w:type="dxa"/>
            <w:gridSpan w:val="14"/>
            <w:tcBorders>
              <w:top w:val="nil"/>
              <w:left w:val="nil"/>
              <w:bottom w:val="single" w:sz="12" w:space="0" w:color="95D600"/>
              <w:right w:val="nil"/>
            </w:tcBorders>
            <w:shd w:val="clear" w:color="000000" w:fill="555759"/>
            <w:noWrap/>
            <w:vAlign w:val="center"/>
            <w:hideMark/>
          </w:tcPr>
          <w:p w14:paraId="3AA73A40" w14:textId="77777777" w:rsidR="00490035" w:rsidRPr="00490035" w:rsidRDefault="00490035" w:rsidP="00490035">
            <w:pPr>
              <w:spacing w:line="240" w:lineRule="auto"/>
              <w:jc w:val="center"/>
              <w:rPr>
                <w:rFonts w:ascii="Arial Narrow" w:hAnsi="Arial Narrow"/>
                <w:b/>
                <w:bCs/>
                <w:color w:val="FFFFFF"/>
                <w:sz w:val="18"/>
                <w:szCs w:val="18"/>
              </w:rPr>
            </w:pPr>
            <w:r w:rsidRPr="00490035">
              <w:rPr>
                <w:rFonts w:ascii="Arial Narrow" w:hAnsi="Arial Narrow"/>
                <w:b/>
                <w:bCs/>
                <w:color w:val="FFFFFF"/>
                <w:sz w:val="18"/>
                <w:szCs w:val="18"/>
              </w:rPr>
              <w:t>Electric Energy (GWh/year)</w:t>
            </w:r>
          </w:p>
        </w:tc>
      </w:tr>
      <w:tr w:rsidR="00490035" w:rsidRPr="00490035" w14:paraId="0815E8C0" w14:textId="77777777" w:rsidTr="002A760B">
        <w:trPr>
          <w:trHeight w:val="330"/>
          <w:jc w:val="center"/>
        </w:trPr>
        <w:tc>
          <w:tcPr>
            <w:tcW w:w="979" w:type="dxa"/>
            <w:tcBorders>
              <w:top w:val="nil"/>
              <w:left w:val="nil"/>
              <w:bottom w:val="single" w:sz="8" w:space="0" w:color="DCDDDE"/>
              <w:right w:val="nil"/>
            </w:tcBorders>
            <w:shd w:val="clear" w:color="auto" w:fill="auto"/>
            <w:vAlign w:val="center"/>
            <w:hideMark/>
          </w:tcPr>
          <w:p w14:paraId="11860ABC"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Year</w:t>
            </w:r>
          </w:p>
        </w:tc>
        <w:tc>
          <w:tcPr>
            <w:tcW w:w="586" w:type="dxa"/>
            <w:tcBorders>
              <w:top w:val="nil"/>
              <w:left w:val="nil"/>
              <w:bottom w:val="single" w:sz="8" w:space="0" w:color="DCDDDE"/>
              <w:right w:val="nil"/>
            </w:tcBorders>
            <w:shd w:val="clear" w:color="auto" w:fill="auto"/>
            <w:noWrap/>
            <w:vAlign w:val="center"/>
            <w:hideMark/>
          </w:tcPr>
          <w:p w14:paraId="5E569328"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2018</w:t>
            </w:r>
          </w:p>
        </w:tc>
        <w:tc>
          <w:tcPr>
            <w:tcW w:w="586" w:type="dxa"/>
            <w:tcBorders>
              <w:top w:val="nil"/>
              <w:left w:val="nil"/>
              <w:bottom w:val="single" w:sz="8" w:space="0" w:color="DCDDDE"/>
              <w:right w:val="nil"/>
            </w:tcBorders>
            <w:shd w:val="clear" w:color="auto" w:fill="auto"/>
            <w:noWrap/>
            <w:vAlign w:val="center"/>
            <w:hideMark/>
          </w:tcPr>
          <w:p w14:paraId="3A583C99"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2019</w:t>
            </w:r>
          </w:p>
        </w:tc>
        <w:tc>
          <w:tcPr>
            <w:tcW w:w="586" w:type="dxa"/>
            <w:tcBorders>
              <w:top w:val="nil"/>
              <w:left w:val="nil"/>
              <w:bottom w:val="single" w:sz="8" w:space="0" w:color="DCDDDE"/>
              <w:right w:val="nil"/>
            </w:tcBorders>
            <w:shd w:val="clear" w:color="auto" w:fill="auto"/>
            <w:noWrap/>
            <w:vAlign w:val="center"/>
            <w:hideMark/>
          </w:tcPr>
          <w:p w14:paraId="661995F7"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2020</w:t>
            </w:r>
          </w:p>
        </w:tc>
        <w:tc>
          <w:tcPr>
            <w:tcW w:w="586" w:type="dxa"/>
            <w:tcBorders>
              <w:top w:val="nil"/>
              <w:left w:val="nil"/>
              <w:bottom w:val="single" w:sz="8" w:space="0" w:color="DCDDDE"/>
              <w:right w:val="nil"/>
            </w:tcBorders>
            <w:shd w:val="clear" w:color="auto" w:fill="auto"/>
            <w:noWrap/>
            <w:vAlign w:val="center"/>
            <w:hideMark/>
          </w:tcPr>
          <w:p w14:paraId="7E9B2381"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2021</w:t>
            </w:r>
          </w:p>
        </w:tc>
        <w:tc>
          <w:tcPr>
            <w:tcW w:w="586" w:type="dxa"/>
            <w:tcBorders>
              <w:top w:val="nil"/>
              <w:left w:val="nil"/>
              <w:bottom w:val="single" w:sz="8" w:space="0" w:color="DCDDDE"/>
              <w:right w:val="nil"/>
            </w:tcBorders>
            <w:shd w:val="clear" w:color="auto" w:fill="auto"/>
            <w:noWrap/>
            <w:vAlign w:val="center"/>
            <w:hideMark/>
          </w:tcPr>
          <w:p w14:paraId="20AE18F5"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2022</w:t>
            </w:r>
          </w:p>
        </w:tc>
        <w:tc>
          <w:tcPr>
            <w:tcW w:w="586" w:type="dxa"/>
            <w:tcBorders>
              <w:top w:val="nil"/>
              <w:left w:val="nil"/>
              <w:bottom w:val="single" w:sz="8" w:space="0" w:color="DCDDDE"/>
              <w:right w:val="nil"/>
            </w:tcBorders>
            <w:shd w:val="clear" w:color="auto" w:fill="auto"/>
            <w:noWrap/>
            <w:vAlign w:val="center"/>
            <w:hideMark/>
          </w:tcPr>
          <w:p w14:paraId="520023AD"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2023</w:t>
            </w:r>
          </w:p>
        </w:tc>
        <w:tc>
          <w:tcPr>
            <w:tcW w:w="586" w:type="dxa"/>
            <w:tcBorders>
              <w:top w:val="nil"/>
              <w:left w:val="nil"/>
              <w:bottom w:val="single" w:sz="8" w:space="0" w:color="DCDDDE"/>
              <w:right w:val="nil"/>
            </w:tcBorders>
            <w:shd w:val="clear" w:color="auto" w:fill="auto"/>
            <w:noWrap/>
            <w:vAlign w:val="center"/>
            <w:hideMark/>
          </w:tcPr>
          <w:p w14:paraId="6A659849"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2024</w:t>
            </w:r>
          </w:p>
        </w:tc>
        <w:tc>
          <w:tcPr>
            <w:tcW w:w="586" w:type="dxa"/>
            <w:tcBorders>
              <w:top w:val="nil"/>
              <w:left w:val="nil"/>
              <w:bottom w:val="single" w:sz="8" w:space="0" w:color="DCDDDE"/>
              <w:right w:val="nil"/>
            </w:tcBorders>
            <w:shd w:val="clear" w:color="auto" w:fill="auto"/>
            <w:noWrap/>
            <w:vAlign w:val="center"/>
            <w:hideMark/>
          </w:tcPr>
          <w:p w14:paraId="56900CB3"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2025</w:t>
            </w:r>
          </w:p>
        </w:tc>
        <w:tc>
          <w:tcPr>
            <w:tcW w:w="586" w:type="dxa"/>
            <w:tcBorders>
              <w:top w:val="nil"/>
              <w:left w:val="nil"/>
              <w:bottom w:val="single" w:sz="8" w:space="0" w:color="DCDDDE"/>
              <w:right w:val="nil"/>
            </w:tcBorders>
            <w:shd w:val="clear" w:color="auto" w:fill="auto"/>
            <w:noWrap/>
            <w:vAlign w:val="center"/>
            <w:hideMark/>
          </w:tcPr>
          <w:p w14:paraId="6F44033F"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2026</w:t>
            </w:r>
          </w:p>
        </w:tc>
        <w:tc>
          <w:tcPr>
            <w:tcW w:w="586" w:type="dxa"/>
            <w:tcBorders>
              <w:top w:val="nil"/>
              <w:left w:val="nil"/>
              <w:bottom w:val="single" w:sz="8" w:space="0" w:color="DCDDDE"/>
              <w:right w:val="nil"/>
            </w:tcBorders>
            <w:shd w:val="clear" w:color="auto" w:fill="auto"/>
            <w:noWrap/>
            <w:vAlign w:val="center"/>
            <w:hideMark/>
          </w:tcPr>
          <w:p w14:paraId="1F3D6806"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2027</w:t>
            </w:r>
          </w:p>
        </w:tc>
        <w:tc>
          <w:tcPr>
            <w:tcW w:w="586" w:type="dxa"/>
            <w:tcBorders>
              <w:top w:val="nil"/>
              <w:left w:val="nil"/>
              <w:bottom w:val="single" w:sz="8" w:space="0" w:color="DCDDDE"/>
              <w:right w:val="nil"/>
            </w:tcBorders>
            <w:shd w:val="clear" w:color="auto" w:fill="auto"/>
            <w:noWrap/>
            <w:vAlign w:val="center"/>
            <w:hideMark/>
          </w:tcPr>
          <w:p w14:paraId="11CC6375"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2028</w:t>
            </w:r>
          </w:p>
        </w:tc>
        <w:tc>
          <w:tcPr>
            <w:tcW w:w="586" w:type="dxa"/>
            <w:tcBorders>
              <w:top w:val="nil"/>
              <w:left w:val="nil"/>
              <w:bottom w:val="single" w:sz="8" w:space="0" w:color="DCDDDE"/>
              <w:right w:val="nil"/>
            </w:tcBorders>
            <w:shd w:val="clear" w:color="auto" w:fill="auto"/>
            <w:noWrap/>
            <w:vAlign w:val="center"/>
            <w:hideMark/>
          </w:tcPr>
          <w:p w14:paraId="69103899"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2029</w:t>
            </w:r>
          </w:p>
        </w:tc>
        <w:tc>
          <w:tcPr>
            <w:tcW w:w="586" w:type="dxa"/>
            <w:tcBorders>
              <w:top w:val="nil"/>
              <w:left w:val="nil"/>
              <w:bottom w:val="single" w:sz="8" w:space="0" w:color="DCDDDE"/>
              <w:right w:val="nil"/>
            </w:tcBorders>
            <w:shd w:val="clear" w:color="auto" w:fill="auto"/>
            <w:noWrap/>
            <w:vAlign w:val="center"/>
            <w:hideMark/>
          </w:tcPr>
          <w:p w14:paraId="2E582F28"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2030</w:t>
            </w:r>
          </w:p>
        </w:tc>
      </w:tr>
      <w:tr w:rsidR="00490035" w:rsidRPr="00490035" w14:paraId="4110034A" w14:textId="77777777" w:rsidTr="002A760B">
        <w:trPr>
          <w:trHeight w:val="315"/>
          <w:jc w:val="center"/>
        </w:trPr>
        <w:tc>
          <w:tcPr>
            <w:tcW w:w="8597" w:type="dxa"/>
            <w:gridSpan w:val="14"/>
            <w:tcBorders>
              <w:top w:val="single" w:sz="8" w:space="0" w:color="DCDDDE"/>
              <w:left w:val="nil"/>
              <w:bottom w:val="single" w:sz="8" w:space="0" w:color="DCDDDE"/>
              <w:right w:val="nil"/>
            </w:tcBorders>
            <w:shd w:val="clear" w:color="000000" w:fill="DADADA"/>
            <w:noWrap/>
            <w:vAlign w:val="center"/>
            <w:hideMark/>
          </w:tcPr>
          <w:p w14:paraId="4B8ED1B6"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TRC | Reference</w:t>
            </w:r>
          </w:p>
        </w:tc>
      </w:tr>
      <w:tr w:rsidR="00490035" w:rsidRPr="00490035" w14:paraId="0F51B6E9" w14:textId="77777777" w:rsidTr="002A760B">
        <w:trPr>
          <w:trHeight w:val="555"/>
          <w:jc w:val="center"/>
        </w:trPr>
        <w:tc>
          <w:tcPr>
            <w:tcW w:w="979" w:type="dxa"/>
            <w:tcBorders>
              <w:top w:val="nil"/>
              <w:left w:val="nil"/>
              <w:bottom w:val="single" w:sz="8" w:space="0" w:color="DCDDDE"/>
              <w:right w:val="nil"/>
            </w:tcBorders>
            <w:shd w:val="clear" w:color="000000" w:fill="FFFFFF"/>
            <w:vAlign w:val="center"/>
            <w:hideMark/>
          </w:tcPr>
          <w:p w14:paraId="1E5B155C"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86" w:type="dxa"/>
            <w:tcBorders>
              <w:top w:val="nil"/>
              <w:left w:val="nil"/>
              <w:bottom w:val="single" w:sz="8" w:space="0" w:color="DCDDDE"/>
              <w:right w:val="nil"/>
            </w:tcBorders>
            <w:shd w:val="clear" w:color="000000" w:fill="FFFFFF"/>
            <w:noWrap/>
            <w:vAlign w:val="center"/>
            <w:hideMark/>
          </w:tcPr>
          <w:p w14:paraId="274F3E5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283</w:t>
            </w:r>
          </w:p>
        </w:tc>
        <w:tc>
          <w:tcPr>
            <w:tcW w:w="586" w:type="dxa"/>
            <w:tcBorders>
              <w:top w:val="nil"/>
              <w:left w:val="nil"/>
              <w:bottom w:val="single" w:sz="8" w:space="0" w:color="DCDDDE"/>
              <w:right w:val="nil"/>
            </w:tcBorders>
            <w:shd w:val="clear" w:color="000000" w:fill="FFFFFF"/>
            <w:noWrap/>
            <w:vAlign w:val="center"/>
            <w:hideMark/>
          </w:tcPr>
          <w:p w14:paraId="26177A3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309</w:t>
            </w:r>
          </w:p>
        </w:tc>
        <w:tc>
          <w:tcPr>
            <w:tcW w:w="586" w:type="dxa"/>
            <w:tcBorders>
              <w:top w:val="nil"/>
              <w:left w:val="nil"/>
              <w:bottom w:val="single" w:sz="8" w:space="0" w:color="DCDDDE"/>
              <w:right w:val="nil"/>
            </w:tcBorders>
            <w:shd w:val="clear" w:color="000000" w:fill="FFFFFF"/>
            <w:noWrap/>
            <w:vAlign w:val="center"/>
            <w:hideMark/>
          </w:tcPr>
          <w:p w14:paraId="6DB8EF1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286</w:t>
            </w:r>
          </w:p>
        </w:tc>
        <w:tc>
          <w:tcPr>
            <w:tcW w:w="586" w:type="dxa"/>
            <w:tcBorders>
              <w:top w:val="nil"/>
              <w:left w:val="nil"/>
              <w:bottom w:val="single" w:sz="8" w:space="0" w:color="DCDDDE"/>
              <w:right w:val="nil"/>
            </w:tcBorders>
            <w:shd w:val="clear" w:color="000000" w:fill="FFFFFF"/>
            <w:noWrap/>
            <w:vAlign w:val="center"/>
            <w:hideMark/>
          </w:tcPr>
          <w:p w14:paraId="6ABA28E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315</w:t>
            </w:r>
          </w:p>
        </w:tc>
        <w:tc>
          <w:tcPr>
            <w:tcW w:w="586" w:type="dxa"/>
            <w:tcBorders>
              <w:top w:val="nil"/>
              <w:left w:val="nil"/>
              <w:bottom w:val="single" w:sz="8" w:space="0" w:color="DCDDDE"/>
              <w:right w:val="nil"/>
            </w:tcBorders>
            <w:shd w:val="clear" w:color="000000" w:fill="FFFFFF"/>
            <w:noWrap/>
            <w:vAlign w:val="center"/>
            <w:hideMark/>
          </w:tcPr>
          <w:p w14:paraId="02BF885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319</w:t>
            </w:r>
          </w:p>
        </w:tc>
        <w:tc>
          <w:tcPr>
            <w:tcW w:w="586" w:type="dxa"/>
            <w:tcBorders>
              <w:top w:val="nil"/>
              <w:left w:val="nil"/>
              <w:bottom w:val="single" w:sz="8" w:space="0" w:color="DCDDDE"/>
              <w:right w:val="nil"/>
            </w:tcBorders>
            <w:shd w:val="clear" w:color="000000" w:fill="FFFFFF"/>
            <w:noWrap/>
            <w:vAlign w:val="center"/>
            <w:hideMark/>
          </w:tcPr>
          <w:p w14:paraId="08DD954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321</w:t>
            </w:r>
          </w:p>
        </w:tc>
        <w:tc>
          <w:tcPr>
            <w:tcW w:w="586" w:type="dxa"/>
            <w:tcBorders>
              <w:top w:val="nil"/>
              <w:left w:val="nil"/>
              <w:bottom w:val="single" w:sz="8" w:space="0" w:color="DCDDDE"/>
              <w:right w:val="nil"/>
            </w:tcBorders>
            <w:shd w:val="clear" w:color="000000" w:fill="FFFFFF"/>
            <w:noWrap/>
            <w:vAlign w:val="center"/>
            <w:hideMark/>
          </w:tcPr>
          <w:p w14:paraId="37B5407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333</w:t>
            </w:r>
          </w:p>
        </w:tc>
        <w:tc>
          <w:tcPr>
            <w:tcW w:w="586" w:type="dxa"/>
            <w:tcBorders>
              <w:top w:val="nil"/>
              <w:left w:val="nil"/>
              <w:bottom w:val="single" w:sz="8" w:space="0" w:color="DCDDDE"/>
              <w:right w:val="nil"/>
            </w:tcBorders>
            <w:shd w:val="clear" w:color="000000" w:fill="FFFFFF"/>
            <w:noWrap/>
            <w:vAlign w:val="center"/>
            <w:hideMark/>
          </w:tcPr>
          <w:p w14:paraId="3F777E2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336</w:t>
            </w:r>
          </w:p>
        </w:tc>
        <w:tc>
          <w:tcPr>
            <w:tcW w:w="586" w:type="dxa"/>
            <w:tcBorders>
              <w:top w:val="nil"/>
              <w:left w:val="nil"/>
              <w:bottom w:val="single" w:sz="8" w:space="0" w:color="DCDDDE"/>
              <w:right w:val="nil"/>
            </w:tcBorders>
            <w:shd w:val="clear" w:color="000000" w:fill="FFFFFF"/>
            <w:noWrap/>
            <w:vAlign w:val="center"/>
            <w:hideMark/>
          </w:tcPr>
          <w:p w14:paraId="6630442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333</w:t>
            </w:r>
          </w:p>
        </w:tc>
        <w:tc>
          <w:tcPr>
            <w:tcW w:w="586" w:type="dxa"/>
            <w:tcBorders>
              <w:top w:val="nil"/>
              <w:left w:val="nil"/>
              <w:bottom w:val="single" w:sz="8" w:space="0" w:color="DCDDDE"/>
              <w:right w:val="nil"/>
            </w:tcBorders>
            <w:shd w:val="clear" w:color="000000" w:fill="FFFFFF"/>
            <w:noWrap/>
            <w:vAlign w:val="center"/>
            <w:hideMark/>
          </w:tcPr>
          <w:p w14:paraId="64B4B5F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332</w:t>
            </w:r>
          </w:p>
        </w:tc>
        <w:tc>
          <w:tcPr>
            <w:tcW w:w="586" w:type="dxa"/>
            <w:tcBorders>
              <w:top w:val="nil"/>
              <w:left w:val="nil"/>
              <w:bottom w:val="single" w:sz="8" w:space="0" w:color="DCDDDE"/>
              <w:right w:val="nil"/>
            </w:tcBorders>
            <w:shd w:val="clear" w:color="000000" w:fill="FFFFFF"/>
            <w:noWrap/>
            <w:vAlign w:val="center"/>
            <w:hideMark/>
          </w:tcPr>
          <w:p w14:paraId="03B6688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333</w:t>
            </w:r>
          </w:p>
        </w:tc>
        <w:tc>
          <w:tcPr>
            <w:tcW w:w="586" w:type="dxa"/>
            <w:tcBorders>
              <w:top w:val="nil"/>
              <w:left w:val="nil"/>
              <w:bottom w:val="single" w:sz="8" w:space="0" w:color="DCDDDE"/>
              <w:right w:val="nil"/>
            </w:tcBorders>
            <w:shd w:val="clear" w:color="000000" w:fill="FFFFFF"/>
            <w:noWrap/>
            <w:vAlign w:val="center"/>
            <w:hideMark/>
          </w:tcPr>
          <w:p w14:paraId="07D3DC2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335</w:t>
            </w:r>
          </w:p>
        </w:tc>
        <w:tc>
          <w:tcPr>
            <w:tcW w:w="586" w:type="dxa"/>
            <w:tcBorders>
              <w:top w:val="nil"/>
              <w:left w:val="nil"/>
              <w:bottom w:val="single" w:sz="8" w:space="0" w:color="DCDDDE"/>
              <w:right w:val="nil"/>
            </w:tcBorders>
            <w:shd w:val="clear" w:color="000000" w:fill="FFFFFF"/>
            <w:noWrap/>
            <w:vAlign w:val="center"/>
            <w:hideMark/>
          </w:tcPr>
          <w:p w14:paraId="65B296D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336</w:t>
            </w:r>
          </w:p>
        </w:tc>
      </w:tr>
      <w:tr w:rsidR="00490035" w:rsidRPr="00490035" w14:paraId="2BC7E156"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4CE2C556"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BROs</w:t>
            </w:r>
          </w:p>
        </w:tc>
        <w:tc>
          <w:tcPr>
            <w:tcW w:w="586" w:type="dxa"/>
            <w:tcBorders>
              <w:top w:val="nil"/>
              <w:left w:val="nil"/>
              <w:bottom w:val="single" w:sz="8" w:space="0" w:color="DCDDDE"/>
              <w:right w:val="nil"/>
            </w:tcBorders>
            <w:shd w:val="clear" w:color="000000" w:fill="FFFFFF"/>
            <w:noWrap/>
            <w:vAlign w:val="center"/>
            <w:hideMark/>
          </w:tcPr>
          <w:p w14:paraId="32B9530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123</w:t>
            </w:r>
          </w:p>
        </w:tc>
        <w:tc>
          <w:tcPr>
            <w:tcW w:w="586" w:type="dxa"/>
            <w:tcBorders>
              <w:top w:val="nil"/>
              <w:left w:val="nil"/>
              <w:bottom w:val="single" w:sz="8" w:space="0" w:color="DCDDDE"/>
              <w:right w:val="nil"/>
            </w:tcBorders>
            <w:shd w:val="clear" w:color="000000" w:fill="FFFFFF"/>
            <w:noWrap/>
            <w:vAlign w:val="center"/>
            <w:hideMark/>
          </w:tcPr>
          <w:p w14:paraId="0AB304C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158</w:t>
            </w:r>
          </w:p>
        </w:tc>
        <w:tc>
          <w:tcPr>
            <w:tcW w:w="586" w:type="dxa"/>
            <w:tcBorders>
              <w:top w:val="nil"/>
              <w:left w:val="nil"/>
              <w:bottom w:val="single" w:sz="8" w:space="0" w:color="DCDDDE"/>
              <w:right w:val="nil"/>
            </w:tcBorders>
            <w:shd w:val="clear" w:color="000000" w:fill="FFFFFF"/>
            <w:noWrap/>
            <w:vAlign w:val="center"/>
            <w:hideMark/>
          </w:tcPr>
          <w:p w14:paraId="10CAA92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175</w:t>
            </w:r>
          </w:p>
        </w:tc>
        <w:tc>
          <w:tcPr>
            <w:tcW w:w="586" w:type="dxa"/>
            <w:tcBorders>
              <w:top w:val="nil"/>
              <w:left w:val="nil"/>
              <w:bottom w:val="single" w:sz="8" w:space="0" w:color="DCDDDE"/>
              <w:right w:val="nil"/>
            </w:tcBorders>
            <w:shd w:val="clear" w:color="000000" w:fill="FFFFFF"/>
            <w:noWrap/>
            <w:vAlign w:val="center"/>
            <w:hideMark/>
          </w:tcPr>
          <w:p w14:paraId="49C7D76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192</w:t>
            </w:r>
          </w:p>
        </w:tc>
        <w:tc>
          <w:tcPr>
            <w:tcW w:w="586" w:type="dxa"/>
            <w:tcBorders>
              <w:top w:val="nil"/>
              <w:left w:val="nil"/>
              <w:bottom w:val="single" w:sz="8" w:space="0" w:color="DCDDDE"/>
              <w:right w:val="nil"/>
            </w:tcBorders>
            <w:shd w:val="clear" w:color="000000" w:fill="FFFFFF"/>
            <w:noWrap/>
            <w:vAlign w:val="center"/>
            <w:hideMark/>
          </w:tcPr>
          <w:p w14:paraId="129F073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203</w:t>
            </w:r>
          </w:p>
        </w:tc>
        <w:tc>
          <w:tcPr>
            <w:tcW w:w="586" w:type="dxa"/>
            <w:tcBorders>
              <w:top w:val="nil"/>
              <w:left w:val="nil"/>
              <w:bottom w:val="single" w:sz="8" w:space="0" w:color="DCDDDE"/>
              <w:right w:val="nil"/>
            </w:tcBorders>
            <w:shd w:val="clear" w:color="000000" w:fill="FFFFFF"/>
            <w:noWrap/>
            <w:vAlign w:val="center"/>
            <w:hideMark/>
          </w:tcPr>
          <w:p w14:paraId="79E3EA4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213</w:t>
            </w:r>
          </w:p>
        </w:tc>
        <w:tc>
          <w:tcPr>
            <w:tcW w:w="586" w:type="dxa"/>
            <w:tcBorders>
              <w:top w:val="nil"/>
              <w:left w:val="nil"/>
              <w:bottom w:val="single" w:sz="8" w:space="0" w:color="DCDDDE"/>
              <w:right w:val="nil"/>
            </w:tcBorders>
            <w:shd w:val="clear" w:color="000000" w:fill="FFFFFF"/>
            <w:noWrap/>
            <w:vAlign w:val="center"/>
            <w:hideMark/>
          </w:tcPr>
          <w:p w14:paraId="379F427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223</w:t>
            </w:r>
          </w:p>
        </w:tc>
        <w:tc>
          <w:tcPr>
            <w:tcW w:w="586" w:type="dxa"/>
            <w:tcBorders>
              <w:top w:val="nil"/>
              <w:left w:val="nil"/>
              <w:bottom w:val="single" w:sz="8" w:space="0" w:color="DCDDDE"/>
              <w:right w:val="nil"/>
            </w:tcBorders>
            <w:shd w:val="clear" w:color="000000" w:fill="FFFFFF"/>
            <w:noWrap/>
            <w:vAlign w:val="center"/>
            <w:hideMark/>
          </w:tcPr>
          <w:p w14:paraId="73C6A52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240</w:t>
            </w:r>
          </w:p>
        </w:tc>
        <w:tc>
          <w:tcPr>
            <w:tcW w:w="586" w:type="dxa"/>
            <w:tcBorders>
              <w:top w:val="nil"/>
              <w:left w:val="nil"/>
              <w:bottom w:val="single" w:sz="8" w:space="0" w:color="DCDDDE"/>
              <w:right w:val="nil"/>
            </w:tcBorders>
            <w:shd w:val="clear" w:color="000000" w:fill="FFFFFF"/>
            <w:noWrap/>
            <w:vAlign w:val="center"/>
            <w:hideMark/>
          </w:tcPr>
          <w:p w14:paraId="26B9B62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253</w:t>
            </w:r>
          </w:p>
        </w:tc>
        <w:tc>
          <w:tcPr>
            <w:tcW w:w="586" w:type="dxa"/>
            <w:tcBorders>
              <w:top w:val="nil"/>
              <w:left w:val="nil"/>
              <w:bottom w:val="single" w:sz="8" w:space="0" w:color="DCDDDE"/>
              <w:right w:val="nil"/>
            </w:tcBorders>
            <w:shd w:val="clear" w:color="000000" w:fill="FFFFFF"/>
            <w:noWrap/>
            <w:vAlign w:val="center"/>
            <w:hideMark/>
          </w:tcPr>
          <w:p w14:paraId="3D8E0E5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266</w:t>
            </w:r>
          </w:p>
        </w:tc>
        <w:tc>
          <w:tcPr>
            <w:tcW w:w="586" w:type="dxa"/>
            <w:tcBorders>
              <w:top w:val="nil"/>
              <w:left w:val="nil"/>
              <w:bottom w:val="single" w:sz="8" w:space="0" w:color="DCDDDE"/>
              <w:right w:val="nil"/>
            </w:tcBorders>
            <w:shd w:val="clear" w:color="000000" w:fill="FFFFFF"/>
            <w:noWrap/>
            <w:vAlign w:val="center"/>
            <w:hideMark/>
          </w:tcPr>
          <w:p w14:paraId="0DC942C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279</w:t>
            </w:r>
          </w:p>
        </w:tc>
        <w:tc>
          <w:tcPr>
            <w:tcW w:w="586" w:type="dxa"/>
            <w:tcBorders>
              <w:top w:val="nil"/>
              <w:left w:val="nil"/>
              <w:bottom w:val="single" w:sz="8" w:space="0" w:color="DCDDDE"/>
              <w:right w:val="nil"/>
            </w:tcBorders>
            <w:shd w:val="clear" w:color="000000" w:fill="FFFFFF"/>
            <w:noWrap/>
            <w:vAlign w:val="center"/>
            <w:hideMark/>
          </w:tcPr>
          <w:p w14:paraId="7D147D7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293</w:t>
            </w:r>
          </w:p>
        </w:tc>
        <w:tc>
          <w:tcPr>
            <w:tcW w:w="586" w:type="dxa"/>
            <w:tcBorders>
              <w:top w:val="nil"/>
              <w:left w:val="nil"/>
              <w:bottom w:val="single" w:sz="8" w:space="0" w:color="DCDDDE"/>
              <w:right w:val="nil"/>
            </w:tcBorders>
            <w:shd w:val="clear" w:color="000000" w:fill="FFFFFF"/>
            <w:noWrap/>
            <w:vAlign w:val="center"/>
            <w:hideMark/>
          </w:tcPr>
          <w:p w14:paraId="161E845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308</w:t>
            </w:r>
          </w:p>
        </w:tc>
      </w:tr>
      <w:tr w:rsidR="00490035" w:rsidRPr="00490035" w14:paraId="657983C8"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2E1C7104"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86" w:type="dxa"/>
            <w:tcBorders>
              <w:top w:val="nil"/>
              <w:left w:val="nil"/>
              <w:bottom w:val="single" w:sz="8" w:space="0" w:color="DCDDDE"/>
              <w:right w:val="nil"/>
            </w:tcBorders>
            <w:shd w:val="clear" w:color="000000" w:fill="FFFFFF"/>
            <w:noWrap/>
            <w:vAlign w:val="center"/>
            <w:hideMark/>
          </w:tcPr>
          <w:p w14:paraId="142878F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29</w:t>
            </w:r>
          </w:p>
        </w:tc>
        <w:tc>
          <w:tcPr>
            <w:tcW w:w="586" w:type="dxa"/>
            <w:tcBorders>
              <w:top w:val="nil"/>
              <w:left w:val="nil"/>
              <w:bottom w:val="single" w:sz="8" w:space="0" w:color="DCDDDE"/>
              <w:right w:val="nil"/>
            </w:tcBorders>
            <w:shd w:val="clear" w:color="000000" w:fill="FFFFFF"/>
            <w:noWrap/>
            <w:vAlign w:val="center"/>
            <w:hideMark/>
          </w:tcPr>
          <w:p w14:paraId="6FB4DB9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30</w:t>
            </w:r>
          </w:p>
        </w:tc>
        <w:tc>
          <w:tcPr>
            <w:tcW w:w="586" w:type="dxa"/>
            <w:tcBorders>
              <w:top w:val="nil"/>
              <w:left w:val="nil"/>
              <w:bottom w:val="single" w:sz="8" w:space="0" w:color="DCDDDE"/>
              <w:right w:val="nil"/>
            </w:tcBorders>
            <w:shd w:val="clear" w:color="000000" w:fill="FFFFFF"/>
            <w:noWrap/>
            <w:vAlign w:val="center"/>
            <w:hideMark/>
          </w:tcPr>
          <w:p w14:paraId="08591D7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30</w:t>
            </w:r>
          </w:p>
        </w:tc>
        <w:tc>
          <w:tcPr>
            <w:tcW w:w="586" w:type="dxa"/>
            <w:tcBorders>
              <w:top w:val="nil"/>
              <w:left w:val="nil"/>
              <w:bottom w:val="single" w:sz="8" w:space="0" w:color="DCDDDE"/>
              <w:right w:val="nil"/>
            </w:tcBorders>
            <w:shd w:val="clear" w:color="000000" w:fill="FFFFFF"/>
            <w:noWrap/>
            <w:vAlign w:val="center"/>
            <w:hideMark/>
          </w:tcPr>
          <w:p w14:paraId="5DCCA14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0E53A6A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3A2C9B8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5C5640A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73FA7D7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6BAC064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417AFB0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25FC74B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6117378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52BADB3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r>
      <w:tr w:rsidR="00490035" w:rsidRPr="00490035" w14:paraId="3295F50D" w14:textId="77777777" w:rsidTr="002A760B">
        <w:trPr>
          <w:trHeight w:val="825"/>
          <w:jc w:val="center"/>
        </w:trPr>
        <w:tc>
          <w:tcPr>
            <w:tcW w:w="979" w:type="dxa"/>
            <w:tcBorders>
              <w:top w:val="nil"/>
              <w:left w:val="nil"/>
              <w:bottom w:val="single" w:sz="8" w:space="0" w:color="DCDDDE"/>
              <w:right w:val="nil"/>
            </w:tcBorders>
            <w:shd w:val="clear" w:color="000000" w:fill="FFFFFF"/>
            <w:vAlign w:val="center"/>
            <w:hideMark/>
          </w:tcPr>
          <w:p w14:paraId="01C17A95"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86" w:type="dxa"/>
            <w:tcBorders>
              <w:top w:val="nil"/>
              <w:left w:val="nil"/>
              <w:bottom w:val="single" w:sz="8" w:space="0" w:color="DCDDDE"/>
              <w:right w:val="nil"/>
            </w:tcBorders>
            <w:shd w:val="clear" w:color="000000" w:fill="FFFFFF"/>
            <w:noWrap/>
            <w:vAlign w:val="center"/>
            <w:hideMark/>
          </w:tcPr>
          <w:p w14:paraId="7688615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435</w:t>
            </w:r>
          </w:p>
        </w:tc>
        <w:tc>
          <w:tcPr>
            <w:tcW w:w="586" w:type="dxa"/>
            <w:tcBorders>
              <w:top w:val="nil"/>
              <w:left w:val="nil"/>
              <w:bottom w:val="single" w:sz="8" w:space="0" w:color="DCDDDE"/>
              <w:right w:val="nil"/>
            </w:tcBorders>
            <w:shd w:val="clear" w:color="000000" w:fill="FFFFFF"/>
            <w:noWrap/>
            <w:vAlign w:val="center"/>
            <w:hideMark/>
          </w:tcPr>
          <w:p w14:paraId="690A73A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497</w:t>
            </w:r>
          </w:p>
        </w:tc>
        <w:tc>
          <w:tcPr>
            <w:tcW w:w="586" w:type="dxa"/>
            <w:tcBorders>
              <w:top w:val="nil"/>
              <w:left w:val="nil"/>
              <w:bottom w:val="single" w:sz="8" w:space="0" w:color="DCDDDE"/>
              <w:right w:val="nil"/>
            </w:tcBorders>
            <w:shd w:val="clear" w:color="000000" w:fill="FFFFFF"/>
            <w:noWrap/>
            <w:vAlign w:val="center"/>
            <w:hideMark/>
          </w:tcPr>
          <w:p w14:paraId="5104085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490</w:t>
            </w:r>
          </w:p>
        </w:tc>
        <w:tc>
          <w:tcPr>
            <w:tcW w:w="586" w:type="dxa"/>
            <w:tcBorders>
              <w:top w:val="nil"/>
              <w:left w:val="nil"/>
              <w:bottom w:val="single" w:sz="8" w:space="0" w:color="DCDDDE"/>
              <w:right w:val="nil"/>
            </w:tcBorders>
            <w:shd w:val="clear" w:color="000000" w:fill="FFFFFF"/>
            <w:noWrap/>
            <w:vAlign w:val="center"/>
            <w:hideMark/>
          </w:tcPr>
          <w:p w14:paraId="22BFD0D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529</w:t>
            </w:r>
          </w:p>
        </w:tc>
        <w:tc>
          <w:tcPr>
            <w:tcW w:w="586" w:type="dxa"/>
            <w:tcBorders>
              <w:top w:val="nil"/>
              <w:left w:val="nil"/>
              <w:bottom w:val="single" w:sz="8" w:space="0" w:color="DCDDDE"/>
              <w:right w:val="nil"/>
            </w:tcBorders>
            <w:shd w:val="clear" w:color="000000" w:fill="FFFFFF"/>
            <w:noWrap/>
            <w:vAlign w:val="center"/>
            <w:hideMark/>
          </w:tcPr>
          <w:p w14:paraId="33BA76A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543</w:t>
            </w:r>
          </w:p>
        </w:tc>
        <w:tc>
          <w:tcPr>
            <w:tcW w:w="586" w:type="dxa"/>
            <w:tcBorders>
              <w:top w:val="nil"/>
              <w:left w:val="nil"/>
              <w:bottom w:val="single" w:sz="8" w:space="0" w:color="DCDDDE"/>
              <w:right w:val="nil"/>
            </w:tcBorders>
            <w:shd w:val="clear" w:color="000000" w:fill="FFFFFF"/>
            <w:noWrap/>
            <w:vAlign w:val="center"/>
            <w:hideMark/>
          </w:tcPr>
          <w:p w14:paraId="1367D71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556</w:t>
            </w:r>
          </w:p>
        </w:tc>
        <w:tc>
          <w:tcPr>
            <w:tcW w:w="586" w:type="dxa"/>
            <w:tcBorders>
              <w:top w:val="nil"/>
              <w:left w:val="nil"/>
              <w:bottom w:val="single" w:sz="8" w:space="0" w:color="DCDDDE"/>
              <w:right w:val="nil"/>
            </w:tcBorders>
            <w:shd w:val="clear" w:color="000000" w:fill="FFFFFF"/>
            <w:noWrap/>
            <w:vAlign w:val="center"/>
            <w:hideMark/>
          </w:tcPr>
          <w:p w14:paraId="11B44E9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578</w:t>
            </w:r>
          </w:p>
        </w:tc>
        <w:tc>
          <w:tcPr>
            <w:tcW w:w="586" w:type="dxa"/>
            <w:tcBorders>
              <w:top w:val="nil"/>
              <w:left w:val="nil"/>
              <w:bottom w:val="single" w:sz="8" w:space="0" w:color="DCDDDE"/>
              <w:right w:val="nil"/>
            </w:tcBorders>
            <w:shd w:val="clear" w:color="000000" w:fill="FFFFFF"/>
            <w:noWrap/>
            <w:vAlign w:val="center"/>
            <w:hideMark/>
          </w:tcPr>
          <w:p w14:paraId="4D372B7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598</w:t>
            </w:r>
          </w:p>
        </w:tc>
        <w:tc>
          <w:tcPr>
            <w:tcW w:w="586" w:type="dxa"/>
            <w:tcBorders>
              <w:top w:val="nil"/>
              <w:left w:val="nil"/>
              <w:bottom w:val="single" w:sz="8" w:space="0" w:color="DCDDDE"/>
              <w:right w:val="nil"/>
            </w:tcBorders>
            <w:shd w:val="clear" w:color="000000" w:fill="FFFFFF"/>
            <w:noWrap/>
            <w:vAlign w:val="center"/>
            <w:hideMark/>
          </w:tcPr>
          <w:p w14:paraId="588BCB8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607</w:t>
            </w:r>
          </w:p>
        </w:tc>
        <w:tc>
          <w:tcPr>
            <w:tcW w:w="586" w:type="dxa"/>
            <w:tcBorders>
              <w:top w:val="nil"/>
              <w:left w:val="nil"/>
              <w:bottom w:val="single" w:sz="8" w:space="0" w:color="DCDDDE"/>
              <w:right w:val="nil"/>
            </w:tcBorders>
            <w:shd w:val="clear" w:color="000000" w:fill="FFFFFF"/>
            <w:noWrap/>
            <w:vAlign w:val="center"/>
            <w:hideMark/>
          </w:tcPr>
          <w:p w14:paraId="060AC1B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620</w:t>
            </w:r>
          </w:p>
        </w:tc>
        <w:tc>
          <w:tcPr>
            <w:tcW w:w="586" w:type="dxa"/>
            <w:tcBorders>
              <w:top w:val="nil"/>
              <w:left w:val="nil"/>
              <w:bottom w:val="single" w:sz="8" w:space="0" w:color="DCDDDE"/>
              <w:right w:val="nil"/>
            </w:tcBorders>
            <w:shd w:val="clear" w:color="000000" w:fill="FFFFFF"/>
            <w:noWrap/>
            <w:vAlign w:val="center"/>
            <w:hideMark/>
          </w:tcPr>
          <w:p w14:paraId="65B68FF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635</w:t>
            </w:r>
          </w:p>
        </w:tc>
        <w:tc>
          <w:tcPr>
            <w:tcW w:w="586" w:type="dxa"/>
            <w:tcBorders>
              <w:top w:val="nil"/>
              <w:left w:val="nil"/>
              <w:bottom w:val="single" w:sz="8" w:space="0" w:color="DCDDDE"/>
              <w:right w:val="nil"/>
            </w:tcBorders>
            <w:shd w:val="clear" w:color="000000" w:fill="FFFFFF"/>
            <w:noWrap/>
            <w:vAlign w:val="center"/>
            <w:hideMark/>
          </w:tcPr>
          <w:p w14:paraId="27BE456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650</w:t>
            </w:r>
          </w:p>
        </w:tc>
        <w:tc>
          <w:tcPr>
            <w:tcW w:w="586" w:type="dxa"/>
            <w:tcBorders>
              <w:top w:val="nil"/>
              <w:left w:val="nil"/>
              <w:bottom w:val="single" w:sz="8" w:space="0" w:color="DCDDDE"/>
              <w:right w:val="nil"/>
            </w:tcBorders>
            <w:shd w:val="clear" w:color="000000" w:fill="FFFFFF"/>
            <w:noWrap/>
            <w:vAlign w:val="center"/>
            <w:hideMark/>
          </w:tcPr>
          <w:p w14:paraId="4978991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666</w:t>
            </w:r>
          </w:p>
        </w:tc>
      </w:tr>
      <w:tr w:rsidR="00490035" w:rsidRPr="00490035" w14:paraId="6A770DE8"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3DE6CA91"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C&amp;S*</w:t>
            </w:r>
          </w:p>
        </w:tc>
        <w:tc>
          <w:tcPr>
            <w:tcW w:w="586" w:type="dxa"/>
            <w:tcBorders>
              <w:top w:val="nil"/>
              <w:left w:val="nil"/>
              <w:bottom w:val="single" w:sz="8" w:space="0" w:color="DCDDDE"/>
              <w:right w:val="nil"/>
            </w:tcBorders>
            <w:shd w:val="clear" w:color="000000" w:fill="FFFFFF"/>
            <w:noWrap/>
            <w:vAlign w:val="center"/>
            <w:hideMark/>
          </w:tcPr>
          <w:p w14:paraId="59F5E42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535</w:t>
            </w:r>
          </w:p>
        </w:tc>
        <w:tc>
          <w:tcPr>
            <w:tcW w:w="586" w:type="dxa"/>
            <w:tcBorders>
              <w:top w:val="nil"/>
              <w:left w:val="nil"/>
              <w:bottom w:val="single" w:sz="8" w:space="0" w:color="DCDDDE"/>
              <w:right w:val="nil"/>
            </w:tcBorders>
            <w:shd w:val="clear" w:color="000000" w:fill="FFFFFF"/>
            <w:noWrap/>
            <w:vAlign w:val="center"/>
            <w:hideMark/>
          </w:tcPr>
          <w:p w14:paraId="493EB74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555</w:t>
            </w:r>
          </w:p>
        </w:tc>
        <w:tc>
          <w:tcPr>
            <w:tcW w:w="586" w:type="dxa"/>
            <w:tcBorders>
              <w:top w:val="nil"/>
              <w:left w:val="nil"/>
              <w:bottom w:val="single" w:sz="8" w:space="0" w:color="DCDDDE"/>
              <w:right w:val="nil"/>
            </w:tcBorders>
            <w:shd w:val="clear" w:color="000000" w:fill="FFFFFF"/>
            <w:noWrap/>
            <w:vAlign w:val="center"/>
            <w:hideMark/>
          </w:tcPr>
          <w:p w14:paraId="060B374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559</w:t>
            </w:r>
          </w:p>
        </w:tc>
        <w:tc>
          <w:tcPr>
            <w:tcW w:w="586" w:type="dxa"/>
            <w:tcBorders>
              <w:top w:val="nil"/>
              <w:left w:val="nil"/>
              <w:bottom w:val="single" w:sz="8" w:space="0" w:color="DCDDDE"/>
              <w:right w:val="nil"/>
            </w:tcBorders>
            <w:shd w:val="clear" w:color="000000" w:fill="FFFFFF"/>
            <w:noWrap/>
            <w:vAlign w:val="center"/>
            <w:hideMark/>
          </w:tcPr>
          <w:p w14:paraId="77556A7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576</w:t>
            </w:r>
          </w:p>
        </w:tc>
        <w:tc>
          <w:tcPr>
            <w:tcW w:w="586" w:type="dxa"/>
            <w:tcBorders>
              <w:top w:val="nil"/>
              <w:left w:val="nil"/>
              <w:bottom w:val="single" w:sz="8" w:space="0" w:color="DCDDDE"/>
              <w:right w:val="nil"/>
            </w:tcBorders>
            <w:shd w:val="clear" w:color="000000" w:fill="FFFFFF"/>
            <w:noWrap/>
            <w:vAlign w:val="center"/>
            <w:hideMark/>
          </w:tcPr>
          <w:p w14:paraId="22E38F1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560</w:t>
            </w:r>
          </w:p>
        </w:tc>
        <w:tc>
          <w:tcPr>
            <w:tcW w:w="586" w:type="dxa"/>
            <w:tcBorders>
              <w:top w:val="nil"/>
              <w:left w:val="nil"/>
              <w:bottom w:val="single" w:sz="8" w:space="0" w:color="DCDDDE"/>
              <w:right w:val="nil"/>
            </w:tcBorders>
            <w:shd w:val="clear" w:color="000000" w:fill="FFFFFF"/>
            <w:noWrap/>
            <w:vAlign w:val="center"/>
            <w:hideMark/>
          </w:tcPr>
          <w:p w14:paraId="0EF4154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621</w:t>
            </w:r>
          </w:p>
        </w:tc>
        <w:tc>
          <w:tcPr>
            <w:tcW w:w="586" w:type="dxa"/>
            <w:tcBorders>
              <w:top w:val="nil"/>
              <w:left w:val="nil"/>
              <w:bottom w:val="single" w:sz="8" w:space="0" w:color="DCDDDE"/>
              <w:right w:val="nil"/>
            </w:tcBorders>
            <w:shd w:val="clear" w:color="000000" w:fill="FFFFFF"/>
            <w:noWrap/>
            <w:vAlign w:val="center"/>
            <w:hideMark/>
          </w:tcPr>
          <w:p w14:paraId="44E1350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595</w:t>
            </w:r>
          </w:p>
        </w:tc>
        <w:tc>
          <w:tcPr>
            <w:tcW w:w="586" w:type="dxa"/>
            <w:tcBorders>
              <w:top w:val="nil"/>
              <w:left w:val="nil"/>
              <w:bottom w:val="single" w:sz="8" w:space="0" w:color="DCDDDE"/>
              <w:right w:val="nil"/>
            </w:tcBorders>
            <w:shd w:val="clear" w:color="000000" w:fill="FFFFFF"/>
            <w:noWrap/>
            <w:vAlign w:val="center"/>
            <w:hideMark/>
          </w:tcPr>
          <w:p w14:paraId="0EBC77D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573</w:t>
            </w:r>
          </w:p>
        </w:tc>
        <w:tc>
          <w:tcPr>
            <w:tcW w:w="586" w:type="dxa"/>
            <w:tcBorders>
              <w:top w:val="nil"/>
              <w:left w:val="nil"/>
              <w:bottom w:val="single" w:sz="8" w:space="0" w:color="DCDDDE"/>
              <w:right w:val="nil"/>
            </w:tcBorders>
            <w:shd w:val="clear" w:color="000000" w:fill="FFFFFF"/>
            <w:noWrap/>
            <w:vAlign w:val="center"/>
            <w:hideMark/>
          </w:tcPr>
          <w:p w14:paraId="6F4EE16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538</w:t>
            </w:r>
          </w:p>
        </w:tc>
        <w:tc>
          <w:tcPr>
            <w:tcW w:w="586" w:type="dxa"/>
            <w:tcBorders>
              <w:top w:val="nil"/>
              <w:left w:val="nil"/>
              <w:bottom w:val="single" w:sz="8" w:space="0" w:color="DCDDDE"/>
              <w:right w:val="nil"/>
            </w:tcBorders>
            <w:shd w:val="clear" w:color="000000" w:fill="FFFFFF"/>
            <w:noWrap/>
            <w:vAlign w:val="center"/>
            <w:hideMark/>
          </w:tcPr>
          <w:p w14:paraId="4029116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518</w:t>
            </w:r>
          </w:p>
        </w:tc>
        <w:tc>
          <w:tcPr>
            <w:tcW w:w="586" w:type="dxa"/>
            <w:tcBorders>
              <w:top w:val="nil"/>
              <w:left w:val="nil"/>
              <w:bottom w:val="single" w:sz="8" w:space="0" w:color="DCDDDE"/>
              <w:right w:val="nil"/>
            </w:tcBorders>
            <w:shd w:val="clear" w:color="000000" w:fill="FFFFFF"/>
            <w:noWrap/>
            <w:vAlign w:val="center"/>
            <w:hideMark/>
          </w:tcPr>
          <w:p w14:paraId="028D0A5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471</w:t>
            </w:r>
          </w:p>
        </w:tc>
        <w:tc>
          <w:tcPr>
            <w:tcW w:w="586" w:type="dxa"/>
            <w:tcBorders>
              <w:top w:val="nil"/>
              <w:left w:val="nil"/>
              <w:bottom w:val="single" w:sz="8" w:space="0" w:color="DCDDDE"/>
              <w:right w:val="nil"/>
            </w:tcBorders>
            <w:shd w:val="clear" w:color="000000" w:fill="FFFFFF"/>
            <w:noWrap/>
            <w:vAlign w:val="center"/>
            <w:hideMark/>
          </w:tcPr>
          <w:p w14:paraId="77D34DE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426</w:t>
            </w:r>
          </w:p>
        </w:tc>
        <w:tc>
          <w:tcPr>
            <w:tcW w:w="586" w:type="dxa"/>
            <w:tcBorders>
              <w:top w:val="nil"/>
              <w:left w:val="nil"/>
              <w:bottom w:val="single" w:sz="8" w:space="0" w:color="DCDDDE"/>
              <w:right w:val="nil"/>
            </w:tcBorders>
            <w:shd w:val="clear" w:color="000000" w:fill="FFFFFF"/>
            <w:noWrap/>
            <w:vAlign w:val="center"/>
            <w:hideMark/>
          </w:tcPr>
          <w:p w14:paraId="005F7E2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381</w:t>
            </w:r>
          </w:p>
        </w:tc>
      </w:tr>
      <w:tr w:rsidR="00490035" w:rsidRPr="00490035" w14:paraId="4FCF3615"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745D6D86"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Total</w:t>
            </w:r>
          </w:p>
        </w:tc>
        <w:tc>
          <w:tcPr>
            <w:tcW w:w="586" w:type="dxa"/>
            <w:tcBorders>
              <w:top w:val="nil"/>
              <w:left w:val="nil"/>
              <w:bottom w:val="single" w:sz="8" w:space="0" w:color="DCDDDE"/>
              <w:right w:val="nil"/>
            </w:tcBorders>
            <w:shd w:val="clear" w:color="000000" w:fill="FFFFFF"/>
            <w:noWrap/>
            <w:vAlign w:val="center"/>
            <w:hideMark/>
          </w:tcPr>
          <w:p w14:paraId="3F3F99A7"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970</w:t>
            </w:r>
          </w:p>
        </w:tc>
        <w:tc>
          <w:tcPr>
            <w:tcW w:w="586" w:type="dxa"/>
            <w:tcBorders>
              <w:top w:val="nil"/>
              <w:left w:val="nil"/>
              <w:bottom w:val="single" w:sz="8" w:space="0" w:color="DCDDDE"/>
              <w:right w:val="nil"/>
            </w:tcBorders>
            <w:shd w:val="clear" w:color="000000" w:fill="FFFFFF"/>
            <w:noWrap/>
            <w:vAlign w:val="center"/>
            <w:hideMark/>
          </w:tcPr>
          <w:p w14:paraId="05F66BC5"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1,052</w:t>
            </w:r>
          </w:p>
        </w:tc>
        <w:tc>
          <w:tcPr>
            <w:tcW w:w="586" w:type="dxa"/>
            <w:tcBorders>
              <w:top w:val="nil"/>
              <w:left w:val="nil"/>
              <w:bottom w:val="single" w:sz="8" w:space="0" w:color="DCDDDE"/>
              <w:right w:val="nil"/>
            </w:tcBorders>
            <w:shd w:val="clear" w:color="000000" w:fill="FFFFFF"/>
            <w:noWrap/>
            <w:vAlign w:val="center"/>
            <w:hideMark/>
          </w:tcPr>
          <w:p w14:paraId="59911EB6"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1,049</w:t>
            </w:r>
          </w:p>
        </w:tc>
        <w:tc>
          <w:tcPr>
            <w:tcW w:w="586" w:type="dxa"/>
            <w:tcBorders>
              <w:top w:val="nil"/>
              <w:left w:val="nil"/>
              <w:bottom w:val="single" w:sz="8" w:space="0" w:color="DCDDDE"/>
              <w:right w:val="nil"/>
            </w:tcBorders>
            <w:shd w:val="clear" w:color="000000" w:fill="FFFFFF"/>
            <w:noWrap/>
            <w:vAlign w:val="center"/>
            <w:hideMark/>
          </w:tcPr>
          <w:p w14:paraId="2F540429"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1,104</w:t>
            </w:r>
          </w:p>
        </w:tc>
        <w:tc>
          <w:tcPr>
            <w:tcW w:w="586" w:type="dxa"/>
            <w:tcBorders>
              <w:top w:val="nil"/>
              <w:left w:val="nil"/>
              <w:bottom w:val="single" w:sz="8" w:space="0" w:color="DCDDDE"/>
              <w:right w:val="nil"/>
            </w:tcBorders>
            <w:shd w:val="clear" w:color="000000" w:fill="FFFFFF"/>
            <w:noWrap/>
            <w:vAlign w:val="center"/>
            <w:hideMark/>
          </w:tcPr>
          <w:p w14:paraId="45305CC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1,104</w:t>
            </w:r>
          </w:p>
        </w:tc>
        <w:tc>
          <w:tcPr>
            <w:tcW w:w="586" w:type="dxa"/>
            <w:tcBorders>
              <w:top w:val="nil"/>
              <w:left w:val="nil"/>
              <w:bottom w:val="single" w:sz="8" w:space="0" w:color="DCDDDE"/>
              <w:right w:val="nil"/>
            </w:tcBorders>
            <w:shd w:val="clear" w:color="000000" w:fill="FFFFFF"/>
            <w:noWrap/>
            <w:vAlign w:val="center"/>
            <w:hideMark/>
          </w:tcPr>
          <w:p w14:paraId="6B642DDC"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1,177</w:t>
            </w:r>
          </w:p>
        </w:tc>
        <w:tc>
          <w:tcPr>
            <w:tcW w:w="586" w:type="dxa"/>
            <w:tcBorders>
              <w:top w:val="nil"/>
              <w:left w:val="nil"/>
              <w:bottom w:val="single" w:sz="8" w:space="0" w:color="DCDDDE"/>
              <w:right w:val="nil"/>
            </w:tcBorders>
            <w:shd w:val="clear" w:color="000000" w:fill="FFFFFF"/>
            <w:noWrap/>
            <w:vAlign w:val="center"/>
            <w:hideMark/>
          </w:tcPr>
          <w:p w14:paraId="7D403C8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1,173</w:t>
            </w:r>
          </w:p>
        </w:tc>
        <w:tc>
          <w:tcPr>
            <w:tcW w:w="586" w:type="dxa"/>
            <w:tcBorders>
              <w:top w:val="nil"/>
              <w:left w:val="nil"/>
              <w:bottom w:val="single" w:sz="8" w:space="0" w:color="DCDDDE"/>
              <w:right w:val="nil"/>
            </w:tcBorders>
            <w:shd w:val="clear" w:color="000000" w:fill="FFFFFF"/>
            <w:noWrap/>
            <w:vAlign w:val="center"/>
            <w:hideMark/>
          </w:tcPr>
          <w:p w14:paraId="245E8DDD"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1,171</w:t>
            </w:r>
          </w:p>
        </w:tc>
        <w:tc>
          <w:tcPr>
            <w:tcW w:w="586" w:type="dxa"/>
            <w:tcBorders>
              <w:top w:val="nil"/>
              <w:left w:val="nil"/>
              <w:bottom w:val="single" w:sz="8" w:space="0" w:color="DCDDDE"/>
              <w:right w:val="nil"/>
            </w:tcBorders>
            <w:shd w:val="clear" w:color="000000" w:fill="FFFFFF"/>
            <w:noWrap/>
            <w:vAlign w:val="center"/>
            <w:hideMark/>
          </w:tcPr>
          <w:p w14:paraId="5A751F2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1,145</w:t>
            </w:r>
          </w:p>
        </w:tc>
        <w:tc>
          <w:tcPr>
            <w:tcW w:w="586" w:type="dxa"/>
            <w:tcBorders>
              <w:top w:val="nil"/>
              <w:left w:val="nil"/>
              <w:bottom w:val="single" w:sz="8" w:space="0" w:color="DCDDDE"/>
              <w:right w:val="nil"/>
            </w:tcBorders>
            <w:shd w:val="clear" w:color="000000" w:fill="FFFFFF"/>
            <w:noWrap/>
            <w:vAlign w:val="center"/>
            <w:hideMark/>
          </w:tcPr>
          <w:p w14:paraId="5A388955"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1,138</w:t>
            </w:r>
          </w:p>
        </w:tc>
        <w:tc>
          <w:tcPr>
            <w:tcW w:w="586" w:type="dxa"/>
            <w:tcBorders>
              <w:top w:val="nil"/>
              <w:left w:val="nil"/>
              <w:bottom w:val="single" w:sz="8" w:space="0" w:color="DCDDDE"/>
              <w:right w:val="nil"/>
            </w:tcBorders>
            <w:shd w:val="clear" w:color="000000" w:fill="FFFFFF"/>
            <w:noWrap/>
            <w:vAlign w:val="center"/>
            <w:hideMark/>
          </w:tcPr>
          <w:p w14:paraId="45F9793D"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1,106</w:t>
            </w:r>
          </w:p>
        </w:tc>
        <w:tc>
          <w:tcPr>
            <w:tcW w:w="586" w:type="dxa"/>
            <w:tcBorders>
              <w:top w:val="nil"/>
              <w:left w:val="nil"/>
              <w:bottom w:val="single" w:sz="8" w:space="0" w:color="DCDDDE"/>
              <w:right w:val="nil"/>
            </w:tcBorders>
            <w:shd w:val="clear" w:color="000000" w:fill="FFFFFF"/>
            <w:noWrap/>
            <w:vAlign w:val="center"/>
            <w:hideMark/>
          </w:tcPr>
          <w:p w14:paraId="0EAD009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1,076</w:t>
            </w:r>
          </w:p>
        </w:tc>
        <w:tc>
          <w:tcPr>
            <w:tcW w:w="586" w:type="dxa"/>
            <w:tcBorders>
              <w:top w:val="nil"/>
              <w:left w:val="nil"/>
              <w:bottom w:val="single" w:sz="8" w:space="0" w:color="DCDDDE"/>
              <w:right w:val="nil"/>
            </w:tcBorders>
            <w:shd w:val="clear" w:color="000000" w:fill="FFFFFF"/>
            <w:noWrap/>
            <w:vAlign w:val="center"/>
            <w:hideMark/>
          </w:tcPr>
          <w:p w14:paraId="1DFB614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1,048</w:t>
            </w:r>
          </w:p>
        </w:tc>
      </w:tr>
      <w:tr w:rsidR="00490035" w:rsidRPr="00490035" w14:paraId="4103F77C" w14:textId="77777777" w:rsidTr="002A760B">
        <w:trPr>
          <w:trHeight w:val="315"/>
          <w:jc w:val="center"/>
        </w:trPr>
        <w:tc>
          <w:tcPr>
            <w:tcW w:w="8597" w:type="dxa"/>
            <w:gridSpan w:val="14"/>
            <w:tcBorders>
              <w:top w:val="single" w:sz="8" w:space="0" w:color="DCDDDE"/>
              <w:left w:val="nil"/>
              <w:bottom w:val="single" w:sz="8" w:space="0" w:color="DCDDDE"/>
              <w:right w:val="nil"/>
            </w:tcBorders>
            <w:shd w:val="clear" w:color="000000" w:fill="DADADA"/>
            <w:noWrap/>
            <w:vAlign w:val="center"/>
            <w:hideMark/>
          </w:tcPr>
          <w:p w14:paraId="5B5AAF4D"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mTRC (GHG adder 1) | Reference</w:t>
            </w:r>
          </w:p>
        </w:tc>
      </w:tr>
      <w:tr w:rsidR="00490035" w:rsidRPr="00490035" w14:paraId="49F5E231" w14:textId="77777777" w:rsidTr="002A760B">
        <w:trPr>
          <w:trHeight w:val="555"/>
          <w:jc w:val="center"/>
        </w:trPr>
        <w:tc>
          <w:tcPr>
            <w:tcW w:w="979" w:type="dxa"/>
            <w:tcBorders>
              <w:top w:val="nil"/>
              <w:left w:val="nil"/>
              <w:bottom w:val="single" w:sz="8" w:space="0" w:color="DCDDDE"/>
              <w:right w:val="nil"/>
            </w:tcBorders>
            <w:shd w:val="clear" w:color="000000" w:fill="FFFFFF"/>
            <w:vAlign w:val="center"/>
            <w:hideMark/>
          </w:tcPr>
          <w:p w14:paraId="503A3A12"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86" w:type="dxa"/>
            <w:tcBorders>
              <w:top w:val="nil"/>
              <w:left w:val="nil"/>
              <w:bottom w:val="single" w:sz="8" w:space="0" w:color="DCDDDE"/>
              <w:right w:val="nil"/>
            </w:tcBorders>
            <w:shd w:val="clear" w:color="000000" w:fill="FFFFFF"/>
            <w:noWrap/>
            <w:vAlign w:val="center"/>
            <w:hideMark/>
          </w:tcPr>
          <w:p w14:paraId="64D29F3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293</w:t>
            </w:r>
          </w:p>
        </w:tc>
        <w:tc>
          <w:tcPr>
            <w:tcW w:w="586" w:type="dxa"/>
            <w:tcBorders>
              <w:top w:val="nil"/>
              <w:left w:val="nil"/>
              <w:bottom w:val="single" w:sz="8" w:space="0" w:color="DCDDDE"/>
              <w:right w:val="nil"/>
            </w:tcBorders>
            <w:shd w:val="clear" w:color="000000" w:fill="FFFFFF"/>
            <w:noWrap/>
            <w:vAlign w:val="center"/>
            <w:hideMark/>
          </w:tcPr>
          <w:p w14:paraId="7F325F7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317</w:t>
            </w:r>
          </w:p>
        </w:tc>
        <w:tc>
          <w:tcPr>
            <w:tcW w:w="586" w:type="dxa"/>
            <w:tcBorders>
              <w:top w:val="nil"/>
              <w:left w:val="nil"/>
              <w:bottom w:val="single" w:sz="8" w:space="0" w:color="DCDDDE"/>
              <w:right w:val="nil"/>
            </w:tcBorders>
            <w:shd w:val="clear" w:color="000000" w:fill="FFFFFF"/>
            <w:noWrap/>
            <w:vAlign w:val="center"/>
            <w:hideMark/>
          </w:tcPr>
          <w:p w14:paraId="4A8610D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293</w:t>
            </w:r>
          </w:p>
        </w:tc>
        <w:tc>
          <w:tcPr>
            <w:tcW w:w="586" w:type="dxa"/>
            <w:tcBorders>
              <w:top w:val="nil"/>
              <w:left w:val="nil"/>
              <w:bottom w:val="single" w:sz="8" w:space="0" w:color="DCDDDE"/>
              <w:right w:val="nil"/>
            </w:tcBorders>
            <w:shd w:val="clear" w:color="000000" w:fill="FFFFFF"/>
            <w:noWrap/>
            <w:vAlign w:val="center"/>
            <w:hideMark/>
          </w:tcPr>
          <w:p w14:paraId="14408DB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341</w:t>
            </w:r>
          </w:p>
        </w:tc>
        <w:tc>
          <w:tcPr>
            <w:tcW w:w="586" w:type="dxa"/>
            <w:tcBorders>
              <w:top w:val="nil"/>
              <w:left w:val="nil"/>
              <w:bottom w:val="single" w:sz="8" w:space="0" w:color="DCDDDE"/>
              <w:right w:val="nil"/>
            </w:tcBorders>
            <w:shd w:val="clear" w:color="000000" w:fill="FFFFFF"/>
            <w:noWrap/>
            <w:vAlign w:val="center"/>
            <w:hideMark/>
          </w:tcPr>
          <w:p w14:paraId="0B89E3F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340</w:t>
            </w:r>
          </w:p>
        </w:tc>
        <w:tc>
          <w:tcPr>
            <w:tcW w:w="586" w:type="dxa"/>
            <w:tcBorders>
              <w:top w:val="nil"/>
              <w:left w:val="nil"/>
              <w:bottom w:val="single" w:sz="8" w:space="0" w:color="DCDDDE"/>
              <w:right w:val="nil"/>
            </w:tcBorders>
            <w:shd w:val="clear" w:color="000000" w:fill="FFFFFF"/>
            <w:noWrap/>
            <w:vAlign w:val="center"/>
            <w:hideMark/>
          </w:tcPr>
          <w:p w14:paraId="43FAB0C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341</w:t>
            </w:r>
          </w:p>
        </w:tc>
        <w:tc>
          <w:tcPr>
            <w:tcW w:w="586" w:type="dxa"/>
            <w:tcBorders>
              <w:top w:val="nil"/>
              <w:left w:val="nil"/>
              <w:bottom w:val="single" w:sz="8" w:space="0" w:color="DCDDDE"/>
              <w:right w:val="nil"/>
            </w:tcBorders>
            <w:shd w:val="clear" w:color="000000" w:fill="FFFFFF"/>
            <w:noWrap/>
            <w:vAlign w:val="center"/>
            <w:hideMark/>
          </w:tcPr>
          <w:p w14:paraId="035C916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338</w:t>
            </w:r>
          </w:p>
        </w:tc>
        <w:tc>
          <w:tcPr>
            <w:tcW w:w="586" w:type="dxa"/>
            <w:tcBorders>
              <w:top w:val="nil"/>
              <w:left w:val="nil"/>
              <w:bottom w:val="single" w:sz="8" w:space="0" w:color="DCDDDE"/>
              <w:right w:val="nil"/>
            </w:tcBorders>
            <w:shd w:val="clear" w:color="000000" w:fill="FFFFFF"/>
            <w:noWrap/>
            <w:vAlign w:val="center"/>
            <w:hideMark/>
          </w:tcPr>
          <w:p w14:paraId="1143888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339</w:t>
            </w:r>
          </w:p>
        </w:tc>
        <w:tc>
          <w:tcPr>
            <w:tcW w:w="586" w:type="dxa"/>
            <w:tcBorders>
              <w:top w:val="nil"/>
              <w:left w:val="nil"/>
              <w:bottom w:val="single" w:sz="8" w:space="0" w:color="DCDDDE"/>
              <w:right w:val="nil"/>
            </w:tcBorders>
            <w:shd w:val="clear" w:color="000000" w:fill="FFFFFF"/>
            <w:noWrap/>
            <w:vAlign w:val="center"/>
            <w:hideMark/>
          </w:tcPr>
          <w:p w14:paraId="66D9173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338</w:t>
            </w:r>
          </w:p>
        </w:tc>
        <w:tc>
          <w:tcPr>
            <w:tcW w:w="586" w:type="dxa"/>
            <w:tcBorders>
              <w:top w:val="nil"/>
              <w:left w:val="nil"/>
              <w:bottom w:val="single" w:sz="8" w:space="0" w:color="DCDDDE"/>
              <w:right w:val="nil"/>
            </w:tcBorders>
            <w:shd w:val="clear" w:color="000000" w:fill="FFFFFF"/>
            <w:noWrap/>
            <w:vAlign w:val="center"/>
            <w:hideMark/>
          </w:tcPr>
          <w:p w14:paraId="315C0B4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332</w:t>
            </w:r>
          </w:p>
        </w:tc>
        <w:tc>
          <w:tcPr>
            <w:tcW w:w="586" w:type="dxa"/>
            <w:tcBorders>
              <w:top w:val="nil"/>
              <w:left w:val="nil"/>
              <w:bottom w:val="single" w:sz="8" w:space="0" w:color="DCDDDE"/>
              <w:right w:val="nil"/>
            </w:tcBorders>
            <w:shd w:val="clear" w:color="000000" w:fill="FFFFFF"/>
            <w:noWrap/>
            <w:vAlign w:val="center"/>
            <w:hideMark/>
          </w:tcPr>
          <w:p w14:paraId="332926B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334</w:t>
            </w:r>
          </w:p>
        </w:tc>
        <w:tc>
          <w:tcPr>
            <w:tcW w:w="586" w:type="dxa"/>
            <w:tcBorders>
              <w:top w:val="nil"/>
              <w:left w:val="nil"/>
              <w:bottom w:val="single" w:sz="8" w:space="0" w:color="DCDDDE"/>
              <w:right w:val="nil"/>
            </w:tcBorders>
            <w:shd w:val="clear" w:color="000000" w:fill="FFFFFF"/>
            <w:noWrap/>
            <w:vAlign w:val="center"/>
            <w:hideMark/>
          </w:tcPr>
          <w:p w14:paraId="4CBE18D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335</w:t>
            </w:r>
          </w:p>
        </w:tc>
        <w:tc>
          <w:tcPr>
            <w:tcW w:w="586" w:type="dxa"/>
            <w:tcBorders>
              <w:top w:val="nil"/>
              <w:left w:val="nil"/>
              <w:bottom w:val="single" w:sz="8" w:space="0" w:color="DCDDDE"/>
              <w:right w:val="nil"/>
            </w:tcBorders>
            <w:shd w:val="clear" w:color="000000" w:fill="FFFFFF"/>
            <w:noWrap/>
            <w:vAlign w:val="center"/>
            <w:hideMark/>
          </w:tcPr>
          <w:p w14:paraId="33CC917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337</w:t>
            </w:r>
          </w:p>
        </w:tc>
      </w:tr>
      <w:tr w:rsidR="00490035" w:rsidRPr="00490035" w14:paraId="698D78FD"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78F348B7"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BROs</w:t>
            </w:r>
          </w:p>
        </w:tc>
        <w:tc>
          <w:tcPr>
            <w:tcW w:w="586" w:type="dxa"/>
            <w:tcBorders>
              <w:top w:val="nil"/>
              <w:left w:val="nil"/>
              <w:bottom w:val="single" w:sz="8" w:space="0" w:color="DCDDDE"/>
              <w:right w:val="nil"/>
            </w:tcBorders>
            <w:shd w:val="clear" w:color="000000" w:fill="FFFFFF"/>
            <w:noWrap/>
            <w:vAlign w:val="center"/>
            <w:hideMark/>
          </w:tcPr>
          <w:p w14:paraId="2839894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123</w:t>
            </w:r>
          </w:p>
        </w:tc>
        <w:tc>
          <w:tcPr>
            <w:tcW w:w="586" w:type="dxa"/>
            <w:tcBorders>
              <w:top w:val="nil"/>
              <w:left w:val="nil"/>
              <w:bottom w:val="single" w:sz="8" w:space="0" w:color="DCDDDE"/>
              <w:right w:val="nil"/>
            </w:tcBorders>
            <w:shd w:val="clear" w:color="000000" w:fill="FFFFFF"/>
            <w:noWrap/>
            <w:vAlign w:val="center"/>
            <w:hideMark/>
          </w:tcPr>
          <w:p w14:paraId="4254E2F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158</w:t>
            </w:r>
          </w:p>
        </w:tc>
        <w:tc>
          <w:tcPr>
            <w:tcW w:w="586" w:type="dxa"/>
            <w:tcBorders>
              <w:top w:val="nil"/>
              <w:left w:val="nil"/>
              <w:bottom w:val="single" w:sz="8" w:space="0" w:color="DCDDDE"/>
              <w:right w:val="nil"/>
            </w:tcBorders>
            <w:shd w:val="clear" w:color="000000" w:fill="FFFFFF"/>
            <w:noWrap/>
            <w:vAlign w:val="center"/>
            <w:hideMark/>
          </w:tcPr>
          <w:p w14:paraId="4D947DC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175</w:t>
            </w:r>
          </w:p>
        </w:tc>
        <w:tc>
          <w:tcPr>
            <w:tcW w:w="586" w:type="dxa"/>
            <w:tcBorders>
              <w:top w:val="nil"/>
              <w:left w:val="nil"/>
              <w:bottom w:val="single" w:sz="8" w:space="0" w:color="DCDDDE"/>
              <w:right w:val="nil"/>
            </w:tcBorders>
            <w:shd w:val="clear" w:color="000000" w:fill="FFFFFF"/>
            <w:noWrap/>
            <w:vAlign w:val="center"/>
            <w:hideMark/>
          </w:tcPr>
          <w:p w14:paraId="54A9A61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192</w:t>
            </w:r>
          </w:p>
        </w:tc>
        <w:tc>
          <w:tcPr>
            <w:tcW w:w="586" w:type="dxa"/>
            <w:tcBorders>
              <w:top w:val="nil"/>
              <w:left w:val="nil"/>
              <w:bottom w:val="single" w:sz="8" w:space="0" w:color="DCDDDE"/>
              <w:right w:val="nil"/>
            </w:tcBorders>
            <w:shd w:val="clear" w:color="000000" w:fill="FFFFFF"/>
            <w:noWrap/>
            <w:vAlign w:val="center"/>
            <w:hideMark/>
          </w:tcPr>
          <w:p w14:paraId="0B558AB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203</w:t>
            </w:r>
          </w:p>
        </w:tc>
        <w:tc>
          <w:tcPr>
            <w:tcW w:w="586" w:type="dxa"/>
            <w:tcBorders>
              <w:top w:val="nil"/>
              <w:left w:val="nil"/>
              <w:bottom w:val="single" w:sz="8" w:space="0" w:color="DCDDDE"/>
              <w:right w:val="nil"/>
            </w:tcBorders>
            <w:shd w:val="clear" w:color="000000" w:fill="FFFFFF"/>
            <w:noWrap/>
            <w:vAlign w:val="center"/>
            <w:hideMark/>
          </w:tcPr>
          <w:p w14:paraId="6BB63C9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213</w:t>
            </w:r>
          </w:p>
        </w:tc>
        <w:tc>
          <w:tcPr>
            <w:tcW w:w="586" w:type="dxa"/>
            <w:tcBorders>
              <w:top w:val="nil"/>
              <w:left w:val="nil"/>
              <w:bottom w:val="single" w:sz="8" w:space="0" w:color="DCDDDE"/>
              <w:right w:val="nil"/>
            </w:tcBorders>
            <w:shd w:val="clear" w:color="000000" w:fill="FFFFFF"/>
            <w:noWrap/>
            <w:vAlign w:val="center"/>
            <w:hideMark/>
          </w:tcPr>
          <w:p w14:paraId="493FE8C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223</w:t>
            </w:r>
          </w:p>
        </w:tc>
        <w:tc>
          <w:tcPr>
            <w:tcW w:w="586" w:type="dxa"/>
            <w:tcBorders>
              <w:top w:val="nil"/>
              <w:left w:val="nil"/>
              <w:bottom w:val="single" w:sz="8" w:space="0" w:color="DCDDDE"/>
              <w:right w:val="nil"/>
            </w:tcBorders>
            <w:shd w:val="clear" w:color="000000" w:fill="FFFFFF"/>
            <w:noWrap/>
            <w:vAlign w:val="center"/>
            <w:hideMark/>
          </w:tcPr>
          <w:p w14:paraId="33D174C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240</w:t>
            </w:r>
          </w:p>
        </w:tc>
        <w:tc>
          <w:tcPr>
            <w:tcW w:w="586" w:type="dxa"/>
            <w:tcBorders>
              <w:top w:val="nil"/>
              <w:left w:val="nil"/>
              <w:bottom w:val="single" w:sz="8" w:space="0" w:color="DCDDDE"/>
              <w:right w:val="nil"/>
            </w:tcBorders>
            <w:shd w:val="clear" w:color="000000" w:fill="FFFFFF"/>
            <w:noWrap/>
            <w:vAlign w:val="center"/>
            <w:hideMark/>
          </w:tcPr>
          <w:p w14:paraId="0578E9E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253</w:t>
            </w:r>
          </w:p>
        </w:tc>
        <w:tc>
          <w:tcPr>
            <w:tcW w:w="586" w:type="dxa"/>
            <w:tcBorders>
              <w:top w:val="nil"/>
              <w:left w:val="nil"/>
              <w:bottom w:val="single" w:sz="8" w:space="0" w:color="DCDDDE"/>
              <w:right w:val="nil"/>
            </w:tcBorders>
            <w:shd w:val="clear" w:color="000000" w:fill="FFFFFF"/>
            <w:noWrap/>
            <w:vAlign w:val="center"/>
            <w:hideMark/>
          </w:tcPr>
          <w:p w14:paraId="0AB1277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266</w:t>
            </w:r>
          </w:p>
        </w:tc>
        <w:tc>
          <w:tcPr>
            <w:tcW w:w="586" w:type="dxa"/>
            <w:tcBorders>
              <w:top w:val="nil"/>
              <w:left w:val="nil"/>
              <w:bottom w:val="single" w:sz="8" w:space="0" w:color="DCDDDE"/>
              <w:right w:val="nil"/>
            </w:tcBorders>
            <w:shd w:val="clear" w:color="000000" w:fill="FFFFFF"/>
            <w:noWrap/>
            <w:vAlign w:val="center"/>
            <w:hideMark/>
          </w:tcPr>
          <w:p w14:paraId="4942F79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279</w:t>
            </w:r>
          </w:p>
        </w:tc>
        <w:tc>
          <w:tcPr>
            <w:tcW w:w="586" w:type="dxa"/>
            <w:tcBorders>
              <w:top w:val="nil"/>
              <w:left w:val="nil"/>
              <w:bottom w:val="single" w:sz="8" w:space="0" w:color="DCDDDE"/>
              <w:right w:val="nil"/>
            </w:tcBorders>
            <w:shd w:val="clear" w:color="000000" w:fill="FFFFFF"/>
            <w:noWrap/>
            <w:vAlign w:val="center"/>
            <w:hideMark/>
          </w:tcPr>
          <w:p w14:paraId="29201D2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293</w:t>
            </w:r>
          </w:p>
        </w:tc>
        <w:tc>
          <w:tcPr>
            <w:tcW w:w="586" w:type="dxa"/>
            <w:tcBorders>
              <w:top w:val="nil"/>
              <w:left w:val="nil"/>
              <w:bottom w:val="single" w:sz="8" w:space="0" w:color="DCDDDE"/>
              <w:right w:val="nil"/>
            </w:tcBorders>
            <w:shd w:val="clear" w:color="000000" w:fill="FFFFFF"/>
            <w:noWrap/>
            <w:vAlign w:val="center"/>
            <w:hideMark/>
          </w:tcPr>
          <w:p w14:paraId="500BA38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308</w:t>
            </w:r>
          </w:p>
        </w:tc>
      </w:tr>
      <w:tr w:rsidR="00490035" w:rsidRPr="00490035" w14:paraId="382F896D"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736760EB"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86" w:type="dxa"/>
            <w:tcBorders>
              <w:top w:val="nil"/>
              <w:left w:val="nil"/>
              <w:bottom w:val="single" w:sz="8" w:space="0" w:color="DCDDDE"/>
              <w:right w:val="nil"/>
            </w:tcBorders>
            <w:shd w:val="clear" w:color="000000" w:fill="FFFFFF"/>
            <w:noWrap/>
            <w:vAlign w:val="center"/>
            <w:hideMark/>
          </w:tcPr>
          <w:p w14:paraId="5FFDFD7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29</w:t>
            </w:r>
          </w:p>
        </w:tc>
        <w:tc>
          <w:tcPr>
            <w:tcW w:w="586" w:type="dxa"/>
            <w:tcBorders>
              <w:top w:val="nil"/>
              <w:left w:val="nil"/>
              <w:bottom w:val="single" w:sz="8" w:space="0" w:color="DCDDDE"/>
              <w:right w:val="nil"/>
            </w:tcBorders>
            <w:shd w:val="clear" w:color="000000" w:fill="FFFFFF"/>
            <w:noWrap/>
            <w:vAlign w:val="center"/>
            <w:hideMark/>
          </w:tcPr>
          <w:p w14:paraId="2DF2E12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30</w:t>
            </w:r>
          </w:p>
        </w:tc>
        <w:tc>
          <w:tcPr>
            <w:tcW w:w="586" w:type="dxa"/>
            <w:tcBorders>
              <w:top w:val="nil"/>
              <w:left w:val="nil"/>
              <w:bottom w:val="single" w:sz="8" w:space="0" w:color="DCDDDE"/>
              <w:right w:val="nil"/>
            </w:tcBorders>
            <w:shd w:val="clear" w:color="000000" w:fill="FFFFFF"/>
            <w:noWrap/>
            <w:vAlign w:val="center"/>
            <w:hideMark/>
          </w:tcPr>
          <w:p w14:paraId="59B4843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30</w:t>
            </w:r>
          </w:p>
        </w:tc>
        <w:tc>
          <w:tcPr>
            <w:tcW w:w="586" w:type="dxa"/>
            <w:tcBorders>
              <w:top w:val="nil"/>
              <w:left w:val="nil"/>
              <w:bottom w:val="single" w:sz="8" w:space="0" w:color="DCDDDE"/>
              <w:right w:val="nil"/>
            </w:tcBorders>
            <w:shd w:val="clear" w:color="000000" w:fill="FFFFFF"/>
            <w:noWrap/>
            <w:vAlign w:val="center"/>
            <w:hideMark/>
          </w:tcPr>
          <w:p w14:paraId="7D40ECC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3EC93E8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496FA00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5A5AD2C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6954286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5C9DEB2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31530FC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5A924D7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39B2C33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19F71D6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r>
      <w:tr w:rsidR="00490035" w:rsidRPr="00490035" w14:paraId="42A92793" w14:textId="77777777" w:rsidTr="002A760B">
        <w:trPr>
          <w:trHeight w:val="825"/>
          <w:jc w:val="center"/>
        </w:trPr>
        <w:tc>
          <w:tcPr>
            <w:tcW w:w="979" w:type="dxa"/>
            <w:tcBorders>
              <w:top w:val="nil"/>
              <w:left w:val="nil"/>
              <w:bottom w:val="single" w:sz="8" w:space="0" w:color="DCDDDE"/>
              <w:right w:val="nil"/>
            </w:tcBorders>
            <w:shd w:val="clear" w:color="000000" w:fill="FFFFFF"/>
            <w:vAlign w:val="center"/>
            <w:hideMark/>
          </w:tcPr>
          <w:p w14:paraId="12B7FD5B"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86" w:type="dxa"/>
            <w:tcBorders>
              <w:top w:val="nil"/>
              <w:left w:val="nil"/>
              <w:bottom w:val="single" w:sz="8" w:space="0" w:color="DCDDDE"/>
              <w:right w:val="nil"/>
            </w:tcBorders>
            <w:shd w:val="clear" w:color="000000" w:fill="FFFFFF"/>
            <w:noWrap/>
            <w:vAlign w:val="center"/>
            <w:hideMark/>
          </w:tcPr>
          <w:p w14:paraId="377F4EF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445</w:t>
            </w:r>
          </w:p>
        </w:tc>
        <w:tc>
          <w:tcPr>
            <w:tcW w:w="586" w:type="dxa"/>
            <w:tcBorders>
              <w:top w:val="nil"/>
              <w:left w:val="nil"/>
              <w:bottom w:val="single" w:sz="8" w:space="0" w:color="DCDDDE"/>
              <w:right w:val="nil"/>
            </w:tcBorders>
            <w:shd w:val="clear" w:color="000000" w:fill="FFFFFF"/>
            <w:noWrap/>
            <w:vAlign w:val="center"/>
            <w:hideMark/>
          </w:tcPr>
          <w:p w14:paraId="2A0561C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505</w:t>
            </w:r>
          </w:p>
        </w:tc>
        <w:tc>
          <w:tcPr>
            <w:tcW w:w="586" w:type="dxa"/>
            <w:tcBorders>
              <w:top w:val="nil"/>
              <w:left w:val="nil"/>
              <w:bottom w:val="single" w:sz="8" w:space="0" w:color="DCDDDE"/>
              <w:right w:val="nil"/>
            </w:tcBorders>
            <w:shd w:val="clear" w:color="000000" w:fill="FFFFFF"/>
            <w:noWrap/>
            <w:vAlign w:val="center"/>
            <w:hideMark/>
          </w:tcPr>
          <w:p w14:paraId="2B85C9E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498</w:t>
            </w:r>
          </w:p>
        </w:tc>
        <w:tc>
          <w:tcPr>
            <w:tcW w:w="586" w:type="dxa"/>
            <w:tcBorders>
              <w:top w:val="nil"/>
              <w:left w:val="nil"/>
              <w:bottom w:val="single" w:sz="8" w:space="0" w:color="DCDDDE"/>
              <w:right w:val="nil"/>
            </w:tcBorders>
            <w:shd w:val="clear" w:color="000000" w:fill="FFFFFF"/>
            <w:noWrap/>
            <w:vAlign w:val="center"/>
            <w:hideMark/>
          </w:tcPr>
          <w:p w14:paraId="46A00B0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555</w:t>
            </w:r>
          </w:p>
        </w:tc>
        <w:tc>
          <w:tcPr>
            <w:tcW w:w="586" w:type="dxa"/>
            <w:tcBorders>
              <w:top w:val="nil"/>
              <w:left w:val="nil"/>
              <w:bottom w:val="single" w:sz="8" w:space="0" w:color="DCDDDE"/>
              <w:right w:val="nil"/>
            </w:tcBorders>
            <w:shd w:val="clear" w:color="000000" w:fill="FFFFFF"/>
            <w:noWrap/>
            <w:vAlign w:val="center"/>
            <w:hideMark/>
          </w:tcPr>
          <w:p w14:paraId="04D49A9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565</w:t>
            </w:r>
          </w:p>
        </w:tc>
        <w:tc>
          <w:tcPr>
            <w:tcW w:w="586" w:type="dxa"/>
            <w:tcBorders>
              <w:top w:val="nil"/>
              <w:left w:val="nil"/>
              <w:bottom w:val="single" w:sz="8" w:space="0" w:color="DCDDDE"/>
              <w:right w:val="nil"/>
            </w:tcBorders>
            <w:shd w:val="clear" w:color="000000" w:fill="FFFFFF"/>
            <w:noWrap/>
            <w:vAlign w:val="center"/>
            <w:hideMark/>
          </w:tcPr>
          <w:p w14:paraId="6B3A399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575</w:t>
            </w:r>
          </w:p>
        </w:tc>
        <w:tc>
          <w:tcPr>
            <w:tcW w:w="586" w:type="dxa"/>
            <w:tcBorders>
              <w:top w:val="nil"/>
              <w:left w:val="nil"/>
              <w:bottom w:val="single" w:sz="8" w:space="0" w:color="DCDDDE"/>
              <w:right w:val="nil"/>
            </w:tcBorders>
            <w:shd w:val="clear" w:color="000000" w:fill="FFFFFF"/>
            <w:noWrap/>
            <w:vAlign w:val="center"/>
            <w:hideMark/>
          </w:tcPr>
          <w:p w14:paraId="33BF2C7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582</w:t>
            </w:r>
          </w:p>
        </w:tc>
        <w:tc>
          <w:tcPr>
            <w:tcW w:w="586" w:type="dxa"/>
            <w:tcBorders>
              <w:top w:val="nil"/>
              <w:left w:val="nil"/>
              <w:bottom w:val="single" w:sz="8" w:space="0" w:color="DCDDDE"/>
              <w:right w:val="nil"/>
            </w:tcBorders>
            <w:shd w:val="clear" w:color="000000" w:fill="FFFFFF"/>
            <w:noWrap/>
            <w:vAlign w:val="center"/>
            <w:hideMark/>
          </w:tcPr>
          <w:p w14:paraId="4818D0E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601</w:t>
            </w:r>
          </w:p>
        </w:tc>
        <w:tc>
          <w:tcPr>
            <w:tcW w:w="586" w:type="dxa"/>
            <w:tcBorders>
              <w:top w:val="nil"/>
              <w:left w:val="nil"/>
              <w:bottom w:val="single" w:sz="8" w:space="0" w:color="DCDDDE"/>
              <w:right w:val="nil"/>
            </w:tcBorders>
            <w:shd w:val="clear" w:color="000000" w:fill="FFFFFF"/>
            <w:noWrap/>
            <w:vAlign w:val="center"/>
            <w:hideMark/>
          </w:tcPr>
          <w:p w14:paraId="7B121BC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612</w:t>
            </w:r>
          </w:p>
        </w:tc>
        <w:tc>
          <w:tcPr>
            <w:tcW w:w="586" w:type="dxa"/>
            <w:tcBorders>
              <w:top w:val="nil"/>
              <w:left w:val="nil"/>
              <w:bottom w:val="single" w:sz="8" w:space="0" w:color="DCDDDE"/>
              <w:right w:val="nil"/>
            </w:tcBorders>
            <w:shd w:val="clear" w:color="000000" w:fill="FFFFFF"/>
            <w:noWrap/>
            <w:vAlign w:val="center"/>
            <w:hideMark/>
          </w:tcPr>
          <w:p w14:paraId="00C1A66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620</w:t>
            </w:r>
          </w:p>
        </w:tc>
        <w:tc>
          <w:tcPr>
            <w:tcW w:w="586" w:type="dxa"/>
            <w:tcBorders>
              <w:top w:val="nil"/>
              <w:left w:val="nil"/>
              <w:bottom w:val="single" w:sz="8" w:space="0" w:color="DCDDDE"/>
              <w:right w:val="nil"/>
            </w:tcBorders>
            <w:shd w:val="clear" w:color="000000" w:fill="FFFFFF"/>
            <w:noWrap/>
            <w:vAlign w:val="center"/>
            <w:hideMark/>
          </w:tcPr>
          <w:p w14:paraId="2019549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635</w:t>
            </w:r>
          </w:p>
        </w:tc>
        <w:tc>
          <w:tcPr>
            <w:tcW w:w="586" w:type="dxa"/>
            <w:tcBorders>
              <w:top w:val="nil"/>
              <w:left w:val="nil"/>
              <w:bottom w:val="single" w:sz="8" w:space="0" w:color="DCDDDE"/>
              <w:right w:val="nil"/>
            </w:tcBorders>
            <w:shd w:val="clear" w:color="000000" w:fill="FFFFFF"/>
            <w:noWrap/>
            <w:vAlign w:val="center"/>
            <w:hideMark/>
          </w:tcPr>
          <w:p w14:paraId="06CE43C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650</w:t>
            </w:r>
          </w:p>
        </w:tc>
        <w:tc>
          <w:tcPr>
            <w:tcW w:w="586" w:type="dxa"/>
            <w:tcBorders>
              <w:top w:val="nil"/>
              <w:left w:val="nil"/>
              <w:bottom w:val="single" w:sz="8" w:space="0" w:color="DCDDDE"/>
              <w:right w:val="nil"/>
            </w:tcBorders>
            <w:shd w:val="clear" w:color="000000" w:fill="FFFFFF"/>
            <w:noWrap/>
            <w:vAlign w:val="center"/>
            <w:hideMark/>
          </w:tcPr>
          <w:p w14:paraId="3209F28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667</w:t>
            </w:r>
          </w:p>
        </w:tc>
      </w:tr>
      <w:tr w:rsidR="00490035" w:rsidRPr="00490035" w14:paraId="0B06D893"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6E601964"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C&amp;S*</w:t>
            </w:r>
          </w:p>
        </w:tc>
        <w:tc>
          <w:tcPr>
            <w:tcW w:w="586" w:type="dxa"/>
            <w:tcBorders>
              <w:top w:val="nil"/>
              <w:left w:val="nil"/>
              <w:bottom w:val="single" w:sz="8" w:space="0" w:color="DCDDDE"/>
              <w:right w:val="nil"/>
            </w:tcBorders>
            <w:shd w:val="clear" w:color="000000" w:fill="FFFFFF"/>
            <w:noWrap/>
            <w:vAlign w:val="center"/>
            <w:hideMark/>
          </w:tcPr>
          <w:p w14:paraId="77BAF18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535</w:t>
            </w:r>
          </w:p>
        </w:tc>
        <w:tc>
          <w:tcPr>
            <w:tcW w:w="586" w:type="dxa"/>
            <w:tcBorders>
              <w:top w:val="nil"/>
              <w:left w:val="nil"/>
              <w:bottom w:val="single" w:sz="8" w:space="0" w:color="DCDDDE"/>
              <w:right w:val="nil"/>
            </w:tcBorders>
            <w:shd w:val="clear" w:color="000000" w:fill="FFFFFF"/>
            <w:noWrap/>
            <w:vAlign w:val="center"/>
            <w:hideMark/>
          </w:tcPr>
          <w:p w14:paraId="59D0F74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555</w:t>
            </w:r>
          </w:p>
        </w:tc>
        <w:tc>
          <w:tcPr>
            <w:tcW w:w="586" w:type="dxa"/>
            <w:tcBorders>
              <w:top w:val="nil"/>
              <w:left w:val="nil"/>
              <w:bottom w:val="single" w:sz="8" w:space="0" w:color="DCDDDE"/>
              <w:right w:val="nil"/>
            </w:tcBorders>
            <w:shd w:val="clear" w:color="000000" w:fill="FFFFFF"/>
            <w:noWrap/>
            <w:vAlign w:val="center"/>
            <w:hideMark/>
          </w:tcPr>
          <w:p w14:paraId="40AC196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559</w:t>
            </w:r>
          </w:p>
        </w:tc>
        <w:tc>
          <w:tcPr>
            <w:tcW w:w="586" w:type="dxa"/>
            <w:tcBorders>
              <w:top w:val="nil"/>
              <w:left w:val="nil"/>
              <w:bottom w:val="single" w:sz="8" w:space="0" w:color="DCDDDE"/>
              <w:right w:val="nil"/>
            </w:tcBorders>
            <w:shd w:val="clear" w:color="000000" w:fill="FFFFFF"/>
            <w:noWrap/>
            <w:vAlign w:val="center"/>
            <w:hideMark/>
          </w:tcPr>
          <w:p w14:paraId="2557EC8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576</w:t>
            </w:r>
          </w:p>
        </w:tc>
        <w:tc>
          <w:tcPr>
            <w:tcW w:w="586" w:type="dxa"/>
            <w:tcBorders>
              <w:top w:val="nil"/>
              <w:left w:val="nil"/>
              <w:bottom w:val="single" w:sz="8" w:space="0" w:color="DCDDDE"/>
              <w:right w:val="nil"/>
            </w:tcBorders>
            <w:shd w:val="clear" w:color="000000" w:fill="FFFFFF"/>
            <w:noWrap/>
            <w:vAlign w:val="center"/>
            <w:hideMark/>
          </w:tcPr>
          <w:p w14:paraId="391A860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560</w:t>
            </w:r>
          </w:p>
        </w:tc>
        <w:tc>
          <w:tcPr>
            <w:tcW w:w="586" w:type="dxa"/>
            <w:tcBorders>
              <w:top w:val="nil"/>
              <w:left w:val="nil"/>
              <w:bottom w:val="single" w:sz="8" w:space="0" w:color="DCDDDE"/>
              <w:right w:val="nil"/>
            </w:tcBorders>
            <w:shd w:val="clear" w:color="000000" w:fill="FFFFFF"/>
            <w:noWrap/>
            <w:vAlign w:val="center"/>
            <w:hideMark/>
          </w:tcPr>
          <w:p w14:paraId="4995C71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621</w:t>
            </w:r>
          </w:p>
        </w:tc>
        <w:tc>
          <w:tcPr>
            <w:tcW w:w="586" w:type="dxa"/>
            <w:tcBorders>
              <w:top w:val="nil"/>
              <w:left w:val="nil"/>
              <w:bottom w:val="single" w:sz="8" w:space="0" w:color="DCDDDE"/>
              <w:right w:val="nil"/>
            </w:tcBorders>
            <w:shd w:val="clear" w:color="000000" w:fill="FFFFFF"/>
            <w:noWrap/>
            <w:vAlign w:val="center"/>
            <w:hideMark/>
          </w:tcPr>
          <w:p w14:paraId="120293F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595</w:t>
            </w:r>
          </w:p>
        </w:tc>
        <w:tc>
          <w:tcPr>
            <w:tcW w:w="586" w:type="dxa"/>
            <w:tcBorders>
              <w:top w:val="nil"/>
              <w:left w:val="nil"/>
              <w:bottom w:val="single" w:sz="8" w:space="0" w:color="DCDDDE"/>
              <w:right w:val="nil"/>
            </w:tcBorders>
            <w:shd w:val="clear" w:color="000000" w:fill="FFFFFF"/>
            <w:noWrap/>
            <w:vAlign w:val="center"/>
            <w:hideMark/>
          </w:tcPr>
          <w:p w14:paraId="07F26A4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573</w:t>
            </w:r>
          </w:p>
        </w:tc>
        <w:tc>
          <w:tcPr>
            <w:tcW w:w="586" w:type="dxa"/>
            <w:tcBorders>
              <w:top w:val="nil"/>
              <w:left w:val="nil"/>
              <w:bottom w:val="single" w:sz="8" w:space="0" w:color="DCDDDE"/>
              <w:right w:val="nil"/>
            </w:tcBorders>
            <w:shd w:val="clear" w:color="000000" w:fill="FFFFFF"/>
            <w:noWrap/>
            <w:vAlign w:val="center"/>
            <w:hideMark/>
          </w:tcPr>
          <w:p w14:paraId="79E4FF6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538</w:t>
            </w:r>
          </w:p>
        </w:tc>
        <w:tc>
          <w:tcPr>
            <w:tcW w:w="586" w:type="dxa"/>
            <w:tcBorders>
              <w:top w:val="nil"/>
              <w:left w:val="nil"/>
              <w:bottom w:val="single" w:sz="8" w:space="0" w:color="DCDDDE"/>
              <w:right w:val="nil"/>
            </w:tcBorders>
            <w:shd w:val="clear" w:color="000000" w:fill="FFFFFF"/>
            <w:noWrap/>
            <w:vAlign w:val="center"/>
            <w:hideMark/>
          </w:tcPr>
          <w:p w14:paraId="6128420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518</w:t>
            </w:r>
          </w:p>
        </w:tc>
        <w:tc>
          <w:tcPr>
            <w:tcW w:w="586" w:type="dxa"/>
            <w:tcBorders>
              <w:top w:val="nil"/>
              <w:left w:val="nil"/>
              <w:bottom w:val="single" w:sz="8" w:space="0" w:color="DCDDDE"/>
              <w:right w:val="nil"/>
            </w:tcBorders>
            <w:shd w:val="clear" w:color="000000" w:fill="FFFFFF"/>
            <w:noWrap/>
            <w:vAlign w:val="center"/>
            <w:hideMark/>
          </w:tcPr>
          <w:p w14:paraId="607903C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471</w:t>
            </w:r>
          </w:p>
        </w:tc>
        <w:tc>
          <w:tcPr>
            <w:tcW w:w="586" w:type="dxa"/>
            <w:tcBorders>
              <w:top w:val="nil"/>
              <w:left w:val="nil"/>
              <w:bottom w:val="single" w:sz="8" w:space="0" w:color="DCDDDE"/>
              <w:right w:val="nil"/>
            </w:tcBorders>
            <w:shd w:val="clear" w:color="000000" w:fill="FFFFFF"/>
            <w:noWrap/>
            <w:vAlign w:val="center"/>
            <w:hideMark/>
          </w:tcPr>
          <w:p w14:paraId="1D935E0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426</w:t>
            </w:r>
          </w:p>
        </w:tc>
        <w:tc>
          <w:tcPr>
            <w:tcW w:w="586" w:type="dxa"/>
            <w:tcBorders>
              <w:top w:val="nil"/>
              <w:left w:val="nil"/>
              <w:bottom w:val="single" w:sz="8" w:space="0" w:color="DCDDDE"/>
              <w:right w:val="nil"/>
            </w:tcBorders>
            <w:shd w:val="clear" w:color="000000" w:fill="FFFFFF"/>
            <w:noWrap/>
            <w:vAlign w:val="center"/>
            <w:hideMark/>
          </w:tcPr>
          <w:p w14:paraId="398A55B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381</w:t>
            </w:r>
          </w:p>
        </w:tc>
      </w:tr>
      <w:tr w:rsidR="00490035" w:rsidRPr="00490035" w14:paraId="68A4A7B8"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20AF2E62"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Total</w:t>
            </w:r>
          </w:p>
        </w:tc>
        <w:tc>
          <w:tcPr>
            <w:tcW w:w="586" w:type="dxa"/>
            <w:tcBorders>
              <w:top w:val="nil"/>
              <w:left w:val="nil"/>
              <w:bottom w:val="single" w:sz="8" w:space="0" w:color="DCDDDE"/>
              <w:right w:val="nil"/>
            </w:tcBorders>
            <w:shd w:val="clear" w:color="000000" w:fill="FFFFFF"/>
            <w:noWrap/>
            <w:vAlign w:val="center"/>
            <w:hideMark/>
          </w:tcPr>
          <w:p w14:paraId="7B933B2B"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980</w:t>
            </w:r>
          </w:p>
        </w:tc>
        <w:tc>
          <w:tcPr>
            <w:tcW w:w="586" w:type="dxa"/>
            <w:tcBorders>
              <w:top w:val="nil"/>
              <w:left w:val="nil"/>
              <w:bottom w:val="single" w:sz="8" w:space="0" w:color="DCDDDE"/>
              <w:right w:val="nil"/>
            </w:tcBorders>
            <w:shd w:val="clear" w:color="000000" w:fill="FFFFFF"/>
            <w:noWrap/>
            <w:vAlign w:val="center"/>
            <w:hideMark/>
          </w:tcPr>
          <w:p w14:paraId="5A51CB1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1,060</w:t>
            </w:r>
          </w:p>
        </w:tc>
        <w:tc>
          <w:tcPr>
            <w:tcW w:w="586" w:type="dxa"/>
            <w:tcBorders>
              <w:top w:val="nil"/>
              <w:left w:val="nil"/>
              <w:bottom w:val="single" w:sz="8" w:space="0" w:color="DCDDDE"/>
              <w:right w:val="nil"/>
            </w:tcBorders>
            <w:shd w:val="clear" w:color="000000" w:fill="FFFFFF"/>
            <w:noWrap/>
            <w:vAlign w:val="center"/>
            <w:hideMark/>
          </w:tcPr>
          <w:p w14:paraId="0EE935E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1,057</w:t>
            </w:r>
          </w:p>
        </w:tc>
        <w:tc>
          <w:tcPr>
            <w:tcW w:w="586" w:type="dxa"/>
            <w:tcBorders>
              <w:top w:val="nil"/>
              <w:left w:val="nil"/>
              <w:bottom w:val="single" w:sz="8" w:space="0" w:color="DCDDDE"/>
              <w:right w:val="nil"/>
            </w:tcBorders>
            <w:shd w:val="clear" w:color="000000" w:fill="FFFFFF"/>
            <w:noWrap/>
            <w:vAlign w:val="center"/>
            <w:hideMark/>
          </w:tcPr>
          <w:p w14:paraId="23C5C51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1,130</w:t>
            </w:r>
          </w:p>
        </w:tc>
        <w:tc>
          <w:tcPr>
            <w:tcW w:w="586" w:type="dxa"/>
            <w:tcBorders>
              <w:top w:val="nil"/>
              <w:left w:val="nil"/>
              <w:bottom w:val="single" w:sz="8" w:space="0" w:color="DCDDDE"/>
              <w:right w:val="nil"/>
            </w:tcBorders>
            <w:shd w:val="clear" w:color="000000" w:fill="FFFFFF"/>
            <w:noWrap/>
            <w:vAlign w:val="center"/>
            <w:hideMark/>
          </w:tcPr>
          <w:p w14:paraId="752806C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1,125</w:t>
            </w:r>
          </w:p>
        </w:tc>
        <w:tc>
          <w:tcPr>
            <w:tcW w:w="586" w:type="dxa"/>
            <w:tcBorders>
              <w:top w:val="nil"/>
              <w:left w:val="nil"/>
              <w:bottom w:val="single" w:sz="8" w:space="0" w:color="DCDDDE"/>
              <w:right w:val="nil"/>
            </w:tcBorders>
            <w:shd w:val="clear" w:color="000000" w:fill="FFFFFF"/>
            <w:noWrap/>
            <w:vAlign w:val="center"/>
            <w:hideMark/>
          </w:tcPr>
          <w:p w14:paraId="1B9A172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1,196</w:t>
            </w:r>
          </w:p>
        </w:tc>
        <w:tc>
          <w:tcPr>
            <w:tcW w:w="586" w:type="dxa"/>
            <w:tcBorders>
              <w:top w:val="nil"/>
              <w:left w:val="nil"/>
              <w:bottom w:val="single" w:sz="8" w:space="0" w:color="DCDDDE"/>
              <w:right w:val="nil"/>
            </w:tcBorders>
            <w:shd w:val="clear" w:color="000000" w:fill="FFFFFF"/>
            <w:noWrap/>
            <w:vAlign w:val="center"/>
            <w:hideMark/>
          </w:tcPr>
          <w:p w14:paraId="0177190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1,177</w:t>
            </w:r>
          </w:p>
        </w:tc>
        <w:tc>
          <w:tcPr>
            <w:tcW w:w="586" w:type="dxa"/>
            <w:tcBorders>
              <w:top w:val="nil"/>
              <w:left w:val="nil"/>
              <w:bottom w:val="single" w:sz="8" w:space="0" w:color="DCDDDE"/>
              <w:right w:val="nil"/>
            </w:tcBorders>
            <w:shd w:val="clear" w:color="000000" w:fill="FFFFFF"/>
            <w:noWrap/>
            <w:vAlign w:val="center"/>
            <w:hideMark/>
          </w:tcPr>
          <w:p w14:paraId="5106C2B5"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1,174</w:t>
            </w:r>
          </w:p>
        </w:tc>
        <w:tc>
          <w:tcPr>
            <w:tcW w:w="586" w:type="dxa"/>
            <w:tcBorders>
              <w:top w:val="nil"/>
              <w:left w:val="nil"/>
              <w:bottom w:val="single" w:sz="8" w:space="0" w:color="DCDDDE"/>
              <w:right w:val="nil"/>
            </w:tcBorders>
            <w:shd w:val="clear" w:color="000000" w:fill="FFFFFF"/>
            <w:noWrap/>
            <w:vAlign w:val="center"/>
            <w:hideMark/>
          </w:tcPr>
          <w:p w14:paraId="0B686BF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1,150</w:t>
            </w:r>
          </w:p>
        </w:tc>
        <w:tc>
          <w:tcPr>
            <w:tcW w:w="586" w:type="dxa"/>
            <w:tcBorders>
              <w:top w:val="nil"/>
              <w:left w:val="nil"/>
              <w:bottom w:val="single" w:sz="8" w:space="0" w:color="DCDDDE"/>
              <w:right w:val="nil"/>
            </w:tcBorders>
            <w:shd w:val="clear" w:color="000000" w:fill="FFFFFF"/>
            <w:noWrap/>
            <w:vAlign w:val="center"/>
            <w:hideMark/>
          </w:tcPr>
          <w:p w14:paraId="4002388C"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1,138</w:t>
            </w:r>
          </w:p>
        </w:tc>
        <w:tc>
          <w:tcPr>
            <w:tcW w:w="586" w:type="dxa"/>
            <w:tcBorders>
              <w:top w:val="nil"/>
              <w:left w:val="nil"/>
              <w:bottom w:val="single" w:sz="8" w:space="0" w:color="DCDDDE"/>
              <w:right w:val="nil"/>
            </w:tcBorders>
            <w:shd w:val="clear" w:color="000000" w:fill="FFFFFF"/>
            <w:noWrap/>
            <w:vAlign w:val="center"/>
            <w:hideMark/>
          </w:tcPr>
          <w:p w14:paraId="30402296"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1,106</w:t>
            </w:r>
          </w:p>
        </w:tc>
        <w:tc>
          <w:tcPr>
            <w:tcW w:w="586" w:type="dxa"/>
            <w:tcBorders>
              <w:top w:val="nil"/>
              <w:left w:val="nil"/>
              <w:bottom w:val="single" w:sz="8" w:space="0" w:color="DCDDDE"/>
              <w:right w:val="nil"/>
            </w:tcBorders>
            <w:shd w:val="clear" w:color="000000" w:fill="FFFFFF"/>
            <w:noWrap/>
            <w:vAlign w:val="center"/>
            <w:hideMark/>
          </w:tcPr>
          <w:p w14:paraId="277B9229"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1,077</w:t>
            </w:r>
          </w:p>
        </w:tc>
        <w:tc>
          <w:tcPr>
            <w:tcW w:w="586" w:type="dxa"/>
            <w:tcBorders>
              <w:top w:val="nil"/>
              <w:left w:val="nil"/>
              <w:bottom w:val="single" w:sz="8" w:space="0" w:color="DCDDDE"/>
              <w:right w:val="nil"/>
            </w:tcBorders>
            <w:shd w:val="clear" w:color="000000" w:fill="FFFFFF"/>
            <w:noWrap/>
            <w:vAlign w:val="center"/>
            <w:hideMark/>
          </w:tcPr>
          <w:p w14:paraId="4AA2F52D"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1,048</w:t>
            </w:r>
          </w:p>
        </w:tc>
      </w:tr>
      <w:tr w:rsidR="00490035" w:rsidRPr="00490035" w14:paraId="50558259" w14:textId="77777777" w:rsidTr="002A760B">
        <w:trPr>
          <w:trHeight w:val="315"/>
          <w:jc w:val="center"/>
        </w:trPr>
        <w:tc>
          <w:tcPr>
            <w:tcW w:w="8597" w:type="dxa"/>
            <w:gridSpan w:val="14"/>
            <w:tcBorders>
              <w:top w:val="single" w:sz="8" w:space="0" w:color="DCDDDE"/>
              <w:left w:val="nil"/>
              <w:bottom w:val="single" w:sz="8" w:space="0" w:color="DCDDDE"/>
              <w:right w:val="nil"/>
            </w:tcBorders>
            <w:shd w:val="clear" w:color="000000" w:fill="DADADA"/>
            <w:noWrap/>
            <w:vAlign w:val="center"/>
            <w:hideMark/>
          </w:tcPr>
          <w:p w14:paraId="0FC33F06"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mTRC (GHG adder 2) | Reference</w:t>
            </w:r>
          </w:p>
        </w:tc>
      </w:tr>
      <w:tr w:rsidR="00490035" w:rsidRPr="00490035" w14:paraId="60C0C6DC" w14:textId="77777777" w:rsidTr="002A760B">
        <w:trPr>
          <w:trHeight w:val="555"/>
          <w:jc w:val="center"/>
        </w:trPr>
        <w:tc>
          <w:tcPr>
            <w:tcW w:w="979" w:type="dxa"/>
            <w:tcBorders>
              <w:top w:val="nil"/>
              <w:left w:val="nil"/>
              <w:bottom w:val="single" w:sz="8" w:space="0" w:color="DCDDDE"/>
              <w:right w:val="nil"/>
            </w:tcBorders>
            <w:shd w:val="clear" w:color="000000" w:fill="FFFFFF"/>
            <w:vAlign w:val="center"/>
            <w:hideMark/>
          </w:tcPr>
          <w:p w14:paraId="7B7680DF"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86" w:type="dxa"/>
            <w:tcBorders>
              <w:top w:val="nil"/>
              <w:left w:val="nil"/>
              <w:bottom w:val="single" w:sz="8" w:space="0" w:color="DCDDDE"/>
              <w:right w:val="nil"/>
            </w:tcBorders>
            <w:shd w:val="clear" w:color="000000" w:fill="FFFFFF"/>
            <w:noWrap/>
            <w:vAlign w:val="center"/>
            <w:hideMark/>
          </w:tcPr>
          <w:p w14:paraId="0C3AE47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296</w:t>
            </w:r>
          </w:p>
        </w:tc>
        <w:tc>
          <w:tcPr>
            <w:tcW w:w="586" w:type="dxa"/>
            <w:tcBorders>
              <w:top w:val="nil"/>
              <w:left w:val="nil"/>
              <w:bottom w:val="single" w:sz="8" w:space="0" w:color="DCDDDE"/>
              <w:right w:val="nil"/>
            </w:tcBorders>
            <w:shd w:val="clear" w:color="000000" w:fill="FFFFFF"/>
            <w:noWrap/>
            <w:vAlign w:val="center"/>
            <w:hideMark/>
          </w:tcPr>
          <w:p w14:paraId="4A5BBA5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320</w:t>
            </w:r>
          </w:p>
        </w:tc>
        <w:tc>
          <w:tcPr>
            <w:tcW w:w="586" w:type="dxa"/>
            <w:tcBorders>
              <w:top w:val="nil"/>
              <w:left w:val="nil"/>
              <w:bottom w:val="single" w:sz="8" w:space="0" w:color="DCDDDE"/>
              <w:right w:val="nil"/>
            </w:tcBorders>
            <w:shd w:val="clear" w:color="000000" w:fill="FFFFFF"/>
            <w:noWrap/>
            <w:vAlign w:val="center"/>
            <w:hideMark/>
          </w:tcPr>
          <w:p w14:paraId="3C097BC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299</w:t>
            </w:r>
          </w:p>
        </w:tc>
        <w:tc>
          <w:tcPr>
            <w:tcW w:w="586" w:type="dxa"/>
            <w:tcBorders>
              <w:top w:val="nil"/>
              <w:left w:val="nil"/>
              <w:bottom w:val="single" w:sz="8" w:space="0" w:color="DCDDDE"/>
              <w:right w:val="nil"/>
            </w:tcBorders>
            <w:shd w:val="clear" w:color="000000" w:fill="FFFFFF"/>
            <w:noWrap/>
            <w:vAlign w:val="center"/>
            <w:hideMark/>
          </w:tcPr>
          <w:p w14:paraId="52DE035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350</w:t>
            </w:r>
          </w:p>
        </w:tc>
        <w:tc>
          <w:tcPr>
            <w:tcW w:w="586" w:type="dxa"/>
            <w:tcBorders>
              <w:top w:val="nil"/>
              <w:left w:val="nil"/>
              <w:bottom w:val="single" w:sz="8" w:space="0" w:color="DCDDDE"/>
              <w:right w:val="nil"/>
            </w:tcBorders>
            <w:shd w:val="clear" w:color="000000" w:fill="FFFFFF"/>
            <w:noWrap/>
            <w:vAlign w:val="center"/>
            <w:hideMark/>
          </w:tcPr>
          <w:p w14:paraId="2A32109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347</w:t>
            </w:r>
          </w:p>
        </w:tc>
        <w:tc>
          <w:tcPr>
            <w:tcW w:w="586" w:type="dxa"/>
            <w:tcBorders>
              <w:top w:val="nil"/>
              <w:left w:val="nil"/>
              <w:bottom w:val="single" w:sz="8" w:space="0" w:color="DCDDDE"/>
              <w:right w:val="nil"/>
            </w:tcBorders>
            <w:shd w:val="clear" w:color="000000" w:fill="FFFFFF"/>
            <w:noWrap/>
            <w:vAlign w:val="center"/>
            <w:hideMark/>
          </w:tcPr>
          <w:p w14:paraId="5DB36CB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350</w:t>
            </w:r>
          </w:p>
        </w:tc>
        <w:tc>
          <w:tcPr>
            <w:tcW w:w="586" w:type="dxa"/>
            <w:tcBorders>
              <w:top w:val="nil"/>
              <w:left w:val="nil"/>
              <w:bottom w:val="single" w:sz="8" w:space="0" w:color="DCDDDE"/>
              <w:right w:val="nil"/>
            </w:tcBorders>
            <w:shd w:val="clear" w:color="000000" w:fill="FFFFFF"/>
            <w:noWrap/>
            <w:vAlign w:val="center"/>
            <w:hideMark/>
          </w:tcPr>
          <w:p w14:paraId="475E659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347</w:t>
            </w:r>
          </w:p>
        </w:tc>
        <w:tc>
          <w:tcPr>
            <w:tcW w:w="586" w:type="dxa"/>
            <w:tcBorders>
              <w:top w:val="nil"/>
              <w:left w:val="nil"/>
              <w:bottom w:val="single" w:sz="8" w:space="0" w:color="DCDDDE"/>
              <w:right w:val="nil"/>
            </w:tcBorders>
            <w:shd w:val="clear" w:color="000000" w:fill="FFFFFF"/>
            <w:noWrap/>
            <w:vAlign w:val="center"/>
            <w:hideMark/>
          </w:tcPr>
          <w:p w14:paraId="0B6D66F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350</w:t>
            </w:r>
          </w:p>
        </w:tc>
        <w:tc>
          <w:tcPr>
            <w:tcW w:w="586" w:type="dxa"/>
            <w:tcBorders>
              <w:top w:val="nil"/>
              <w:left w:val="nil"/>
              <w:bottom w:val="single" w:sz="8" w:space="0" w:color="DCDDDE"/>
              <w:right w:val="nil"/>
            </w:tcBorders>
            <w:shd w:val="clear" w:color="000000" w:fill="FFFFFF"/>
            <w:noWrap/>
            <w:vAlign w:val="center"/>
            <w:hideMark/>
          </w:tcPr>
          <w:p w14:paraId="7F14FD2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346</w:t>
            </w:r>
          </w:p>
        </w:tc>
        <w:tc>
          <w:tcPr>
            <w:tcW w:w="586" w:type="dxa"/>
            <w:tcBorders>
              <w:top w:val="nil"/>
              <w:left w:val="nil"/>
              <w:bottom w:val="single" w:sz="8" w:space="0" w:color="DCDDDE"/>
              <w:right w:val="nil"/>
            </w:tcBorders>
            <w:shd w:val="clear" w:color="000000" w:fill="FFFFFF"/>
            <w:noWrap/>
            <w:vAlign w:val="center"/>
            <w:hideMark/>
          </w:tcPr>
          <w:p w14:paraId="633FD98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342</w:t>
            </w:r>
          </w:p>
        </w:tc>
        <w:tc>
          <w:tcPr>
            <w:tcW w:w="586" w:type="dxa"/>
            <w:tcBorders>
              <w:top w:val="nil"/>
              <w:left w:val="nil"/>
              <w:bottom w:val="single" w:sz="8" w:space="0" w:color="DCDDDE"/>
              <w:right w:val="nil"/>
            </w:tcBorders>
            <w:shd w:val="clear" w:color="000000" w:fill="FFFFFF"/>
            <w:noWrap/>
            <w:vAlign w:val="center"/>
            <w:hideMark/>
          </w:tcPr>
          <w:p w14:paraId="23897B6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345</w:t>
            </w:r>
          </w:p>
        </w:tc>
        <w:tc>
          <w:tcPr>
            <w:tcW w:w="586" w:type="dxa"/>
            <w:tcBorders>
              <w:top w:val="nil"/>
              <w:left w:val="nil"/>
              <w:bottom w:val="single" w:sz="8" w:space="0" w:color="DCDDDE"/>
              <w:right w:val="nil"/>
            </w:tcBorders>
            <w:shd w:val="clear" w:color="000000" w:fill="FFFFFF"/>
            <w:noWrap/>
            <w:vAlign w:val="center"/>
            <w:hideMark/>
          </w:tcPr>
          <w:p w14:paraId="6C4F999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344</w:t>
            </w:r>
          </w:p>
        </w:tc>
        <w:tc>
          <w:tcPr>
            <w:tcW w:w="586" w:type="dxa"/>
            <w:tcBorders>
              <w:top w:val="nil"/>
              <w:left w:val="nil"/>
              <w:bottom w:val="single" w:sz="8" w:space="0" w:color="DCDDDE"/>
              <w:right w:val="nil"/>
            </w:tcBorders>
            <w:shd w:val="clear" w:color="000000" w:fill="FFFFFF"/>
            <w:noWrap/>
            <w:vAlign w:val="center"/>
            <w:hideMark/>
          </w:tcPr>
          <w:p w14:paraId="44C550F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345</w:t>
            </w:r>
          </w:p>
        </w:tc>
      </w:tr>
      <w:tr w:rsidR="00490035" w:rsidRPr="00490035" w14:paraId="2896D618"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5E99D4AA"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BROs</w:t>
            </w:r>
          </w:p>
        </w:tc>
        <w:tc>
          <w:tcPr>
            <w:tcW w:w="586" w:type="dxa"/>
            <w:tcBorders>
              <w:top w:val="nil"/>
              <w:left w:val="nil"/>
              <w:bottom w:val="single" w:sz="8" w:space="0" w:color="DCDDDE"/>
              <w:right w:val="nil"/>
            </w:tcBorders>
            <w:shd w:val="clear" w:color="000000" w:fill="FFFFFF"/>
            <w:noWrap/>
            <w:vAlign w:val="center"/>
            <w:hideMark/>
          </w:tcPr>
          <w:p w14:paraId="4E80696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123</w:t>
            </w:r>
          </w:p>
        </w:tc>
        <w:tc>
          <w:tcPr>
            <w:tcW w:w="586" w:type="dxa"/>
            <w:tcBorders>
              <w:top w:val="nil"/>
              <w:left w:val="nil"/>
              <w:bottom w:val="single" w:sz="8" w:space="0" w:color="DCDDDE"/>
              <w:right w:val="nil"/>
            </w:tcBorders>
            <w:shd w:val="clear" w:color="000000" w:fill="FFFFFF"/>
            <w:noWrap/>
            <w:vAlign w:val="center"/>
            <w:hideMark/>
          </w:tcPr>
          <w:p w14:paraId="2F597B7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158</w:t>
            </w:r>
          </w:p>
        </w:tc>
        <w:tc>
          <w:tcPr>
            <w:tcW w:w="586" w:type="dxa"/>
            <w:tcBorders>
              <w:top w:val="nil"/>
              <w:left w:val="nil"/>
              <w:bottom w:val="single" w:sz="8" w:space="0" w:color="DCDDDE"/>
              <w:right w:val="nil"/>
            </w:tcBorders>
            <w:shd w:val="clear" w:color="000000" w:fill="FFFFFF"/>
            <w:noWrap/>
            <w:vAlign w:val="center"/>
            <w:hideMark/>
          </w:tcPr>
          <w:p w14:paraId="16E2BAF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175</w:t>
            </w:r>
          </w:p>
        </w:tc>
        <w:tc>
          <w:tcPr>
            <w:tcW w:w="586" w:type="dxa"/>
            <w:tcBorders>
              <w:top w:val="nil"/>
              <w:left w:val="nil"/>
              <w:bottom w:val="single" w:sz="8" w:space="0" w:color="DCDDDE"/>
              <w:right w:val="nil"/>
            </w:tcBorders>
            <w:shd w:val="clear" w:color="000000" w:fill="FFFFFF"/>
            <w:noWrap/>
            <w:vAlign w:val="center"/>
            <w:hideMark/>
          </w:tcPr>
          <w:p w14:paraId="132C09D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192</w:t>
            </w:r>
          </w:p>
        </w:tc>
        <w:tc>
          <w:tcPr>
            <w:tcW w:w="586" w:type="dxa"/>
            <w:tcBorders>
              <w:top w:val="nil"/>
              <w:left w:val="nil"/>
              <w:bottom w:val="single" w:sz="8" w:space="0" w:color="DCDDDE"/>
              <w:right w:val="nil"/>
            </w:tcBorders>
            <w:shd w:val="clear" w:color="000000" w:fill="FFFFFF"/>
            <w:noWrap/>
            <w:vAlign w:val="center"/>
            <w:hideMark/>
          </w:tcPr>
          <w:p w14:paraId="1B829B6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203</w:t>
            </w:r>
          </w:p>
        </w:tc>
        <w:tc>
          <w:tcPr>
            <w:tcW w:w="586" w:type="dxa"/>
            <w:tcBorders>
              <w:top w:val="nil"/>
              <w:left w:val="nil"/>
              <w:bottom w:val="single" w:sz="8" w:space="0" w:color="DCDDDE"/>
              <w:right w:val="nil"/>
            </w:tcBorders>
            <w:shd w:val="clear" w:color="000000" w:fill="FFFFFF"/>
            <w:noWrap/>
            <w:vAlign w:val="center"/>
            <w:hideMark/>
          </w:tcPr>
          <w:p w14:paraId="7C919D6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213</w:t>
            </w:r>
          </w:p>
        </w:tc>
        <w:tc>
          <w:tcPr>
            <w:tcW w:w="586" w:type="dxa"/>
            <w:tcBorders>
              <w:top w:val="nil"/>
              <w:left w:val="nil"/>
              <w:bottom w:val="single" w:sz="8" w:space="0" w:color="DCDDDE"/>
              <w:right w:val="nil"/>
            </w:tcBorders>
            <w:shd w:val="clear" w:color="000000" w:fill="FFFFFF"/>
            <w:noWrap/>
            <w:vAlign w:val="center"/>
            <w:hideMark/>
          </w:tcPr>
          <w:p w14:paraId="794F8AF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223</w:t>
            </w:r>
          </w:p>
        </w:tc>
        <w:tc>
          <w:tcPr>
            <w:tcW w:w="586" w:type="dxa"/>
            <w:tcBorders>
              <w:top w:val="nil"/>
              <w:left w:val="nil"/>
              <w:bottom w:val="single" w:sz="8" w:space="0" w:color="DCDDDE"/>
              <w:right w:val="nil"/>
            </w:tcBorders>
            <w:shd w:val="clear" w:color="000000" w:fill="FFFFFF"/>
            <w:noWrap/>
            <w:vAlign w:val="center"/>
            <w:hideMark/>
          </w:tcPr>
          <w:p w14:paraId="7B9257B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240</w:t>
            </w:r>
          </w:p>
        </w:tc>
        <w:tc>
          <w:tcPr>
            <w:tcW w:w="586" w:type="dxa"/>
            <w:tcBorders>
              <w:top w:val="nil"/>
              <w:left w:val="nil"/>
              <w:bottom w:val="single" w:sz="8" w:space="0" w:color="DCDDDE"/>
              <w:right w:val="nil"/>
            </w:tcBorders>
            <w:shd w:val="clear" w:color="000000" w:fill="FFFFFF"/>
            <w:noWrap/>
            <w:vAlign w:val="center"/>
            <w:hideMark/>
          </w:tcPr>
          <w:p w14:paraId="383C777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253</w:t>
            </w:r>
          </w:p>
        </w:tc>
        <w:tc>
          <w:tcPr>
            <w:tcW w:w="586" w:type="dxa"/>
            <w:tcBorders>
              <w:top w:val="nil"/>
              <w:left w:val="nil"/>
              <w:bottom w:val="single" w:sz="8" w:space="0" w:color="DCDDDE"/>
              <w:right w:val="nil"/>
            </w:tcBorders>
            <w:shd w:val="clear" w:color="000000" w:fill="FFFFFF"/>
            <w:noWrap/>
            <w:vAlign w:val="center"/>
            <w:hideMark/>
          </w:tcPr>
          <w:p w14:paraId="02C0555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266</w:t>
            </w:r>
          </w:p>
        </w:tc>
        <w:tc>
          <w:tcPr>
            <w:tcW w:w="586" w:type="dxa"/>
            <w:tcBorders>
              <w:top w:val="nil"/>
              <w:left w:val="nil"/>
              <w:bottom w:val="single" w:sz="8" w:space="0" w:color="DCDDDE"/>
              <w:right w:val="nil"/>
            </w:tcBorders>
            <w:shd w:val="clear" w:color="000000" w:fill="FFFFFF"/>
            <w:noWrap/>
            <w:vAlign w:val="center"/>
            <w:hideMark/>
          </w:tcPr>
          <w:p w14:paraId="2797CD0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279</w:t>
            </w:r>
          </w:p>
        </w:tc>
        <w:tc>
          <w:tcPr>
            <w:tcW w:w="586" w:type="dxa"/>
            <w:tcBorders>
              <w:top w:val="nil"/>
              <w:left w:val="nil"/>
              <w:bottom w:val="single" w:sz="8" w:space="0" w:color="DCDDDE"/>
              <w:right w:val="nil"/>
            </w:tcBorders>
            <w:shd w:val="clear" w:color="000000" w:fill="FFFFFF"/>
            <w:noWrap/>
            <w:vAlign w:val="center"/>
            <w:hideMark/>
          </w:tcPr>
          <w:p w14:paraId="05A0F27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293</w:t>
            </w:r>
          </w:p>
        </w:tc>
        <w:tc>
          <w:tcPr>
            <w:tcW w:w="586" w:type="dxa"/>
            <w:tcBorders>
              <w:top w:val="nil"/>
              <w:left w:val="nil"/>
              <w:bottom w:val="single" w:sz="8" w:space="0" w:color="DCDDDE"/>
              <w:right w:val="nil"/>
            </w:tcBorders>
            <w:shd w:val="clear" w:color="000000" w:fill="FFFFFF"/>
            <w:noWrap/>
            <w:vAlign w:val="center"/>
            <w:hideMark/>
          </w:tcPr>
          <w:p w14:paraId="0A81975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308</w:t>
            </w:r>
          </w:p>
        </w:tc>
      </w:tr>
      <w:tr w:rsidR="00490035" w:rsidRPr="00490035" w14:paraId="619337A1"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3DA01E20"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86" w:type="dxa"/>
            <w:tcBorders>
              <w:top w:val="nil"/>
              <w:left w:val="nil"/>
              <w:bottom w:val="single" w:sz="8" w:space="0" w:color="DCDDDE"/>
              <w:right w:val="nil"/>
            </w:tcBorders>
            <w:shd w:val="clear" w:color="000000" w:fill="FFFFFF"/>
            <w:noWrap/>
            <w:vAlign w:val="center"/>
            <w:hideMark/>
          </w:tcPr>
          <w:p w14:paraId="42B08F6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29</w:t>
            </w:r>
          </w:p>
        </w:tc>
        <w:tc>
          <w:tcPr>
            <w:tcW w:w="586" w:type="dxa"/>
            <w:tcBorders>
              <w:top w:val="nil"/>
              <w:left w:val="nil"/>
              <w:bottom w:val="single" w:sz="8" w:space="0" w:color="DCDDDE"/>
              <w:right w:val="nil"/>
            </w:tcBorders>
            <w:shd w:val="clear" w:color="000000" w:fill="FFFFFF"/>
            <w:noWrap/>
            <w:vAlign w:val="center"/>
            <w:hideMark/>
          </w:tcPr>
          <w:p w14:paraId="0A7B7F0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30</w:t>
            </w:r>
          </w:p>
        </w:tc>
        <w:tc>
          <w:tcPr>
            <w:tcW w:w="586" w:type="dxa"/>
            <w:tcBorders>
              <w:top w:val="nil"/>
              <w:left w:val="nil"/>
              <w:bottom w:val="single" w:sz="8" w:space="0" w:color="DCDDDE"/>
              <w:right w:val="nil"/>
            </w:tcBorders>
            <w:shd w:val="clear" w:color="000000" w:fill="FFFFFF"/>
            <w:noWrap/>
            <w:vAlign w:val="center"/>
            <w:hideMark/>
          </w:tcPr>
          <w:p w14:paraId="3EC5D48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30</w:t>
            </w:r>
          </w:p>
        </w:tc>
        <w:tc>
          <w:tcPr>
            <w:tcW w:w="586" w:type="dxa"/>
            <w:tcBorders>
              <w:top w:val="nil"/>
              <w:left w:val="nil"/>
              <w:bottom w:val="single" w:sz="8" w:space="0" w:color="DCDDDE"/>
              <w:right w:val="nil"/>
            </w:tcBorders>
            <w:shd w:val="clear" w:color="000000" w:fill="FFFFFF"/>
            <w:noWrap/>
            <w:vAlign w:val="center"/>
            <w:hideMark/>
          </w:tcPr>
          <w:p w14:paraId="467687A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4C3FA26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4046503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64801F0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2234241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4559758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13FF6AF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48B7E0F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513E765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644FB9A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r>
      <w:tr w:rsidR="00490035" w:rsidRPr="00490035" w14:paraId="37576CB9" w14:textId="77777777" w:rsidTr="002A760B">
        <w:trPr>
          <w:trHeight w:val="825"/>
          <w:jc w:val="center"/>
        </w:trPr>
        <w:tc>
          <w:tcPr>
            <w:tcW w:w="979" w:type="dxa"/>
            <w:tcBorders>
              <w:top w:val="nil"/>
              <w:left w:val="nil"/>
              <w:bottom w:val="single" w:sz="8" w:space="0" w:color="DCDDDE"/>
              <w:right w:val="nil"/>
            </w:tcBorders>
            <w:shd w:val="clear" w:color="000000" w:fill="FFFFFF"/>
            <w:vAlign w:val="center"/>
            <w:hideMark/>
          </w:tcPr>
          <w:p w14:paraId="67C9F926"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86" w:type="dxa"/>
            <w:tcBorders>
              <w:top w:val="nil"/>
              <w:left w:val="nil"/>
              <w:bottom w:val="single" w:sz="8" w:space="0" w:color="DCDDDE"/>
              <w:right w:val="nil"/>
            </w:tcBorders>
            <w:shd w:val="clear" w:color="000000" w:fill="FFFFFF"/>
            <w:noWrap/>
            <w:vAlign w:val="center"/>
            <w:hideMark/>
          </w:tcPr>
          <w:p w14:paraId="4A68029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448</w:t>
            </w:r>
          </w:p>
        </w:tc>
        <w:tc>
          <w:tcPr>
            <w:tcW w:w="586" w:type="dxa"/>
            <w:tcBorders>
              <w:top w:val="nil"/>
              <w:left w:val="nil"/>
              <w:bottom w:val="single" w:sz="8" w:space="0" w:color="DCDDDE"/>
              <w:right w:val="nil"/>
            </w:tcBorders>
            <w:shd w:val="clear" w:color="000000" w:fill="FFFFFF"/>
            <w:noWrap/>
            <w:vAlign w:val="center"/>
            <w:hideMark/>
          </w:tcPr>
          <w:p w14:paraId="1338484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508</w:t>
            </w:r>
          </w:p>
        </w:tc>
        <w:tc>
          <w:tcPr>
            <w:tcW w:w="586" w:type="dxa"/>
            <w:tcBorders>
              <w:top w:val="nil"/>
              <w:left w:val="nil"/>
              <w:bottom w:val="single" w:sz="8" w:space="0" w:color="DCDDDE"/>
              <w:right w:val="nil"/>
            </w:tcBorders>
            <w:shd w:val="clear" w:color="000000" w:fill="FFFFFF"/>
            <w:noWrap/>
            <w:vAlign w:val="center"/>
            <w:hideMark/>
          </w:tcPr>
          <w:p w14:paraId="7138A09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504</w:t>
            </w:r>
          </w:p>
        </w:tc>
        <w:tc>
          <w:tcPr>
            <w:tcW w:w="586" w:type="dxa"/>
            <w:tcBorders>
              <w:top w:val="nil"/>
              <w:left w:val="nil"/>
              <w:bottom w:val="single" w:sz="8" w:space="0" w:color="DCDDDE"/>
              <w:right w:val="nil"/>
            </w:tcBorders>
            <w:shd w:val="clear" w:color="000000" w:fill="FFFFFF"/>
            <w:noWrap/>
            <w:vAlign w:val="center"/>
            <w:hideMark/>
          </w:tcPr>
          <w:p w14:paraId="24754C1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563</w:t>
            </w:r>
          </w:p>
        </w:tc>
        <w:tc>
          <w:tcPr>
            <w:tcW w:w="586" w:type="dxa"/>
            <w:tcBorders>
              <w:top w:val="nil"/>
              <w:left w:val="nil"/>
              <w:bottom w:val="single" w:sz="8" w:space="0" w:color="DCDDDE"/>
              <w:right w:val="nil"/>
            </w:tcBorders>
            <w:shd w:val="clear" w:color="000000" w:fill="FFFFFF"/>
            <w:noWrap/>
            <w:vAlign w:val="center"/>
            <w:hideMark/>
          </w:tcPr>
          <w:p w14:paraId="42F5182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572</w:t>
            </w:r>
          </w:p>
        </w:tc>
        <w:tc>
          <w:tcPr>
            <w:tcW w:w="586" w:type="dxa"/>
            <w:tcBorders>
              <w:top w:val="nil"/>
              <w:left w:val="nil"/>
              <w:bottom w:val="single" w:sz="8" w:space="0" w:color="DCDDDE"/>
              <w:right w:val="nil"/>
            </w:tcBorders>
            <w:shd w:val="clear" w:color="000000" w:fill="FFFFFF"/>
            <w:noWrap/>
            <w:vAlign w:val="center"/>
            <w:hideMark/>
          </w:tcPr>
          <w:p w14:paraId="4FAC451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585</w:t>
            </w:r>
          </w:p>
        </w:tc>
        <w:tc>
          <w:tcPr>
            <w:tcW w:w="586" w:type="dxa"/>
            <w:tcBorders>
              <w:top w:val="nil"/>
              <w:left w:val="nil"/>
              <w:bottom w:val="single" w:sz="8" w:space="0" w:color="DCDDDE"/>
              <w:right w:val="nil"/>
            </w:tcBorders>
            <w:shd w:val="clear" w:color="000000" w:fill="FFFFFF"/>
            <w:noWrap/>
            <w:vAlign w:val="center"/>
            <w:hideMark/>
          </w:tcPr>
          <w:p w14:paraId="1EE2802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592</w:t>
            </w:r>
          </w:p>
        </w:tc>
        <w:tc>
          <w:tcPr>
            <w:tcW w:w="586" w:type="dxa"/>
            <w:tcBorders>
              <w:top w:val="nil"/>
              <w:left w:val="nil"/>
              <w:bottom w:val="single" w:sz="8" w:space="0" w:color="DCDDDE"/>
              <w:right w:val="nil"/>
            </w:tcBorders>
            <w:shd w:val="clear" w:color="000000" w:fill="FFFFFF"/>
            <w:noWrap/>
            <w:vAlign w:val="center"/>
            <w:hideMark/>
          </w:tcPr>
          <w:p w14:paraId="725B565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612</w:t>
            </w:r>
          </w:p>
        </w:tc>
        <w:tc>
          <w:tcPr>
            <w:tcW w:w="586" w:type="dxa"/>
            <w:tcBorders>
              <w:top w:val="nil"/>
              <w:left w:val="nil"/>
              <w:bottom w:val="single" w:sz="8" w:space="0" w:color="DCDDDE"/>
              <w:right w:val="nil"/>
            </w:tcBorders>
            <w:shd w:val="clear" w:color="000000" w:fill="FFFFFF"/>
            <w:noWrap/>
            <w:vAlign w:val="center"/>
            <w:hideMark/>
          </w:tcPr>
          <w:p w14:paraId="350C69A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620</w:t>
            </w:r>
          </w:p>
        </w:tc>
        <w:tc>
          <w:tcPr>
            <w:tcW w:w="586" w:type="dxa"/>
            <w:tcBorders>
              <w:top w:val="nil"/>
              <w:left w:val="nil"/>
              <w:bottom w:val="single" w:sz="8" w:space="0" w:color="DCDDDE"/>
              <w:right w:val="nil"/>
            </w:tcBorders>
            <w:shd w:val="clear" w:color="000000" w:fill="FFFFFF"/>
            <w:noWrap/>
            <w:vAlign w:val="center"/>
            <w:hideMark/>
          </w:tcPr>
          <w:p w14:paraId="383EE77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629</w:t>
            </w:r>
          </w:p>
        </w:tc>
        <w:tc>
          <w:tcPr>
            <w:tcW w:w="586" w:type="dxa"/>
            <w:tcBorders>
              <w:top w:val="nil"/>
              <w:left w:val="nil"/>
              <w:bottom w:val="single" w:sz="8" w:space="0" w:color="DCDDDE"/>
              <w:right w:val="nil"/>
            </w:tcBorders>
            <w:shd w:val="clear" w:color="000000" w:fill="FFFFFF"/>
            <w:noWrap/>
            <w:vAlign w:val="center"/>
            <w:hideMark/>
          </w:tcPr>
          <w:p w14:paraId="604397D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647</w:t>
            </w:r>
          </w:p>
        </w:tc>
        <w:tc>
          <w:tcPr>
            <w:tcW w:w="586" w:type="dxa"/>
            <w:tcBorders>
              <w:top w:val="nil"/>
              <w:left w:val="nil"/>
              <w:bottom w:val="single" w:sz="8" w:space="0" w:color="DCDDDE"/>
              <w:right w:val="nil"/>
            </w:tcBorders>
            <w:shd w:val="clear" w:color="000000" w:fill="FFFFFF"/>
            <w:noWrap/>
            <w:vAlign w:val="center"/>
            <w:hideMark/>
          </w:tcPr>
          <w:p w14:paraId="1C25603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659</w:t>
            </w:r>
          </w:p>
        </w:tc>
        <w:tc>
          <w:tcPr>
            <w:tcW w:w="586" w:type="dxa"/>
            <w:tcBorders>
              <w:top w:val="nil"/>
              <w:left w:val="nil"/>
              <w:bottom w:val="single" w:sz="8" w:space="0" w:color="DCDDDE"/>
              <w:right w:val="nil"/>
            </w:tcBorders>
            <w:shd w:val="clear" w:color="000000" w:fill="FFFFFF"/>
            <w:noWrap/>
            <w:vAlign w:val="center"/>
            <w:hideMark/>
          </w:tcPr>
          <w:p w14:paraId="60E7CAA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675</w:t>
            </w:r>
          </w:p>
        </w:tc>
      </w:tr>
      <w:tr w:rsidR="00490035" w:rsidRPr="00490035" w14:paraId="322F96E4"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2FF2C42F"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C&amp;S*</w:t>
            </w:r>
          </w:p>
        </w:tc>
        <w:tc>
          <w:tcPr>
            <w:tcW w:w="586" w:type="dxa"/>
            <w:tcBorders>
              <w:top w:val="nil"/>
              <w:left w:val="nil"/>
              <w:bottom w:val="single" w:sz="8" w:space="0" w:color="DCDDDE"/>
              <w:right w:val="nil"/>
            </w:tcBorders>
            <w:shd w:val="clear" w:color="000000" w:fill="FFFFFF"/>
            <w:noWrap/>
            <w:vAlign w:val="center"/>
            <w:hideMark/>
          </w:tcPr>
          <w:p w14:paraId="0F5D03C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535</w:t>
            </w:r>
          </w:p>
        </w:tc>
        <w:tc>
          <w:tcPr>
            <w:tcW w:w="586" w:type="dxa"/>
            <w:tcBorders>
              <w:top w:val="nil"/>
              <w:left w:val="nil"/>
              <w:bottom w:val="single" w:sz="8" w:space="0" w:color="DCDDDE"/>
              <w:right w:val="nil"/>
            </w:tcBorders>
            <w:shd w:val="clear" w:color="000000" w:fill="FFFFFF"/>
            <w:noWrap/>
            <w:vAlign w:val="center"/>
            <w:hideMark/>
          </w:tcPr>
          <w:p w14:paraId="7E66FF2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555</w:t>
            </w:r>
          </w:p>
        </w:tc>
        <w:tc>
          <w:tcPr>
            <w:tcW w:w="586" w:type="dxa"/>
            <w:tcBorders>
              <w:top w:val="nil"/>
              <w:left w:val="nil"/>
              <w:bottom w:val="single" w:sz="8" w:space="0" w:color="DCDDDE"/>
              <w:right w:val="nil"/>
            </w:tcBorders>
            <w:shd w:val="clear" w:color="000000" w:fill="FFFFFF"/>
            <w:noWrap/>
            <w:vAlign w:val="center"/>
            <w:hideMark/>
          </w:tcPr>
          <w:p w14:paraId="5057396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559</w:t>
            </w:r>
          </w:p>
        </w:tc>
        <w:tc>
          <w:tcPr>
            <w:tcW w:w="586" w:type="dxa"/>
            <w:tcBorders>
              <w:top w:val="nil"/>
              <w:left w:val="nil"/>
              <w:bottom w:val="single" w:sz="8" w:space="0" w:color="DCDDDE"/>
              <w:right w:val="nil"/>
            </w:tcBorders>
            <w:shd w:val="clear" w:color="000000" w:fill="FFFFFF"/>
            <w:noWrap/>
            <w:vAlign w:val="center"/>
            <w:hideMark/>
          </w:tcPr>
          <w:p w14:paraId="3D432F1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576</w:t>
            </w:r>
          </w:p>
        </w:tc>
        <w:tc>
          <w:tcPr>
            <w:tcW w:w="586" w:type="dxa"/>
            <w:tcBorders>
              <w:top w:val="nil"/>
              <w:left w:val="nil"/>
              <w:bottom w:val="single" w:sz="8" w:space="0" w:color="DCDDDE"/>
              <w:right w:val="nil"/>
            </w:tcBorders>
            <w:shd w:val="clear" w:color="000000" w:fill="FFFFFF"/>
            <w:noWrap/>
            <w:vAlign w:val="center"/>
            <w:hideMark/>
          </w:tcPr>
          <w:p w14:paraId="55716D8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560</w:t>
            </w:r>
          </w:p>
        </w:tc>
        <w:tc>
          <w:tcPr>
            <w:tcW w:w="586" w:type="dxa"/>
            <w:tcBorders>
              <w:top w:val="nil"/>
              <w:left w:val="nil"/>
              <w:bottom w:val="single" w:sz="8" w:space="0" w:color="DCDDDE"/>
              <w:right w:val="nil"/>
            </w:tcBorders>
            <w:shd w:val="clear" w:color="000000" w:fill="FFFFFF"/>
            <w:noWrap/>
            <w:vAlign w:val="center"/>
            <w:hideMark/>
          </w:tcPr>
          <w:p w14:paraId="7B8493E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621</w:t>
            </w:r>
          </w:p>
        </w:tc>
        <w:tc>
          <w:tcPr>
            <w:tcW w:w="586" w:type="dxa"/>
            <w:tcBorders>
              <w:top w:val="nil"/>
              <w:left w:val="nil"/>
              <w:bottom w:val="single" w:sz="8" w:space="0" w:color="DCDDDE"/>
              <w:right w:val="nil"/>
            </w:tcBorders>
            <w:shd w:val="clear" w:color="000000" w:fill="FFFFFF"/>
            <w:noWrap/>
            <w:vAlign w:val="center"/>
            <w:hideMark/>
          </w:tcPr>
          <w:p w14:paraId="282B3BB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595</w:t>
            </w:r>
          </w:p>
        </w:tc>
        <w:tc>
          <w:tcPr>
            <w:tcW w:w="586" w:type="dxa"/>
            <w:tcBorders>
              <w:top w:val="nil"/>
              <w:left w:val="nil"/>
              <w:bottom w:val="single" w:sz="8" w:space="0" w:color="DCDDDE"/>
              <w:right w:val="nil"/>
            </w:tcBorders>
            <w:shd w:val="clear" w:color="000000" w:fill="FFFFFF"/>
            <w:noWrap/>
            <w:vAlign w:val="center"/>
            <w:hideMark/>
          </w:tcPr>
          <w:p w14:paraId="1D9FC9A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573</w:t>
            </w:r>
          </w:p>
        </w:tc>
        <w:tc>
          <w:tcPr>
            <w:tcW w:w="586" w:type="dxa"/>
            <w:tcBorders>
              <w:top w:val="nil"/>
              <w:left w:val="nil"/>
              <w:bottom w:val="single" w:sz="8" w:space="0" w:color="DCDDDE"/>
              <w:right w:val="nil"/>
            </w:tcBorders>
            <w:shd w:val="clear" w:color="000000" w:fill="FFFFFF"/>
            <w:noWrap/>
            <w:vAlign w:val="center"/>
            <w:hideMark/>
          </w:tcPr>
          <w:p w14:paraId="1607FF8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538</w:t>
            </w:r>
          </w:p>
        </w:tc>
        <w:tc>
          <w:tcPr>
            <w:tcW w:w="586" w:type="dxa"/>
            <w:tcBorders>
              <w:top w:val="nil"/>
              <w:left w:val="nil"/>
              <w:bottom w:val="single" w:sz="8" w:space="0" w:color="DCDDDE"/>
              <w:right w:val="nil"/>
            </w:tcBorders>
            <w:shd w:val="clear" w:color="000000" w:fill="FFFFFF"/>
            <w:noWrap/>
            <w:vAlign w:val="center"/>
            <w:hideMark/>
          </w:tcPr>
          <w:p w14:paraId="4BE1F10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518</w:t>
            </w:r>
          </w:p>
        </w:tc>
        <w:tc>
          <w:tcPr>
            <w:tcW w:w="586" w:type="dxa"/>
            <w:tcBorders>
              <w:top w:val="nil"/>
              <w:left w:val="nil"/>
              <w:bottom w:val="single" w:sz="8" w:space="0" w:color="DCDDDE"/>
              <w:right w:val="nil"/>
            </w:tcBorders>
            <w:shd w:val="clear" w:color="000000" w:fill="FFFFFF"/>
            <w:noWrap/>
            <w:vAlign w:val="center"/>
            <w:hideMark/>
          </w:tcPr>
          <w:p w14:paraId="35E8420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471</w:t>
            </w:r>
          </w:p>
        </w:tc>
        <w:tc>
          <w:tcPr>
            <w:tcW w:w="586" w:type="dxa"/>
            <w:tcBorders>
              <w:top w:val="nil"/>
              <w:left w:val="nil"/>
              <w:bottom w:val="single" w:sz="8" w:space="0" w:color="DCDDDE"/>
              <w:right w:val="nil"/>
            </w:tcBorders>
            <w:shd w:val="clear" w:color="000000" w:fill="FFFFFF"/>
            <w:noWrap/>
            <w:vAlign w:val="center"/>
            <w:hideMark/>
          </w:tcPr>
          <w:p w14:paraId="2A38FD8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426</w:t>
            </w:r>
          </w:p>
        </w:tc>
        <w:tc>
          <w:tcPr>
            <w:tcW w:w="586" w:type="dxa"/>
            <w:tcBorders>
              <w:top w:val="nil"/>
              <w:left w:val="nil"/>
              <w:bottom w:val="single" w:sz="8" w:space="0" w:color="DCDDDE"/>
              <w:right w:val="nil"/>
            </w:tcBorders>
            <w:shd w:val="clear" w:color="000000" w:fill="FFFFFF"/>
            <w:noWrap/>
            <w:vAlign w:val="center"/>
            <w:hideMark/>
          </w:tcPr>
          <w:p w14:paraId="6761E8D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381</w:t>
            </w:r>
          </w:p>
        </w:tc>
      </w:tr>
      <w:tr w:rsidR="00490035" w:rsidRPr="00490035" w14:paraId="61F2AA53"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66BC8789"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Total</w:t>
            </w:r>
          </w:p>
        </w:tc>
        <w:tc>
          <w:tcPr>
            <w:tcW w:w="586" w:type="dxa"/>
            <w:tcBorders>
              <w:top w:val="nil"/>
              <w:left w:val="nil"/>
              <w:bottom w:val="single" w:sz="8" w:space="0" w:color="DCDDDE"/>
              <w:right w:val="nil"/>
            </w:tcBorders>
            <w:shd w:val="clear" w:color="000000" w:fill="FFFFFF"/>
            <w:noWrap/>
            <w:vAlign w:val="center"/>
            <w:hideMark/>
          </w:tcPr>
          <w:p w14:paraId="69A8836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983</w:t>
            </w:r>
          </w:p>
        </w:tc>
        <w:tc>
          <w:tcPr>
            <w:tcW w:w="586" w:type="dxa"/>
            <w:tcBorders>
              <w:top w:val="nil"/>
              <w:left w:val="nil"/>
              <w:bottom w:val="single" w:sz="8" w:space="0" w:color="DCDDDE"/>
              <w:right w:val="nil"/>
            </w:tcBorders>
            <w:shd w:val="clear" w:color="000000" w:fill="FFFFFF"/>
            <w:noWrap/>
            <w:vAlign w:val="center"/>
            <w:hideMark/>
          </w:tcPr>
          <w:p w14:paraId="00C5470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1,063</w:t>
            </w:r>
          </w:p>
        </w:tc>
        <w:tc>
          <w:tcPr>
            <w:tcW w:w="586" w:type="dxa"/>
            <w:tcBorders>
              <w:top w:val="nil"/>
              <w:left w:val="nil"/>
              <w:bottom w:val="single" w:sz="8" w:space="0" w:color="DCDDDE"/>
              <w:right w:val="nil"/>
            </w:tcBorders>
            <w:shd w:val="clear" w:color="000000" w:fill="FFFFFF"/>
            <w:noWrap/>
            <w:vAlign w:val="center"/>
            <w:hideMark/>
          </w:tcPr>
          <w:p w14:paraId="2B42BE1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1,063</w:t>
            </w:r>
          </w:p>
        </w:tc>
        <w:tc>
          <w:tcPr>
            <w:tcW w:w="586" w:type="dxa"/>
            <w:tcBorders>
              <w:top w:val="nil"/>
              <w:left w:val="nil"/>
              <w:bottom w:val="single" w:sz="8" w:space="0" w:color="DCDDDE"/>
              <w:right w:val="nil"/>
            </w:tcBorders>
            <w:shd w:val="clear" w:color="000000" w:fill="FFFFFF"/>
            <w:noWrap/>
            <w:vAlign w:val="center"/>
            <w:hideMark/>
          </w:tcPr>
          <w:p w14:paraId="3A84784A"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1,139</w:t>
            </w:r>
          </w:p>
        </w:tc>
        <w:tc>
          <w:tcPr>
            <w:tcW w:w="586" w:type="dxa"/>
            <w:tcBorders>
              <w:top w:val="nil"/>
              <w:left w:val="nil"/>
              <w:bottom w:val="single" w:sz="8" w:space="0" w:color="DCDDDE"/>
              <w:right w:val="nil"/>
            </w:tcBorders>
            <w:shd w:val="clear" w:color="000000" w:fill="FFFFFF"/>
            <w:noWrap/>
            <w:vAlign w:val="center"/>
            <w:hideMark/>
          </w:tcPr>
          <w:p w14:paraId="070789BD"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1,132</w:t>
            </w:r>
          </w:p>
        </w:tc>
        <w:tc>
          <w:tcPr>
            <w:tcW w:w="586" w:type="dxa"/>
            <w:tcBorders>
              <w:top w:val="nil"/>
              <w:left w:val="nil"/>
              <w:bottom w:val="single" w:sz="8" w:space="0" w:color="DCDDDE"/>
              <w:right w:val="nil"/>
            </w:tcBorders>
            <w:shd w:val="clear" w:color="000000" w:fill="FFFFFF"/>
            <w:noWrap/>
            <w:vAlign w:val="center"/>
            <w:hideMark/>
          </w:tcPr>
          <w:p w14:paraId="473BC12C"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1,205</w:t>
            </w:r>
          </w:p>
        </w:tc>
        <w:tc>
          <w:tcPr>
            <w:tcW w:w="586" w:type="dxa"/>
            <w:tcBorders>
              <w:top w:val="nil"/>
              <w:left w:val="nil"/>
              <w:bottom w:val="single" w:sz="8" w:space="0" w:color="DCDDDE"/>
              <w:right w:val="nil"/>
            </w:tcBorders>
            <w:shd w:val="clear" w:color="000000" w:fill="FFFFFF"/>
            <w:noWrap/>
            <w:vAlign w:val="center"/>
            <w:hideMark/>
          </w:tcPr>
          <w:p w14:paraId="5A6E8096"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1,187</w:t>
            </w:r>
          </w:p>
        </w:tc>
        <w:tc>
          <w:tcPr>
            <w:tcW w:w="586" w:type="dxa"/>
            <w:tcBorders>
              <w:top w:val="nil"/>
              <w:left w:val="nil"/>
              <w:bottom w:val="single" w:sz="8" w:space="0" w:color="DCDDDE"/>
              <w:right w:val="nil"/>
            </w:tcBorders>
            <w:shd w:val="clear" w:color="000000" w:fill="FFFFFF"/>
            <w:noWrap/>
            <w:vAlign w:val="center"/>
            <w:hideMark/>
          </w:tcPr>
          <w:p w14:paraId="5C47DEE5"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1,185</w:t>
            </w:r>
          </w:p>
        </w:tc>
        <w:tc>
          <w:tcPr>
            <w:tcW w:w="586" w:type="dxa"/>
            <w:tcBorders>
              <w:top w:val="nil"/>
              <w:left w:val="nil"/>
              <w:bottom w:val="single" w:sz="8" w:space="0" w:color="DCDDDE"/>
              <w:right w:val="nil"/>
            </w:tcBorders>
            <w:shd w:val="clear" w:color="000000" w:fill="FFFFFF"/>
            <w:noWrap/>
            <w:vAlign w:val="center"/>
            <w:hideMark/>
          </w:tcPr>
          <w:p w14:paraId="4C3EE05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1,158</w:t>
            </w:r>
          </w:p>
        </w:tc>
        <w:tc>
          <w:tcPr>
            <w:tcW w:w="586" w:type="dxa"/>
            <w:tcBorders>
              <w:top w:val="nil"/>
              <w:left w:val="nil"/>
              <w:bottom w:val="single" w:sz="8" w:space="0" w:color="DCDDDE"/>
              <w:right w:val="nil"/>
            </w:tcBorders>
            <w:shd w:val="clear" w:color="000000" w:fill="FFFFFF"/>
            <w:noWrap/>
            <w:vAlign w:val="center"/>
            <w:hideMark/>
          </w:tcPr>
          <w:p w14:paraId="23305733"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1,147</w:t>
            </w:r>
          </w:p>
        </w:tc>
        <w:tc>
          <w:tcPr>
            <w:tcW w:w="586" w:type="dxa"/>
            <w:tcBorders>
              <w:top w:val="nil"/>
              <w:left w:val="nil"/>
              <w:bottom w:val="single" w:sz="8" w:space="0" w:color="DCDDDE"/>
              <w:right w:val="nil"/>
            </w:tcBorders>
            <w:shd w:val="clear" w:color="000000" w:fill="FFFFFF"/>
            <w:noWrap/>
            <w:vAlign w:val="center"/>
            <w:hideMark/>
          </w:tcPr>
          <w:p w14:paraId="108DF5DB"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1,117</w:t>
            </w:r>
          </w:p>
        </w:tc>
        <w:tc>
          <w:tcPr>
            <w:tcW w:w="586" w:type="dxa"/>
            <w:tcBorders>
              <w:top w:val="nil"/>
              <w:left w:val="nil"/>
              <w:bottom w:val="single" w:sz="8" w:space="0" w:color="DCDDDE"/>
              <w:right w:val="nil"/>
            </w:tcBorders>
            <w:shd w:val="clear" w:color="000000" w:fill="FFFFFF"/>
            <w:noWrap/>
            <w:vAlign w:val="center"/>
            <w:hideMark/>
          </w:tcPr>
          <w:p w14:paraId="311D7A1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1,086</w:t>
            </w:r>
          </w:p>
        </w:tc>
        <w:tc>
          <w:tcPr>
            <w:tcW w:w="586" w:type="dxa"/>
            <w:tcBorders>
              <w:top w:val="nil"/>
              <w:left w:val="nil"/>
              <w:bottom w:val="single" w:sz="8" w:space="0" w:color="DCDDDE"/>
              <w:right w:val="nil"/>
            </w:tcBorders>
            <w:shd w:val="clear" w:color="000000" w:fill="FFFFFF"/>
            <w:noWrap/>
            <w:vAlign w:val="center"/>
            <w:hideMark/>
          </w:tcPr>
          <w:p w14:paraId="52E2CD8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1,056</w:t>
            </w:r>
          </w:p>
        </w:tc>
      </w:tr>
      <w:tr w:rsidR="00490035" w:rsidRPr="00490035" w14:paraId="1A169761" w14:textId="77777777" w:rsidTr="002A760B">
        <w:trPr>
          <w:trHeight w:val="315"/>
          <w:jc w:val="center"/>
        </w:trPr>
        <w:tc>
          <w:tcPr>
            <w:tcW w:w="8597" w:type="dxa"/>
            <w:gridSpan w:val="14"/>
            <w:tcBorders>
              <w:top w:val="single" w:sz="8" w:space="0" w:color="DCDDDE"/>
              <w:left w:val="nil"/>
              <w:bottom w:val="single" w:sz="8" w:space="0" w:color="DCDDDE"/>
              <w:right w:val="nil"/>
            </w:tcBorders>
            <w:shd w:val="clear" w:color="000000" w:fill="DADADA"/>
            <w:noWrap/>
            <w:vAlign w:val="center"/>
            <w:hideMark/>
          </w:tcPr>
          <w:p w14:paraId="357D1189"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lastRenderedPageBreak/>
              <w:t>PAC | Reference</w:t>
            </w:r>
          </w:p>
        </w:tc>
      </w:tr>
      <w:tr w:rsidR="00490035" w:rsidRPr="00490035" w14:paraId="7EE03579" w14:textId="77777777" w:rsidTr="002A760B">
        <w:trPr>
          <w:trHeight w:val="555"/>
          <w:jc w:val="center"/>
        </w:trPr>
        <w:tc>
          <w:tcPr>
            <w:tcW w:w="979" w:type="dxa"/>
            <w:tcBorders>
              <w:top w:val="nil"/>
              <w:left w:val="nil"/>
              <w:bottom w:val="single" w:sz="8" w:space="0" w:color="DCDDDE"/>
              <w:right w:val="nil"/>
            </w:tcBorders>
            <w:shd w:val="clear" w:color="000000" w:fill="FFFFFF"/>
            <w:vAlign w:val="center"/>
            <w:hideMark/>
          </w:tcPr>
          <w:p w14:paraId="6FBA1936"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86" w:type="dxa"/>
            <w:tcBorders>
              <w:top w:val="nil"/>
              <w:left w:val="nil"/>
              <w:bottom w:val="single" w:sz="8" w:space="0" w:color="DCDDDE"/>
              <w:right w:val="nil"/>
            </w:tcBorders>
            <w:shd w:val="clear" w:color="000000" w:fill="FFFFFF"/>
            <w:noWrap/>
            <w:vAlign w:val="center"/>
            <w:hideMark/>
          </w:tcPr>
          <w:p w14:paraId="5166169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377</w:t>
            </w:r>
          </w:p>
        </w:tc>
        <w:tc>
          <w:tcPr>
            <w:tcW w:w="586" w:type="dxa"/>
            <w:tcBorders>
              <w:top w:val="nil"/>
              <w:left w:val="nil"/>
              <w:bottom w:val="single" w:sz="8" w:space="0" w:color="DCDDDE"/>
              <w:right w:val="nil"/>
            </w:tcBorders>
            <w:shd w:val="clear" w:color="000000" w:fill="FFFFFF"/>
            <w:noWrap/>
            <w:vAlign w:val="center"/>
            <w:hideMark/>
          </w:tcPr>
          <w:p w14:paraId="547C8C8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400</w:t>
            </w:r>
          </w:p>
        </w:tc>
        <w:tc>
          <w:tcPr>
            <w:tcW w:w="586" w:type="dxa"/>
            <w:tcBorders>
              <w:top w:val="nil"/>
              <w:left w:val="nil"/>
              <w:bottom w:val="single" w:sz="8" w:space="0" w:color="DCDDDE"/>
              <w:right w:val="nil"/>
            </w:tcBorders>
            <w:shd w:val="clear" w:color="000000" w:fill="FFFFFF"/>
            <w:noWrap/>
            <w:vAlign w:val="center"/>
            <w:hideMark/>
          </w:tcPr>
          <w:p w14:paraId="4927ADF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374</w:t>
            </w:r>
          </w:p>
        </w:tc>
        <w:tc>
          <w:tcPr>
            <w:tcW w:w="586" w:type="dxa"/>
            <w:tcBorders>
              <w:top w:val="nil"/>
              <w:left w:val="nil"/>
              <w:bottom w:val="single" w:sz="8" w:space="0" w:color="DCDDDE"/>
              <w:right w:val="nil"/>
            </w:tcBorders>
            <w:shd w:val="clear" w:color="000000" w:fill="FFFFFF"/>
            <w:noWrap/>
            <w:vAlign w:val="center"/>
            <w:hideMark/>
          </w:tcPr>
          <w:p w14:paraId="1249F34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407</w:t>
            </w:r>
          </w:p>
        </w:tc>
        <w:tc>
          <w:tcPr>
            <w:tcW w:w="586" w:type="dxa"/>
            <w:tcBorders>
              <w:top w:val="nil"/>
              <w:left w:val="nil"/>
              <w:bottom w:val="single" w:sz="8" w:space="0" w:color="DCDDDE"/>
              <w:right w:val="nil"/>
            </w:tcBorders>
            <w:shd w:val="clear" w:color="000000" w:fill="FFFFFF"/>
            <w:noWrap/>
            <w:vAlign w:val="center"/>
            <w:hideMark/>
          </w:tcPr>
          <w:p w14:paraId="3A0627F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405</w:t>
            </w:r>
          </w:p>
        </w:tc>
        <w:tc>
          <w:tcPr>
            <w:tcW w:w="586" w:type="dxa"/>
            <w:tcBorders>
              <w:top w:val="nil"/>
              <w:left w:val="nil"/>
              <w:bottom w:val="single" w:sz="8" w:space="0" w:color="DCDDDE"/>
              <w:right w:val="nil"/>
            </w:tcBorders>
            <w:shd w:val="clear" w:color="000000" w:fill="FFFFFF"/>
            <w:noWrap/>
            <w:vAlign w:val="center"/>
            <w:hideMark/>
          </w:tcPr>
          <w:p w14:paraId="1937BAF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400</w:t>
            </w:r>
          </w:p>
        </w:tc>
        <w:tc>
          <w:tcPr>
            <w:tcW w:w="586" w:type="dxa"/>
            <w:tcBorders>
              <w:top w:val="nil"/>
              <w:left w:val="nil"/>
              <w:bottom w:val="single" w:sz="8" w:space="0" w:color="DCDDDE"/>
              <w:right w:val="nil"/>
            </w:tcBorders>
            <w:shd w:val="clear" w:color="000000" w:fill="FFFFFF"/>
            <w:noWrap/>
            <w:vAlign w:val="center"/>
            <w:hideMark/>
          </w:tcPr>
          <w:p w14:paraId="0A0BA0B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394</w:t>
            </w:r>
          </w:p>
        </w:tc>
        <w:tc>
          <w:tcPr>
            <w:tcW w:w="586" w:type="dxa"/>
            <w:tcBorders>
              <w:top w:val="nil"/>
              <w:left w:val="nil"/>
              <w:bottom w:val="single" w:sz="8" w:space="0" w:color="DCDDDE"/>
              <w:right w:val="nil"/>
            </w:tcBorders>
            <w:shd w:val="clear" w:color="000000" w:fill="FFFFFF"/>
            <w:noWrap/>
            <w:vAlign w:val="center"/>
            <w:hideMark/>
          </w:tcPr>
          <w:p w14:paraId="7B208AC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395</w:t>
            </w:r>
          </w:p>
        </w:tc>
        <w:tc>
          <w:tcPr>
            <w:tcW w:w="586" w:type="dxa"/>
            <w:tcBorders>
              <w:top w:val="nil"/>
              <w:left w:val="nil"/>
              <w:bottom w:val="single" w:sz="8" w:space="0" w:color="DCDDDE"/>
              <w:right w:val="nil"/>
            </w:tcBorders>
            <w:shd w:val="clear" w:color="000000" w:fill="FFFFFF"/>
            <w:noWrap/>
            <w:vAlign w:val="center"/>
            <w:hideMark/>
          </w:tcPr>
          <w:p w14:paraId="2A78E46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389</w:t>
            </w:r>
          </w:p>
        </w:tc>
        <w:tc>
          <w:tcPr>
            <w:tcW w:w="586" w:type="dxa"/>
            <w:tcBorders>
              <w:top w:val="nil"/>
              <w:left w:val="nil"/>
              <w:bottom w:val="single" w:sz="8" w:space="0" w:color="DCDDDE"/>
              <w:right w:val="nil"/>
            </w:tcBorders>
            <w:shd w:val="clear" w:color="000000" w:fill="FFFFFF"/>
            <w:noWrap/>
            <w:vAlign w:val="center"/>
            <w:hideMark/>
          </w:tcPr>
          <w:p w14:paraId="7ADE799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389</w:t>
            </w:r>
          </w:p>
        </w:tc>
        <w:tc>
          <w:tcPr>
            <w:tcW w:w="586" w:type="dxa"/>
            <w:tcBorders>
              <w:top w:val="nil"/>
              <w:left w:val="nil"/>
              <w:bottom w:val="single" w:sz="8" w:space="0" w:color="DCDDDE"/>
              <w:right w:val="nil"/>
            </w:tcBorders>
            <w:shd w:val="clear" w:color="000000" w:fill="FFFFFF"/>
            <w:noWrap/>
            <w:vAlign w:val="center"/>
            <w:hideMark/>
          </w:tcPr>
          <w:p w14:paraId="43EC591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388</w:t>
            </w:r>
          </w:p>
        </w:tc>
        <w:tc>
          <w:tcPr>
            <w:tcW w:w="586" w:type="dxa"/>
            <w:tcBorders>
              <w:top w:val="nil"/>
              <w:left w:val="nil"/>
              <w:bottom w:val="single" w:sz="8" w:space="0" w:color="DCDDDE"/>
              <w:right w:val="nil"/>
            </w:tcBorders>
            <w:shd w:val="clear" w:color="000000" w:fill="FFFFFF"/>
            <w:noWrap/>
            <w:vAlign w:val="center"/>
            <w:hideMark/>
          </w:tcPr>
          <w:p w14:paraId="5D22DEA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387</w:t>
            </w:r>
          </w:p>
        </w:tc>
        <w:tc>
          <w:tcPr>
            <w:tcW w:w="586" w:type="dxa"/>
            <w:tcBorders>
              <w:top w:val="nil"/>
              <w:left w:val="nil"/>
              <w:bottom w:val="single" w:sz="8" w:space="0" w:color="DCDDDE"/>
              <w:right w:val="nil"/>
            </w:tcBorders>
            <w:shd w:val="clear" w:color="000000" w:fill="FFFFFF"/>
            <w:noWrap/>
            <w:vAlign w:val="center"/>
            <w:hideMark/>
          </w:tcPr>
          <w:p w14:paraId="1DC3E2C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386</w:t>
            </w:r>
          </w:p>
        </w:tc>
      </w:tr>
      <w:tr w:rsidR="00490035" w:rsidRPr="00490035" w14:paraId="4D68C527"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7A7057D8"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BROs</w:t>
            </w:r>
          </w:p>
        </w:tc>
        <w:tc>
          <w:tcPr>
            <w:tcW w:w="586" w:type="dxa"/>
            <w:tcBorders>
              <w:top w:val="nil"/>
              <w:left w:val="nil"/>
              <w:bottom w:val="single" w:sz="8" w:space="0" w:color="DCDDDE"/>
              <w:right w:val="nil"/>
            </w:tcBorders>
            <w:shd w:val="clear" w:color="000000" w:fill="FFFFFF"/>
            <w:noWrap/>
            <w:vAlign w:val="center"/>
            <w:hideMark/>
          </w:tcPr>
          <w:p w14:paraId="42E6E11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123</w:t>
            </w:r>
          </w:p>
        </w:tc>
        <w:tc>
          <w:tcPr>
            <w:tcW w:w="586" w:type="dxa"/>
            <w:tcBorders>
              <w:top w:val="nil"/>
              <w:left w:val="nil"/>
              <w:bottom w:val="single" w:sz="8" w:space="0" w:color="DCDDDE"/>
              <w:right w:val="nil"/>
            </w:tcBorders>
            <w:shd w:val="clear" w:color="000000" w:fill="FFFFFF"/>
            <w:noWrap/>
            <w:vAlign w:val="center"/>
            <w:hideMark/>
          </w:tcPr>
          <w:p w14:paraId="2E5637A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158</w:t>
            </w:r>
          </w:p>
        </w:tc>
        <w:tc>
          <w:tcPr>
            <w:tcW w:w="586" w:type="dxa"/>
            <w:tcBorders>
              <w:top w:val="nil"/>
              <w:left w:val="nil"/>
              <w:bottom w:val="single" w:sz="8" w:space="0" w:color="DCDDDE"/>
              <w:right w:val="nil"/>
            </w:tcBorders>
            <w:shd w:val="clear" w:color="000000" w:fill="FFFFFF"/>
            <w:noWrap/>
            <w:vAlign w:val="center"/>
            <w:hideMark/>
          </w:tcPr>
          <w:p w14:paraId="3CA1C4A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175</w:t>
            </w:r>
          </w:p>
        </w:tc>
        <w:tc>
          <w:tcPr>
            <w:tcW w:w="586" w:type="dxa"/>
            <w:tcBorders>
              <w:top w:val="nil"/>
              <w:left w:val="nil"/>
              <w:bottom w:val="single" w:sz="8" w:space="0" w:color="DCDDDE"/>
              <w:right w:val="nil"/>
            </w:tcBorders>
            <w:shd w:val="clear" w:color="000000" w:fill="FFFFFF"/>
            <w:noWrap/>
            <w:vAlign w:val="center"/>
            <w:hideMark/>
          </w:tcPr>
          <w:p w14:paraId="2502235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192</w:t>
            </w:r>
          </w:p>
        </w:tc>
        <w:tc>
          <w:tcPr>
            <w:tcW w:w="586" w:type="dxa"/>
            <w:tcBorders>
              <w:top w:val="nil"/>
              <w:left w:val="nil"/>
              <w:bottom w:val="single" w:sz="8" w:space="0" w:color="DCDDDE"/>
              <w:right w:val="nil"/>
            </w:tcBorders>
            <w:shd w:val="clear" w:color="000000" w:fill="FFFFFF"/>
            <w:noWrap/>
            <w:vAlign w:val="center"/>
            <w:hideMark/>
          </w:tcPr>
          <w:p w14:paraId="5E12B74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203</w:t>
            </w:r>
          </w:p>
        </w:tc>
        <w:tc>
          <w:tcPr>
            <w:tcW w:w="586" w:type="dxa"/>
            <w:tcBorders>
              <w:top w:val="nil"/>
              <w:left w:val="nil"/>
              <w:bottom w:val="single" w:sz="8" w:space="0" w:color="DCDDDE"/>
              <w:right w:val="nil"/>
            </w:tcBorders>
            <w:shd w:val="clear" w:color="000000" w:fill="FFFFFF"/>
            <w:noWrap/>
            <w:vAlign w:val="center"/>
            <w:hideMark/>
          </w:tcPr>
          <w:p w14:paraId="0F0E874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213</w:t>
            </w:r>
          </w:p>
        </w:tc>
        <w:tc>
          <w:tcPr>
            <w:tcW w:w="586" w:type="dxa"/>
            <w:tcBorders>
              <w:top w:val="nil"/>
              <w:left w:val="nil"/>
              <w:bottom w:val="single" w:sz="8" w:space="0" w:color="DCDDDE"/>
              <w:right w:val="nil"/>
            </w:tcBorders>
            <w:shd w:val="clear" w:color="000000" w:fill="FFFFFF"/>
            <w:noWrap/>
            <w:vAlign w:val="center"/>
            <w:hideMark/>
          </w:tcPr>
          <w:p w14:paraId="3B693A4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223</w:t>
            </w:r>
          </w:p>
        </w:tc>
        <w:tc>
          <w:tcPr>
            <w:tcW w:w="586" w:type="dxa"/>
            <w:tcBorders>
              <w:top w:val="nil"/>
              <w:left w:val="nil"/>
              <w:bottom w:val="single" w:sz="8" w:space="0" w:color="DCDDDE"/>
              <w:right w:val="nil"/>
            </w:tcBorders>
            <w:shd w:val="clear" w:color="000000" w:fill="FFFFFF"/>
            <w:noWrap/>
            <w:vAlign w:val="center"/>
            <w:hideMark/>
          </w:tcPr>
          <w:p w14:paraId="4EEDEDE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240</w:t>
            </w:r>
          </w:p>
        </w:tc>
        <w:tc>
          <w:tcPr>
            <w:tcW w:w="586" w:type="dxa"/>
            <w:tcBorders>
              <w:top w:val="nil"/>
              <w:left w:val="nil"/>
              <w:bottom w:val="single" w:sz="8" w:space="0" w:color="DCDDDE"/>
              <w:right w:val="nil"/>
            </w:tcBorders>
            <w:shd w:val="clear" w:color="000000" w:fill="FFFFFF"/>
            <w:noWrap/>
            <w:vAlign w:val="center"/>
            <w:hideMark/>
          </w:tcPr>
          <w:p w14:paraId="18CC28D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253</w:t>
            </w:r>
          </w:p>
        </w:tc>
        <w:tc>
          <w:tcPr>
            <w:tcW w:w="586" w:type="dxa"/>
            <w:tcBorders>
              <w:top w:val="nil"/>
              <w:left w:val="nil"/>
              <w:bottom w:val="single" w:sz="8" w:space="0" w:color="DCDDDE"/>
              <w:right w:val="nil"/>
            </w:tcBorders>
            <w:shd w:val="clear" w:color="000000" w:fill="FFFFFF"/>
            <w:noWrap/>
            <w:vAlign w:val="center"/>
            <w:hideMark/>
          </w:tcPr>
          <w:p w14:paraId="6B47478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266</w:t>
            </w:r>
          </w:p>
        </w:tc>
        <w:tc>
          <w:tcPr>
            <w:tcW w:w="586" w:type="dxa"/>
            <w:tcBorders>
              <w:top w:val="nil"/>
              <w:left w:val="nil"/>
              <w:bottom w:val="single" w:sz="8" w:space="0" w:color="DCDDDE"/>
              <w:right w:val="nil"/>
            </w:tcBorders>
            <w:shd w:val="clear" w:color="000000" w:fill="FFFFFF"/>
            <w:noWrap/>
            <w:vAlign w:val="center"/>
            <w:hideMark/>
          </w:tcPr>
          <w:p w14:paraId="288FB8D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279</w:t>
            </w:r>
          </w:p>
        </w:tc>
        <w:tc>
          <w:tcPr>
            <w:tcW w:w="586" w:type="dxa"/>
            <w:tcBorders>
              <w:top w:val="nil"/>
              <w:left w:val="nil"/>
              <w:bottom w:val="single" w:sz="8" w:space="0" w:color="DCDDDE"/>
              <w:right w:val="nil"/>
            </w:tcBorders>
            <w:shd w:val="clear" w:color="000000" w:fill="FFFFFF"/>
            <w:noWrap/>
            <w:vAlign w:val="center"/>
            <w:hideMark/>
          </w:tcPr>
          <w:p w14:paraId="2CB3164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293</w:t>
            </w:r>
          </w:p>
        </w:tc>
        <w:tc>
          <w:tcPr>
            <w:tcW w:w="586" w:type="dxa"/>
            <w:tcBorders>
              <w:top w:val="nil"/>
              <w:left w:val="nil"/>
              <w:bottom w:val="single" w:sz="8" w:space="0" w:color="DCDDDE"/>
              <w:right w:val="nil"/>
            </w:tcBorders>
            <w:shd w:val="clear" w:color="000000" w:fill="FFFFFF"/>
            <w:noWrap/>
            <w:vAlign w:val="center"/>
            <w:hideMark/>
          </w:tcPr>
          <w:p w14:paraId="6D6B6E0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308</w:t>
            </w:r>
          </w:p>
        </w:tc>
      </w:tr>
      <w:tr w:rsidR="00490035" w:rsidRPr="00490035" w14:paraId="09263FE5"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47605570"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86" w:type="dxa"/>
            <w:tcBorders>
              <w:top w:val="nil"/>
              <w:left w:val="nil"/>
              <w:bottom w:val="single" w:sz="8" w:space="0" w:color="DCDDDE"/>
              <w:right w:val="nil"/>
            </w:tcBorders>
            <w:shd w:val="clear" w:color="000000" w:fill="FFFFFF"/>
            <w:noWrap/>
            <w:vAlign w:val="center"/>
            <w:hideMark/>
          </w:tcPr>
          <w:p w14:paraId="55BA959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29</w:t>
            </w:r>
          </w:p>
        </w:tc>
        <w:tc>
          <w:tcPr>
            <w:tcW w:w="586" w:type="dxa"/>
            <w:tcBorders>
              <w:top w:val="nil"/>
              <w:left w:val="nil"/>
              <w:bottom w:val="single" w:sz="8" w:space="0" w:color="DCDDDE"/>
              <w:right w:val="nil"/>
            </w:tcBorders>
            <w:shd w:val="clear" w:color="000000" w:fill="FFFFFF"/>
            <w:noWrap/>
            <w:vAlign w:val="center"/>
            <w:hideMark/>
          </w:tcPr>
          <w:p w14:paraId="7209648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30</w:t>
            </w:r>
          </w:p>
        </w:tc>
        <w:tc>
          <w:tcPr>
            <w:tcW w:w="586" w:type="dxa"/>
            <w:tcBorders>
              <w:top w:val="nil"/>
              <w:left w:val="nil"/>
              <w:bottom w:val="single" w:sz="8" w:space="0" w:color="DCDDDE"/>
              <w:right w:val="nil"/>
            </w:tcBorders>
            <w:shd w:val="clear" w:color="000000" w:fill="FFFFFF"/>
            <w:noWrap/>
            <w:vAlign w:val="center"/>
            <w:hideMark/>
          </w:tcPr>
          <w:p w14:paraId="6D632C8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30</w:t>
            </w:r>
          </w:p>
        </w:tc>
        <w:tc>
          <w:tcPr>
            <w:tcW w:w="586" w:type="dxa"/>
            <w:tcBorders>
              <w:top w:val="nil"/>
              <w:left w:val="nil"/>
              <w:bottom w:val="single" w:sz="8" w:space="0" w:color="DCDDDE"/>
              <w:right w:val="nil"/>
            </w:tcBorders>
            <w:shd w:val="clear" w:color="000000" w:fill="FFFFFF"/>
            <w:noWrap/>
            <w:vAlign w:val="center"/>
            <w:hideMark/>
          </w:tcPr>
          <w:p w14:paraId="10AFC64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425580A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65358D1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52727FF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0DA369E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512216C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23D0F76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22AF46B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3937B0D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28881F5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r>
      <w:tr w:rsidR="00490035" w:rsidRPr="00490035" w14:paraId="2183563C" w14:textId="77777777" w:rsidTr="002A760B">
        <w:trPr>
          <w:trHeight w:val="825"/>
          <w:jc w:val="center"/>
        </w:trPr>
        <w:tc>
          <w:tcPr>
            <w:tcW w:w="979" w:type="dxa"/>
            <w:tcBorders>
              <w:top w:val="nil"/>
              <w:left w:val="nil"/>
              <w:bottom w:val="single" w:sz="8" w:space="0" w:color="DCDDDE"/>
              <w:right w:val="nil"/>
            </w:tcBorders>
            <w:shd w:val="clear" w:color="000000" w:fill="FFFFFF"/>
            <w:vAlign w:val="center"/>
            <w:hideMark/>
          </w:tcPr>
          <w:p w14:paraId="1B6DE306"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86" w:type="dxa"/>
            <w:tcBorders>
              <w:top w:val="nil"/>
              <w:left w:val="nil"/>
              <w:bottom w:val="single" w:sz="8" w:space="0" w:color="DCDDDE"/>
              <w:right w:val="nil"/>
            </w:tcBorders>
            <w:shd w:val="clear" w:color="000000" w:fill="FFFFFF"/>
            <w:noWrap/>
            <w:vAlign w:val="center"/>
            <w:hideMark/>
          </w:tcPr>
          <w:p w14:paraId="61AB24C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528</w:t>
            </w:r>
          </w:p>
        </w:tc>
        <w:tc>
          <w:tcPr>
            <w:tcW w:w="586" w:type="dxa"/>
            <w:tcBorders>
              <w:top w:val="nil"/>
              <w:left w:val="nil"/>
              <w:bottom w:val="single" w:sz="8" w:space="0" w:color="DCDDDE"/>
              <w:right w:val="nil"/>
            </w:tcBorders>
            <w:shd w:val="clear" w:color="000000" w:fill="FFFFFF"/>
            <w:noWrap/>
            <w:vAlign w:val="center"/>
            <w:hideMark/>
          </w:tcPr>
          <w:p w14:paraId="7DB00BE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588</w:t>
            </w:r>
          </w:p>
        </w:tc>
        <w:tc>
          <w:tcPr>
            <w:tcW w:w="586" w:type="dxa"/>
            <w:tcBorders>
              <w:top w:val="nil"/>
              <w:left w:val="nil"/>
              <w:bottom w:val="single" w:sz="8" w:space="0" w:color="DCDDDE"/>
              <w:right w:val="nil"/>
            </w:tcBorders>
            <w:shd w:val="clear" w:color="000000" w:fill="FFFFFF"/>
            <w:noWrap/>
            <w:vAlign w:val="center"/>
            <w:hideMark/>
          </w:tcPr>
          <w:p w14:paraId="65C5ED5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579</w:t>
            </w:r>
          </w:p>
        </w:tc>
        <w:tc>
          <w:tcPr>
            <w:tcW w:w="586" w:type="dxa"/>
            <w:tcBorders>
              <w:top w:val="nil"/>
              <w:left w:val="nil"/>
              <w:bottom w:val="single" w:sz="8" w:space="0" w:color="DCDDDE"/>
              <w:right w:val="nil"/>
            </w:tcBorders>
            <w:shd w:val="clear" w:color="000000" w:fill="FFFFFF"/>
            <w:noWrap/>
            <w:vAlign w:val="center"/>
            <w:hideMark/>
          </w:tcPr>
          <w:p w14:paraId="7530159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621</w:t>
            </w:r>
          </w:p>
        </w:tc>
        <w:tc>
          <w:tcPr>
            <w:tcW w:w="586" w:type="dxa"/>
            <w:tcBorders>
              <w:top w:val="nil"/>
              <w:left w:val="nil"/>
              <w:bottom w:val="single" w:sz="8" w:space="0" w:color="DCDDDE"/>
              <w:right w:val="nil"/>
            </w:tcBorders>
            <w:shd w:val="clear" w:color="000000" w:fill="FFFFFF"/>
            <w:noWrap/>
            <w:vAlign w:val="center"/>
            <w:hideMark/>
          </w:tcPr>
          <w:p w14:paraId="50B88DD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630</w:t>
            </w:r>
          </w:p>
        </w:tc>
        <w:tc>
          <w:tcPr>
            <w:tcW w:w="586" w:type="dxa"/>
            <w:tcBorders>
              <w:top w:val="nil"/>
              <w:left w:val="nil"/>
              <w:bottom w:val="single" w:sz="8" w:space="0" w:color="DCDDDE"/>
              <w:right w:val="nil"/>
            </w:tcBorders>
            <w:shd w:val="clear" w:color="000000" w:fill="FFFFFF"/>
            <w:noWrap/>
            <w:vAlign w:val="center"/>
            <w:hideMark/>
          </w:tcPr>
          <w:p w14:paraId="5326E24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635</w:t>
            </w:r>
          </w:p>
        </w:tc>
        <w:tc>
          <w:tcPr>
            <w:tcW w:w="586" w:type="dxa"/>
            <w:tcBorders>
              <w:top w:val="nil"/>
              <w:left w:val="nil"/>
              <w:bottom w:val="single" w:sz="8" w:space="0" w:color="DCDDDE"/>
              <w:right w:val="nil"/>
            </w:tcBorders>
            <w:shd w:val="clear" w:color="000000" w:fill="FFFFFF"/>
            <w:noWrap/>
            <w:vAlign w:val="center"/>
            <w:hideMark/>
          </w:tcPr>
          <w:p w14:paraId="15C4725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639</w:t>
            </w:r>
          </w:p>
        </w:tc>
        <w:tc>
          <w:tcPr>
            <w:tcW w:w="586" w:type="dxa"/>
            <w:tcBorders>
              <w:top w:val="nil"/>
              <w:left w:val="nil"/>
              <w:bottom w:val="single" w:sz="8" w:space="0" w:color="DCDDDE"/>
              <w:right w:val="nil"/>
            </w:tcBorders>
            <w:shd w:val="clear" w:color="000000" w:fill="FFFFFF"/>
            <w:noWrap/>
            <w:vAlign w:val="center"/>
            <w:hideMark/>
          </w:tcPr>
          <w:p w14:paraId="2C639A0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657</w:t>
            </w:r>
          </w:p>
        </w:tc>
        <w:tc>
          <w:tcPr>
            <w:tcW w:w="586" w:type="dxa"/>
            <w:tcBorders>
              <w:top w:val="nil"/>
              <w:left w:val="nil"/>
              <w:bottom w:val="single" w:sz="8" w:space="0" w:color="DCDDDE"/>
              <w:right w:val="nil"/>
            </w:tcBorders>
            <w:shd w:val="clear" w:color="000000" w:fill="FFFFFF"/>
            <w:noWrap/>
            <w:vAlign w:val="center"/>
            <w:hideMark/>
          </w:tcPr>
          <w:p w14:paraId="04189BE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663</w:t>
            </w:r>
          </w:p>
        </w:tc>
        <w:tc>
          <w:tcPr>
            <w:tcW w:w="586" w:type="dxa"/>
            <w:tcBorders>
              <w:top w:val="nil"/>
              <w:left w:val="nil"/>
              <w:bottom w:val="single" w:sz="8" w:space="0" w:color="DCDDDE"/>
              <w:right w:val="nil"/>
            </w:tcBorders>
            <w:shd w:val="clear" w:color="000000" w:fill="FFFFFF"/>
            <w:noWrap/>
            <w:vAlign w:val="center"/>
            <w:hideMark/>
          </w:tcPr>
          <w:p w14:paraId="3F2241A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677</w:t>
            </w:r>
          </w:p>
        </w:tc>
        <w:tc>
          <w:tcPr>
            <w:tcW w:w="586" w:type="dxa"/>
            <w:tcBorders>
              <w:top w:val="nil"/>
              <w:left w:val="nil"/>
              <w:bottom w:val="single" w:sz="8" w:space="0" w:color="DCDDDE"/>
              <w:right w:val="nil"/>
            </w:tcBorders>
            <w:shd w:val="clear" w:color="000000" w:fill="FFFFFF"/>
            <w:noWrap/>
            <w:vAlign w:val="center"/>
            <w:hideMark/>
          </w:tcPr>
          <w:p w14:paraId="203CFE0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690</w:t>
            </w:r>
          </w:p>
        </w:tc>
        <w:tc>
          <w:tcPr>
            <w:tcW w:w="586" w:type="dxa"/>
            <w:tcBorders>
              <w:top w:val="nil"/>
              <w:left w:val="nil"/>
              <w:bottom w:val="single" w:sz="8" w:space="0" w:color="DCDDDE"/>
              <w:right w:val="nil"/>
            </w:tcBorders>
            <w:shd w:val="clear" w:color="000000" w:fill="FFFFFF"/>
            <w:noWrap/>
            <w:vAlign w:val="center"/>
            <w:hideMark/>
          </w:tcPr>
          <w:p w14:paraId="5EEB31E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702</w:t>
            </w:r>
          </w:p>
        </w:tc>
        <w:tc>
          <w:tcPr>
            <w:tcW w:w="586" w:type="dxa"/>
            <w:tcBorders>
              <w:top w:val="nil"/>
              <w:left w:val="nil"/>
              <w:bottom w:val="single" w:sz="8" w:space="0" w:color="DCDDDE"/>
              <w:right w:val="nil"/>
            </w:tcBorders>
            <w:shd w:val="clear" w:color="000000" w:fill="FFFFFF"/>
            <w:noWrap/>
            <w:vAlign w:val="center"/>
            <w:hideMark/>
          </w:tcPr>
          <w:p w14:paraId="7FE579E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716</w:t>
            </w:r>
          </w:p>
        </w:tc>
      </w:tr>
      <w:tr w:rsidR="00490035" w:rsidRPr="00490035" w14:paraId="01C9D9CB"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46900D3E"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C&amp;S*</w:t>
            </w:r>
          </w:p>
        </w:tc>
        <w:tc>
          <w:tcPr>
            <w:tcW w:w="586" w:type="dxa"/>
            <w:tcBorders>
              <w:top w:val="nil"/>
              <w:left w:val="nil"/>
              <w:bottom w:val="single" w:sz="8" w:space="0" w:color="DCDDDE"/>
              <w:right w:val="nil"/>
            </w:tcBorders>
            <w:shd w:val="clear" w:color="000000" w:fill="FFFFFF"/>
            <w:noWrap/>
            <w:vAlign w:val="center"/>
            <w:hideMark/>
          </w:tcPr>
          <w:p w14:paraId="1F58EE6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535</w:t>
            </w:r>
          </w:p>
        </w:tc>
        <w:tc>
          <w:tcPr>
            <w:tcW w:w="586" w:type="dxa"/>
            <w:tcBorders>
              <w:top w:val="nil"/>
              <w:left w:val="nil"/>
              <w:bottom w:val="single" w:sz="8" w:space="0" w:color="DCDDDE"/>
              <w:right w:val="nil"/>
            </w:tcBorders>
            <w:shd w:val="clear" w:color="000000" w:fill="FFFFFF"/>
            <w:noWrap/>
            <w:vAlign w:val="center"/>
            <w:hideMark/>
          </w:tcPr>
          <w:p w14:paraId="31BD8D1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555</w:t>
            </w:r>
          </w:p>
        </w:tc>
        <w:tc>
          <w:tcPr>
            <w:tcW w:w="586" w:type="dxa"/>
            <w:tcBorders>
              <w:top w:val="nil"/>
              <w:left w:val="nil"/>
              <w:bottom w:val="single" w:sz="8" w:space="0" w:color="DCDDDE"/>
              <w:right w:val="nil"/>
            </w:tcBorders>
            <w:shd w:val="clear" w:color="000000" w:fill="FFFFFF"/>
            <w:noWrap/>
            <w:vAlign w:val="center"/>
            <w:hideMark/>
          </w:tcPr>
          <w:p w14:paraId="4FDAE91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559</w:t>
            </w:r>
          </w:p>
        </w:tc>
        <w:tc>
          <w:tcPr>
            <w:tcW w:w="586" w:type="dxa"/>
            <w:tcBorders>
              <w:top w:val="nil"/>
              <w:left w:val="nil"/>
              <w:bottom w:val="single" w:sz="8" w:space="0" w:color="DCDDDE"/>
              <w:right w:val="nil"/>
            </w:tcBorders>
            <w:shd w:val="clear" w:color="000000" w:fill="FFFFFF"/>
            <w:noWrap/>
            <w:vAlign w:val="center"/>
            <w:hideMark/>
          </w:tcPr>
          <w:p w14:paraId="1C2C547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576</w:t>
            </w:r>
          </w:p>
        </w:tc>
        <w:tc>
          <w:tcPr>
            <w:tcW w:w="586" w:type="dxa"/>
            <w:tcBorders>
              <w:top w:val="nil"/>
              <w:left w:val="nil"/>
              <w:bottom w:val="single" w:sz="8" w:space="0" w:color="DCDDDE"/>
              <w:right w:val="nil"/>
            </w:tcBorders>
            <w:shd w:val="clear" w:color="000000" w:fill="FFFFFF"/>
            <w:noWrap/>
            <w:vAlign w:val="center"/>
            <w:hideMark/>
          </w:tcPr>
          <w:p w14:paraId="6BB06B6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560</w:t>
            </w:r>
          </w:p>
        </w:tc>
        <w:tc>
          <w:tcPr>
            <w:tcW w:w="586" w:type="dxa"/>
            <w:tcBorders>
              <w:top w:val="nil"/>
              <w:left w:val="nil"/>
              <w:bottom w:val="single" w:sz="8" w:space="0" w:color="DCDDDE"/>
              <w:right w:val="nil"/>
            </w:tcBorders>
            <w:shd w:val="clear" w:color="000000" w:fill="FFFFFF"/>
            <w:noWrap/>
            <w:vAlign w:val="center"/>
            <w:hideMark/>
          </w:tcPr>
          <w:p w14:paraId="6A1483D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621</w:t>
            </w:r>
          </w:p>
        </w:tc>
        <w:tc>
          <w:tcPr>
            <w:tcW w:w="586" w:type="dxa"/>
            <w:tcBorders>
              <w:top w:val="nil"/>
              <w:left w:val="nil"/>
              <w:bottom w:val="single" w:sz="8" w:space="0" w:color="DCDDDE"/>
              <w:right w:val="nil"/>
            </w:tcBorders>
            <w:shd w:val="clear" w:color="000000" w:fill="FFFFFF"/>
            <w:noWrap/>
            <w:vAlign w:val="center"/>
            <w:hideMark/>
          </w:tcPr>
          <w:p w14:paraId="3013997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595</w:t>
            </w:r>
          </w:p>
        </w:tc>
        <w:tc>
          <w:tcPr>
            <w:tcW w:w="586" w:type="dxa"/>
            <w:tcBorders>
              <w:top w:val="nil"/>
              <w:left w:val="nil"/>
              <w:bottom w:val="single" w:sz="8" w:space="0" w:color="DCDDDE"/>
              <w:right w:val="nil"/>
            </w:tcBorders>
            <w:shd w:val="clear" w:color="000000" w:fill="FFFFFF"/>
            <w:noWrap/>
            <w:vAlign w:val="center"/>
            <w:hideMark/>
          </w:tcPr>
          <w:p w14:paraId="7AF33E7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573</w:t>
            </w:r>
          </w:p>
        </w:tc>
        <w:tc>
          <w:tcPr>
            <w:tcW w:w="586" w:type="dxa"/>
            <w:tcBorders>
              <w:top w:val="nil"/>
              <w:left w:val="nil"/>
              <w:bottom w:val="single" w:sz="8" w:space="0" w:color="DCDDDE"/>
              <w:right w:val="nil"/>
            </w:tcBorders>
            <w:shd w:val="clear" w:color="000000" w:fill="FFFFFF"/>
            <w:noWrap/>
            <w:vAlign w:val="center"/>
            <w:hideMark/>
          </w:tcPr>
          <w:p w14:paraId="60AFA1E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538</w:t>
            </w:r>
          </w:p>
        </w:tc>
        <w:tc>
          <w:tcPr>
            <w:tcW w:w="586" w:type="dxa"/>
            <w:tcBorders>
              <w:top w:val="nil"/>
              <w:left w:val="nil"/>
              <w:bottom w:val="single" w:sz="8" w:space="0" w:color="DCDDDE"/>
              <w:right w:val="nil"/>
            </w:tcBorders>
            <w:shd w:val="clear" w:color="000000" w:fill="FFFFFF"/>
            <w:noWrap/>
            <w:vAlign w:val="center"/>
            <w:hideMark/>
          </w:tcPr>
          <w:p w14:paraId="4CE3434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518</w:t>
            </w:r>
          </w:p>
        </w:tc>
        <w:tc>
          <w:tcPr>
            <w:tcW w:w="586" w:type="dxa"/>
            <w:tcBorders>
              <w:top w:val="nil"/>
              <w:left w:val="nil"/>
              <w:bottom w:val="single" w:sz="8" w:space="0" w:color="DCDDDE"/>
              <w:right w:val="nil"/>
            </w:tcBorders>
            <w:shd w:val="clear" w:color="000000" w:fill="FFFFFF"/>
            <w:noWrap/>
            <w:vAlign w:val="center"/>
            <w:hideMark/>
          </w:tcPr>
          <w:p w14:paraId="4599009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471</w:t>
            </w:r>
          </w:p>
        </w:tc>
        <w:tc>
          <w:tcPr>
            <w:tcW w:w="586" w:type="dxa"/>
            <w:tcBorders>
              <w:top w:val="nil"/>
              <w:left w:val="nil"/>
              <w:bottom w:val="single" w:sz="8" w:space="0" w:color="DCDDDE"/>
              <w:right w:val="nil"/>
            </w:tcBorders>
            <w:shd w:val="clear" w:color="000000" w:fill="FFFFFF"/>
            <w:noWrap/>
            <w:vAlign w:val="center"/>
            <w:hideMark/>
          </w:tcPr>
          <w:p w14:paraId="19B9709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426</w:t>
            </w:r>
          </w:p>
        </w:tc>
        <w:tc>
          <w:tcPr>
            <w:tcW w:w="586" w:type="dxa"/>
            <w:tcBorders>
              <w:top w:val="nil"/>
              <w:left w:val="nil"/>
              <w:bottom w:val="single" w:sz="8" w:space="0" w:color="DCDDDE"/>
              <w:right w:val="nil"/>
            </w:tcBorders>
            <w:shd w:val="clear" w:color="000000" w:fill="FFFFFF"/>
            <w:noWrap/>
            <w:vAlign w:val="center"/>
            <w:hideMark/>
          </w:tcPr>
          <w:p w14:paraId="7A21E7E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381</w:t>
            </w:r>
          </w:p>
        </w:tc>
      </w:tr>
      <w:tr w:rsidR="00490035" w:rsidRPr="00490035" w14:paraId="0E324051"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37B4EAA2"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Total</w:t>
            </w:r>
          </w:p>
        </w:tc>
        <w:tc>
          <w:tcPr>
            <w:tcW w:w="586" w:type="dxa"/>
            <w:tcBorders>
              <w:top w:val="nil"/>
              <w:left w:val="nil"/>
              <w:bottom w:val="single" w:sz="8" w:space="0" w:color="DCDDDE"/>
              <w:right w:val="nil"/>
            </w:tcBorders>
            <w:shd w:val="clear" w:color="000000" w:fill="FFFFFF"/>
            <w:noWrap/>
            <w:vAlign w:val="center"/>
            <w:hideMark/>
          </w:tcPr>
          <w:p w14:paraId="329A10F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1,063</w:t>
            </w:r>
          </w:p>
        </w:tc>
        <w:tc>
          <w:tcPr>
            <w:tcW w:w="586" w:type="dxa"/>
            <w:tcBorders>
              <w:top w:val="nil"/>
              <w:left w:val="nil"/>
              <w:bottom w:val="single" w:sz="8" w:space="0" w:color="DCDDDE"/>
              <w:right w:val="nil"/>
            </w:tcBorders>
            <w:shd w:val="clear" w:color="000000" w:fill="FFFFFF"/>
            <w:noWrap/>
            <w:vAlign w:val="center"/>
            <w:hideMark/>
          </w:tcPr>
          <w:p w14:paraId="5B8887A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1,143</w:t>
            </w:r>
          </w:p>
        </w:tc>
        <w:tc>
          <w:tcPr>
            <w:tcW w:w="586" w:type="dxa"/>
            <w:tcBorders>
              <w:top w:val="nil"/>
              <w:left w:val="nil"/>
              <w:bottom w:val="single" w:sz="8" w:space="0" w:color="DCDDDE"/>
              <w:right w:val="nil"/>
            </w:tcBorders>
            <w:shd w:val="clear" w:color="000000" w:fill="FFFFFF"/>
            <w:noWrap/>
            <w:vAlign w:val="center"/>
            <w:hideMark/>
          </w:tcPr>
          <w:p w14:paraId="1FC7E70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1,138</w:t>
            </w:r>
          </w:p>
        </w:tc>
        <w:tc>
          <w:tcPr>
            <w:tcW w:w="586" w:type="dxa"/>
            <w:tcBorders>
              <w:top w:val="nil"/>
              <w:left w:val="nil"/>
              <w:bottom w:val="single" w:sz="8" w:space="0" w:color="DCDDDE"/>
              <w:right w:val="nil"/>
            </w:tcBorders>
            <w:shd w:val="clear" w:color="000000" w:fill="FFFFFF"/>
            <w:noWrap/>
            <w:vAlign w:val="center"/>
            <w:hideMark/>
          </w:tcPr>
          <w:p w14:paraId="52F7ED6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1,196</w:t>
            </w:r>
          </w:p>
        </w:tc>
        <w:tc>
          <w:tcPr>
            <w:tcW w:w="586" w:type="dxa"/>
            <w:tcBorders>
              <w:top w:val="nil"/>
              <w:left w:val="nil"/>
              <w:bottom w:val="single" w:sz="8" w:space="0" w:color="DCDDDE"/>
              <w:right w:val="nil"/>
            </w:tcBorders>
            <w:shd w:val="clear" w:color="000000" w:fill="FFFFFF"/>
            <w:noWrap/>
            <w:vAlign w:val="center"/>
            <w:hideMark/>
          </w:tcPr>
          <w:p w14:paraId="0C5CA40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1,190</w:t>
            </w:r>
          </w:p>
        </w:tc>
        <w:tc>
          <w:tcPr>
            <w:tcW w:w="586" w:type="dxa"/>
            <w:tcBorders>
              <w:top w:val="nil"/>
              <w:left w:val="nil"/>
              <w:bottom w:val="single" w:sz="8" w:space="0" w:color="DCDDDE"/>
              <w:right w:val="nil"/>
            </w:tcBorders>
            <w:shd w:val="clear" w:color="000000" w:fill="FFFFFF"/>
            <w:noWrap/>
            <w:vAlign w:val="center"/>
            <w:hideMark/>
          </w:tcPr>
          <w:p w14:paraId="590C645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1,255</w:t>
            </w:r>
          </w:p>
        </w:tc>
        <w:tc>
          <w:tcPr>
            <w:tcW w:w="586" w:type="dxa"/>
            <w:tcBorders>
              <w:top w:val="nil"/>
              <w:left w:val="nil"/>
              <w:bottom w:val="single" w:sz="8" w:space="0" w:color="DCDDDE"/>
              <w:right w:val="nil"/>
            </w:tcBorders>
            <w:shd w:val="clear" w:color="000000" w:fill="FFFFFF"/>
            <w:noWrap/>
            <w:vAlign w:val="center"/>
            <w:hideMark/>
          </w:tcPr>
          <w:p w14:paraId="4B71933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1,233</w:t>
            </w:r>
          </w:p>
        </w:tc>
        <w:tc>
          <w:tcPr>
            <w:tcW w:w="586" w:type="dxa"/>
            <w:tcBorders>
              <w:top w:val="nil"/>
              <w:left w:val="nil"/>
              <w:bottom w:val="single" w:sz="8" w:space="0" w:color="DCDDDE"/>
              <w:right w:val="nil"/>
            </w:tcBorders>
            <w:shd w:val="clear" w:color="000000" w:fill="FFFFFF"/>
            <w:noWrap/>
            <w:vAlign w:val="center"/>
            <w:hideMark/>
          </w:tcPr>
          <w:p w14:paraId="5F28FD9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1,230</w:t>
            </w:r>
          </w:p>
        </w:tc>
        <w:tc>
          <w:tcPr>
            <w:tcW w:w="586" w:type="dxa"/>
            <w:tcBorders>
              <w:top w:val="nil"/>
              <w:left w:val="nil"/>
              <w:bottom w:val="single" w:sz="8" w:space="0" w:color="DCDDDE"/>
              <w:right w:val="nil"/>
            </w:tcBorders>
            <w:shd w:val="clear" w:color="000000" w:fill="FFFFFF"/>
            <w:noWrap/>
            <w:vAlign w:val="center"/>
            <w:hideMark/>
          </w:tcPr>
          <w:p w14:paraId="42948F0C"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1,201</w:t>
            </w:r>
          </w:p>
        </w:tc>
        <w:tc>
          <w:tcPr>
            <w:tcW w:w="586" w:type="dxa"/>
            <w:tcBorders>
              <w:top w:val="nil"/>
              <w:left w:val="nil"/>
              <w:bottom w:val="single" w:sz="8" w:space="0" w:color="DCDDDE"/>
              <w:right w:val="nil"/>
            </w:tcBorders>
            <w:shd w:val="clear" w:color="000000" w:fill="FFFFFF"/>
            <w:noWrap/>
            <w:vAlign w:val="center"/>
            <w:hideMark/>
          </w:tcPr>
          <w:p w14:paraId="5840A45D"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1,195</w:t>
            </w:r>
          </w:p>
        </w:tc>
        <w:tc>
          <w:tcPr>
            <w:tcW w:w="586" w:type="dxa"/>
            <w:tcBorders>
              <w:top w:val="nil"/>
              <w:left w:val="nil"/>
              <w:bottom w:val="single" w:sz="8" w:space="0" w:color="DCDDDE"/>
              <w:right w:val="nil"/>
            </w:tcBorders>
            <w:shd w:val="clear" w:color="000000" w:fill="FFFFFF"/>
            <w:noWrap/>
            <w:vAlign w:val="center"/>
            <w:hideMark/>
          </w:tcPr>
          <w:p w14:paraId="42EE57EE"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1,161</w:t>
            </w:r>
          </w:p>
        </w:tc>
        <w:tc>
          <w:tcPr>
            <w:tcW w:w="586" w:type="dxa"/>
            <w:tcBorders>
              <w:top w:val="nil"/>
              <w:left w:val="nil"/>
              <w:bottom w:val="single" w:sz="8" w:space="0" w:color="DCDDDE"/>
              <w:right w:val="nil"/>
            </w:tcBorders>
            <w:shd w:val="clear" w:color="000000" w:fill="FFFFFF"/>
            <w:noWrap/>
            <w:vAlign w:val="center"/>
            <w:hideMark/>
          </w:tcPr>
          <w:p w14:paraId="4CB01EA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1,128</w:t>
            </w:r>
          </w:p>
        </w:tc>
        <w:tc>
          <w:tcPr>
            <w:tcW w:w="586" w:type="dxa"/>
            <w:tcBorders>
              <w:top w:val="nil"/>
              <w:left w:val="nil"/>
              <w:bottom w:val="single" w:sz="8" w:space="0" w:color="DCDDDE"/>
              <w:right w:val="nil"/>
            </w:tcBorders>
            <w:shd w:val="clear" w:color="000000" w:fill="FFFFFF"/>
            <w:noWrap/>
            <w:vAlign w:val="center"/>
            <w:hideMark/>
          </w:tcPr>
          <w:p w14:paraId="1B93BFD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1,098</w:t>
            </w:r>
          </w:p>
        </w:tc>
      </w:tr>
      <w:tr w:rsidR="00490035" w:rsidRPr="00490035" w14:paraId="252E453E" w14:textId="77777777" w:rsidTr="002A760B">
        <w:trPr>
          <w:trHeight w:val="315"/>
          <w:jc w:val="center"/>
        </w:trPr>
        <w:tc>
          <w:tcPr>
            <w:tcW w:w="8597" w:type="dxa"/>
            <w:gridSpan w:val="14"/>
            <w:tcBorders>
              <w:top w:val="single" w:sz="8" w:space="0" w:color="DCDDDE"/>
              <w:left w:val="nil"/>
              <w:bottom w:val="single" w:sz="8" w:space="0" w:color="DCDDDE"/>
              <w:right w:val="nil"/>
            </w:tcBorders>
            <w:shd w:val="clear" w:color="000000" w:fill="DADADA"/>
            <w:noWrap/>
            <w:vAlign w:val="center"/>
            <w:hideMark/>
          </w:tcPr>
          <w:p w14:paraId="38DA2E48"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PAC | Aggressive</w:t>
            </w:r>
          </w:p>
        </w:tc>
      </w:tr>
      <w:tr w:rsidR="00490035" w:rsidRPr="00490035" w14:paraId="5BD8ACFE" w14:textId="77777777" w:rsidTr="002A760B">
        <w:trPr>
          <w:trHeight w:val="555"/>
          <w:jc w:val="center"/>
        </w:trPr>
        <w:tc>
          <w:tcPr>
            <w:tcW w:w="979" w:type="dxa"/>
            <w:tcBorders>
              <w:top w:val="nil"/>
              <w:left w:val="nil"/>
              <w:bottom w:val="single" w:sz="8" w:space="0" w:color="DCDDDE"/>
              <w:right w:val="nil"/>
            </w:tcBorders>
            <w:shd w:val="clear" w:color="000000" w:fill="FFFFFF"/>
            <w:vAlign w:val="center"/>
            <w:hideMark/>
          </w:tcPr>
          <w:p w14:paraId="7B232121"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86" w:type="dxa"/>
            <w:tcBorders>
              <w:top w:val="nil"/>
              <w:left w:val="nil"/>
              <w:bottom w:val="single" w:sz="8" w:space="0" w:color="DCDDDE"/>
              <w:right w:val="nil"/>
            </w:tcBorders>
            <w:shd w:val="clear" w:color="000000" w:fill="FFFFFF"/>
            <w:noWrap/>
            <w:vAlign w:val="center"/>
            <w:hideMark/>
          </w:tcPr>
          <w:p w14:paraId="0DBAE56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398</w:t>
            </w:r>
          </w:p>
        </w:tc>
        <w:tc>
          <w:tcPr>
            <w:tcW w:w="586" w:type="dxa"/>
            <w:tcBorders>
              <w:top w:val="nil"/>
              <w:left w:val="nil"/>
              <w:bottom w:val="single" w:sz="8" w:space="0" w:color="DCDDDE"/>
              <w:right w:val="nil"/>
            </w:tcBorders>
            <w:shd w:val="clear" w:color="000000" w:fill="FFFFFF"/>
            <w:noWrap/>
            <w:vAlign w:val="center"/>
            <w:hideMark/>
          </w:tcPr>
          <w:p w14:paraId="55FE6D6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422</w:t>
            </w:r>
          </w:p>
        </w:tc>
        <w:tc>
          <w:tcPr>
            <w:tcW w:w="586" w:type="dxa"/>
            <w:tcBorders>
              <w:top w:val="nil"/>
              <w:left w:val="nil"/>
              <w:bottom w:val="single" w:sz="8" w:space="0" w:color="DCDDDE"/>
              <w:right w:val="nil"/>
            </w:tcBorders>
            <w:shd w:val="clear" w:color="000000" w:fill="FFFFFF"/>
            <w:noWrap/>
            <w:vAlign w:val="center"/>
            <w:hideMark/>
          </w:tcPr>
          <w:p w14:paraId="1CB857A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396</w:t>
            </w:r>
          </w:p>
        </w:tc>
        <w:tc>
          <w:tcPr>
            <w:tcW w:w="586" w:type="dxa"/>
            <w:tcBorders>
              <w:top w:val="nil"/>
              <w:left w:val="nil"/>
              <w:bottom w:val="single" w:sz="8" w:space="0" w:color="DCDDDE"/>
              <w:right w:val="nil"/>
            </w:tcBorders>
            <w:shd w:val="clear" w:color="000000" w:fill="FFFFFF"/>
            <w:noWrap/>
            <w:vAlign w:val="center"/>
            <w:hideMark/>
          </w:tcPr>
          <w:p w14:paraId="670824F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433</w:t>
            </w:r>
          </w:p>
        </w:tc>
        <w:tc>
          <w:tcPr>
            <w:tcW w:w="586" w:type="dxa"/>
            <w:tcBorders>
              <w:top w:val="nil"/>
              <w:left w:val="nil"/>
              <w:bottom w:val="single" w:sz="8" w:space="0" w:color="DCDDDE"/>
              <w:right w:val="nil"/>
            </w:tcBorders>
            <w:shd w:val="clear" w:color="000000" w:fill="FFFFFF"/>
            <w:noWrap/>
            <w:vAlign w:val="center"/>
            <w:hideMark/>
          </w:tcPr>
          <w:p w14:paraId="3E80175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429</w:t>
            </w:r>
          </w:p>
        </w:tc>
        <w:tc>
          <w:tcPr>
            <w:tcW w:w="586" w:type="dxa"/>
            <w:tcBorders>
              <w:top w:val="nil"/>
              <w:left w:val="nil"/>
              <w:bottom w:val="single" w:sz="8" w:space="0" w:color="DCDDDE"/>
              <w:right w:val="nil"/>
            </w:tcBorders>
            <w:shd w:val="clear" w:color="000000" w:fill="FFFFFF"/>
            <w:noWrap/>
            <w:vAlign w:val="center"/>
            <w:hideMark/>
          </w:tcPr>
          <w:p w14:paraId="530D24A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423</w:t>
            </w:r>
          </w:p>
        </w:tc>
        <w:tc>
          <w:tcPr>
            <w:tcW w:w="586" w:type="dxa"/>
            <w:tcBorders>
              <w:top w:val="nil"/>
              <w:left w:val="nil"/>
              <w:bottom w:val="single" w:sz="8" w:space="0" w:color="DCDDDE"/>
              <w:right w:val="nil"/>
            </w:tcBorders>
            <w:shd w:val="clear" w:color="000000" w:fill="FFFFFF"/>
            <w:noWrap/>
            <w:vAlign w:val="center"/>
            <w:hideMark/>
          </w:tcPr>
          <w:p w14:paraId="3A42DFC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416</w:t>
            </w:r>
          </w:p>
        </w:tc>
        <w:tc>
          <w:tcPr>
            <w:tcW w:w="586" w:type="dxa"/>
            <w:tcBorders>
              <w:top w:val="nil"/>
              <w:left w:val="nil"/>
              <w:bottom w:val="single" w:sz="8" w:space="0" w:color="DCDDDE"/>
              <w:right w:val="nil"/>
            </w:tcBorders>
            <w:shd w:val="clear" w:color="000000" w:fill="FFFFFF"/>
            <w:noWrap/>
            <w:vAlign w:val="center"/>
            <w:hideMark/>
          </w:tcPr>
          <w:p w14:paraId="32906E8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412</w:t>
            </w:r>
          </w:p>
        </w:tc>
        <w:tc>
          <w:tcPr>
            <w:tcW w:w="586" w:type="dxa"/>
            <w:tcBorders>
              <w:top w:val="nil"/>
              <w:left w:val="nil"/>
              <w:bottom w:val="single" w:sz="8" w:space="0" w:color="DCDDDE"/>
              <w:right w:val="nil"/>
            </w:tcBorders>
            <w:shd w:val="clear" w:color="000000" w:fill="FFFFFF"/>
            <w:noWrap/>
            <w:vAlign w:val="center"/>
            <w:hideMark/>
          </w:tcPr>
          <w:p w14:paraId="69EBF2B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413</w:t>
            </w:r>
          </w:p>
        </w:tc>
        <w:tc>
          <w:tcPr>
            <w:tcW w:w="586" w:type="dxa"/>
            <w:tcBorders>
              <w:top w:val="nil"/>
              <w:left w:val="nil"/>
              <w:bottom w:val="single" w:sz="8" w:space="0" w:color="DCDDDE"/>
              <w:right w:val="nil"/>
            </w:tcBorders>
            <w:shd w:val="clear" w:color="000000" w:fill="FFFFFF"/>
            <w:noWrap/>
            <w:vAlign w:val="center"/>
            <w:hideMark/>
          </w:tcPr>
          <w:p w14:paraId="1BCB955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413</w:t>
            </w:r>
          </w:p>
        </w:tc>
        <w:tc>
          <w:tcPr>
            <w:tcW w:w="586" w:type="dxa"/>
            <w:tcBorders>
              <w:top w:val="nil"/>
              <w:left w:val="nil"/>
              <w:bottom w:val="single" w:sz="8" w:space="0" w:color="DCDDDE"/>
              <w:right w:val="nil"/>
            </w:tcBorders>
            <w:shd w:val="clear" w:color="000000" w:fill="FFFFFF"/>
            <w:noWrap/>
            <w:vAlign w:val="center"/>
            <w:hideMark/>
          </w:tcPr>
          <w:p w14:paraId="6C2C5D2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414</w:t>
            </w:r>
          </w:p>
        </w:tc>
        <w:tc>
          <w:tcPr>
            <w:tcW w:w="586" w:type="dxa"/>
            <w:tcBorders>
              <w:top w:val="nil"/>
              <w:left w:val="nil"/>
              <w:bottom w:val="single" w:sz="8" w:space="0" w:color="DCDDDE"/>
              <w:right w:val="nil"/>
            </w:tcBorders>
            <w:shd w:val="clear" w:color="000000" w:fill="FFFFFF"/>
            <w:noWrap/>
            <w:vAlign w:val="center"/>
            <w:hideMark/>
          </w:tcPr>
          <w:p w14:paraId="7CFD9BD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415</w:t>
            </w:r>
          </w:p>
        </w:tc>
        <w:tc>
          <w:tcPr>
            <w:tcW w:w="586" w:type="dxa"/>
            <w:tcBorders>
              <w:top w:val="nil"/>
              <w:left w:val="nil"/>
              <w:bottom w:val="single" w:sz="8" w:space="0" w:color="DCDDDE"/>
              <w:right w:val="nil"/>
            </w:tcBorders>
            <w:shd w:val="clear" w:color="000000" w:fill="FFFFFF"/>
            <w:noWrap/>
            <w:vAlign w:val="center"/>
            <w:hideMark/>
          </w:tcPr>
          <w:p w14:paraId="28518E9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420</w:t>
            </w:r>
          </w:p>
        </w:tc>
      </w:tr>
      <w:tr w:rsidR="00490035" w:rsidRPr="00490035" w14:paraId="129198E4"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22718090"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BROs</w:t>
            </w:r>
          </w:p>
        </w:tc>
        <w:tc>
          <w:tcPr>
            <w:tcW w:w="586" w:type="dxa"/>
            <w:tcBorders>
              <w:top w:val="nil"/>
              <w:left w:val="nil"/>
              <w:bottom w:val="single" w:sz="8" w:space="0" w:color="DCDDDE"/>
              <w:right w:val="nil"/>
            </w:tcBorders>
            <w:shd w:val="clear" w:color="000000" w:fill="FFFFFF"/>
            <w:noWrap/>
            <w:vAlign w:val="center"/>
            <w:hideMark/>
          </w:tcPr>
          <w:p w14:paraId="775DEA8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159</w:t>
            </w:r>
          </w:p>
        </w:tc>
        <w:tc>
          <w:tcPr>
            <w:tcW w:w="586" w:type="dxa"/>
            <w:tcBorders>
              <w:top w:val="nil"/>
              <w:left w:val="nil"/>
              <w:bottom w:val="single" w:sz="8" w:space="0" w:color="DCDDDE"/>
              <w:right w:val="nil"/>
            </w:tcBorders>
            <w:shd w:val="clear" w:color="000000" w:fill="FFFFFF"/>
            <w:noWrap/>
            <w:vAlign w:val="center"/>
            <w:hideMark/>
          </w:tcPr>
          <w:p w14:paraId="68FC260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199</w:t>
            </w:r>
          </w:p>
        </w:tc>
        <w:tc>
          <w:tcPr>
            <w:tcW w:w="586" w:type="dxa"/>
            <w:tcBorders>
              <w:top w:val="nil"/>
              <w:left w:val="nil"/>
              <w:bottom w:val="single" w:sz="8" w:space="0" w:color="DCDDDE"/>
              <w:right w:val="nil"/>
            </w:tcBorders>
            <w:shd w:val="clear" w:color="000000" w:fill="FFFFFF"/>
            <w:noWrap/>
            <w:vAlign w:val="center"/>
            <w:hideMark/>
          </w:tcPr>
          <w:p w14:paraId="2C4C79E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236</w:t>
            </w:r>
          </w:p>
        </w:tc>
        <w:tc>
          <w:tcPr>
            <w:tcW w:w="586" w:type="dxa"/>
            <w:tcBorders>
              <w:top w:val="nil"/>
              <w:left w:val="nil"/>
              <w:bottom w:val="single" w:sz="8" w:space="0" w:color="DCDDDE"/>
              <w:right w:val="nil"/>
            </w:tcBorders>
            <w:shd w:val="clear" w:color="000000" w:fill="FFFFFF"/>
            <w:noWrap/>
            <w:vAlign w:val="center"/>
            <w:hideMark/>
          </w:tcPr>
          <w:p w14:paraId="0CED106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253</w:t>
            </w:r>
          </w:p>
        </w:tc>
        <w:tc>
          <w:tcPr>
            <w:tcW w:w="586" w:type="dxa"/>
            <w:tcBorders>
              <w:top w:val="nil"/>
              <w:left w:val="nil"/>
              <w:bottom w:val="single" w:sz="8" w:space="0" w:color="DCDDDE"/>
              <w:right w:val="nil"/>
            </w:tcBorders>
            <w:shd w:val="clear" w:color="000000" w:fill="FFFFFF"/>
            <w:noWrap/>
            <w:vAlign w:val="center"/>
            <w:hideMark/>
          </w:tcPr>
          <w:p w14:paraId="7D99DF9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271</w:t>
            </w:r>
          </w:p>
        </w:tc>
        <w:tc>
          <w:tcPr>
            <w:tcW w:w="586" w:type="dxa"/>
            <w:tcBorders>
              <w:top w:val="nil"/>
              <w:left w:val="nil"/>
              <w:bottom w:val="single" w:sz="8" w:space="0" w:color="DCDDDE"/>
              <w:right w:val="nil"/>
            </w:tcBorders>
            <w:shd w:val="clear" w:color="000000" w:fill="FFFFFF"/>
            <w:noWrap/>
            <w:vAlign w:val="center"/>
            <w:hideMark/>
          </w:tcPr>
          <w:p w14:paraId="1324280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290</w:t>
            </w:r>
          </w:p>
        </w:tc>
        <w:tc>
          <w:tcPr>
            <w:tcW w:w="586" w:type="dxa"/>
            <w:tcBorders>
              <w:top w:val="nil"/>
              <w:left w:val="nil"/>
              <w:bottom w:val="single" w:sz="8" w:space="0" w:color="DCDDDE"/>
              <w:right w:val="nil"/>
            </w:tcBorders>
            <w:shd w:val="clear" w:color="000000" w:fill="FFFFFF"/>
            <w:noWrap/>
            <w:vAlign w:val="center"/>
            <w:hideMark/>
          </w:tcPr>
          <w:p w14:paraId="6D1FA16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312</w:t>
            </w:r>
          </w:p>
        </w:tc>
        <w:tc>
          <w:tcPr>
            <w:tcW w:w="586" w:type="dxa"/>
            <w:tcBorders>
              <w:top w:val="nil"/>
              <w:left w:val="nil"/>
              <w:bottom w:val="single" w:sz="8" w:space="0" w:color="DCDDDE"/>
              <w:right w:val="nil"/>
            </w:tcBorders>
            <w:shd w:val="clear" w:color="000000" w:fill="FFFFFF"/>
            <w:noWrap/>
            <w:vAlign w:val="center"/>
            <w:hideMark/>
          </w:tcPr>
          <w:p w14:paraId="717ED91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371</w:t>
            </w:r>
          </w:p>
        </w:tc>
        <w:tc>
          <w:tcPr>
            <w:tcW w:w="586" w:type="dxa"/>
            <w:tcBorders>
              <w:top w:val="nil"/>
              <w:left w:val="nil"/>
              <w:bottom w:val="single" w:sz="8" w:space="0" w:color="DCDDDE"/>
              <w:right w:val="nil"/>
            </w:tcBorders>
            <w:shd w:val="clear" w:color="000000" w:fill="FFFFFF"/>
            <w:noWrap/>
            <w:vAlign w:val="center"/>
            <w:hideMark/>
          </w:tcPr>
          <w:p w14:paraId="2A5BDD1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401</w:t>
            </w:r>
          </w:p>
        </w:tc>
        <w:tc>
          <w:tcPr>
            <w:tcW w:w="586" w:type="dxa"/>
            <w:tcBorders>
              <w:top w:val="nil"/>
              <w:left w:val="nil"/>
              <w:bottom w:val="single" w:sz="8" w:space="0" w:color="DCDDDE"/>
              <w:right w:val="nil"/>
            </w:tcBorders>
            <w:shd w:val="clear" w:color="000000" w:fill="FFFFFF"/>
            <w:noWrap/>
            <w:vAlign w:val="center"/>
            <w:hideMark/>
          </w:tcPr>
          <w:p w14:paraId="213E889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434</w:t>
            </w:r>
          </w:p>
        </w:tc>
        <w:tc>
          <w:tcPr>
            <w:tcW w:w="586" w:type="dxa"/>
            <w:tcBorders>
              <w:top w:val="nil"/>
              <w:left w:val="nil"/>
              <w:bottom w:val="single" w:sz="8" w:space="0" w:color="DCDDDE"/>
              <w:right w:val="nil"/>
            </w:tcBorders>
            <w:shd w:val="clear" w:color="000000" w:fill="FFFFFF"/>
            <w:noWrap/>
            <w:vAlign w:val="center"/>
            <w:hideMark/>
          </w:tcPr>
          <w:p w14:paraId="7709CCC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472</w:t>
            </w:r>
          </w:p>
        </w:tc>
        <w:tc>
          <w:tcPr>
            <w:tcW w:w="586" w:type="dxa"/>
            <w:tcBorders>
              <w:top w:val="nil"/>
              <w:left w:val="nil"/>
              <w:bottom w:val="single" w:sz="8" w:space="0" w:color="DCDDDE"/>
              <w:right w:val="nil"/>
            </w:tcBorders>
            <w:shd w:val="clear" w:color="000000" w:fill="FFFFFF"/>
            <w:noWrap/>
            <w:vAlign w:val="center"/>
            <w:hideMark/>
          </w:tcPr>
          <w:p w14:paraId="4E02180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516</w:t>
            </w:r>
          </w:p>
        </w:tc>
        <w:tc>
          <w:tcPr>
            <w:tcW w:w="586" w:type="dxa"/>
            <w:tcBorders>
              <w:top w:val="nil"/>
              <w:left w:val="nil"/>
              <w:bottom w:val="single" w:sz="8" w:space="0" w:color="DCDDDE"/>
              <w:right w:val="nil"/>
            </w:tcBorders>
            <w:shd w:val="clear" w:color="000000" w:fill="FFFFFF"/>
            <w:noWrap/>
            <w:vAlign w:val="center"/>
            <w:hideMark/>
          </w:tcPr>
          <w:p w14:paraId="415FC83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567</w:t>
            </w:r>
          </w:p>
        </w:tc>
      </w:tr>
      <w:tr w:rsidR="00490035" w:rsidRPr="00490035" w14:paraId="63628150"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76A3164D"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86" w:type="dxa"/>
            <w:tcBorders>
              <w:top w:val="nil"/>
              <w:left w:val="nil"/>
              <w:bottom w:val="single" w:sz="8" w:space="0" w:color="DCDDDE"/>
              <w:right w:val="nil"/>
            </w:tcBorders>
            <w:shd w:val="clear" w:color="000000" w:fill="FFFFFF"/>
            <w:noWrap/>
            <w:vAlign w:val="center"/>
            <w:hideMark/>
          </w:tcPr>
          <w:p w14:paraId="699B800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29</w:t>
            </w:r>
          </w:p>
        </w:tc>
        <w:tc>
          <w:tcPr>
            <w:tcW w:w="586" w:type="dxa"/>
            <w:tcBorders>
              <w:top w:val="nil"/>
              <w:left w:val="nil"/>
              <w:bottom w:val="single" w:sz="8" w:space="0" w:color="DCDDDE"/>
              <w:right w:val="nil"/>
            </w:tcBorders>
            <w:shd w:val="clear" w:color="000000" w:fill="FFFFFF"/>
            <w:noWrap/>
            <w:vAlign w:val="center"/>
            <w:hideMark/>
          </w:tcPr>
          <w:p w14:paraId="0D8AA64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30</w:t>
            </w:r>
          </w:p>
        </w:tc>
        <w:tc>
          <w:tcPr>
            <w:tcW w:w="586" w:type="dxa"/>
            <w:tcBorders>
              <w:top w:val="nil"/>
              <w:left w:val="nil"/>
              <w:bottom w:val="single" w:sz="8" w:space="0" w:color="DCDDDE"/>
              <w:right w:val="nil"/>
            </w:tcBorders>
            <w:shd w:val="clear" w:color="000000" w:fill="FFFFFF"/>
            <w:noWrap/>
            <w:vAlign w:val="center"/>
            <w:hideMark/>
          </w:tcPr>
          <w:p w14:paraId="1B195AD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30</w:t>
            </w:r>
          </w:p>
        </w:tc>
        <w:tc>
          <w:tcPr>
            <w:tcW w:w="586" w:type="dxa"/>
            <w:tcBorders>
              <w:top w:val="nil"/>
              <w:left w:val="nil"/>
              <w:bottom w:val="single" w:sz="8" w:space="0" w:color="DCDDDE"/>
              <w:right w:val="nil"/>
            </w:tcBorders>
            <w:shd w:val="clear" w:color="000000" w:fill="FFFFFF"/>
            <w:noWrap/>
            <w:vAlign w:val="center"/>
            <w:hideMark/>
          </w:tcPr>
          <w:p w14:paraId="36BFBA2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7455839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0FA7449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1EFF99B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4EB7FBA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033E4C8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080996A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72E466F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3F4E352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86" w:type="dxa"/>
            <w:tcBorders>
              <w:top w:val="nil"/>
              <w:left w:val="nil"/>
              <w:bottom w:val="single" w:sz="8" w:space="0" w:color="DCDDDE"/>
              <w:right w:val="nil"/>
            </w:tcBorders>
            <w:shd w:val="clear" w:color="000000" w:fill="FFFFFF"/>
            <w:noWrap/>
            <w:vAlign w:val="center"/>
            <w:hideMark/>
          </w:tcPr>
          <w:p w14:paraId="365B308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r>
      <w:tr w:rsidR="00490035" w:rsidRPr="00490035" w14:paraId="6DB84FFA" w14:textId="77777777" w:rsidTr="002A760B">
        <w:trPr>
          <w:trHeight w:val="825"/>
          <w:jc w:val="center"/>
        </w:trPr>
        <w:tc>
          <w:tcPr>
            <w:tcW w:w="979" w:type="dxa"/>
            <w:tcBorders>
              <w:top w:val="nil"/>
              <w:left w:val="nil"/>
              <w:bottom w:val="single" w:sz="8" w:space="0" w:color="DCDDDE"/>
              <w:right w:val="nil"/>
            </w:tcBorders>
            <w:shd w:val="clear" w:color="000000" w:fill="FFFFFF"/>
            <w:vAlign w:val="center"/>
            <w:hideMark/>
          </w:tcPr>
          <w:p w14:paraId="5507D013"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86" w:type="dxa"/>
            <w:tcBorders>
              <w:top w:val="nil"/>
              <w:left w:val="nil"/>
              <w:bottom w:val="single" w:sz="8" w:space="0" w:color="DCDDDE"/>
              <w:right w:val="nil"/>
            </w:tcBorders>
            <w:shd w:val="clear" w:color="000000" w:fill="FFFFFF"/>
            <w:noWrap/>
            <w:vAlign w:val="center"/>
            <w:hideMark/>
          </w:tcPr>
          <w:p w14:paraId="27C645F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586</w:t>
            </w:r>
          </w:p>
        </w:tc>
        <w:tc>
          <w:tcPr>
            <w:tcW w:w="586" w:type="dxa"/>
            <w:tcBorders>
              <w:top w:val="nil"/>
              <w:left w:val="nil"/>
              <w:bottom w:val="single" w:sz="8" w:space="0" w:color="DCDDDE"/>
              <w:right w:val="nil"/>
            </w:tcBorders>
            <w:shd w:val="clear" w:color="000000" w:fill="FFFFFF"/>
            <w:noWrap/>
            <w:vAlign w:val="center"/>
            <w:hideMark/>
          </w:tcPr>
          <w:p w14:paraId="7C76DF2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651</w:t>
            </w:r>
          </w:p>
        </w:tc>
        <w:tc>
          <w:tcPr>
            <w:tcW w:w="586" w:type="dxa"/>
            <w:tcBorders>
              <w:top w:val="nil"/>
              <w:left w:val="nil"/>
              <w:bottom w:val="single" w:sz="8" w:space="0" w:color="DCDDDE"/>
              <w:right w:val="nil"/>
            </w:tcBorders>
            <w:shd w:val="clear" w:color="000000" w:fill="FFFFFF"/>
            <w:noWrap/>
            <w:vAlign w:val="center"/>
            <w:hideMark/>
          </w:tcPr>
          <w:p w14:paraId="775B035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662</w:t>
            </w:r>
          </w:p>
        </w:tc>
        <w:tc>
          <w:tcPr>
            <w:tcW w:w="586" w:type="dxa"/>
            <w:tcBorders>
              <w:top w:val="nil"/>
              <w:left w:val="nil"/>
              <w:bottom w:val="single" w:sz="8" w:space="0" w:color="DCDDDE"/>
              <w:right w:val="nil"/>
            </w:tcBorders>
            <w:shd w:val="clear" w:color="000000" w:fill="FFFFFF"/>
            <w:noWrap/>
            <w:vAlign w:val="center"/>
            <w:hideMark/>
          </w:tcPr>
          <w:p w14:paraId="799C720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707</w:t>
            </w:r>
          </w:p>
        </w:tc>
        <w:tc>
          <w:tcPr>
            <w:tcW w:w="586" w:type="dxa"/>
            <w:tcBorders>
              <w:top w:val="nil"/>
              <w:left w:val="nil"/>
              <w:bottom w:val="single" w:sz="8" w:space="0" w:color="DCDDDE"/>
              <w:right w:val="nil"/>
            </w:tcBorders>
            <w:shd w:val="clear" w:color="000000" w:fill="FFFFFF"/>
            <w:noWrap/>
            <w:vAlign w:val="center"/>
            <w:hideMark/>
          </w:tcPr>
          <w:p w14:paraId="01CF6AC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721</w:t>
            </w:r>
          </w:p>
        </w:tc>
        <w:tc>
          <w:tcPr>
            <w:tcW w:w="586" w:type="dxa"/>
            <w:tcBorders>
              <w:top w:val="nil"/>
              <w:left w:val="nil"/>
              <w:bottom w:val="single" w:sz="8" w:space="0" w:color="DCDDDE"/>
              <w:right w:val="nil"/>
            </w:tcBorders>
            <w:shd w:val="clear" w:color="000000" w:fill="FFFFFF"/>
            <w:noWrap/>
            <w:vAlign w:val="center"/>
            <w:hideMark/>
          </w:tcPr>
          <w:p w14:paraId="0D3F63D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734</w:t>
            </w:r>
          </w:p>
        </w:tc>
        <w:tc>
          <w:tcPr>
            <w:tcW w:w="586" w:type="dxa"/>
            <w:tcBorders>
              <w:top w:val="nil"/>
              <w:left w:val="nil"/>
              <w:bottom w:val="single" w:sz="8" w:space="0" w:color="DCDDDE"/>
              <w:right w:val="nil"/>
            </w:tcBorders>
            <w:shd w:val="clear" w:color="000000" w:fill="FFFFFF"/>
            <w:noWrap/>
            <w:vAlign w:val="center"/>
            <w:hideMark/>
          </w:tcPr>
          <w:p w14:paraId="53E57D3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749</w:t>
            </w:r>
          </w:p>
        </w:tc>
        <w:tc>
          <w:tcPr>
            <w:tcW w:w="586" w:type="dxa"/>
            <w:tcBorders>
              <w:top w:val="nil"/>
              <w:left w:val="nil"/>
              <w:bottom w:val="single" w:sz="8" w:space="0" w:color="DCDDDE"/>
              <w:right w:val="nil"/>
            </w:tcBorders>
            <w:shd w:val="clear" w:color="000000" w:fill="FFFFFF"/>
            <w:noWrap/>
            <w:vAlign w:val="center"/>
            <w:hideMark/>
          </w:tcPr>
          <w:p w14:paraId="260125C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805</w:t>
            </w:r>
          </w:p>
        </w:tc>
        <w:tc>
          <w:tcPr>
            <w:tcW w:w="586" w:type="dxa"/>
            <w:tcBorders>
              <w:top w:val="nil"/>
              <w:left w:val="nil"/>
              <w:bottom w:val="single" w:sz="8" w:space="0" w:color="DCDDDE"/>
              <w:right w:val="nil"/>
            </w:tcBorders>
            <w:shd w:val="clear" w:color="000000" w:fill="FFFFFF"/>
            <w:noWrap/>
            <w:vAlign w:val="center"/>
            <w:hideMark/>
          </w:tcPr>
          <w:p w14:paraId="1512EB1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836</w:t>
            </w:r>
          </w:p>
        </w:tc>
        <w:tc>
          <w:tcPr>
            <w:tcW w:w="586" w:type="dxa"/>
            <w:tcBorders>
              <w:top w:val="nil"/>
              <w:left w:val="nil"/>
              <w:bottom w:val="single" w:sz="8" w:space="0" w:color="DCDDDE"/>
              <w:right w:val="nil"/>
            </w:tcBorders>
            <w:shd w:val="clear" w:color="000000" w:fill="FFFFFF"/>
            <w:noWrap/>
            <w:vAlign w:val="center"/>
            <w:hideMark/>
          </w:tcPr>
          <w:p w14:paraId="11D1496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869</w:t>
            </w:r>
          </w:p>
        </w:tc>
        <w:tc>
          <w:tcPr>
            <w:tcW w:w="586" w:type="dxa"/>
            <w:tcBorders>
              <w:top w:val="nil"/>
              <w:left w:val="nil"/>
              <w:bottom w:val="single" w:sz="8" w:space="0" w:color="DCDDDE"/>
              <w:right w:val="nil"/>
            </w:tcBorders>
            <w:shd w:val="clear" w:color="000000" w:fill="FFFFFF"/>
            <w:noWrap/>
            <w:vAlign w:val="center"/>
            <w:hideMark/>
          </w:tcPr>
          <w:p w14:paraId="24FA379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908</w:t>
            </w:r>
          </w:p>
        </w:tc>
        <w:tc>
          <w:tcPr>
            <w:tcW w:w="586" w:type="dxa"/>
            <w:tcBorders>
              <w:top w:val="nil"/>
              <w:left w:val="nil"/>
              <w:bottom w:val="single" w:sz="8" w:space="0" w:color="DCDDDE"/>
              <w:right w:val="nil"/>
            </w:tcBorders>
            <w:shd w:val="clear" w:color="000000" w:fill="FFFFFF"/>
            <w:noWrap/>
            <w:vAlign w:val="center"/>
            <w:hideMark/>
          </w:tcPr>
          <w:p w14:paraId="2E3415D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953</w:t>
            </w:r>
          </w:p>
        </w:tc>
        <w:tc>
          <w:tcPr>
            <w:tcW w:w="586" w:type="dxa"/>
            <w:tcBorders>
              <w:top w:val="nil"/>
              <w:left w:val="nil"/>
              <w:bottom w:val="single" w:sz="8" w:space="0" w:color="DCDDDE"/>
              <w:right w:val="nil"/>
            </w:tcBorders>
            <w:shd w:val="clear" w:color="000000" w:fill="FFFFFF"/>
            <w:noWrap/>
            <w:vAlign w:val="center"/>
            <w:hideMark/>
          </w:tcPr>
          <w:p w14:paraId="1F35CAF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1,008</w:t>
            </w:r>
          </w:p>
        </w:tc>
      </w:tr>
      <w:tr w:rsidR="00490035" w:rsidRPr="00490035" w14:paraId="2AC4BA99"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52E11963"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C&amp;S*</w:t>
            </w:r>
          </w:p>
        </w:tc>
        <w:tc>
          <w:tcPr>
            <w:tcW w:w="586" w:type="dxa"/>
            <w:tcBorders>
              <w:top w:val="nil"/>
              <w:left w:val="nil"/>
              <w:bottom w:val="single" w:sz="8" w:space="0" w:color="DCDDDE"/>
              <w:right w:val="nil"/>
            </w:tcBorders>
            <w:shd w:val="clear" w:color="000000" w:fill="FFFFFF"/>
            <w:noWrap/>
            <w:vAlign w:val="center"/>
            <w:hideMark/>
          </w:tcPr>
          <w:p w14:paraId="2097D6A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535</w:t>
            </w:r>
          </w:p>
        </w:tc>
        <w:tc>
          <w:tcPr>
            <w:tcW w:w="586" w:type="dxa"/>
            <w:tcBorders>
              <w:top w:val="nil"/>
              <w:left w:val="nil"/>
              <w:bottom w:val="single" w:sz="8" w:space="0" w:color="DCDDDE"/>
              <w:right w:val="nil"/>
            </w:tcBorders>
            <w:shd w:val="clear" w:color="000000" w:fill="FFFFFF"/>
            <w:noWrap/>
            <w:vAlign w:val="center"/>
            <w:hideMark/>
          </w:tcPr>
          <w:p w14:paraId="7C1205B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555</w:t>
            </w:r>
          </w:p>
        </w:tc>
        <w:tc>
          <w:tcPr>
            <w:tcW w:w="586" w:type="dxa"/>
            <w:tcBorders>
              <w:top w:val="nil"/>
              <w:left w:val="nil"/>
              <w:bottom w:val="single" w:sz="8" w:space="0" w:color="DCDDDE"/>
              <w:right w:val="nil"/>
            </w:tcBorders>
            <w:shd w:val="clear" w:color="000000" w:fill="FFFFFF"/>
            <w:noWrap/>
            <w:vAlign w:val="center"/>
            <w:hideMark/>
          </w:tcPr>
          <w:p w14:paraId="5A729A9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559</w:t>
            </w:r>
          </w:p>
        </w:tc>
        <w:tc>
          <w:tcPr>
            <w:tcW w:w="586" w:type="dxa"/>
            <w:tcBorders>
              <w:top w:val="nil"/>
              <w:left w:val="nil"/>
              <w:bottom w:val="single" w:sz="8" w:space="0" w:color="DCDDDE"/>
              <w:right w:val="nil"/>
            </w:tcBorders>
            <w:shd w:val="clear" w:color="000000" w:fill="FFFFFF"/>
            <w:noWrap/>
            <w:vAlign w:val="center"/>
            <w:hideMark/>
          </w:tcPr>
          <w:p w14:paraId="79A193F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576</w:t>
            </w:r>
          </w:p>
        </w:tc>
        <w:tc>
          <w:tcPr>
            <w:tcW w:w="586" w:type="dxa"/>
            <w:tcBorders>
              <w:top w:val="nil"/>
              <w:left w:val="nil"/>
              <w:bottom w:val="single" w:sz="8" w:space="0" w:color="DCDDDE"/>
              <w:right w:val="nil"/>
            </w:tcBorders>
            <w:shd w:val="clear" w:color="000000" w:fill="FFFFFF"/>
            <w:noWrap/>
            <w:vAlign w:val="center"/>
            <w:hideMark/>
          </w:tcPr>
          <w:p w14:paraId="46B5F69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560</w:t>
            </w:r>
          </w:p>
        </w:tc>
        <w:tc>
          <w:tcPr>
            <w:tcW w:w="586" w:type="dxa"/>
            <w:tcBorders>
              <w:top w:val="nil"/>
              <w:left w:val="nil"/>
              <w:bottom w:val="single" w:sz="8" w:space="0" w:color="DCDDDE"/>
              <w:right w:val="nil"/>
            </w:tcBorders>
            <w:shd w:val="clear" w:color="000000" w:fill="FFFFFF"/>
            <w:noWrap/>
            <w:vAlign w:val="center"/>
            <w:hideMark/>
          </w:tcPr>
          <w:p w14:paraId="4DC10D7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621</w:t>
            </w:r>
          </w:p>
        </w:tc>
        <w:tc>
          <w:tcPr>
            <w:tcW w:w="586" w:type="dxa"/>
            <w:tcBorders>
              <w:top w:val="nil"/>
              <w:left w:val="nil"/>
              <w:bottom w:val="single" w:sz="8" w:space="0" w:color="DCDDDE"/>
              <w:right w:val="nil"/>
            </w:tcBorders>
            <w:shd w:val="clear" w:color="000000" w:fill="FFFFFF"/>
            <w:noWrap/>
            <w:vAlign w:val="center"/>
            <w:hideMark/>
          </w:tcPr>
          <w:p w14:paraId="022F551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595</w:t>
            </w:r>
          </w:p>
        </w:tc>
        <w:tc>
          <w:tcPr>
            <w:tcW w:w="586" w:type="dxa"/>
            <w:tcBorders>
              <w:top w:val="nil"/>
              <w:left w:val="nil"/>
              <w:bottom w:val="single" w:sz="8" w:space="0" w:color="DCDDDE"/>
              <w:right w:val="nil"/>
            </w:tcBorders>
            <w:shd w:val="clear" w:color="000000" w:fill="FFFFFF"/>
            <w:noWrap/>
            <w:vAlign w:val="center"/>
            <w:hideMark/>
          </w:tcPr>
          <w:p w14:paraId="6CDF532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573</w:t>
            </w:r>
          </w:p>
        </w:tc>
        <w:tc>
          <w:tcPr>
            <w:tcW w:w="586" w:type="dxa"/>
            <w:tcBorders>
              <w:top w:val="nil"/>
              <w:left w:val="nil"/>
              <w:bottom w:val="single" w:sz="8" w:space="0" w:color="DCDDDE"/>
              <w:right w:val="nil"/>
            </w:tcBorders>
            <w:shd w:val="clear" w:color="000000" w:fill="FFFFFF"/>
            <w:noWrap/>
            <w:vAlign w:val="center"/>
            <w:hideMark/>
          </w:tcPr>
          <w:p w14:paraId="4E85E12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538</w:t>
            </w:r>
          </w:p>
        </w:tc>
        <w:tc>
          <w:tcPr>
            <w:tcW w:w="586" w:type="dxa"/>
            <w:tcBorders>
              <w:top w:val="nil"/>
              <w:left w:val="nil"/>
              <w:bottom w:val="single" w:sz="8" w:space="0" w:color="DCDDDE"/>
              <w:right w:val="nil"/>
            </w:tcBorders>
            <w:shd w:val="clear" w:color="000000" w:fill="FFFFFF"/>
            <w:noWrap/>
            <w:vAlign w:val="center"/>
            <w:hideMark/>
          </w:tcPr>
          <w:p w14:paraId="011C5C6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518</w:t>
            </w:r>
          </w:p>
        </w:tc>
        <w:tc>
          <w:tcPr>
            <w:tcW w:w="586" w:type="dxa"/>
            <w:tcBorders>
              <w:top w:val="nil"/>
              <w:left w:val="nil"/>
              <w:bottom w:val="single" w:sz="8" w:space="0" w:color="DCDDDE"/>
              <w:right w:val="nil"/>
            </w:tcBorders>
            <w:shd w:val="clear" w:color="000000" w:fill="FFFFFF"/>
            <w:noWrap/>
            <w:vAlign w:val="center"/>
            <w:hideMark/>
          </w:tcPr>
          <w:p w14:paraId="3810D7B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471</w:t>
            </w:r>
          </w:p>
        </w:tc>
        <w:tc>
          <w:tcPr>
            <w:tcW w:w="586" w:type="dxa"/>
            <w:tcBorders>
              <w:top w:val="nil"/>
              <w:left w:val="nil"/>
              <w:bottom w:val="single" w:sz="8" w:space="0" w:color="DCDDDE"/>
              <w:right w:val="nil"/>
            </w:tcBorders>
            <w:shd w:val="clear" w:color="000000" w:fill="FFFFFF"/>
            <w:noWrap/>
            <w:vAlign w:val="center"/>
            <w:hideMark/>
          </w:tcPr>
          <w:p w14:paraId="792F951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426</w:t>
            </w:r>
          </w:p>
        </w:tc>
        <w:tc>
          <w:tcPr>
            <w:tcW w:w="586" w:type="dxa"/>
            <w:tcBorders>
              <w:top w:val="nil"/>
              <w:left w:val="nil"/>
              <w:bottom w:val="single" w:sz="8" w:space="0" w:color="DCDDDE"/>
              <w:right w:val="nil"/>
            </w:tcBorders>
            <w:shd w:val="clear" w:color="000000" w:fill="FFFFFF"/>
            <w:noWrap/>
            <w:vAlign w:val="center"/>
            <w:hideMark/>
          </w:tcPr>
          <w:p w14:paraId="3176847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381</w:t>
            </w:r>
          </w:p>
        </w:tc>
      </w:tr>
      <w:tr w:rsidR="00490035" w:rsidRPr="00490035" w14:paraId="54E7BB68"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5837529A"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Total</w:t>
            </w:r>
          </w:p>
        </w:tc>
        <w:tc>
          <w:tcPr>
            <w:tcW w:w="586" w:type="dxa"/>
            <w:tcBorders>
              <w:top w:val="nil"/>
              <w:left w:val="nil"/>
              <w:bottom w:val="single" w:sz="8" w:space="0" w:color="DCDDDE"/>
              <w:right w:val="nil"/>
            </w:tcBorders>
            <w:shd w:val="clear" w:color="000000" w:fill="FFFFFF"/>
            <w:noWrap/>
            <w:vAlign w:val="center"/>
            <w:hideMark/>
          </w:tcPr>
          <w:p w14:paraId="5D68C1AC"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1,121</w:t>
            </w:r>
          </w:p>
        </w:tc>
        <w:tc>
          <w:tcPr>
            <w:tcW w:w="586" w:type="dxa"/>
            <w:tcBorders>
              <w:top w:val="nil"/>
              <w:left w:val="nil"/>
              <w:bottom w:val="single" w:sz="8" w:space="0" w:color="DCDDDE"/>
              <w:right w:val="nil"/>
            </w:tcBorders>
            <w:shd w:val="clear" w:color="000000" w:fill="FFFFFF"/>
            <w:noWrap/>
            <w:vAlign w:val="center"/>
            <w:hideMark/>
          </w:tcPr>
          <w:p w14:paraId="16DADAA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1,206</w:t>
            </w:r>
          </w:p>
        </w:tc>
        <w:tc>
          <w:tcPr>
            <w:tcW w:w="586" w:type="dxa"/>
            <w:tcBorders>
              <w:top w:val="nil"/>
              <w:left w:val="nil"/>
              <w:bottom w:val="single" w:sz="8" w:space="0" w:color="DCDDDE"/>
              <w:right w:val="nil"/>
            </w:tcBorders>
            <w:shd w:val="clear" w:color="000000" w:fill="FFFFFF"/>
            <w:noWrap/>
            <w:vAlign w:val="center"/>
            <w:hideMark/>
          </w:tcPr>
          <w:p w14:paraId="6501D84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1,220</w:t>
            </w:r>
          </w:p>
        </w:tc>
        <w:tc>
          <w:tcPr>
            <w:tcW w:w="586" w:type="dxa"/>
            <w:tcBorders>
              <w:top w:val="nil"/>
              <w:left w:val="nil"/>
              <w:bottom w:val="single" w:sz="8" w:space="0" w:color="DCDDDE"/>
              <w:right w:val="nil"/>
            </w:tcBorders>
            <w:shd w:val="clear" w:color="000000" w:fill="FFFFFF"/>
            <w:noWrap/>
            <w:vAlign w:val="center"/>
            <w:hideMark/>
          </w:tcPr>
          <w:p w14:paraId="12D2354B"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1,283</w:t>
            </w:r>
          </w:p>
        </w:tc>
        <w:tc>
          <w:tcPr>
            <w:tcW w:w="586" w:type="dxa"/>
            <w:tcBorders>
              <w:top w:val="nil"/>
              <w:left w:val="nil"/>
              <w:bottom w:val="single" w:sz="8" w:space="0" w:color="DCDDDE"/>
              <w:right w:val="nil"/>
            </w:tcBorders>
            <w:shd w:val="clear" w:color="000000" w:fill="FFFFFF"/>
            <w:noWrap/>
            <w:vAlign w:val="center"/>
            <w:hideMark/>
          </w:tcPr>
          <w:p w14:paraId="2553458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1,281</w:t>
            </w:r>
          </w:p>
        </w:tc>
        <w:tc>
          <w:tcPr>
            <w:tcW w:w="586" w:type="dxa"/>
            <w:tcBorders>
              <w:top w:val="nil"/>
              <w:left w:val="nil"/>
              <w:bottom w:val="single" w:sz="8" w:space="0" w:color="DCDDDE"/>
              <w:right w:val="nil"/>
            </w:tcBorders>
            <w:shd w:val="clear" w:color="000000" w:fill="FFFFFF"/>
            <w:noWrap/>
            <w:vAlign w:val="center"/>
            <w:hideMark/>
          </w:tcPr>
          <w:p w14:paraId="069E35BE"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1,355</w:t>
            </w:r>
          </w:p>
        </w:tc>
        <w:tc>
          <w:tcPr>
            <w:tcW w:w="586" w:type="dxa"/>
            <w:tcBorders>
              <w:top w:val="nil"/>
              <w:left w:val="nil"/>
              <w:bottom w:val="single" w:sz="8" w:space="0" w:color="DCDDDE"/>
              <w:right w:val="nil"/>
            </w:tcBorders>
            <w:shd w:val="clear" w:color="000000" w:fill="FFFFFF"/>
            <w:noWrap/>
            <w:vAlign w:val="center"/>
            <w:hideMark/>
          </w:tcPr>
          <w:p w14:paraId="7E805F4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1,344</w:t>
            </w:r>
          </w:p>
        </w:tc>
        <w:tc>
          <w:tcPr>
            <w:tcW w:w="586" w:type="dxa"/>
            <w:tcBorders>
              <w:top w:val="nil"/>
              <w:left w:val="nil"/>
              <w:bottom w:val="single" w:sz="8" w:space="0" w:color="DCDDDE"/>
              <w:right w:val="nil"/>
            </w:tcBorders>
            <w:shd w:val="clear" w:color="000000" w:fill="FFFFFF"/>
            <w:noWrap/>
            <w:vAlign w:val="center"/>
            <w:hideMark/>
          </w:tcPr>
          <w:p w14:paraId="1DD371B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1,379</w:t>
            </w:r>
          </w:p>
        </w:tc>
        <w:tc>
          <w:tcPr>
            <w:tcW w:w="586" w:type="dxa"/>
            <w:tcBorders>
              <w:top w:val="nil"/>
              <w:left w:val="nil"/>
              <w:bottom w:val="single" w:sz="8" w:space="0" w:color="DCDDDE"/>
              <w:right w:val="nil"/>
            </w:tcBorders>
            <w:shd w:val="clear" w:color="000000" w:fill="FFFFFF"/>
            <w:noWrap/>
            <w:vAlign w:val="center"/>
            <w:hideMark/>
          </w:tcPr>
          <w:p w14:paraId="53BF6F26"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1,373</w:t>
            </w:r>
          </w:p>
        </w:tc>
        <w:tc>
          <w:tcPr>
            <w:tcW w:w="586" w:type="dxa"/>
            <w:tcBorders>
              <w:top w:val="nil"/>
              <w:left w:val="nil"/>
              <w:bottom w:val="single" w:sz="8" w:space="0" w:color="DCDDDE"/>
              <w:right w:val="nil"/>
            </w:tcBorders>
            <w:shd w:val="clear" w:color="000000" w:fill="FFFFFF"/>
            <w:noWrap/>
            <w:vAlign w:val="center"/>
            <w:hideMark/>
          </w:tcPr>
          <w:p w14:paraId="7217D89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1,387</w:t>
            </w:r>
          </w:p>
        </w:tc>
        <w:tc>
          <w:tcPr>
            <w:tcW w:w="586" w:type="dxa"/>
            <w:tcBorders>
              <w:top w:val="nil"/>
              <w:left w:val="nil"/>
              <w:bottom w:val="single" w:sz="8" w:space="0" w:color="DCDDDE"/>
              <w:right w:val="nil"/>
            </w:tcBorders>
            <w:shd w:val="clear" w:color="000000" w:fill="FFFFFF"/>
            <w:noWrap/>
            <w:vAlign w:val="center"/>
            <w:hideMark/>
          </w:tcPr>
          <w:p w14:paraId="17DC5C17"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1,379</w:t>
            </w:r>
          </w:p>
        </w:tc>
        <w:tc>
          <w:tcPr>
            <w:tcW w:w="586" w:type="dxa"/>
            <w:tcBorders>
              <w:top w:val="nil"/>
              <w:left w:val="nil"/>
              <w:bottom w:val="single" w:sz="8" w:space="0" w:color="DCDDDE"/>
              <w:right w:val="nil"/>
            </w:tcBorders>
            <w:shd w:val="clear" w:color="000000" w:fill="FFFFFF"/>
            <w:noWrap/>
            <w:vAlign w:val="center"/>
            <w:hideMark/>
          </w:tcPr>
          <w:p w14:paraId="7BC5AC5A"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1,379</w:t>
            </w:r>
          </w:p>
        </w:tc>
        <w:tc>
          <w:tcPr>
            <w:tcW w:w="586" w:type="dxa"/>
            <w:tcBorders>
              <w:top w:val="nil"/>
              <w:left w:val="nil"/>
              <w:bottom w:val="single" w:sz="8" w:space="0" w:color="DCDDDE"/>
              <w:right w:val="nil"/>
            </w:tcBorders>
            <w:shd w:val="clear" w:color="000000" w:fill="FFFFFF"/>
            <w:noWrap/>
            <w:vAlign w:val="center"/>
            <w:hideMark/>
          </w:tcPr>
          <w:p w14:paraId="6971FC4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1,390</w:t>
            </w:r>
          </w:p>
        </w:tc>
      </w:tr>
    </w:tbl>
    <w:p w14:paraId="590D648A" w14:textId="77777777" w:rsidR="002A760B" w:rsidRPr="00D823AE" w:rsidRDefault="002A760B" w:rsidP="002A760B">
      <w:pPr>
        <w:jc w:val="center"/>
      </w:pPr>
      <w:r>
        <w:t>* Includes interactive effects</w:t>
      </w:r>
    </w:p>
    <w:p w14:paraId="71D6E137" w14:textId="77777777" w:rsidR="00D823AE" w:rsidRPr="00D823AE" w:rsidRDefault="00D823AE" w:rsidP="00D823AE"/>
    <w:p w14:paraId="5B8AE813" w14:textId="77777777" w:rsidR="00D823AE" w:rsidRDefault="00D823AE">
      <w:pPr>
        <w:spacing w:line="240" w:lineRule="auto"/>
      </w:pPr>
    </w:p>
    <w:p w14:paraId="7AF60CB9" w14:textId="77777777" w:rsidR="00490035" w:rsidRDefault="00490035">
      <w:pPr>
        <w:spacing w:line="240" w:lineRule="auto"/>
      </w:pPr>
    </w:p>
    <w:p w14:paraId="4C52FDA8" w14:textId="77777777" w:rsidR="00490035" w:rsidRDefault="00490035">
      <w:pPr>
        <w:spacing w:line="240" w:lineRule="auto"/>
      </w:pPr>
    </w:p>
    <w:p w14:paraId="26D9F7F7" w14:textId="77777777" w:rsidR="00490035" w:rsidRDefault="00490035">
      <w:pPr>
        <w:spacing w:line="240" w:lineRule="auto"/>
      </w:pPr>
    </w:p>
    <w:p w14:paraId="130A81B8" w14:textId="77777777" w:rsidR="00490035" w:rsidRDefault="00490035">
      <w:pPr>
        <w:spacing w:line="240" w:lineRule="auto"/>
      </w:pPr>
    </w:p>
    <w:p w14:paraId="151F3229" w14:textId="77777777" w:rsidR="00490035" w:rsidRDefault="00490035">
      <w:pPr>
        <w:spacing w:line="240" w:lineRule="auto"/>
      </w:pPr>
    </w:p>
    <w:p w14:paraId="68D3F8DA" w14:textId="77777777" w:rsidR="00490035" w:rsidRDefault="00490035">
      <w:pPr>
        <w:spacing w:line="240" w:lineRule="auto"/>
      </w:pPr>
    </w:p>
    <w:p w14:paraId="26FEB89C" w14:textId="77777777" w:rsidR="00490035" w:rsidRDefault="00490035">
      <w:pPr>
        <w:spacing w:line="240" w:lineRule="auto"/>
      </w:pPr>
    </w:p>
    <w:p w14:paraId="14FD045A" w14:textId="77777777" w:rsidR="00490035" w:rsidRDefault="00490035">
      <w:pPr>
        <w:spacing w:line="240" w:lineRule="auto"/>
      </w:pPr>
    </w:p>
    <w:p w14:paraId="499CB5B4" w14:textId="77777777" w:rsidR="00490035" w:rsidRDefault="00490035">
      <w:pPr>
        <w:spacing w:line="240" w:lineRule="auto"/>
      </w:pPr>
    </w:p>
    <w:p w14:paraId="1BF39F66" w14:textId="77777777" w:rsidR="00490035" w:rsidRDefault="00490035">
      <w:pPr>
        <w:spacing w:line="240" w:lineRule="auto"/>
      </w:pPr>
    </w:p>
    <w:p w14:paraId="6C36B9D5" w14:textId="77777777" w:rsidR="00490035" w:rsidRDefault="00490035">
      <w:pPr>
        <w:spacing w:line="240" w:lineRule="auto"/>
      </w:pPr>
    </w:p>
    <w:p w14:paraId="0A841FE9" w14:textId="77777777" w:rsidR="00490035" w:rsidRDefault="00490035">
      <w:pPr>
        <w:spacing w:line="240" w:lineRule="auto"/>
      </w:pPr>
    </w:p>
    <w:p w14:paraId="09C8E71E" w14:textId="77777777" w:rsidR="00490035" w:rsidRDefault="00490035">
      <w:pPr>
        <w:spacing w:line="240" w:lineRule="auto"/>
      </w:pPr>
    </w:p>
    <w:p w14:paraId="7B572996" w14:textId="77777777" w:rsidR="00490035" w:rsidRDefault="00490035">
      <w:pPr>
        <w:spacing w:line="240" w:lineRule="auto"/>
      </w:pPr>
    </w:p>
    <w:p w14:paraId="59E34877" w14:textId="77777777" w:rsidR="00490035" w:rsidRDefault="00490035">
      <w:pPr>
        <w:spacing w:line="240" w:lineRule="auto"/>
      </w:pPr>
    </w:p>
    <w:p w14:paraId="7F5FE980" w14:textId="77777777" w:rsidR="00490035" w:rsidRDefault="00490035">
      <w:pPr>
        <w:spacing w:line="240" w:lineRule="auto"/>
      </w:pPr>
    </w:p>
    <w:p w14:paraId="1D8DBF66" w14:textId="77777777" w:rsidR="00490035" w:rsidRDefault="00490035">
      <w:pPr>
        <w:spacing w:line="240" w:lineRule="auto"/>
      </w:pPr>
    </w:p>
    <w:p w14:paraId="61F4751C" w14:textId="77777777" w:rsidR="00490035" w:rsidRDefault="00490035">
      <w:pPr>
        <w:spacing w:line="240" w:lineRule="auto"/>
      </w:pPr>
    </w:p>
    <w:p w14:paraId="7A3D90D4" w14:textId="77777777" w:rsidR="00490035" w:rsidRDefault="00490035">
      <w:pPr>
        <w:spacing w:line="240" w:lineRule="auto"/>
      </w:pPr>
    </w:p>
    <w:p w14:paraId="26EA172B" w14:textId="77777777" w:rsidR="00490035" w:rsidRDefault="00490035">
      <w:pPr>
        <w:spacing w:line="240" w:lineRule="auto"/>
      </w:pPr>
    </w:p>
    <w:p w14:paraId="7D8793BA" w14:textId="77777777" w:rsidR="00490035" w:rsidRDefault="00490035">
      <w:pPr>
        <w:spacing w:line="240" w:lineRule="auto"/>
      </w:pPr>
    </w:p>
    <w:p w14:paraId="553B2EDF" w14:textId="77777777" w:rsidR="00490035" w:rsidRDefault="00490035">
      <w:pPr>
        <w:spacing w:line="240" w:lineRule="auto"/>
      </w:pPr>
    </w:p>
    <w:p w14:paraId="5A81F4DB" w14:textId="77777777" w:rsidR="00490035" w:rsidRDefault="00490035">
      <w:pPr>
        <w:spacing w:line="240" w:lineRule="auto"/>
      </w:pPr>
    </w:p>
    <w:p w14:paraId="469B5937" w14:textId="77777777" w:rsidR="00490035" w:rsidRDefault="00490035">
      <w:pPr>
        <w:spacing w:line="240" w:lineRule="auto"/>
      </w:pPr>
    </w:p>
    <w:p w14:paraId="50BA5CC9" w14:textId="77777777" w:rsidR="00D823AE" w:rsidRDefault="00D823AE" w:rsidP="00D823AE">
      <w:pPr>
        <w:pStyle w:val="Caption"/>
      </w:pPr>
      <w:bookmarkStart w:id="1207" w:name="_Toc490226057"/>
      <w:r w:rsidRPr="00122CD3">
        <w:t xml:space="preserve">Table </w:t>
      </w:r>
      <w:fldSimple w:instr=" STYLEREF 5 \s ">
        <w:r w:rsidR="007566B9">
          <w:rPr>
            <w:noProof/>
          </w:rPr>
          <w:t>H</w:t>
        </w:r>
      </w:fldSimple>
      <w:r w:rsidRPr="00323BFA">
        <w:noBreakHyphen/>
      </w:r>
      <w:fldSimple w:instr=" SEQ Table_Apx \* ARABIC \s 5 ">
        <w:r w:rsidR="007566B9">
          <w:rPr>
            <w:noProof/>
          </w:rPr>
          <w:t>2</w:t>
        </w:r>
      </w:fldSimple>
      <w:r w:rsidRPr="006F2DA9">
        <w:t xml:space="preserve">. </w:t>
      </w:r>
      <w:r>
        <w:t>PG&amp;E Demand Savings</w:t>
      </w:r>
      <w:bookmarkEnd w:id="1207"/>
    </w:p>
    <w:tbl>
      <w:tblPr>
        <w:tblW w:w="8262" w:type="dxa"/>
        <w:jc w:val="center"/>
        <w:tblLook w:val="04A0" w:firstRow="1" w:lastRow="0" w:firstColumn="1" w:lastColumn="0" w:noHBand="0" w:noVBand="1"/>
      </w:tblPr>
      <w:tblGrid>
        <w:gridCol w:w="1177"/>
        <w:gridCol w:w="545"/>
        <w:gridCol w:w="545"/>
        <w:gridCol w:w="545"/>
        <w:gridCol w:w="545"/>
        <w:gridCol w:w="545"/>
        <w:gridCol w:w="545"/>
        <w:gridCol w:w="545"/>
        <w:gridCol w:w="545"/>
        <w:gridCol w:w="545"/>
        <w:gridCol w:w="545"/>
        <w:gridCol w:w="545"/>
        <w:gridCol w:w="545"/>
        <w:gridCol w:w="545"/>
      </w:tblGrid>
      <w:tr w:rsidR="00490035" w:rsidRPr="00490035" w14:paraId="765C8327" w14:textId="77777777" w:rsidTr="00490035">
        <w:trPr>
          <w:trHeight w:val="315"/>
          <w:jc w:val="center"/>
        </w:trPr>
        <w:tc>
          <w:tcPr>
            <w:tcW w:w="8262" w:type="dxa"/>
            <w:gridSpan w:val="14"/>
            <w:tcBorders>
              <w:top w:val="nil"/>
              <w:left w:val="nil"/>
              <w:bottom w:val="single" w:sz="12" w:space="0" w:color="95D600"/>
              <w:right w:val="nil"/>
            </w:tcBorders>
            <w:shd w:val="clear" w:color="000000" w:fill="555759"/>
            <w:noWrap/>
            <w:vAlign w:val="center"/>
            <w:hideMark/>
          </w:tcPr>
          <w:p w14:paraId="188661A4" w14:textId="77777777" w:rsidR="00490035" w:rsidRPr="00490035" w:rsidRDefault="00490035">
            <w:pPr>
              <w:spacing w:line="240" w:lineRule="auto"/>
              <w:jc w:val="center"/>
              <w:rPr>
                <w:rFonts w:ascii="Arial Narrow" w:hAnsi="Arial Narrow"/>
                <w:b/>
                <w:bCs/>
                <w:color w:val="FFFFFF"/>
                <w:sz w:val="18"/>
                <w:szCs w:val="18"/>
              </w:rPr>
            </w:pPr>
            <w:r w:rsidRPr="00490035">
              <w:rPr>
                <w:rFonts w:ascii="Arial Narrow" w:hAnsi="Arial Narrow"/>
                <w:b/>
                <w:bCs/>
                <w:color w:val="FFFFFF"/>
                <w:sz w:val="18"/>
                <w:szCs w:val="18"/>
              </w:rPr>
              <w:t>Electric Demand (MW)</w:t>
            </w:r>
          </w:p>
        </w:tc>
      </w:tr>
      <w:tr w:rsidR="00490035" w:rsidRPr="00490035" w14:paraId="79F78A1F" w14:textId="77777777" w:rsidTr="002A760B">
        <w:trPr>
          <w:trHeight w:val="330"/>
          <w:jc w:val="center"/>
        </w:trPr>
        <w:tc>
          <w:tcPr>
            <w:tcW w:w="1177" w:type="dxa"/>
            <w:tcBorders>
              <w:top w:val="nil"/>
              <w:left w:val="nil"/>
              <w:bottom w:val="single" w:sz="8" w:space="0" w:color="DCDDDE"/>
              <w:right w:val="nil"/>
            </w:tcBorders>
            <w:shd w:val="clear" w:color="auto" w:fill="auto"/>
            <w:vAlign w:val="center"/>
            <w:hideMark/>
          </w:tcPr>
          <w:p w14:paraId="5620604F"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Year</w:t>
            </w:r>
          </w:p>
        </w:tc>
        <w:tc>
          <w:tcPr>
            <w:tcW w:w="545" w:type="dxa"/>
            <w:tcBorders>
              <w:top w:val="nil"/>
              <w:left w:val="nil"/>
              <w:bottom w:val="single" w:sz="8" w:space="0" w:color="DCDDDE"/>
              <w:right w:val="nil"/>
            </w:tcBorders>
            <w:shd w:val="clear" w:color="auto" w:fill="auto"/>
            <w:noWrap/>
            <w:vAlign w:val="center"/>
            <w:hideMark/>
          </w:tcPr>
          <w:p w14:paraId="331B9B54"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2018</w:t>
            </w:r>
          </w:p>
        </w:tc>
        <w:tc>
          <w:tcPr>
            <w:tcW w:w="545" w:type="dxa"/>
            <w:tcBorders>
              <w:top w:val="nil"/>
              <w:left w:val="nil"/>
              <w:bottom w:val="single" w:sz="8" w:space="0" w:color="DCDDDE"/>
              <w:right w:val="nil"/>
            </w:tcBorders>
            <w:shd w:val="clear" w:color="auto" w:fill="auto"/>
            <w:noWrap/>
            <w:vAlign w:val="center"/>
            <w:hideMark/>
          </w:tcPr>
          <w:p w14:paraId="4522BD2F"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2019</w:t>
            </w:r>
          </w:p>
        </w:tc>
        <w:tc>
          <w:tcPr>
            <w:tcW w:w="545" w:type="dxa"/>
            <w:tcBorders>
              <w:top w:val="nil"/>
              <w:left w:val="nil"/>
              <w:bottom w:val="single" w:sz="8" w:space="0" w:color="DCDDDE"/>
              <w:right w:val="nil"/>
            </w:tcBorders>
            <w:shd w:val="clear" w:color="auto" w:fill="auto"/>
            <w:noWrap/>
            <w:vAlign w:val="center"/>
            <w:hideMark/>
          </w:tcPr>
          <w:p w14:paraId="60C07B7B"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2020</w:t>
            </w:r>
          </w:p>
        </w:tc>
        <w:tc>
          <w:tcPr>
            <w:tcW w:w="545" w:type="dxa"/>
            <w:tcBorders>
              <w:top w:val="nil"/>
              <w:left w:val="nil"/>
              <w:bottom w:val="single" w:sz="8" w:space="0" w:color="DCDDDE"/>
              <w:right w:val="nil"/>
            </w:tcBorders>
            <w:shd w:val="clear" w:color="auto" w:fill="auto"/>
            <w:noWrap/>
            <w:vAlign w:val="center"/>
            <w:hideMark/>
          </w:tcPr>
          <w:p w14:paraId="534DFB7E"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2021</w:t>
            </w:r>
          </w:p>
        </w:tc>
        <w:tc>
          <w:tcPr>
            <w:tcW w:w="545" w:type="dxa"/>
            <w:tcBorders>
              <w:top w:val="nil"/>
              <w:left w:val="nil"/>
              <w:bottom w:val="single" w:sz="8" w:space="0" w:color="DCDDDE"/>
              <w:right w:val="nil"/>
            </w:tcBorders>
            <w:shd w:val="clear" w:color="auto" w:fill="auto"/>
            <w:noWrap/>
            <w:vAlign w:val="center"/>
            <w:hideMark/>
          </w:tcPr>
          <w:p w14:paraId="71B5FA7F"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2022</w:t>
            </w:r>
          </w:p>
        </w:tc>
        <w:tc>
          <w:tcPr>
            <w:tcW w:w="545" w:type="dxa"/>
            <w:tcBorders>
              <w:top w:val="nil"/>
              <w:left w:val="nil"/>
              <w:bottom w:val="single" w:sz="8" w:space="0" w:color="DCDDDE"/>
              <w:right w:val="nil"/>
            </w:tcBorders>
            <w:shd w:val="clear" w:color="auto" w:fill="auto"/>
            <w:noWrap/>
            <w:vAlign w:val="center"/>
            <w:hideMark/>
          </w:tcPr>
          <w:p w14:paraId="6D57BF4A"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2023</w:t>
            </w:r>
          </w:p>
        </w:tc>
        <w:tc>
          <w:tcPr>
            <w:tcW w:w="545" w:type="dxa"/>
            <w:tcBorders>
              <w:top w:val="nil"/>
              <w:left w:val="nil"/>
              <w:bottom w:val="single" w:sz="8" w:space="0" w:color="DCDDDE"/>
              <w:right w:val="nil"/>
            </w:tcBorders>
            <w:shd w:val="clear" w:color="auto" w:fill="auto"/>
            <w:noWrap/>
            <w:vAlign w:val="center"/>
            <w:hideMark/>
          </w:tcPr>
          <w:p w14:paraId="5A525C1D"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2024</w:t>
            </w:r>
          </w:p>
        </w:tc>
        <w:tc>
          <w:tcPr>
            <w:tcW w:w="545" w:type="dxa"/>
            <w:tcBorders>
              <w:top w:val="nil"/>
              <w:left w:val="nil"/>
              <w:bottom w:val="single" w:sz="8" w:space="0" w:color="DCDDDE"/>
              <w:right w:val="nil"/>
            </w:tcBorders>
            <w:shd w:val="clear" w:color="auto" w:fill="auto"/>
            <w:noWrap/>
            <w:vAlign w:val="center"/>
            <w:hideMark/>
          </w:tcPr>
          <w:p w14:paraId="24A4A379"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2025</w:t>
            </w:r>
          </w:p>
        </w:tc>
        <w:tc>
          <w:tcPr>
            <w:tcW w:w="545" w:type="dxa"/>
            <w:tcBorders>
              <w:top w:val="nil"/>
              <w:left w:val="nil"/>
              <w:bottom w:val="single" w:sz="8" w:space="0" w:color="DCDDDE"/>
              <w:right w:val="nil"/>
            </w:tcBorders>
            <w:shd w:val="clear" w:color="auto" w:fill="auto"/>
            <w:noWrap/>
            <w:vAlign w:val="center"/>
            <w:hideMark/>
          </w:tcPr>
          <w:p w14:paraId="5B2011C0"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2026</w:t>
            </w:r>
          </w:p>
        </w:tc>
        <w:tc>
          <w:tcPr>
            <w:tcW w:w="545" w:type="dxa"/>
            <w:tcBorders>
              <w:top w:val="nil"/>
              <w:left w:val="nil"/>
              <w:bottom w:val="single" w:sz="8" w:space="0" w:color="DCDDDE"/>
              <w:right w:val="nil"/>
            </w:tcBorders>
            <w:shd w:val="clear" w:color="auto" w:fill="auto"/>
            <w:noWrap/>
            <w:vAlign w:val="center"/>
            <w:hideMark/>
          </w:tcPr>
          <w:p w14:paraId="7855E6D0"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2027</w:t>
            </w:r>
          </w:p>
        </w:tc>
        <w:tc>
          <w:tcPr>
            <w:tcW w:w="545" w:type="dxa"/>
            <w:tcBorders>
              <w:top w:val="nil"/>
              <w:left w:val="nil"/>
              <w:bottom w:val="single" w:sz="8" w:space="0" w:color="DCDDDE"/>
              <w:right w:val="nil"/>
            </w:tcBorders>
            <w:shd w:val="clear" w:color="auto" w:fill="auto"/>
            <w:noWrap/>
            <w:vAlign w:val="center"/>
            <w:hideMark/>
          </w:tcPr>
          <w:p w14:paraId="1284A144"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2028</w:t>
            </w:r>
          </w:p>
        </w:tc>
        <w:tc>
          <w:tcPr>
            <w:tcW w:w="545" w:type="dxa"/>
            <w:tcBorders>
              <w:top w:val="nil"/>
              <w:left w:val="nil"/>
              <w:bottom w:val="single" w:sz="8" w:space="0" w:color="DCDDDE"/>
              <w:right w:val="nil"/>
            </w:tcBorders>
            <w:shd w:val="clear" w:color="auto" w:fill="auto"/>
            <w:noWrap/>
            <w:vAlign w:val="center"/>
            <w:hideMark/>
          </w:tcPr>
          <w:p w14:paraId="052B702B"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2029</w:t>
            </w:r>
          </w:p>
        </w:tc>
        <w:tc>
          <w:tcPr>
            <w:tcW w:w="545" w:type="dxa"/>
            <w:tcBorders>
              <w:top w:val="nil"/>
              <w:left w:val="nil"/>
              <w:bottom w:val="single" w:sz="8" w:space="0" w:color="DCDDDE"/>
              <w:right w:val="nil"/>
            </w:tcBorders>
            <w:shd w:val="clear" w:color="auto" w:fill="auto"/>
            <w:noWrap/>
            <w:vAlign w:val="center"/>
            <w:hideMark/>
          </w:tcPr>
          <w:p w14:paraId="6E7AD984"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2030</w:t>
            </w:r>
          </w:p>
        </w:tc>
      </w:tr>
      <w:tr w:rsidR="00490035" w:rsidRPr="00490035" w14:paraId="07434900" w14:textId="77777777" w:rsidTr="00490035">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287ABA21"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TRC | Reference</w:t>
            </w:r>
          </w:p>
        </w:tc>
      </w:tr>
      <w:tr w:rsidR="00490035" w:rsidRPr="00490035" w14:paraId="2AF7DB41"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3B5443A4"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2AB3BEB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51</w:t>
            </w:r>
          </w:p>
        </w:tc>
        <w:tc>
          <w:tcPr>
            <w:tcW w:w="545" w:type="dxa"/>
            <w:tcBorders>
              <w:top w:val="nil"/>
              <w:left w:val="nil"/>
              <w:bottom w:val="single" w:sz="8" w:space="0" w:color="DCDDDE"/>
              <w:right w:val="nil"/>
            </w:tcBorders>
            <w:shd w:val="clear" w:color="000000" w:fill="FFFFFF"/>
            <w:noWrap/>
            <w:vAlign w:val="center"/>
            <w:hideMark/>
          </w:tcPr>
          <w:p w14:paraId="4CA8985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58</w:t>
            </w:r>
          </w:p>
        </w:tc>
        <w:tc>
          <w:tcPr>
            <w:tcW w:w="545" w:type="dxa"/>
            <w:tcBorders>
              <w:top w:val="nil"/>
              <w:left w:val="nil"/>
              <w:bottom w:val="single" w:sz="8" w:space="0" w:color="DCDDDE"/>
              <w:right w:val="nil"/>
            </w:tcBorders>
            <w:shd w:val="clear" w:color="000000" w:fill="FFFFFF"/>
            <w:noWrap/>
            <w:vAlign w:val="center"/>
            <w:hideMark/>
          </w:tcPr>
          <w:p w14:paraId="7AEA543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52</w:t>
            </w:r>
          </w:p>
        </w:tc>
        <w:tc>
          <w:tcPr>
            <w:tcW w:w="545" w:type="dxa"/>
            <w:tcBorders>
              <w:top w:val="nil"/>
              <w:left w:val="nil"/>
              <w:bottom w:val="single" w:sz="8" w:space="0" w:color="DCDDDE"/>
              <w:right w:val="nil"/>
            </w:tcBorders>
            <w:shd w:val="clear" w:color="000000" w:fill="FFFFFF"/>
            <w:noWrap/>
            <w:vAlign w:val="center"/>
            <w:hideMark/>
          </w:tcPr>
          <w:p w14:paraId="0AACDA4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59</w:t>
            </w:r>
          </w:p>
        </w:tc>
        <w:tc>
          <w:tcPr>
            <w:tcW w:w="545" w:type="dxa"/>
            <w:tcBorders>
              <w:top w:val="nil"/>
              <w:left w:val="nil"/>
              <w:bottom w:val="single" w:sz="8" w:space="0" w:color="DCDDDE"/>
              <w:right w:val="nil"/>
            </w:tcBorders>
            <w:shd w:val="clear" w:color="000000" w:fill="FFFFFF"/>
            <w:noWrap/>
            <w:vAlign w:val="center"/>
            <w:hideMark/>
          </w:tcPr>
          <w:p w14:paraId="243EC70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61</w:t>
            </w:r>
          </w:p>
        </w:tc>
        <w:tc>
          <w:tcPr>
            <w:tcW w:w="545" w:type="dxa"/>
            <w:tcBorders>
              <w:top w:val="nil"/>
              <w:left w:val="nil"/>
              <w:bottom w:val="single" w:sz="8" w:space="0" w:color="DCDDDE"/>
              <w:right w:val="nil"/>
            </w:tcBorders>
            <w:shd w:val="clear" w:color="000000" w:fill="FFFFFF"/>
            <w:noWrap/>
            <w:vAlign w:val="center"/>
            <w:hideMark/>
          </w:tcPr>
          <w:p w14:paraId="1765832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63</w:t>
            </w:r>
          </w:p>
        </w:tc>
        <w:tc>
          <w:tcPr>
            <w:tcW w:w="545" w:type="dxa"/>
            <w:tcBorders>
              <w:top w:val="nil"/>
              <w:left w:val="nil"/>
              <w:bottom w:val="single" w:sz="8" w:space="0" w:color="DCDDDE"/>
              <w:right w:val="nil"/>
            </w:tcBorders>
            <w:shd w:val="clear" w:color="000000" w:fill="FFFFFF"/>
            <w:noWrap/>
            <w:vAlign w:val="center"/>
            <w:hideMark/>
          </w:tcPr>
          <w:p w14:paraId="2C661AF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65</w:t>
            </w:r>
          </w:p>
        </w:tc>
        <w:tc>
          <w:tcPr>
            <w:tcW w:w="545" w:type="dxa"/>
            <w:tcBorders>
              <w:top w:val="nil"/>
              <w:left w:val="nil"/>
              <w:bottom w:val="single" w:sz="8" w:space="0" w:color="DCDDDE"/>
              <w:right w:val="nil"/>
            </w:tcBorders>
            <w:shd w:val="clear" w:color="000000" w:fill="FFFFFF"/>
            <w:noWrap/>
            <w:vAlign w:val="center"/>
            <w:hideMark/>
          </w:tcPr>
          <w:p w14:paraId="6424F90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66</w:t>
            </w:r>
          </w:p>
        </w:tc>
        <w:tc>
          <w:tcPr>
            <w:tcW w:w="545" w:type="dxa"/>
            <w:tcBorders>
              <w:top w:val="nil"/>
              <w:left w:val="nil"/>
              <w:bottom w:val="single" w:sz="8" w:space="0" w:color="DCDDDE"/>
              <w:right w:val="nil"/>
            </w:tcBorders>
            <w:shd w:val="clear" w:color="000000" w:fill="FFFFFF"/>
            <w:noWrap/>
            <w:vAlign w:val="center"/>
            <w:hideMark/>
          </w:tcPr>
          <w:p w14:paraId="79725B1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66</w:t>
            </w:r>
          </w:p>
        </w:tc>
        <w:tc>
          <w:tcPr>
            <w:tcW w:w="545" w:type="dxa"/>
            <w:tcBorders>
              <w:top w:val="nil"/>
              <w:left w:val="nil"/>
              <w:bottom w:val="single" w:sz="8" w:space="0" w:color="DCDDDE"/>
              <w:right w:val="nil"/>
            </w:tcBorders>
            <w:shd w:val="clear" w:color="000000" w:fill="FFFFFF"/>
            <w:noWrap/>
            <w:vAlign w:val="center"/>
            <w:hideMark/>
          </w:tcPr>
          <w:p w14:paraId="331D10C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66</w:t>
            </w:r>
          </w:p>
        </w:tc>
        <w:tc>
          <w:tcPr>
            <w:tcW w:w="545" w:type="dxa"/>
            <w:tcBorders>
              <w:top w:val="nil"/>
              <w:left w:val="nil"/>
              <w:bottom w:val="single" w:sz="8" w:space="0" w:color="DCDDDE"/>
              <w:right w:val="nil"/>
            </w:tcBorders>
            <w:shd w:val="clear" w:color="000000" w:fill="FFFFFF"/>
            <w:noWrap/>
            <w:vAlign w:val="center"/>
            <w:hideMark/>
          </w:tcPr>
          <w:p w14:paraId="7D19FF6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67</w:t>
            </w:r>
          </w:p>
        </w:tc>
        <w:tc>
          <w:tcPr>
            <w:tcW w:w="545" w:type="dxa"/>
            <w:tcBorders>
              <w:top w:val="nil"/>
              <w:left w:val="nil"/>
              <w:bottom w:val="single" w:sz="8" w:space="0" w:color="DCDDDE"/>
              <w:right w:val="nil"/>
            </w:tcBorders>
            <w:shd w:val="clear" w:color="000000" w:fill="FFFFFF"/>
            <w:noWrap/>
            <w:vAlign w:val="center"/>
            <w:hideMark/>
          </w:tcPr>
          <w:p w14:paraId="6968137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67</w:t>
            </w:r>
          </w:p>
        </w:tc>
        <w:tc>
          <w:tcPr>
            <w:tcW w:w="545" w:type="dxa"/>
            <w:tcBorders>
              <w:top w:val="nil"/>
              <w:left w:val="nil"/>
              <w:bottom w:val="single" w:sz="8" w:space="0" w:color="DCDDDE"/>
              <w:right w:val="nil"/>
            </w:tcBorders>
            <w:shd w:val="clear" w:color="000000" w:fill="FFFFFF"/>
            <w:noWrap/>
            <w:vAlign w:val="center"/>
            <w:hideMark/>
          </w:tcPr>
          <w:p w14:paraId="58BECE2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68</w:t>
            </w:r>
          </w:p>
        </w:tc>
      </w:tr>
      <w:tr w:rsidR="00490035" w:rsidRPr="00490035" w14:paraId="72106E92"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01A316B9"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68AB5CF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111A84E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4169DCC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1546802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35</w:t>
            </w:r>
          </w:p>
        </w:tc>
        <w:tc>
          <w:tcPr>
            <w:tcW w:w="545" w:type="dxa"/>
            <w:tcBorders>
              <w:top w:val="nil"/>
              <w:left w:val="nil"/>
              <w:bottom w:val="single" w:sz="8" w:space="0" w:color="DCDDDE"/>
              <w:right w:val="nil"/>
            </w:tcBorders>
            <w:shd w:val="clear" w:color="000000" w:fill="FFFFFF"/>
            <w:noWrap/>
            <w:vAlign w:val="center"/>
            <w:hideMark/>
          </w:tcPr>
          <w:p w14:paraId="4CAE255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4FDA582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39</w:t>
            </w:r>
          </w:p>
        </w:tc>
        <w:tc>
          <w:tcPr>
            <w:tcW w:w="545" w:type="dxa"/>
            <w:tcBorders>
              <w:top w:val="nil"/>
              <w:left w:val="nil"/>
              <w:bottom w:val="single" w:sz="8" w:space="0" w:color="DCDDDE"/>
              <w:right w:val="nil"/>
            </w:tcBorders>
            <w:shd w:val="clear" w:color="000000" w:fill="FFFFFF"/>
            <w:noWrap/>
            <w:vAlign w:val="center"/>
            <w:hideMark/>
          </w:tcPr>
          <w:p w14:paraId="0674FE8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51554E8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44</w:t>
            </w:r>
          </w:p>
        </w:tc>
        <w:tc>
          <w:tcPr>
            <w:tcW w:w="545" w:type="dxa"/>
            <w:tcBorders>
              <w:top w:val="nil"/>
              <w:left w:val="nil"/>
              <w:bottom w:val="single" w:sz="8" w:space="0" w:color="DCDDDE"/>
              <w:right w:val="nil"/>
            </w:tcBorders>
            <w:shd w:val="clear" w:color="000000" w:fill="FFFFFF"/>
            <w:noWrap/>
            <w:vAlign w:val="center"/>
            <w:hideMark/>
          </w:tcPr>
          <w:p w14:paraId="50B2171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46</w:t>
            </w:r>
          </w:p>
        </w:tc>
        <w:tc>
          <w:tcPr>
            <w:tcW w:w="545" w:type="dxa"/>
            <w:tcBorders>
              <w:top w:val="nil"/>
              <w:left w:val="nil"/>
              <w:bottom w:val="single" w:sz="8" w:space="0" w:color="DCDDDE"/>
              <w:right w:val="nil"/>
            </w:tcBorders>
            <w:shd w:val="clear" w:color="000000" w:fill="FFFFFF"/>
            <w:noWrap/>
            <w:vAlign w:val="center"/>
            <w:hideMark/>
          </w:tcPr>
          <w:p w14:paraId="5B2D825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49</w:t>
            </w:r>
          </w:p>
        </w:tc>
        <w:tc>
          <w:tcPr>
            <w:tcW w:w="545" w:type="dxa"/>
            <w:tcBorders>
              <w:top w:val="nil"/>
              <w:left w:val="nil"/>
              <w:bottom w:val="single" w:sz="8" w:space="0" w:color="DCDDDE"/>
              <w:right w:val="nil"/>
            </w:tcBorders>
            <w:shd w:val="clear" w:color="000000" w:fill="FFFFFF"/>
            <w:noWrap/>
            <w:vAlign w:val="center"/>
            <w:hideMark/>
          </w:tcPr>
          <w:p w14:paraId="7BEEE08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51</w:t>
            </w:r>
          </w:p>
        </w:tc>
        <w:tc>
          <w:tcPr>
            <w:tcW w:w="545" w:type="dxa"/>
            <w:tcBorders>
              <w:top w:val="nil"/>
              <w:left w:val="nil"/>
              <w:bottom w:val="single" w:sz="8" w:space="0" w:color="DCDDDE"/>
              <w:right w:val="nil"/>
            </w:tcBorders>
            <w:shd w:val="clear" w:color="000000" w:fill="FFFFFF"/>
            <w:noWrap/>
            <w:vAlign w:val="center"/>
            <w:hideMark/>
          </w:tcPr>
          <w:p w14:paraId="16299F5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53</w:t>
            </w:r>
          </w:p>
        </w:tc>
        <w:tc>
          <w:tcPr>
            <w:tcW w:w="545" w:type="dxa"/>
            <w:tcBorders>
              <w:top w:val="nil"/>
              <w:left w:val="nil"/>
              <w:bottom w:val="single" w:sz="8" w:space="0" w:color="DCDDDE"/>
              <w:right w:val="nil"/>
            </w:tcBorders>
            <w:shd w:val="clear" w:color="000000" w:fill="FFFFFF"/>
            <w:noWrap/>
            <w:vAlign w:val="center"/>
            <w:hideMark/>
          </w:tcPr>
          <w:p w14:paraId="55D1F0D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56</w:t>
            </w:r>
          </w:p>
        </w:tc>
      </w:tr>
      <w:tr w:rsidR="00490035" w:rsidRPr="00490035" w14:paraId="1CE89122"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7B6EBF69"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62B2206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6691A94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7D17891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0AF32D1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2E14CCC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6F01B65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2FBC96E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70F5BC0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1E3C88B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13563C6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6E575C4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287B35F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19D1B3B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r>
      <w:tr w:rsidR="00490035" w:rsidRPr="00490035" w14:paraId="1415382C"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21147F6C"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2A69234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79</w:t>
            </w:r>
          </w:p>
        </w:tc>
        <w:tc>
          <w:tcPr>
            <w:tcW w:w="545" w:type="dxa"/>
            <w:tcBorders>
              <w:top w:val="nil"/>
              <w:left w:val="nil"/>
              <w:bottom w:val="single" w:sz="8" w:space="0" w:color="DCDDDE"/>
              <w:right w:val="nil"/>
            </w:tcBorders>
            <w:shd w:val="clear" w:color="000000" w:fill="FFFFFF"/>
            <w:noWrap/>
            <w:vAlign w:val="center"/>
            <w:hideMark/>
          </w:tcPr>
          <w:p w14:paraId="1E7C55B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93</w:t>
            </w:r>
          </w:p>
        </w:tc>
        <w:tc>
          <w:tcPr>
            <w:tcW w:w="545" w:type="dxa"/>
            <w:tcBorders>
              <w:top w:val="nil"/>
              <w:left w:val="nil"/>
              <w:bottom w:val="single" w:sz="8" w:space="0" w:color="DCDDDE"/>
              <w:right w:val="nil"/>
            </w:tcBorders>
            <w:shd w:val="clear" w:color="000000" w:fill="FFFFFF"/>
            <w:noWrap/>
            <w:vAlign w:val="center"/>
            <w:hideMark/>
          </w:tcPr>
          <w:p w14:paraId="22F0C99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90</w:t>
            </w:r>
          </w:p>
        </w:tc>
        <w:tc>
          <w:tcPr>
            <w:tcW w:w="545" w:type="dxa"/>
            <w:tcBorders>
              <w:top w:val="nil"/>
              <w:left w:val="nil"/>
              <w:bottom w:val="single" w:sz="8" w:space="0" w:color="DCDDDE"/>
              <w:right w:val="nil"/>
            </w:tcBorders>
            <w:shd w:val="clear" w:color="000000" w:fill="FFFFFF"/>
            <w:noWrap/>
            <w:vAlign w:val="center"/>
            <w:hideMark/>
          </w:tcPr>
          <w:p w14:paraId="0A72484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98</w:t>
            </w:r>
          </w:p>
        </w:tc>
        <w:tc>
          <w:tcPr>
            <w:tcW w:w="545" w:type="dxa"/>
            <w:tcBorders>
              <w:top w:val="nil"/>
              <w:left w:val="nil"/>
              <w:bottom w:val="single" w:sz="8" w:space="0" w:color="DCDDDE"/>
              <w:right w:val="nil"/>
            </w:tcBorders>
            <w:shd w:val="clear" w:color="000000" w:fill="FFFFFF"/>
            <w:noWrap/>
            <w:vAlign w:val="center"/>
            <w:hideMark/>
          </w:tcPr>
          <w:p w14:paraId="5D4A810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103</w:t>
            </w:r>
          </w:p>
        </w:tc>
        <w:tc>
          <w:tcPr>
            <w:tcW w:w="545" w:type="dxa"/>
            <w:tcBorders>
              <w:top w:val="nil"/>
              <w:left w:val="nil"/>
              <w:bottom w:val="single" w:sz="8" w:space="0" w:color="DCDDDE"/>
              <w:right w:val="nil"/>
            </w:tcBorders>
            <w:shd w:val="clear" w:color="000000" w:fill="FFFFFF"/>
            <w:noWrap/>
            <w:vAlign w:val="center"/>
            <w:hideMark/>
          </w:tcPr>
          <w:p w14:paraId="0E45228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106</w:t>
            </w:r>
          </w:p>
        </w:tc>
        <w:tc>
          <w:tcPr>
            <w:tcW w:w="545" w:type="dxa"/>
            <w:tcBorders>
              <w:top w:val="nil"/>
              <w:left w:val="nil"/>
              <w:bottom w:val="single" w:sz="8" w:space="0" w:color="DCDDDE"/>
              <w:right w:val="nil"/>
            </w:tcBorders>
            <w:shd w:val="clear" w:color="000000" w:fill="FFFFFF"/>
            <w:noWrap/>
            <w:vAlign w:val="center"/>
            <w:hideMark/>
          </w:tcPr>
          <w:p w14:paraId="0D4AF40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110</w:t>
            </w:r>
          </w:p>
        </w:tc>
        <w:tc>
          <w:tcPr>
            <w:tcW w:w="545" w:type="dxa"/>
            <w:tcBorders>
              <w:top w:val="nil"/>
              <w:left w:val="nil"/>
              <w:bottom w:val="single" w:sz="8" w:space="0" w:color="DCDDDE"/>
              <w:right w:val="nil"/>
            </w:tcBorders>
            <w:shd w:val="clear" w:color="000000" w:fill="FFFFFF"/>
            <w:noWrap/>
            <w:vAlign w:val="center"/>
            <w:hideMark/>
          </w:tcPr>
          <w:p w14:paraId="0F809FF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114</w:t>
            </w:r>
          </w:p>
        </w:tc>
        <w:tc>
          <w:tcPr>
            <w:tcW w:w="545" w:type="dxa"/>
            <w:tcBorders>
              <w:top w:val="nil"/>
              <w:left w:val="nil"/>
              <w:bottom w:val="single" w:sz="8" w:space="0" w:color="DCDDDE"/>
              <w:right w:val="nil"/>
            </w:tcBorders>
            <w:shd w:val="clear" w:color="000000" w:fill="FFFFFF"/>
            <w:noWrap/>
            <w:vAlign w:val="center"/>
            <w:hideMark/>
          </w:tcPr>
          <w:p w14:paraId="54857E0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116</w:t>
            </w:r>
          </w:p>
        </w:tc>
        <w:tc>
          <w:tcPr>
            <w:tcW w:w="545" w:type="dxa"/>
            <w:tcBorders>
              <w:top w:val="nil"/>
              <w:left w:val="nil"/>
              <w:bottom w:val="single" w:sz="8" w:space="0" w:color="DCDDDE"/>
              <w:right w:val="nil"/>
            </w:tcBorders>
            <w:shd w:val="clear" w:color="000000" w:fill="FFFFFF"/>
            <w:noWrap/>
            <w:vAlign w:val="center"/>
            <w:hideMark/>
          </w:tcPr>
          <w:p w14:paraId="2040AE5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119</w:t>
            </w:r>
          </w:p>
        </w:tc>
        <w:tc>
          <w:tcPr>
            <w:tcW w:w="545" w:type="dxa"/>
            <w:tcBorders>
              <w:top w:val="nil"/>
              <w:left w:val="nil"/>
              <w:bottom w:val="single" w:sz="8" w:space="0" w:color="DCDDDE"/>
              <w:right w:val="nil"/>
            </w:tcBorders>
            <w:shd w:val="clear" w:color="000000" w:fill="FFFFFF"/>
            <w:noWrap/>
            <w:vAlign w:val="center"/>
            <w:hideMark/>
          </w:tcPr>
          <w:p w14:paraId="6C6CB9E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122</w:t>
            </w:r>
          </w:p>
        </w:tc>
        <w:tc>
          <w:tcPr>
            <w:tcW w:w="545" w:type="dxa"/>
            <w:tcBorders>
              <w:top w:val="nil"/>
              <w:left w:val="nil"/>
              <w:bottom w:val="single" w:sz="8" w:space="0" w:color="DCDDDE"/>
              <w:right w:val="nil"/>
            </w:tcBorders>
            <w:shd w:val="clear" w:color="000000" w:fill="FFFFFF"/>
            <w:noWrap/>
            <w:vAlign w:val="center"/>
            <w:hideMark/>
          </w:tcPr>
          <w:p w14:paraId="222500F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125</w:t>
            </w:r>
          </w:p>
        </w:tc>
        <w:tc>
          <w:tcPr>
            <w:tcW w:w="545" w:type="dxa"/>
            <w:tcBorders>
              <w:top w:val="nil"/>
              <w:left w:val="nil"/>
              <w:bottom w:val="single" w:sz="8" w:space="0" w:color="DCDDDE"/>
              <w:right w:val="nil"/>
            </w:tcBorders>
            <w:shd w:val="clear" w:color="000000" w:fill="FFFFFF"/>
            <w:noWrap/>
            <w:vAlign w:val="center"/>
            <w:hideMark/>
          </w:tcPr>
          <w:p w14:paraId="00A34ED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128</w:t>
            </w:r>
          </w:p>
        </w:tc>
      </w:tr>
      <w:tr w:rsidR="00490035" w:rsidRPr="00490035" w14:paraId="56136B0D"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0D18B932"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08855D8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120</w:t>
            </w:r>
          </w:p>
        </w:tc>
        <w:tc>
          <w:tcPr>
            <w:tcW w:w="545" w:type="dxa"/>
            <w:tcBorders>
              <w:top w:val="nil"/>
              <w:left w:val="nil"/>
              <w:bottom w:val="single" w:sz="8" w:space="0" w:color="DCDDDE"/>
              <w:right w:val="nil"/>
            </w:tcBorders>
            <w:shd w:val="clear" w:color="000000" w:fill="FFFFFF"/>
            <w:noWrap/>
            <w:vAlign w:val="center"/>
            <w:hideMark/>
          </w:tcPr>
          <w:p w14:paraId="7F6232F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122</w:t>
            </w:r>
          </w:p>
        </w:tc>
        <w:tc>
          <w:tcPr>
            <w:tcW w:w="545" w:type="dxa"/>
            <w:tcBorders>
              <w:top w:val="nil"/>
              <w:left w:val="nil"/>
              <w:bottom w:val="single" w:sz="8" w:space="0" w:color="DCDDDE"/>
              <w:right w:val="nil"/>
            </w:tcBorders>
            <w:shd w:val="clear" w:color="000000" w:fill="FFFFFF"/>
            <w:noWrap/>
            <w:vAlign w:val="center"/>
            <w:hideMark/>
          </w:tcPr>
          <w:p w14:paraId="7549F5E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137</w:t>
            </w:r>
          </w:p>
        </w:tc>
        <w:tc>
          <w:tcPr>
            <w:tcW w:w="545" w:type="dxa"/>
            <w:tcBorders>
              <w:top w:val="nil"/>
              <w:left w:val="nil"/>
              <w:bottom w:val="single" w:sz="8" w:space="0" w:color="DCDDDE"/>
              <w:right w:val="nil"/>
            </w:tcBorders>
            <w:shd w:val="clear" w:color="000000" w:fill="FFFFFF"/>
            <w:noWrap/>
            <w:vAlign w:val="center"/>
            <w:hideMark/>
          </w:tcPr>
          <w:p w14:paraId="316C4C3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163</w:t>
            </w:r>
          </w:p>
        </w:tc>
        <w:tc>
          <w:tcPr>
            <w:tcW w:w="545" w:type="dxa"/>
            <w:tcBorders>
              <w:top w:val="nil"/>
              <w:left w:val="nil"/>
              <w:bottom w:val="single" w:sz="8" w:space="0" w:color="DCDDDE"/>
              <w:right w:val="nil"/>
            </w:tcBorders>
            <w:shd w:val="clear" w:color="000000" w:fill="FFFFFF"/>
            <w:noWrap/>
            <w:vAlign w:val="center"/>
            <w:hideMark/>
          </w:tcPr>
          <w:p w14:paraId="22B44F4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158</w:t>
            </w:r>
          </w:p>
        </w:tc>
        <w:tc>
          <w:tcPr>
            <w:tcW w:w="545" w:type="dxa"/>
            <w:tcBorders>
              <w:top w:val="nil"/>
              <w:left w:val="nil"/>
              <w:bottom w:val="single" w:sz="8" w:space="0" w:color="DCDDDE"/>
              <w:right w:val="nil"/>
            </w:tcBorders>
            <w:shd w:val="clear" w:color="000000" w:fill="FFFFFF"/>
            <w:noWrap/>
            <w:vAlign w:val="center"/>
            <w:hideMark/>
          </w:tcPr>
          <w:p w14:paraId="7A51BE8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194</w:t>
            </w:r>
          </w:p>
        </w:tc>
        <w:tc>
          <w:tcPr>
            <w:tcW w:w="545" w:type="dxa"/>
            <w:tcBorders>
              <w:top w:val="nil"/>
              <w:left w:val="nil"/>
              <w:bottom w:val="single" w:sz="8" w:space="0" w:color="DCDDDE"/>
              <w:right w:val="nil"/>
            </w:tcBorders>
            <w:shd w:val="clear" w:color="000000" w:fill="FFFFFF"/>
            <w:noWrap/>
            <w:vAlign w:val="center"/>
            <w:hideMark/>
          </w:tcPr>
          <w:p w14:paraId="2D06AD7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186</w:t>
            </w:r>
          </w:p>
        </w:tc>
        <w:tc>
          <w:tcPr>
            <w:tcW w:w="545" w:type="dxa"/>
            <w:tcBorders>
              <w:top w:val="nil"/>
              <w:left w:val="nil"/>
              <w:bottom w:val="single" w:sz="8" w:space="0" w:color="DCDDDE"/>
              <w:right w:val="nil"/>
            </w:tcBorders>
            <w:shd w:val="clear" w:color="000000" w:fill="FFFFFF"/>
            <w:noWrap/>
            <w:vAlign w:val="center"/>
            <w:hideMark/>
          </w:tcPr>
          <w:p w14:paraId="743A5EA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180</w:t>
            </w:r>
          </w:p>
        </w:tc>
        <w:tc>
          <w:tcPr>
            <w:tcW w:w="545" w:type="dxa"/>
            <w:tcBorders>
              <w:top w:val="nil"/>
              <w:left w:val="nil"/>
              <w:bottom w:val="single" w:sz="8" w:space="0" w:color="DCDDDE"/>
              <w:right w:val="nil"/>
            </w:tcBorders>
            <w:shd w:val="clear" w:color="000000" w:fill="FFFFFF"/>
            <w:noWrap/>
            <w:vAlign w:val="center"/>
            <w:hideMark/>
          </w:tcPr>
          <w:p w14:paraId="7E4E79D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173</w:t>
            </w:r>
          </w:p>
        </w:tc>
        <w:tc>
          <w:tcPr>
            <w:tcW w:w="545" w:type="dxa"/>
            <w:tcBorders>
              <w:top w:val="nil"/>
              <w:left w:val="nil"/>
              <w:bottom w:val="single" w:sz="8" w:space="0" w:color="DCDDDE"/>
              <w:right w:val="nil"/>
            </w:tcBorders>
            <w:shd w:val="clear" w:color="000000" w:fill="FFFFFF"/>
            <w:noWrap/>
            <w:vAlign w:val="center"/>
            <w:hideMark/>
          </w:tcPr>
          <w:p w14:paraId="23A4540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169</w:t>
            </w:r>
          </w:p>
        </w:tc>
        <w:tc>
          <w:tcPr>
            <w:tcW w:w="545" w:type="dxa"/>
            <w:tcBorders>
              <w:top w:val="nil"/>
              <w:left w:val="nil"/>
              <w:bottom w:val="single" w:sz="8" w:space="0" w:color="DCDDDE"/>
              <w:right w:val="nil"/>
            </w:tcBorders>
            <w:shd w:val="clear" w:color="000000" w:fill="FFFFFF"/>
            <w:noWrap/>
            <w:vAlign w:val="center"/>
            <w:hideMark/>
          </w:tcPr>
          <w:p w14:paraId="7237F87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160</w:t>
            </w:r>
          </w:p>
        </w:tc>
        <w:tc>
          <w:tcPr>
            <w:tcW w:w="545" w:type="dxa"/>
            <w:tcBorders>
              <w:top w:val="nil"/>
              <w:left w:val="nil"/>
              <w:bottom w:val="single" w:sz="8" w:space="0" w:color="DCDDDE"/>
              <w:right w:val="nil"/>
            </w:tcBorders>
            <w:shd w:val="clear" w:color="000000" w:fill="FFFFFF"/>
            <w:noWrap/>
            <w:vAlign w:val="center"/>
            <w:hideMark/>
          </w:tcPr>
          <w:p w14:paraId="6844C7D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152</w:t>
            </w:r>
          </w:p>
        </w:tc>
        <w:tc>
          <w:tcPr>
            <w:tcW w:w="545" w:type="dxa"/>
            <w:tcBorders>
              <w:top w:val="nil"/>
              <w:left w:val="nil"/>
              <w:bottom w:val="single" w:sz="8" w:space="0" w:color="DCDDDE"/>
              <w:right w:val="nil"/>
            </w:tcBorders>
            <w:shd w:val="clear" w:color="000000" w:fill="FFFFFF"/>
            <w:noWrap/>
            <w:vAlign w:val="center"/>
            <w:hideMark/>
          </w:tcPr>
          <w:p w14:paraId="31B3B42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145</w:t>
            </w:r>
          </w:p>
        </w:tc>
      </w:tr>
      <w:tr w:rsidR="00490035" w:rsidRPr="00490035" w14:paraId="76158354"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41FEA99D"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61BDC85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199</w:t>
            </w:r>
          </w:p>
        </w:tc>
        <w:tc>
          <w:tcPr>
            <w:tcW w:w="545" w:type="dxa"/>
            <w:tcBorders>
              <w:top w:val="nil"/>
              <w:left w:val="nil"/>
              <w:bottom w:val="single" w:sz="8" w:space="0" w:color="DCDDDE"/>
              <w:right w:val="nil"/>
            </w:tcBorders>
            <w:shd w:val="clear" w:color="000000" w:fill="FFFFFF"/>
            <w:noWrap/>
            <w:vAlign w:val="center"/>
            <w:hideMark/>
          </w:tcPr>
          <w:p w14:paraId="48BBCFC7"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214</w:t>
            </w:r>
          </w:p>
        </w:tc>
        <w:tc>
          <w:tcPr>
            <w:tcW w:w="545" w:type="dxa"/>
            <w:tcBorders>
              <w:top w:val="nil"/>
              <w:left w:val="nil"/>
              <w:bottom w:val="single" w:sz="8" w:space="0" w:color="DCDDDE"/>
              <w:right w:val="nil"/>
            </w:tcBorders>
            <w:shd w:val="clear" w:color="000000" w:fill="FFFFFF"/>
            <w:noWrap/>
            <w:vAlign w:val="center"/>
            <w:hideMark/>
          </w:tcPr>
          <w:p w14:paraId="681EF023"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227</w:t>
            </w:r>
          </w:p>
        </w:tc>
        <w:tc>
          <w:tcPr>
            <w:tcW w:w="545" w:type="dxa"/>
            <w:tcBorders>
              <w:top w:val="nil"/>
              <w:left w:val="nil"/>
              <w:bottom w:val="single" w:sz="8" w:space="0" w:color="DCDDDE"/>
              <w:right w:val="nil"/>
            </w:tcBorders>
            <w:shd w:val="clear" w:color="000000" w:fill="FFFFFF"/>
            <w:noWrap/>
            <w:vAlign w:val="center"/>
            <w:hideMark/>
          </w:tcPr>
          <w:p w14:paraId="05EF6FAC"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261</w:t>
            </w:r>
          </w:p>
        </w:tc>
        <w:tc>
          <w:tcPr>
            <w:tcW w:w="545" w:type="dxa"/>
            <w:tcBorders>
              <w:top w:val="nil"/>
              <w:left w:val="nil"/>
              <w:bottom w:val="single" w:sz="8" w:space="0" w:color="DCDDDE"/>
              <w:right w:val="nil"/>
            </w:tcBorders>
            <w:shd w:val="clear" w:color="000000" w:fill="FFFFFF"/>
            <w:noWrap/>
            <w:vAlign w:val="center"/>
            <w:hideMark/>
          </w:tcPr>
          <w:p w14:paraId="4D9BBDC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261</w:t>
            </w:r>
          </w:p>
        </w:tc>
        <w:tc>
          <w:tcPr>
            <w:tcW w:w="545" w:type="dxa"/>
            <w:tcBorders>
              <w:top w:val="nil"/>
              <w:left w:val="nil"/>
              <w:bottom w:val="single" w:sz="8" w:space="0" w:color="DCDDDE"/>
              <w:right w:val="nil"/>
            </w:tcBorders>
            <w:shd w:val="clear" w:color="000000" w:fill="FFFFFF"/>
            <w:noWrap/>
            <w:vAlign w:val="center"/>
            <w:hideMark/>
          </w:tcPr>
          <w:p w14:paraId="6ACB454A"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300</w:t>
            </w:r>
          </w:p>
        </w:tc>
        <w:tc>
          <w:tcPr>
            <w:tcW w:w="545" w:type="dxa"/>
            <w:tcBorders>
              <w:top w:val="nil"/>
              <w:left w:val="nil"/>
              <w:bottom w:val="single" w:sz="8" w:space="0" w:color="DCDDDE"/>
              <w:right w:val="nil"/>
            </w:tcBorders>
            <w:shd w:val="clear" w:color="000000" w:fill="FFFFFF"/>
            <w:noWrap/>
            <w:vAlign w:val="center"/>
            <w:hideMark/>
          </w:tcPr>
          <w:p w14:paraId="132E2039"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296</w:t>
            </w:r>
          </w:p>
        </w:tc>
        <w:tc>
          <w:tcPr>
            <w:tcW w:w="545" w:type="dxa"/>
            <w:tcBorders>
              <w:top w:val="nil"/>
              <w:left w:val="nil"/>
              <w:bottom w:val="single" w:sz="8" w:space="0" w:color="DCDDDE"/>
              <w:right w:val="nil"/>
            </w:tcBorders>
            <w:shd w:val="clear" w:color="000000" w:fill="FFFFFF"/>
            <w:noWrap/>
            <w:vAlign w:val="center"/>
            <w:hideMark/>
          </w:tcPr>
          <w:p w14:paraId="6B96D36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295</w:t>
            </w:r>
          </w:p>
        </w:tc>
        <w:tc>
          <w:tcPr>
            <w:tcW w:w="545" w:type="dxa"/>
            <w:tcBorders>
              <w:top w:val="nil"/>
              <w:left w:val="nil"/>
              <w:bottom w:val="single" w:sz="8" w:space="0" w:color="DCDDDE"/>
              <w:right w:val="nil"/>
            </w:tcBorders>
            <w:shd w:val="clear" w:color="000000" w:fill="FFFFFF"/>
            <w:noWrap/>
            <w:vAlign w:val="center"/>
            <w:hideMark/>
          </w:tcPr>
          <w:p w14:paraId="1438955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289</w:t>
            </w:r>
          </w:p>
        </w:tc>
        <w:tc>
          <w:tcPr>
            <w:tcW w:w="545" w:type="dxa"/>
            <w:tcBorders>
              <w:top w:val="nil"/>
              <w:left w:val="nil"/>
              <w:bottom w:val="single" w:sz="8" w:space="0" w:color="DCDDDE"/>
              <w:right w:val="nil"/>
            </w:tcBorders>
            <w:shd w:val="clear" w:color="000000" w:fill="FFFFFF"/>
            <w:noWrap/>
            <w:vAlign w:val="center"/>
            <w:hideMark/>
          </w:tcPr>
          <w:p w14:paraId="59C722AB"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287</w:t>
            </w:r>
          </w:p>
        </w:tc>
        <w:tc>
          <w:tcPr>
            <w:tcW w:w="545" w:type="dxa"/>
            <w:tcBorders>
              <w:top w:val="nil"/>
              <w:left w:val="nil"/>
              <w:bottom w:val="single" w:sz="8" w:space="0" w:color="DCDDDE"/>
              <w:right w:val="nil"/>
            </w:tcBorders>
            <w:shd w:val="clear" w:color="000000" w:fill="FFFFFF"/>
            <w:noWrap/>
            <w:vAlign w:val="center"/>
            <w:hideMark/>
          </w:tcPr>
          <w:p w14:paraId="4789ED1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281</w:t>
            </w:r>
          </w:p>
        </w:tc>
        <w:tc>
          <w:tcPr>
            <w:tcW w:w="545" w:type="dxa"/>
            <w:tcBorders>
              <w:top w:val="nil"/>
              <w:left w:val="nil"/>
              <w:bottom w:val="single" w:sz="8" w:space="0" w:color="DCDDDE"/>
              <w:right w:val="nil"/>
            </w:tcBorders>
            <w:shd w:val="clear" w:color="000000" w:fill="FFFFFF"/>
            <w:noWrap/>
            <w:vAlign w:val="center"/>
            <w:hideMark/>
          </w:tcPr>
          <w:p w14:paraId="11584AB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277</w:t>
            </w:r>
          </w:p>
        </w:tc>
        <w:tc>
          <w:tcPr>
            <w:tcW w:w="545" w:type="dxa"/>
            <w:tcBorders>
              <w:top w:val="nil"/>
              <w:left w:val="nil"/>
              <w:bottom w:val="single" w:sz="8" w:space="0" w:color="DCDDDE"/>
              <w:right w:val="nil"/>
            </w:tcBorders>
            <w:shd w:val="clear" w:color="000000" w:fill="FFFFFF"/>
            <w:noWrap/>
            <w:vAlign w:val="center"/>
            <w:hideMark/>
          </w:tcPr>
          <w:p w14:paraId="03372866"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272</w:t>
            </w:r>
          </w:p>
        </w:tc>
      </w:tr>
      <w:tr w:rsidR="00490035" w:rsidRPr="00490035" w14:paraId="14A37C7C" w14:textId="77777777" w:rsidTr="00490035">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325C2927"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mTRC (GHG adder 1) | Reference</w:t>
            </w:r>
          </w:p>
        </w:tc>
      </w:tr>
      <w:tr w:rsidR="00490035" w:rsidRPr="00490035" w14:paraId="01231182"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5EEB672E"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07E22A2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w:t>
            </w:r>
          </w:p>
        </w:tc>
        <w:tc>
          <w:tcPr>
            <w:tcW w:w="545" w:type="dxa"/>
            <w:tcBorders>
              <w:top w:val="nil"/>
              <w:left w:val="nil"/>
              <w:bottom w:val="single" w:sz="8" w:space="0" w:color="DCDDDE"/>
              <w:right w:val="nil"/>
            </w:tcBorders>
            <w:shd w:val="clear" w:color="000000" w:fill="FFFFFF"/>
            <w:noWrap/>
            <w:vAlign w:val="center"/>
            <w:hideMark/>
          </w:tcPr>
          <w:p w14:paraId="0A77D6D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61</w:t>
            </w:r>
          </w:p>
        </w:tc>
        <w:tc>
          <w:tcPr>
            <w:tcW w:w="545" w:type="dxa"/>
            <w:tcBorders>
              <w:top w:val="nil"/>
              <w:left w:val="nil"/>
              <w:bottom w:val="single" w:sz="8" w:space="0" w:color="DCDDDE"/>
              <w:right w:val="nil"/>
            </w:tcBorders>
            <w:shd w:val="clear" w:color="000000" w:fill="FFFFFF"/>
            <w:noWrap/>
            <w:vAlign w:val="center"/>
            <w:hideMark/>
          </w:tcPr>
          <w:p w14:paraId="327A94B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w:t>
            </w:r>
          </w:p>
        </w:tc>
        <w:tc>
          <w:tcPr>
            <w:tcW w:w="545" w:type="dxa"/>
            <w:tcBorders>
              <w:top w:val="nil"/>
              <w:left w:val="nil"/>
              <w:bottom w:val="single" w:sz="8" w:space="0" w:color="DCDDDE"/>
              <w:right w:val="nil"/>
            </w:tcBorders>
            <w:shd w:val="clear" w:color="000000" w:fill="FFFFFF"/>
            <w:noWrap/>
            <w:vAlign w:val="center"/>
            <w:hideMark/>
          </w:tcPr>
          <w:p w14:paraId="23A7B4F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66</w:t>
            </w:r>
          </w:p>
        </w:tc>
        <w:tc>
          <w:tcPr>
            <w:tcW w:w="545" w:type="dxa"/>
            <w:tcBorders>
              <w:top w:val="nil"/>
              <w:left w:val="nil"/>
              <w:bottom w:val="single" w:sz="8" w:space="0" w:color="DCDDDE"/>
              <w:right w:val="nil"/>
            </w:tcBorders>
            <w:shd w:val="clear" w:color="000000" w:fill="FFFFFF"/>
            <w:noWrap/>
            <w:vAlign w:val="center"/>
            <w:hideMark/>
          </w:tcPr>
          <w:p w14:paraId="73D6B0C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66</w:t>
            </w:r>
          </w:p>
        </w:tc>
        <w:tc>
          <w:tcPr>
            <w:tcW w:w="545" w:type="dxa"/>
            <w:tcBorders>
              <w:top w:val="nil"/>
              <w:left w:val="nil"/>
              <w:bottom w:val="single" w:sz="8" w:space="0" w:color="DCDDDE"/>
              <w:right w:val="nil"/>
            </w:tcBorders>
            <w:shd w:val="clear" w:color="000000" w:fill="FFFFFF"/>
            <w:noWrap/>
            <w:vAlign w:val="center"/>
            <w:hideMark/>
          </w:tcPr>
          <w:p w14:paraId="0E480FC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66</w:t>
            </w:r>
          </w:p>
        </w:tc>
        <w:tc>
          <w:tcPr>
            <w:tcW w:w="545" w:type="dxa"/>
            <w:tcBorders>
              <w:top w:val="nil"/>
              <w:left w:val="nil"/>
              <w:bottom w:val="single" w:sz="8" w:space="0" w:color="DCDDDE"/>
              <w:right w:val="nil"/>
            </w:tcBorders>
            <w:shd w:val="clear" w:color="000000" w:fill="FFFFFF"/>
            <w:noWrap/>
            <w:vAlign w:val="center"/>
            <w:hideMark/>
          </w:tcPr>
          <w:p w14:paraId="7D92A86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66</w:t>
            </w:r>
          </w:p>
        </w:tc>
        <w:tc>
          <w:tcPr>
            <w:tcW w:w="545" w:type="dxa"/>
            <w:tcBorders>
              <w:top w:val="nil"/>
              <w:left w:val="nil"/>
              <w:bottom w:val="single" w:sz="8" w:space="0" w:color="DCDDDE"/>
              <w:right w:val="nil"/>
            </w:tcBorders>
            <w:shd w:val="clear" w:color="000000" w:fill="FFFFFF"/>
            <w:noWrap/>
            <w:vAlign w:val="center"/>
            <w:hideMark/>
          </w:tcPr>
          <w:p w14:paraId="7E53401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67</w:t>
            </w:r>
          </w:p>
        </w:tc>
        <w:tc>
          <w:tcPr>
            <w:tcW w:w="545" w:type="dxa"/>
            <w:tcBorders>
              <w:top w:val="nil"/>
              <w:left w:val="nil"/>
              <w:bottom w:val="single" w:sz="8" w:space="0" w:color="DCDDDE"/>
              <w:right w:val="nil"/>
            </w:tcBorders>
            <w:shd w:val="clear" w:color="000000" w:fill="FFFFFF"/>
            <w:noWrap/>
            <w:vAlign w:val="center"/>
            <w:hideMark/>
          </w:tcPr>
          <w:p w14:paraId="5ACEE06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67</w:t>
            </w:r>
          </w:p>
        </w:tc>
        <w:tc>
          <w:tcPr>
            <w:tcW w:w="545" w:type="dxa"/>
            <w:tcBorders>
              <w:top w:val="nil"/>
              <w:left w:val="nil"/>
              <w:bottom w:val="single" w:sz="8" w:space="0" w:color="DCDDDE"/>
              <w:right w:val="nil"/>
            </w:tcBorders>
            <w:shd w:val="clear" w:color="000000" w:fill="FFFFFF"/>
            <w:noWrap/>
            <w:vAlign w:val="center"/>
            <w:hideMark/>
          </w:tcPr>
          <w:p w14:paraId="4D841A8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66</w:t>
            </w:r>
          </w:p>
        </w:tc>
        <w:tc>
          <w:tcPr>
            <w:tcW w:w="545" w:type="dxa"/>
            <w:tcBorders>
              <w:top w:val="nil"/>
              <w:left w:val="nil"/>
              <w:bottom w:val="single" w:sz="8" w:space="0" w:color="DCDDDE"/>
              <w:right w:val="nil"/>
            </w:tcBorders>
            <w:shd w:val="clear" w:color="000000" w:fill="FFFFFF"/>
            <w:noWrap/>
            <w:vAlign w:val="center"/>
            <w:hideMark/>
          </w:tcPr>
          <w:p w14:paraId="5FFB571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67</w:t>
            </w:r>
          </w:p>
        </w:tc>
        <w:tc>
          <w:tcPr>
            <w:tcW w:w="545" w:type="dxa"/>
            <w:tcBorders>
              <w:top w:val="nil"/>
              <w:left w:val="nil"/>
              <w:bottom w:val="single" w:sz="8" w:space="0" w:color="DCDDDE"/>
              <w:right w:val="nil"/>
            </w:tcBorders>
            <w:shd w:val="clear" w:color="000000" w:fill="FFFFFF"/>
            <w:noWrap/>
            <w:vAlign w:val="center"/>
            <w:hideMark/>
          </w:tcPr>
          <w:p w14:paraId="4849966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68</w:t>
            </w:r>
          </w:p>
        </w:tc>
        <w:tc>
          <w:tcPr>
            <w:tcW w:w="545" w:type="dxa"/>
            <w:tcBorders>
              <w:top w:val="nil"/>
              <w:left w:val="nil"/>
              <w:bottom w:val="single" w:sz="8" w:space="0" w:color="DCDDDE"/>
              <w:right w:val="nil"/>
            </w:tcBorders>
            <w:shd w:val="clear" w:color="000000" w:fill="FFFFFF"/>
            <w:noWrap/>
            <w:vAlign w:val="center"/>
            <w:hideMark/>
          </w:tcPr>
          <w:p w14:paraId="4A1ACC7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68</w:t>
            </w:r>
          </w:p>
        </w:tc>
      </w:tr>
      <w:tr w:rsidR="00490035" w:rsidRPr="00490035" w14:paraId="54C1C70A"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396349A5"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310D193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5E8DCD0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00FEF17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4F8221F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35</w:t>
            </w:r>
          </w:p>
        </w:tc>
        <w:tc>
          <w:tcPr>
            <w:tcW w:w="545" w:type="dxa"/>
            <w:tcBorders>
              <w:top w:val="nil"/>
              <w:left w:val="nil"/>
              <w:bottom w:val="single" w:sz="8" w:space="0" w:color="DCDDDE"/>
              <w:right w:val="nil"/>
            </w:tcBorders>
            <w:shd w:val="clear" w:color="000000" w:fill="FFFFFF"/>
            <w:noWrap/>
            <w:vAlign w:val="center"/>
            <w:hideMark/>
          </w:tcPr>
          <w:p w14:paraId="4E5EFD3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2D251A8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39</w:t>
            </w:r>
          </w:p>
        </w:tc>
        <w:tc>
          <w:tcPr>
            <w:tcW w:w="545" w:type="dxa"/>
            <w:tcBorders>
              <w:top w:val="nil"/>
              <w:left w:val="nil"/>
              <w:bottom w:val="single" w:sz="8" w:space="0" w:color="DCDDDE"/>
              <w:right w:val="nil"/>
            </w:tcBorders>
            <w:shd w:val="clear" w:color="000000" w:fill="FFFFFF"/>
            <w:noWrap/>
            <w:vAlign w:val="center"/>
            <w:hideMark/>
          </w:tcPr>
          <w:p w14:paraId="03773D9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10831C4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44</w:t>
            </w:r>
          </w:p>
        </w:tc>
        <w:tc>
          <w:tcPr>
            <w:tcW w:w="545" w:type="dxa"/>
            <w:tcBorders>
              <w:top w:val="nil"/>
              <w:left w:val="nil"/>
              <w:bottom w:val="single" w:sz="8" w:space="0" w:color="DCDDDE"/>
              <w:right w:val="nil"/>
            </w:tcBorders>
            <w:shd w:val="clear" w:color="000000" w:fill="FFFFFF"/>
            <w:noWrap/>
            <w:vAlign w:val="center"/>
            <w:hideMark/>
          </w:tcPr>
          <w:p w14:paraId="10DFC54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46</w:t>
            </w:r>
          </w:p>
        </w:tc>
        <w:tc>
          <w:tcPr>
            <w:tcW w:w="545" w:type="dxa"/>
            <w:tcBorders>
              <w:top w:val="nil"/>
              <w:left w:val="nil"/>
              <w:bottom w:val="single" w:sz="8" w:space="0" w:color="DCDDDE"/>
              <w:right w:val="nil"/>
            </w:tcBorders>
            <w:shd w:val="clear" w:color="000000" w:fill="FFFFFF"/>
            <w:noWrap/>
            <w:vAlign w:val="center"/>
            <w:hideMark/>
          </w:tcPr>
          <w:p w14:paraId="739F07B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49</w:t>
            </w:r>
          </w:p>
        </w:tc>
        <w:tc>
          <w:tcPr>
            <w:tcW w:w="545" w:type="dxa"/>
            <w:tcBorders>
              <w:top w:val="nil"/>
              <w:left w:val="nil"/>
              <w:bottom w:val="single" w:sz="8" w:space="0" w:color="DCDDDE"/>
              <w:right w:val="nil"/>
            </w:tcBorders>
            <w:shd w:val="clear" w:color="000000" w:fill="FFFFFF"/>
            <w:noWrap/>
            <w:vAlign w:val="center"/>
            <w:hideMark/>
          </w:tcPr>
          <w:p w14:paraId="36F7945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51</w:t>
            </w:r>
          </w:p>
        </w:tc>
        <w:tc>
          <w:tcPr>
            <w:tcW w:w="545" w:type="dxa"/>
            <w:tcBorders>
              <w:top w:val="nil"/>
              <w:left w:val="nil"/>
              <w:bottom w:val="single" w:sz="8" w:space="0" w:color="DCDDDE"/>
              <w:right w:val="nil"/>
            </w:tcBorders>
            <w:shd w:val="clear" w:color="000000" w:fill="FFFFFF"/>
            <w:noWrap/>
            <w:vAlign w:val="center"/>
            <w:hideMark/>
          </w:tcPr>
          <w:p w14:paraId="530231C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53</w:t>
            </w:r>
          </w:p>
        </w:tc>
        <w:tc>
          <w:tcPr>
            <w:tcW w:w="545" w:type="dxa"/>
            <w:tcBorders>
              <w:top w:val="nil"/>
              <w:left w:val="nil"/>
              <w:bottom w:val="single" w:sz="8" w:space="0" w:color="DCDDDE"/>
              <w:right w:val="nil"/>
            </w:tcBorders>
            <w:shd w:val="clear" w:color="000000" w:fill="FFFFFF"/>
            <w:noWrap/>
            <w:vAlign w:val="center"/>
            <w:hideMark/>
          </w:tcPr>
          <w:p w14:paraId="163D9D2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56</w:t>
            </w:r>
          </w:p>
        </w:tc>
      </w:tr>
      <w:tr w:rsidR="00490035" w:rsidRPr="00490035" w14:paraId="57F232CE"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28FDB27C"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27B50F7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681E5E6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70198FE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1FB1967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7AE6F4A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094584B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4B0026E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5FE088D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43EF5B2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5089C5D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5077593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0DA66ED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44F7227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r>
      <w:tr w:rsidR="00490035" w:rsidRPr="00490035" w14:paraId="56E27BE7"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0193E12E"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21325B1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83</w:t>
            </w:r>
          </w:p>
        </w:tc>
        <w:tc>
          <w:tcPr>
            <w:tcW w:w="545" w:type="dxa"/>
            <w:tcBorders>
              <w:top w:val="nil"/>
              <w:left w:val="nil"/>
              <w:bottom w:val="single" w:sz="8" w:space="0" w:color="DCDDDE"/>
              <w:right w:val="nil"/>
            </w:tcBorders>
            <w:shd w:val="clear" w:color="000000" w:fill="FFFFFF"/>
            <w:noWrap/>
            <w:vAlign w:val="center"/>
            <w:hideMark/>
          </w:tcPr>
          <w:p w14:paraId="23DDF9E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96</w:t>
            </w:r>
          </w:p>
        </w:tc>
        <w:tc>
          <w:tcPr>
            <w:tcW w:w="545" w:type="dxa"/>
            <w:tcBorders>
              <w:top w:val="nil"/>
              <w:left w:val="nil"/>
              <w:bottom w:val="single" w:sz="8" w:space="0" w:color="DCDDDE"/>
              <w:right w:val="nil"/>
            </w:tcBorders>
            <w:shd w:val="clear" w:color="000000" w:fill="FFFFFF"/>
            <w:noWrap/>
            <w:vAlign w:val="center"/>
            <w:hideMark/>
          </w:tcPr>
          <w:p w14:paraId="15C8986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93</w:t>
            </w:r>
          </w:p>
        </w:tc>
        <w:tc>
          <w:tcPr>
            <w:tcW w:w="545" w:type="dxa"/>
            <w:tcBorders>
              <w:top w:val="nil"/>
              <w:left w:val="nil"/>
              <w:bottom w:val="single" w:sz="8" w:space="0" w:color="DCDDDE"/>
              <w:right w:val="nil"/>
            </w:tcBorders>
            <w:shd w:val="clear" w:color="000000" w:fill="FFFFFF"/>
            <w:noWrap/>
            <w:vAlign w:val="center"/>
            <w:hideMark/>
          </w:tcPr>
          <w:p w14:paraId="4B8C61B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105</w:t>
            </w:r>
          </w:p>
        </w:tc>
        <w:tc>
          <w:tcPr>
            <w:tcW w:w="545" w:type="dxa"/>
            <w:tcBorders>
              <w:top w:val="nil"/>
              <w:left w:val="nil"/>
              <w:bottom w:val="single" w:sz="8" w:space="0" w:color="DCDDDE"/>
              <w:right w:val="nil"/>
            </w:tcBorders>
            <w:shd w:val="clear" w:color="000000" w:fill="FFFFFF"/>
            <w:noWrap/>
            <w:vAlign w:val="center"/>
            <w:hideMark/>
          </w:tcPr>
          <w:p w14:paraId="638D1F4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107</w:t>
            </w:r>
          </w:p>
        </w:tc>
        <w:tc>
          <w:tcPr>
            <w:tcW w:w="545" w:type="dxa"/>
            <w:tcBorders>
              <w:top w:val="nil"/>
              <w:left w:val="nil"/>
              <w:bottom w:val="single" w:sz="8" w:space="0" w:color="DCDDDE"/>
              <w:right w:val="nil"/>
            </w:tcBorders>
            <w:shd w:val="clear" w:color="000000" w:fill="FFFFFF"/>
            <w:noWrap/>
            <w:vAlign w:val="center"/>
            <w:hideMark/>
          </w:tcPr>
          <w:p w14:paraId="37F4CF2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109</w:t>
            </w:r>
          </w:p>
        </w:tc>
        <w:tc>
          <w:tcPr>
            <w:tcW w:w="545" w:type="dxa"/>
            <w:tcBorders>
              <w:top w:val="nil"/>
              <w:left w:val="nil"/>
              <w:bottom w:val="single" w:sz="8" w:space="0" w:color="DCDDDE"/>
              <w:right w:val="nil"/>
            </w:tcBorders>
            <w:shd w:val="clear" w:color="000000" w:fill="FFFFFF"/>
            <w:noWrap/>
            <w:vAlign w:val="center"/>
            <w:hideMark/>
          </w:tcPr>
          <w:p w14:paraId="45BB595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111</w:t>
            </w:r>
          </w:p>
        </w:tc>
        <w:tc>
          <w:tcPr>
            <w:tcW w:w="545" w:type="dxa"/>
            <w:tcBorders>
              <w:top w:val="nil"/>
              <w:left w:val="nil"/>
              <w:bottom w:val="single" w:sz="8" w:space="0" w:color="DCDDDE"/>
              <w:right w:val="nil"/>
            </w:tcBorders>
            <w:shd w:val="clear" w:color="000000" w:fill="FFFFFF"/>
            <w:noWrap/>
            <w:vAlign w:val="center"/>
            <w:hideMark/>
          </w:tcPr>
          <w:p w14:paraId="3F5F407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115</w:t>
            </w:r>
          </w:p>
        </w:tc>
        <w:tc>
          <w:tcPr>
            <w:tcW w:w="545" w:type="dxa"/>
            <w:tcBorders>
              <w:top w:val="nil"/>
              <w:left w:val="nil"/>
              <w:bottom w:val="single" w:sz="8" w:space="0" w:color="DCDDDE"/>
              <w:right w:val="nil"/>
            </w:tcBorders>
            <w:shd w:val="clear" w:color="000000" w:fill="FFFFFF"/>
            <w:noWrap/>
            <w:vAlign w:val="center"/>
            <w:hideMark/>
          </w:tcPr>
          <w:p w14:paraId="4438D14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117</w:t>
            </w:r>
          </w:p>
        </w:tc>
        <w:tc>
          <w:tcPr>
            <w:tcW w:w="545" w:type="dxa"/>
            <w:tcBorders>
              <w:top w:val="nil"/>
              <w:left w:val="nil"/>
              <w:bottom w:val="single" w:sz="8" w:space="0" w:color="DCDDDE"/>
              <w:right w:val="nil"/>
            </w:tcBorders>
            <w:shd w:val="clear" w:color="000000" w:fill="FFFFFF"/>
            <w:noWrap/>
            <w:vAlign w:val="center"/>
            <w:hideMark/>
          </w:tcPr>
          <w:p w14:paraId="52C04AA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119</w:t>
            </w:r>
          </w:p>
        </w:tc>
        <w:tc>
          <w:tcPr>
            <w:tcW w:w="545" w:type="dxa"/>
            <w:tcBorders>
              <w:top w:val="nil"/>
              <w:left w:val="nil"/>
              <w:bottom w:val="single" w:sz="8" w:space="0" w:color="DCDDDE"/>
              <w:right w:val="nil"/>
            </w:tcBorders>
            <w:shd w:val="clear" w:color="000000" w:fill="FFFFFF"/>
            <w:noWrap/>
            <w:vAlign w:val="center"/>
            <w:hideMark/>
          </w:tcPr>
          <w:p w14:paraId="35FDEB8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122</w:t>
            </w:r>
          </w:p>
        </w:tc>
        <w:tc>
          <w:tcPr>
            <w:tcW w:w="545" w:type="dxa"/>
            <w:tcBorders>
              <w:top w:val="nil"/>
              <w:left w:val="nil"/>
              <w:bottom w:val="single" w:sz="8" w:space="0" w:color="DCDDDE"/>
              <w:right w:val="nil"/>
            </w:tcBorders>
            <w:shd w:val="clear" w:color="000000" w:fill="FFFFFF"/>
            <w:noWrap/>
            <w:vAlign w:val="center"/>
            <w:hideMark/>
          </w:tcPr>
          <w:p w14:paraId="6941464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125</w:t>
            </w:r>
          </w:p>
        </w:tc>
        <w:tc>
          <w:tcPr>
            <w:tcW w:w="545" w:type="dxa"/>
            <w:tcBorders>
              <w:top w:val="nil"/>
              <w:left w:val="nil"/>
              <w:bottom w:val="single" w:sz="8" w:space="0" w:color="DCDDDE"/>
              <w:right w:val="nil"/>
            </w:tcBorders>
            <w:shd w:val="clear" w:color="000000" w:fill="FFFFFF"/>
            <w:noWrap/>
            <w:vAlign w:val="center"/>
            <w:hideMark/>
          </w:tcPr>
          <w:p w14:paraId="0830E58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128</w:t>
            </w:r>
          </w:p>
        </w:tc>
      </w:tr>
      <w:tr w:rsidR="00490035" w:rsidRPr="00490035" w14:paraId="3E504E79"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49B84387"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3D03807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120</w:t>
            </w:r>
          </w:p>
        </w:tc>
        <w:tc>
          <w:tcPr>
            <w:tcW w:w="545" w:type="dxa"/>
            <w:tcBorders>
              <w:top w:val="nil"/>
              <w:left w:val="nil"/>
              <w:bottom w:val="single" w:sz="8" w:space="0" w:color="DCDDDE"/>
              <w:right w:val="nil"/>
            </w:tcBorders>
            <w:shd w:val="clear" w:color="000000" w:fill="FFFFFF"/>
            <w:noWrap/>
            <w:vAlign w:val="center"/>
            <w:hideMark/>
          </w:tcPr>
          <w:p w14:paraId="4A650B3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122</w:t>
            </w:r>
          </w:p>
        </w:tc>
        <w:tc>
          <w:tcPr>
            <w:tcW w:w="545" w:type="dxa"/>
            <w:tcBorders>
              <w:top w:val="nil"/>
              <w:left w:val="nil"/>
              <w:bottom w:val="single" w:sz="8" w:space="0" w:color="DCDDDE"/>
              <w:right w:val="nil"/>
            </w:tcBorders>
            <w:shd w:val="clear" w:color="000000" w:fill="FFFFFF"/>
            <w:noWrap/>
            <w:vAlign w:val="center"/>
            <w:hideMark/>
          </w:tcPr>
          <w:p w14:paraId="216BDB4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137</w:t>
            </w:r>
          </w:p>
        </w:tc>
        <w:tc>
          <w:tcPr>
            <w:tcW w:w="545" w:type="dxa"/>
            <w:tcBorders>
              <w:top w:val="nil"/>
              <w:left w:val="nil"/>
              <w:bottom w:val="single" w:sz="8" w:space="0" w:color="DCDDDE"/>
              <w:right w:val="nil"/>
            </w:tcBorders>
            <w:shd w:val="clear" w:color="000000" w:fill="FFFFFF"/>
            <w:noWrap/>
            <w:vAlign w:val="center"/>
            <w:hideMark/>
          </w:tcPr>
          <w:p w14:paraId="41C70EC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163</w:t>
            </w:r>
          </w:p>
        </w:tc>
        <w:tc>
          <w:tcPr>
            <w:tcW w:w="545" w:type="dxa"/>
            <w:tcBorders>
              <w:top w:val="nil"/>
              <w:left w:val="nil"/>
              <w:bottom w:val="single" w:sz="8" w:space="0" w:color="DCDDDE"/>
              <w:right w:val="nil"/>
            </w:tcBorders>
            <w:shd w:val="clear" w:color="000000" w:fill="FFFFFF"/>
            <w:noWrap/>
            <w:vAlign w:val="center"/>
            <w:hideMark/>
          </w:tcPr>
          <w:p w14:paraId="0C8EAAA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158</w:t>
            </w:r>
          </w:p>
        </w:tc>
        <w:tc>
          <w:tcPr>
            <w:tcW w:w="545" w:type="dxa"/>
            <w:tcBorders>
              <w:top w:val="nil"/>
              <w:left w:val="nil"/>
              <w:bottom w:val="single" w:sz="8" w:space="0" w:color="DCDDDE"/>
              <w:right w:val="nil"/>
            </w:tcBorders>
            <w:shd w:val="clear" w:color="000000" w:fill="FFFFFF"/>
            <w:noWrap/>
            <w:vAlign w:val="center"/>
            <w:hideMark/>
          </w:tcPr>
          <w:p w14:paraId="5836AC8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194</w:t>
            </w:r>
          </w:p>
        </w:tc>
        <w:tc>
          <w:tcPr>
            <w:tcW w:w="545" w:type="dxa"/>
            <w:tcBorders>
              <w:top w:val="nil"/>
              <w:left w:val="nil"/>
              <w:bottom w:val="single" w:sz="8" w:space="0" w:color="DCDDDE"/>
              <w:right w:val="nil"/>
            </w:tcBorders>
            <w:shd w:val="clear" w:color="000000" w:fill="FFFFFF"/>
            <w:noWrap/>
            <w:vAlign w:val="center"/>
            <w:hideMark/>
          </w:tcPr>
          <w:p w14:paraId="44849BC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186</w:t>
            </w:r>
          </w:p>
        </w:tc>
        <w:tc>
          <w:tcPr>
            <w:tcW w:w="545" w:type="dxa"/>
            <w:tcBorders>
              <w:top w:val="nil"/>
              <w:left w:val="nil"/>
              <w:bottom w:val="single" w:sz="8" w:space="0" w:color="DCDDDE"/>
              <w:right w:val="nil"/>
            </w:tcBorders>
            <w:shd w:val="clear" w:color="000000" w:fill="FFFFFF"/>
            <w:noWrap/>
            <w:vAlign w:val="center"/>
            <w:hideMark/>
          </w:tcPr>
          <w:p w14:paraId="2E5986C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180</w:t>
            </w:r>
          </w:p>
        </w:tc>
        <w:tc>
          <w:tcPr>
            <w:tcW w:w="545" w:type="dxa"/>
            <w:tcBorders>
              <w:top w:val="nil"/>
              <w:left w:val="nil"/>
              <w:bottom w:val="single" w:sz="8" w:space="0" w:color="DCDDDE"/>
              <w:right w:val="nil"/>
            </w:tcBorders>
            <w:shd w:val="clear" w:color="000000" w:fill="FFFFFF"/>
            <w:noWrap/>
            <w:vAlign w:val="center"/>
            <w:hideMark/>
          </w:tcPr>
          <w:p w14:paraId="3B9527F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173</w:t>
            </w:r>
          </w:p>
        </w:tc>
        <w:tc>
          <w:tcPr>
            <w:tcW w:w="545" w:type="dxa"/>
            <w:tcBorders>
              <w:top w:val="nil"/>
              <w:left w:val="nil"/>
              <w:bottom w:val="single" w:sz="8" w:space="0" w:color="DCDDDE"/>
              <w:right w:val="nil"/>
            </w:tcBorders>
            <w:shd w:val="clear" w:color="000000" w:fill="FFFFFF"/>
            <w:noWrap/>
            <w:vAlign w:val="center"/>
            <w:hideMark/>
          </w:tcPr>
          <w:p w14:paraId="642AD8C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169</w:t>
            </w:r>
          </w:p>
        </w:tc>
        <w:tc>
          <w:tcPr>
            <w:tcW w:w="545" w:type="dxa"/>
            <w:tcBorders>
              <w:top w:val="nil"/>
              <w:left w:val="nil"/>
              <w:bottom w:val="single" w:sz="8" w:space="0" w:color="DCDDDE"/>
              <w:right w:val="nil"/>
            </w:tcBorders>
            <w:shd w:val="clear" w:color="000000" w:fill="FFFFFF"/>
            <w:noWrap/>
            <w:vAlign w:val="center"/>
            <w:hideMark/>
          </w:tcPr>
          <w:p w14:paraId="5ACAAD3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160</w:t>
            </w:r>
          </w:p>
        </w:tc>
        <w:tc>
          <w:tcPr>
            <w:tcW w:w="545" w:type="dxa"/>
            <w:tcBorders>
              <w:top w:val="nil"/>
              <w:left w:val="nil"/>
              <w:bottom w:val="single" w:sz="8" w:space="0" w:color="DCDDDE"/>
              <w:right w:val="nil"/>
            </w:tcBorders>
            <w:shd w:val="clear" w:color="000000" w:fill="FFFFFF"/>
            <w:noWrap/>
            <w:vAlign w:val="center"/>
            <w:hideMark/>
          </w:tcPr>
          <w:p w14:paraId="2C642B4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152</w:t>
            </w:r>
          </w:p>
        </w:tc>
        <w:tc>
          <w:tcPr>
            <w:tcW w:w="545" w:type="dxa"/>
            <w:tcBorders>
              <w:top w:val="nil"/>
              <w:left w:val="nil"/>
              <w:bottom w:val="single" w:sz="8" w:space="0" w:color="DCDDDE"/>
              <w:right w:val="nil"/>
            </w:tcBorders>
            <w:shd w:val="clear" w:color="000000" w:fill="FFFFFF"/>
            <w:noWrap/>
            <w:vAlign w:val="center"/>
            <w:hideMark/>
          </w:tcPr>
          <w:p w14:paraId="19DC951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145</w:t>
            </w:r>
          </w:p>
        </w:tc>
      </w:tr>
      <w:tr w:rsidR="00490035" w:rsidRPr="00490035" w14:paraId="4B87B3BA"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29DF5DDC"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79209BF5"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203</w:t>
            </w:r>
          </w:p>
        </w:tc>
        <w:tc>
          <w:tcPr>
            <w:tcW w:w="545" w:type="dxa"/>
            <w:tcBorders>
              <w:top w:val="nil"/>
              <w:left w:val="nil"/>
              <w:bottom w:val="single" w:sz="8" w:space="0" w:color="DCDDDE"/>
              <w:right w:val="nil"/>
            </w:tcBorders>
            <w:shd w:val="clear" w:color="000000" w:fill="FFFFFF"/>
            <w:noWrap/>
            <w:vAlign w:val="center"/>
            <w:hideMark/>
          </w:tcPr>
          <w:p w14:paraId="730BFA7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218</w:t>
            </w:r>
          </w:p>
        </w:tc>
        <w:tc>
          <w:tcPr>
            <w:tcW w:w="545" w:type="dxa"/>
            <w:tcBorders>
              <w:top w:val="nil"/>
              <w:left w:val="nil"/>
              <w:bottom w:val="single" w:sz="8" w:space="0" w:color="DCDDDE"/>
              <w:right w:val="nil"/>
            </w:tcBorders>
            <w:shd w:val="clear" w:color="000000" w:fill="FFFFFF"/>
            <w:noWrap/>
            <w:vAlign w:val="center"/>
            <w:hideMark/>
          </w:tcPr>
          <w:p w14:paraId="2D93A56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230</w:t>
            </w:r>
          </w:p>
        </w:tc>
        <w:tc>
          <w:tcPr>
            <w:tcW w:w="545" w:type="dxa"/>
            <w:tcBorders>
              <w:top w:val="nil"/>
              <w:left w:val="nil"/>
              <w:bottom w:val="single" w:sz="8" w:space="0" w:color="DCDDDE"/>
              <w:right w:val="nil"/>
            </w:tcBorders>
            <w:shd w:val="clear" w:color="000000" w:fill="FFFFFF"/>
            <w:noWrap/>
            <w:vAlign w:val="center"/>
            <w:hideMark/>
          </w:tcPr>
          <w:p w14:paraId="143C5C79"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268</w:t>
            </w:r>
          </w:p>
        </w:tc>
        <w:tc>
          <w:tcPr>
            <w:tcW w:w="545" w:type="dxa"/>
            <w:tcBorders>
              <w:top w:val="nil"/>
              <w:left w:val="nil"/>
              <w:bottom w:val="single" w:sz="8" w:space="0" w:color="DCDDDE"/>
              <w:right w:val="nil"/>
            </w:tcBorders>
            <w:shd w:val="clear" w:color="000000" w:fill="FFFFFF"/>
            <w:noWrap/>
            <w:vAlign w:val="center"/>
            <w:hideMark/>
          </w:tcPr>
          <w:p w14:paraId="6AB44673"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266</w:t>
            </w:r>
          </w:p>
        </w:tc>
        <w:tc>
          <w:tcPr>
            <w:tcW w:w="545" w:type="dxa"/>
            <w:tcBorders>
              <w:top w:val="nil"/>
              <w:left w:val="nil"/>
              <w:bottom w:val="single" w:sz="8" w:space="0" w:color="DCDDDE"/>
              <w:right w:val="nil"/>
            </w:tcBorders>
            <w:shd w:val="clear" w:color="000000" w:fill="FFFFFF"/>
            <w:noWrap/>
            <w:vAlign w:val="center"/>
            <w:hideMark/>
          </w:tcPr>
          <w:p w14:paraId="20FFA855"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303</w:t>
            </w:r>
          </w:p>
        </w:tc>
        <w:tc>
          <w:tcPr>
            <w:tcW w:w="545" w:type="dxa"/>
            <w:tcBorders>
              <w:top w:val="nil"/>
              <w:left w:val="nil"/>
              <w:bottom w:val="single" w:sz="8" w:space="0" w:color="DCDDDE"/>
              <w:right w:val="nil"/>
            </w:tcBorders>
            <w:shd w:val="clear" w:color="000000" w:fill="FFFFFF"/>
            <w:noWrap/>
            <w:vAlign w:val="center"/>
            <w:hideMark/>
          </w:tcPr>
          <w:p w14:paraId="0AE996B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297</w:t>
            </w:r>
          </w:p>
        </w:tc>
        <w:tc>
          <w:tcPr>
            <w:tcW w:w="545" w:type="dxa"/>
            <w:tcBorders>
              <w:top w:val="nil"/>
              <w:left w:val="nil"/>
              <w:bottom w:val="single" w:sz="8" w:space="0" w:color="DCDDDE"/>
              <w:right w:val="nil"/>
            </w:tcBorders>
            <w:shd w:val="clear" w:color="000000" w:fill="FFFFFF"/>
            <w:noWrap/>
            <w:vAlign w:val="center"/>
            <w:hideMark/>
          </w:tcPr>
          <w:p w14:paraId="3E47385B"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295</w:t>
            </w:r>
          </w:p>
        </w:tc>
        <w:tc>
          <w:tcPr>
            <w:tcW w:w="545" w:type="dxa"/>
            <w:tcBorders>
              <w:top w:val="nil"/>
              <w:left w:val="nil"/>
              <w:bottom w:val="single" w:sz="8" w:space="0" w:color="DCDDDE"/>
              <w:right w:val="nil"/>
            </w:tcBorders>
            <w:shd w:val="clear" w:color="000000" w:fill="FFFFFF"/>
            <w:noWrap/>
            <w:vAlign w:val="center"/>
            <w:hideMark/>
          </w:tcPr>
          <w:p w14:paraId="4D49C10B"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290</w:t>
            </w:r>
          </w:p>
        </w:tc>
        <w:tc>
          <w:tcPr>
            <w:tcW w:w="545" w:type="dxa"/>
            <w:tcBorders>
              <w:top w:val="nil"/>
              <w:left w:val="nil"/>
              <w:bottom w:val="single" w:sz="8" w:space="0" w:color="DCDDDE"/>
              <w:right w:val="nil"/>
            </w:tcBorders>
            <w:shd w:val="clear" w:color="000000" w:fill="FFFFFF"/>
            <w:noWrap/>
            <w:vAlign w:val="center"/>
            <w:hideMark/>
          </w:tcPr>
          <w:p w14:paraId="217F8F8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288</w:t>
            </w:r>
          </w:p>
        </w:tc>
        <w:tc>
          <w:tcPr>
            <w:tcW w:w="545" w:type="dxa"/>
            <w:tcBorders>
              <w:top w:val="nil"/>
              <w:left w:val="nil"/>
              <w:bottom w:val="single" w:sz="8" w:space="0" w:color="DCDDDE"/>
              <w:right w:val="nil"/>
            </w:tcBorders>
            <w:shd w:val="clear" w:color="000000" w:fill="FFFFFF"/>
            <w:noWrap/>
            <w:vAlign w:val="center"/>
            <w:hideMark/>
          </w:tcPr>
          <w:p w14:paraId="35B0E66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282</w:t>
            </w:r>
          </w:p>
        </w:tc>
        <w:tc>
          <w:tcPr>
            <w:tcW w:w="545" w:type="dxa"/>
            <w:tcBorders>
              <w:top w:val="nil"/>
              <w:left w:val="nil"/>
              <w:bottom w:val="single" w:sz="8" w:space="0" w:color="DCDDDE"/>
              <w:right w:val="nil"/>
            </w:tcBorders>
            <w:shd w:val="clear" w:color="000000" w:fill="FFFFFF"/>
            <w:noWrap/>
            <w:vAlign w:val="center"/>
            <w:hideMark/>
          </w:tcPr>
          <w:p w14:paraId="5E850E5C"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277</w:t>
            </w:r>
          </w:p>
        </w:tc>
        <w:tc>
          <w:tcPr>
            <w:tcW w:w="545" w:type="dxa"/>
            <w:tcBorders>
              <w:top w:val="nil"/>
              <w:left w:val="nil"/>
              <w:bottom w:val="single" w:sz="8" w:space="0" w:color="DCDDDE"/>
              <w:right w:val="nil"/>
            </w:tcBorders>
            <w:shd w:val="clear" w:color="000000" w:fill="FFFFFF"/>
            <w:noWrap/>
            <w:vAlign w:val="center"/>
            <w:hideMark/>
          </w:tcPr>
          <w:p w14:paraId="3184B7B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273</w:t>
            </w:r>
          </w:p>
        </w:tc>
      </w:tr>
      <w:tr w:rsidR="00490035" w:rsidRPr="00490035" w14:paraId="0F779DA7" w14:textId="77777777" w:rsidTr="00490035">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3006C9C7"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mTRC (GHG adder 2) | Reference</w:t>
            </w:r>
          </w:p>
        </w:tc>
      </w:tr>
      <w:tr w:rsidR="00490035" w:rsidRPr="00490035" w14:paraId="5CD99D5C"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7AE7D8A5"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2B6F2F0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w:t>
            </w:r>
          </w:p>
        </w:tc>
        <w:tc>
          <w:tcPr>
            <w:tcW w:w="545" w:type="dxa"/>
            <w:tcBorders>
              <w:top w:val="nil"/>
              <w:left w:val="nil"/>
              <w:bottom w:val="single" w:sz="8" w:space="0" w:color="DCDDDE"/>
              <w:right w:val="nil"/>
            </w:tcBorders>
            <w:shd w:val="clear" w:color="000000" w:fill="FFFFFF"/>
            <w:noWrap/>
            <w:vAlign w:val="center"/>
            <w:hideMark/>
          </w:tcPr>
          <w:p w14:paraId="636ACC9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63</w:t>
            </w:r>
          </w:p>
        </w:tc>
        <w:tc>
          <w:tcPr>
            <w:tcW w:w="545" w:type="dxa"/>
            <w:tcBorders>
              <w:top w:val="nil"/>
              <w:left w:val="nil"/>
              <w:bottom w:val="single" w:sz="8" w:space="0" w:color="DCDDDE"/>
              <w:right w:val="nil"/>
            </w:tcBorders>
            <w:shd w:val="clear" w:color="000000" w:fill="FFFFFF"/>
            <w:noWrap/>
            <w:vAlign w:val="center"/>
            <w:hideMark/>
          </w:tcPr>
          <w:p w14:paraId="1338BD6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58</w:t>
            </w:r>
          </w:p>
        </w:tc>
        <w:tc>
          <w:tcPr>
            <w:tcW w:w="545" w:type="dxa"/>
            <w:tcBorders>
              <w:top w:val="nil"/>
              <w:left w:val="nil"/>
              <w:bottom w:val="single" w:sz="8" w:space="0" w:color="DCDDDE"/>
              <w:right w:val="nil"/>
            </w:tcBorders>
            <w:shd w:val="clear" w:color="000000" w:fill="FFFFFF"/>
            <w:noWrap/>
            <w:vAlign w:val="center"/>
            <w:hideMark/>
          </w:tcPr>
          <w:p w14:paraId="02C65FB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69</w:t>
            </w:r>
          </w:p>
        </w:tc>
        <w:tc>
          <w:tcPr>
            <w:tcW w:w="545" w:type="dxa"/>
            <w:tcBorders>
              <w:top w:val="nil"/>
              <w:left w:val="nil"/>
              <w:bottom w:val="single" w:sz="8" w:space="0" w:color="DCDDDE"/>
              <w:right w:val="nil"/>
            </w:tcBorders>
            <w:shd w:val="clear" w:color="000000" w:fill="FFFFFF"/>
            <w:noWrap/>
            <w:vAlign w:val="center"/>
            <w:hideMark/>
          </w:tcPr>
          <w:p w14:paraId="0F521C9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68</w:t>
            </w:r>
          </w:p>
        </w:tc>
        <w:tc>
          <w:tcPr>
            <w:tcW w:w="545" w:type="dxa"/>
            <w:tcBorders>
              <w:top w:val="nil"/>
              <w:left w:val="nil"/>
              <w:bottom w:val="single" w:sz="8" w:space="0" w:color="DCDDDE"/>
              <w:right w:val="nil"/>
            </w:tcBorders>
            <w:shd w:val="clear" w:color="000000" w:fill="FFFFFF"/>
            <w:noWrap/>
            <w:vAlign w:val="center"/>
            <w:hideMark/>
          </w:tcPr>
          <w:p w14:paraId="5C206A8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69</w:t>
            </w:r>
          </w:p>
        </w:tc>
        <w:tc>
          <w:tcPr>
            <w:tcW w:w="545" w:type="dxa"/>
            <w:tcBorders>
              <w:top w:val="nil"/>
              <w:left w:val="nil"/>
              <w:bottom w:val="single" w:sz="8" w:space="0" w:color="DCDDDE"/>
              <w:right w:val="nil"/>
            </w:tcBorders>
            <w:shd w:val="clear" w:color="000000" w:fill="FFFFFF"/>
            <w:noWrap/>
            <w:vAlign w:val="center"/>
            <w:hideMark/>
          </w:tcPr>
          <w:p w14:paraId="62A4D14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70</w:t>
            </w:r>
          </w:p>
        </w:tc>
        <w:tc>
          <w:tcPr>
            <w:tcW w:w="545" w:type="dxa"/>
            <w:tcBorders>
              <w:top w:val="nil"/>
              <w:left w:val="nil"/>
              <w:bottom w:val="single" w:sz="8" w:space="0" w:color="DCDDDE"/>
              <w:right w:val="nil"/>
            </w:tcBorders>
            <w:shd w:val="clear" w:color="000000" w:fill="FFFFFF"/>
            <w:noWrap/>
            <w:vAlign w:val="center"/>
            <w:hideMark/>
          </w:tcPr>
          <w:p w14:paraId="67FD8F1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72</w:t>
            </w:r>
          </w:p>
        </w:tc>
        <w:tc>
          <w:tcPr>
            <w:tcW w:w="545" w:type="dxa"/>
            <w:tcBorders>
              <w:top w:val="nil"/>
              <w:left w:val="nil"/>
              <w:bottom w:val="single" w:sz="8" w:space="0" w:color="DCDDDE"/>
              <w:right w:val="nil"/>
            </w:tcBorders>
            <w:shd w:val="clear" w:color="000000" w:fill="FFFFFF"/>
            <w:noWrap/>
            <w:vAlign w:val="center"/>
            <w:hideMark/>
          </w:tcPr>
          <w:p w14:paraId="05687B8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71</w:t>
            </w:r>
          </w:p>
        </w:tc>
        <w:tc>
          <w:tcPr>
            <w:tcW w:w="545" w:type="dxa"/>
            <w:tcBorders>
              <w:top w:val="nil"/>
              <w:left w:val="nil"/>
              <w:bottom w:val="single" w:sz="8" w:space="0" w:color="DCDDDE"/>
              <w:right w:val="nil"/>
            </w:tcBorders>
            <w:shd w:val="clear" w:color="000000" w:fill="FFFFFF"/>
            <w:noWrap/>
            <w:vAlign w:val="center"/>
            <w:hideMark/>
          </w:tcPr>
          <w:p w14:paraId="145850D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71</w:t>
            </w:r>
          </w:p>
        </w:tc>
        <w:tc>
          <w:tcPr>
            <w:tcW w:w="545" w:type="dxa"/>
            <w:tcBorders>
              <w:top w:val="nil"/>
              <w:left w:val="nil"/>
              <w:bottom w:val="single" w:sz="8" w:space="0" w:color="DCDDDE"/>
              <w:right w:val="nil"/>
            </w:tcBorders>
            <w:shd w:val="clear" w:color="000000" w:fill="FFFFFF"/>
            <w:noWrap/>
            <w:vAlign w:val="center"/>
            <w:hideMark/>
          </w:tcPr>
          <w:p w14:paraId="1B21738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73</w:t>
            </w:r>
          </w:p>
        </w:tc>
        <w:tc>
          <w:tcPr>
            <w:tcW w:w="545" w:type="dxa"/>
            <w:tcBorders>
              <w:top w:val="nil"/>
              <w:left w:val="nil"/>
              <w:bottom w:val="single" w:sz="8" w:space="0" w:color="DCDDDE"/>
              <w:right w:val="nil"/>
            </w:tcBorders>
            <w:shd w:val="clear" w:color="000000" w:fill="FFFFFF"/>
            <w:noWrap/>
            <w:vAlign w:val="center"/>
            <w:hideMark/>
          </w:tcPr>
          <w:p w14:paraId="6D593FA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73</w:t>
            </w:r>
          </w:p>
        </w:tc>
        <w:tc>
          <w:tcPr>
            <w:tcW w:w="545" w:type="dxa"/>
            <w:tcBorders>
              <w:top w:val="nil"/>
              <w:left w:val="nil"/>
              <w:bottom w:val="single" w:sz="8" w:space="0" w:color="DCDDDE"/>
              <w:right w:val="nil"/>
            </w:tcBorders>
            <w:shd w:val="clear" w:color="000000" w:fill="FFFFFF"/>
            <w:noWrap/>
            <w:vAlign w:val="center"/>
            <w:hideMark/>
          </w:tcPr>
          <w:p w14:paraId="13EBEC6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74</w:t>
            </w:r>
          </w:p>
        </w:tc>
      </w:tr>
      <w:tr w:rsidR="00490035" w:rsidRPr="00490035" w14:paraId="3F96E0B0"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2376C01E"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1DB515B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470FE18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474AF6A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21E4D72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35</w:t>
            </w:r>
          </w:p>
        </w:tc>
        <w:tc>
          <w:tcPr>
            <w:tcW w:w="545" w:type="dxa"/>
            <w:tcBorders>
              <w:top w:val="nil"/>
              <w:left w:val="nil"/>
              <w:bottom w:val="single" w:sz="8" w:space="0" w:color="DCDDDE"/>
              <w:right w:val="nil"/>
            </w:tcBorders>
            <w:shd w:val="clear" w:color="000000" w:fill="FFFFFF"/>
            <w:noWrap/>
            <w:vAlign w:val="center"/>
            <w:hideMark/>
          </w:tcPr>
          <w:p w14:paraId="631FE53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59AA33B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39</w:t>
            </w:r>
          </w:p>
        </w:tc>
        <w:tc>
          <w:tcPr>
            <w:tcW w:w="545" w:type="dxa"/>
            <w:tcBorders>
              <w:top w:val="nil"/>
              <w:left w:val="nil"/>
              <w:bottom w:val="single" w:sz="8" w:space="0" w:color="DCDDDE"/>
              <w:right w:val="nil"/>
            </w:tcBorders>
            <w:shd w:val="clear" w:color="000000" w:fill="FFFFFF"/>
            <w:noWrap/>
            <w:vAlign w:val="center"/>
            <w:hideMark/>
          </w:tcPr>
          <w:p w14:paraId="718EFC8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157A82F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44</w:t>
            </w:r>
          </w:p>
        </w:tc>
        <w:tc>
          <w:tcPr>
            <w:tcW w:w="545" w:type="dxa"/>
            <w:tcBorders>
              <w:top w:val="nil"/>
              <w:left w:val="nil"/>
              <w:bottom w:val="single" w:sz="8" w:space="0" w:color="DCDDDE"/>
              <w:right w:val="nil"/>
            </w:tcBorders>
            <w:shd w:val="clear" w:color="000000" w:fill="FFFFFF"/>
            <w:noWrap/>
            <w:vAlign w:val="center"/>
            <w:hideMark/>
          </w:tcPr>
          <w:p w14:paraId="17FFE36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46</w:t>
            </w:r>
          </w:p>
        </w:tc>
        <w:tc>
          <w:tcPr>
            <w:tcW w:w="545" w:type="dxa"/>
            <w:tcBorders>
              <w:top w:val="nil"/>
              <w:left w:val="nil"/>
              <w:bottom w:val="single" w:sz="8" w:space="0" w:color="DCDDDE"/>
              <w:right w:val="nil"/>
            </w:tcBorders>
            <w:shd w:val="clear" w:color="000000" w:fill="FFFFFF"/>
            <w:noWrap/>
            <w:vAlign w:val="center"/>
            <w:hideMark/>
          </w:tcPr>
          <w:p w14:paraId="4EC2ADF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49</w:t>
            </w:r>
          </w:p>
        </w:tc>
        <w:tc>
          <w:tcPr>
            <w:tcW w:w="545" w:type="dxa"/>
            <w:tcBorders>
              <w:top w:val="nil"/>
              <w:left w:val="nil"/>
              <w:bottom w:val="single" w:sz="8" w:space="0" w:color="DCDDDE"/>
              <w:right w:val="nil"/>
            </w:tcBorders>
            <w:shd w:val="clear" w:color="000000" w:fill="FFFFFF"/>
            <w:noWrap/>
            <w:vAlign w:val="center"/>
            <w:hideMark/>
          </w:tcPr>
          <w:p w14:paraId="1D97EF1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51</w:t>
            </w:r>
          </w:p>
        </w:tc>
        <w:tc>
          <w:tcPr>
            <w:tcW w:w="545" w:type="dxa"/>
            <w:tcBorders>
              <w:top w:val="nil"/>
              <w:left w:val="nil"/>
              <w:bottom w:val="single" w:sz="8" w:space="0" w:color="DCDDDE"/>
              <w:right w:val="nil"/>
            </w:tcBorders>
            <w:shd w:val="clear" w:color="000000" w:fill="FFFFFF"/>
            <w:noWrap/>
            <w:vAlign w:val="center"/>
            <w:hideMark/>
          </w:tcPr>
          <w:p w14:paraId="68BCE8F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53</w:t>
            </w:r>
          </w:p>
        </w:tc>
        <w:tc>
          <w:tcPr>
            <w:tcW w:w="545" w:type="dxa"/>
            <w:tcBorders>
              <w:top w:val="nil"/>
              <w:left w:val="nil"/>
              <w:bottom w:val="single" w:sz="8" w:space="0" w:color="DCDDDE"/>
              <w:right w:val="nil"/>
            </w:tcBorders>
            <w:shd w:val="clear" w:color="000000" w:fill="FFFFFF"/>
            <w:noWrap/>
            <w:vAlign w:val="center"/>
            <w:hideMark/>
          </w:tcPr>
          <w:p w14:paraId="3242969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56</w:t>
            </w:r>
          </w:p>
        </w:tc>
      </w:tr>
      <w:tr w:rsidR="00490035" w:rsidRPr="00490035" w14:paraId="5ACF32C4"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1A3699A1"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3BB0793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7C27615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0DCE141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35E53C9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3651B02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76E0102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0CD87A4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67D845B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6EF77FB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27EB10C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7FEE996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7F7FBD5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6290746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r>
      <w:tr w:rsidR="00490035" w:rsidRPr="00490035" w14:paraId="094A462F"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59DB79BF"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53DA677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85</w:t>
            </w:r>
          </w:p>
        </w:tc>
        <w:tc>
          <w:tcPr>
            <w:tcW w:w="545" w:type="dxa"/>
            <w:tcBorders>
              <w:top w:val="nil"/>
              <w:left w:val="nil"/>
              <w:bottom w:val="single" w:sz="8" w:space="0" w:color="DCDDDE"/>
              <w:right w:val="nil"/>
            </w:tcBorders>
            <w:shd w:val="clear" w:color="000000" w:fill="FFFFFF"/>
            <w:noWrap/>
            <w:vAlign w:val="center"/>
            <w:hideMark/>
          </w:tcPr>
          <w:p w14:paraId="7CC0C46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98</w:t>
            </w:r>
          </w:p>
        </w:tc>
        <w:tc>
          <w:tcPr>
            <w:tcW w:w="545" w:type="dxa"/>
            <w:tcBorders>
              <w:top w:val="nil"/>
              <w:left w:val="nil"/>
              <w:bottom w:val="single" w:sz="8" w:space="0" w:color="DCDDDE"/>
              <w:right w:val="nil"/>
            </w:tcBorders>
            <w:shd w:val="clear" w:color="000000" w:fill="FFFFFF"/>
            <w:noWrap/>
            <w:vAlign w:val="center"/>
            <w:hideMark/>
          </w:tcPr>
          <w:p w14:paraId="0A3AB04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95</w:t>
            </w:r>
          </w:p>
        </w:tc>
        <w:tc>
          <w:tcPr>
            <w:tcW w:w="545" w:type="dxa"/>
            <w:tcBorders>
              <w:top w:val="nil"/>
              <w:left w:val="nil"/>
              <w:bottom w:val="single" w:sz="8" w:space="0" w:color="DCDDDE"/>
              <w:right w:val="nil"/>
            </w:tcBorders>
            <w:shd w:val="clear" w:color="000000" w:fill="FFFFFF"/>
            <w:noWrap/>
            <w:vAlign w:val="center"/>
            <w:hideMark/>
          </w:tcPr>
          <w:p w14:paraId="0888809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108</w:t>
            </w:r>
          </w:p>
        </w:tc>
        <w:tc>
          <w:tcPr>
            <w:tcW w:w="545" w:type="dxa"/>
            <w:tcBorders>
              <w:top w:val="nil"/>
              <w:left w:val="nil"/>
              <w:bottom w:val="single" w:sz="8" w:space="0" w:color="DCDDDE"/>
              <w:right w:val="nil"/>
            </w:tcBorders>
            <w:shd w:val="clear" w:color="000000" w:fill="FFFFFF"/>
            <w:noWrap/>
            <w:vAlign w:val="center"/>
            <w:hideMark/>
          </w:tcPr>
          <w:p w14:paraId="77B8CAB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109</w:t>
            </w:r>
          </w:p>
        </w:tc>
        <w:tc>
          <w:tcPr>
            <w:tcW w:w="545" w:type="dxa"/>
            <w:tcBorders>
              <w:top w:val="nil"/>
              <w:left w:val="nil"/>
              <w:bottom w:val="single" w:sz="8" w:space="0" w:color="DCDDDE"/>
              <w:right w:val="nil"/>
            </w:tcBorders>
            <w:shd w:val="clear" w:color="000000" w:fill="FFFFFF"/>
            <w:noWrap/>
            <w:vAlign w:val="center"/>
            <w:hideMark/>
          </w:tcPr>
          <w:p w14:paraId="07457D0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112</w:t>
            </w:r>
          </w:p>
        </w:tc>
        <w:tc>
          <w:tcPr>
            <w:tcW w:w="545" w:type="dxa"/>
            <w:tcBorders>
              <w:top w:val="nil"/>
              <w:left w:val="nil"/>
              <w:bottom w:val="single" w:sz="8" w:space="0" w:color="DCDDDE"/>
              <w:right w:val="nil"/>
            </w:tcBorders>
            <w:shd w:val="clear" w:color="000000" w:fill="FFFFFF"/>
            <w:noWrap/>
            <w:vAlign w:val="center"/>
            <w:hideMark/>
          </w:tcPr>
          <w:p w14:paraId="0FD9AE4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115</w:t>
            </w:r>
          </w:p>
        </w:tc>
        <w:tc>
          <w:tcPr>
            <w:tcW w:w="545" w:type="dxa"/>
            <w:tcBorders>
              <w:top w:val="nil"/>
              <w:left w:val="nil"/>
              <w:bottom w:val="single" w:sz="8" w:space="0" w:color="DCDDDE"/>
              <w:right w:val="nil"/>
            </w:tcBorders>
            <w:shd w:val="clear" w:color="000000" w:fill="FFFFFF"/>
            <w:noWrap/>
            <w:vAlign w:val="center"/>
            <w:hideMark/>
          </w:tcPr>
          <w:p w14:paraId="2D000A5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120</w:t>
            </w:r>
          </w:p>
        </w:tc>
        <w:tc>
          <w:tcPr>
            <w:tcW w:w="545" w:type="dxa"/>
            <w:tcBorders>
              <w:top w:val="nil"/>
              <w:left w:val="nil"/>
              <w:bottom w:val="single" w:sz="8" w:space="0" w:color="DCDDDE"/>
              <w:right w:val="nil"/>
            </w:tcBorders>
            <w:shd w:val="clear" w:color="000000" w:fill="FFFFFF"/>
            <w:noWrap/>
            <w:vAlign w:val="center"/>
            <w:hideMark/>
          </w:tcPr>
          <w:p w14:paraId="7598E9E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121</w:t>
            </w:r>
          </w:p>
        </w:tc>
        <w:tc>
          <w:tcPr>
            <w:tcW w:w="545" w:type="dxa"/>
            <w:tcBorders>
              <w:top w:val="nil"/>
              <w:left w:val="nil"/>
              <w:bottom w:val="single" w:sz="8" w:space="0" w:color="DCDDDE"/>
              <w:right w:val="nil"/>
            </w:tcBorders>
            <w:shd w:val="clear" w:color="000000" w:fill="FFFFFF"/>
            <w:noWrap/>
            <w:vAlign w:val="center"/>
            <w:hideMark/>
          </w:tcPr>
          <w:p w14:paraId="0651C49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123</w:t>
            </w:r>
          </w:p>
        </w:tc>
        <w:tc>
          <w:tcPr>
            <w:tcW w:w="545" w:type="dxa"/>
            <w:tcBorders>
              <w:top w:val="nil"/>
              <w:left w:val="nil"/>
              <w:bottom w:val="single" w:sz="8" w:space="0" w:color="DCDDDE"/>
              <w:right w:val="nil"/>
            </w:tcBorders>
            <w:shd w:val="clear" w:color="000000" w:fill="FFFFFF"/>
            <w:noWrap/>
            <w:vAlign w:val="center"/>
            <w:hideMark/>
          </w:tcPr>
          <w:p w14:paraId="09EEC88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128</w:t>
            </w:r>
          </w:p>
        </w:tc>
        <w:tc>
          <w:tcPr>
            <w:tcW w:w="545" w:type="dxa"/>
            <w:tcBorders>
              <w:top w:val="nil"/>
              <w:left w:val="nil"/>
              <w:bottom w:val="single" w:sz="8" w:space="0" w:color="DCDDDE"/>
              <w:right w:val="nil"/>
            </w:tcBorders>
            <w:shd w:val="clear" w:color="000000" w:fill="FFFFFF"/>
            <w:noWrap/>
            <w:vAlign w:val="center"/>
            <w:hideMark/>
          </w:tcPr>
          <w:p w14:paraId="288F41A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131</w:t>
            </w:r>
          </w:p>
        </w:tc>
        <w:tc>
          <w:tcPr>
            <w:tcW w:w="545" w:type="dxa"/>
            <w:tcBorders>
              <w:top w:val="nil"/>
              <w:left w:val="nil"/>
              <w:bottom w:val="single" w:sz="8" w:space="0" w:color="DCDDDE"/>
              <w:right w:val="nil"/>
            </w:tcBorders>
            <w:shd w:val="clear" w:color="000000" w:fill="FFFFFF"/>
            <w:noWrap/>
            <w:vAlign w:val="center"/>
            <w:hideMark/>
          </w:tcPr>
          <w:p w14:paraId="1AD5708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134</w:t>
            </w:r>
          </w:p>
        </w:tc>
      </w:tr>
      <w:tr w:rsidR="00490035" w:rsidRPr="00490035" w14:paraId="2759E30C"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01731E78"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3864873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120</w:t>
            </w:r>
          </w:p>
        </w:tc>
        <w:tc>
          <w:tcPr>
            <w:tcW w:w="545" w:type="dxa"/>
            <w:tcBorders>
              <w:top w:val="nil"/>
              <w:left w:val="nil"/>
              <w:bottom w:val="single" w:sz="8" w:space="0" w:color="DCDDDE"/>
              <w:right w:val="nil"/>
            </w:tcBorders>
            <w:shd w:val="clear" w:color="000000" w:fill="FFFFFF"/>
            <w:noWrap/>
            <w:vAlign w:val="center"/>
            <w:hideMark/>
          </w:tcPr>
          <w:p w14:paraId="03A3DD2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122</w:t>
            </w:r>
          </w:p>
        </w:tc>
        <w:tc>
          <w:tcPr>
            <w:tcW w:w="545" w:type="dxa"/>
            <w:tcBorders>
              <w:top w:val="nil"/>
              <w:left w:val="nil"/>
              <w:bottom w:val="single" w:sz="8" w:space="0" w:color="DCDDDE"/>
              <w:right w:val="nil"/>
            </w:tcBorders>
            <w:shd w:val="clear" w:color="000000" w:fill="FFFFFF"/>
            <w:noWrap/>
            <w:vAlign w:val="center"/>
            <w:hideMark/>
          </w:tcPr>
          <w:p w14:paraId="406767B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137</w:t>
            </w:r>
          </w:p>
        </w:tc>
        <w:tc>
          <w:tcPr>
            <w:tcW w:w="545" w:type="dxa"/>
            <w:tcBorders>
              <w:top w:val="nil"/>
              <w:left w:val="nil"/>
              <w:bottom w:val="single" w:sz="8" w:space="0" w:color="DCDDDE"/>
              <w:right w:val="nil"/>
            </w:tcBorders>
            <w:shd w:val="clear" w:color="000000" w:fill="FFFFFF"/>
            <w:noWrap/>
            <w:vAlign w:val="center"/>
            <w:hideMark/>
          </w:tcPr>
          <w:p w14:paraId="5A020BA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163</w:t>
            </w:r>
          </w:p>
        </w:tc>
        <w:tc>
          <w:tcPr>
            <w:tcW w:w="545" w:type="dxa"/>
            <w:tcBorders>
              <w:top w:val="nil"/>
              <w:left w:val="nil"/>
              <w:bottom w:val="single" w:sz="8" w:space="0" w:color="DCDDDE"/>
              <w:right w:val="nil"/>
            </w:tcBorders>
            <w:shd w:val="clear" w:color="000000" w:fill="FFFFFF"/>
            <w:noWrap/>
            <w:vAlign w:val="center"/>
            <w:hideMark/>
          </w:tcPr>
          <w:p w14:paraId="1B85E66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158</w:t>
            </w:r>
          </w:p>
        </w:tc>
        <w:tc>
          <w:tcPr>
            <w:tcW w:w="545" w:type="dxa"/>
            <w:tcBorders>
              <w:top w:val="nil"/>
              <w:left w:val="nil"/>
              <w:bottom w:val="single" w:sz="8" w:space="0" w:color="DCDDDE"/>
              <w:right w:val="nil"/>
            </w:tcBorders>
            <w:shd w:val="clear" w:color="000000" w:fill="FFFFFF"/>
            <w:noWrap/>
            <w:vAlign w:val="center"/>
            <w:hideMark/>
          </w:tcPr>
          <w:p w14:paraId="7AE4C3F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194</w:t>
            </w:r>
          </w:p>
        </w:tc>
        <w:tc>
          <w:tcPr>
            <w:tcW w:w="545" w:type="dxa"/>
            <w:tcBorders>
              <w:top w:val="nil"/>
              <w:left w:val="nil"/>
              <w:bottom w:val="single" w:sz="8" w:space="0" w:color="DCDDDE"/>
              <w:right w:val="nil"/>
            </w:tcBorders>
            <w:shd w:val="clear" w:color="000000" w:fill="FFFFFF"/>
            <w:noWrap/>
            <w:vAlign w:val="center"/>
            <w:hideMark/>
          </w:tcPr>
          <w:p w14:paraId="354011E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186</w:t>
            </w:r>
          </w:p>
        </w:tc>
        <w:tc>
          <w:tcPr>
            <w:tcW w:w="545" w:type="dxa"/>
            <w:tcBorders>
              <w:top w:val="nil"/>
              <w:left w:val="nil"/>
              <w:bottom w:val="single" w:sz="8" w:space="0" w:color="DCDDDE"/>
              <w:right w:val="nil"/>
            </w:tcBorders>
            <w:shd w:val="clear" w:color="000000" w:fill="FFFFFF"/>
            <w:noWrap/>
            <w:vAlign w:val="center"/>
            <w:hideMark/>
          </w:tcPr>
          <w:p w14:paraId="75FAFBD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180</w:t>
            </w:r>
          </w:p>
        </w:tc>
        <w:tc>
          <w:tcPr>
            <w:tcW w:w="545" w:type="dxa"/>
            <w:tcBorders>
              <w:top w:val="nil"/>
              <w:left w:val="nil"/>
              <w:bottom w:val="single" w:sz="8" w:space="0" w:color="DCDDDE"/>
              <w:right w:val="nil"/>
            </w:tcBorders>
            <w:shd w:val="clear" w:color="000000" w:fill="FFFFFF"/>
            <w:noWrap/>
            <w:vAlign w:val="center"/>
            <w:hideMark/>
          </w:tcPr>
          <w:p w14:paraId="389D5BA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173</w:t>
            </w:r>
          </w:p>
        </w:tc>
        <w:tc>
          <w:tcPr>
            <w:tcW w:w="545" w:type="dxa"/>
            <w:tcBorders>
              <w:top w:val="nil"/>
              <w:left w:val="nil"/>
              <w:bottom w:val="single" w:sz="8" w:space="0" w:color="DCDDDE"/>
              <w:right w:val="nil"/>
            </w:tcBorders>
            <w:shd w:val="clear" w:color="000000" w:fill="FFFFFF"/>
            <w:noWrap/>
            <w:vAlign w:val="center"/>
            <w:hideMark/>
          </w:tcPr>
          <w:p w14:paraId="07D1CDA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169</w:t>
            </w:r>
          </w:p>
        </w:tc>
        <w:tc>
          <w:tcPr>
            <w:tcW w:w="545" w:type="dxa"/>
            <w:tcBorders>
              <w:top w:val="nil"/>
              <w:left w:val="nil"/>
              <w:bottom w:val="single" w:sz="8" w:space="0" w:color="DCDDDE"/>
              <w:right w:val="nil"/>
            </w:tcBorders>
            <w:shd w:val="clear" w:color="000000" w:fill="FFFFFF"/>
            <w:noWrap/>
            <w:vAlign w:val="center"/>
            <w:hideMark/>
          </w:tcPr>
          <w:p w14:paraId="16CADA5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160</w:t>
            </w:r>
          </w:p>
        </w:tc>
        <w:tc>
          <w:tcPr>
            <w:tcW w:w="545" w:type="dxa"/>
            <w:tcBorders>
              <w:top w:val="nil"/>
              <w:left w:val="nil"/>
              <w:bottom w:val="single" w:sz="8" w:space="0" w:color="DCDDDE"/>
              <w:right w:val="nil"/>
            </w:tcBorders>
            <w:shd w:val="clear" w:color="000000" w:fill="FFFFFF"/>
            <w:noWrap/>
            <w:vAlign w:val="center"/>
            <w:hideMark/>
          </w:tcPr>
          <w:p w14:paraId="7F279D5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152</w:t>
            </w:r>
          </w:p>
        </w:tc>
        <w:tc>
          <w:tcPr>
            <w:tcW w:w="545" w:type="dxa"/>
            <w:tcBorders>
              <w:top w:val="nil"/>
              <w:left w:val="nil"/>
              <w:bottom w:val="single" w:sz="8" w:space="0" w:color="DCDDDE"/>
              <w:right w:val="nil"/>
            </w:tcBorders>
            <w:shd w:val="clear" w:color="000000" w:fill="FFFFFF"/>
            <w:noWrap/>
            <w:vAlign w:val="center"/>
            <w:hideMark/>
          </w:tcPr>
          <w:p w14:paraId="2DCCDD7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145</w:t>
            </w:r>
          </w:p>
        </w:tc>
      </w:tr>
      <w:tr w:rsidR="00490035" w:rsidRPr="00490035" w14:paraId="503F2B90"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3E6806A5"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37D3C62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205</w:t>
            </w:r>
          </w:p>
        </w:tc>
        <w:tc>
          <w:tcPr>
            <w:tcW w:w="545" w:type="dxa"/>
            <w:tcBorders>
              <w:top w:val="nil"/>
              <w:left w:val="nil"/>
              <w:bottom w:val="single" w:sz="8" w:space="0" w:color="DCDDDE"/>
              <w:right w:val="nil"/>
            </w:tcBorders>
            <w:shd w:val="clear" w:color="000000" w:fill="FFFFFF"/>
            <w:noWrap/>
            <w:vAlign w:val="center"/>
            <w:hideMark/>
          </w:tcPr>
          <w:p w14:paraId="52649FD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220</w:t>
            </w:r>
          </w:p>
        </w:tc>
        <w:tc>
          <w:tcPr>
            <w:tcW w:w="545" w:type="dxa"/>
            <w:tcBorders>
              <w:top w:val="nil"/>
              <w:left w:val="nil"/>
              <w:bottom w:val="single" w:sz="8" w:space="0" w:color="DCDDDE"/>
              <w:right w:val="nil"/>
            </w:tcBorders>
            <w:shd w:val="clear" w:color="000000" w:fill="FFFFFF"/>
            <w:noWrap/>
            <w:vAlign w:val="center"/>
            <w:hideMark/>
          </w:tcPr>
          <w:p w14:paraId="7954588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233</w:t>
            </w:r>
          </w:p>
        </w:tc>
        <w:tc>
          <w:tcPr>
            <w:tcW w:w="545" w:type="dxa"/>
            <w:tcBorders>
              <w:top w:val="nil"/>
              <w:left w:val="nil"/>
              <w:bottom w:val="single" w:sz="8" w:space="0" w:color="DCDDDE"/>
              <w:right w:val="nil"/>
            </w:tcBorders>
            <w:shd w:val="clear" w:color="000000" w:fill="FFFFFF"/>
            <w:noWrap/>
            <w:vAlign w:val="center"/>
            <w:hideMark/>
          </w:tcPr>
          <w:p w14:paraId="33D67045"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271</w:t>
            </w:r>
          </w:p>
        </w:tc>
        <w:tc>
          <w:tcPr>
            <w:tcW w:w="545" w:type="dxa"/>
            <w:tcBorders>
              <w:top w:val="nil"/>
              <w:left w:val="nil"/>
              <w:bottom w:val="single" w:sz="8" w:space="0" w:color="DCDDDE"/>
              <w:right w:val="nil"/>
            </w:tcBorders>
            <w:shd w:val="clear" w:color="000000" w:fill="FFFFFF"/>
            <w:noWrap/>
            <w:vAlign w:val="center"/>
            <w:hideMark/>
          </w:tcPr>
          <w:p w14:paraId="449DC68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268</w:t>
            </w:r>
          </w:p>
        </w:tc>
        <w:tc>
          <w:tcPr>
            <w:tcW w:w="545" w:type="dxa"/>
            <w:tcBorders>
              <w:top w:val="nil"/>
              <w:left w:val="nil"/>
              <w:bottom w:val="single" w:sz="8" w:space="0" w:color="DCDDDE"/>
              <w:right w:val="nil"/>
            </w:tcBorders>
            <w:shd w:val="clear" w:color="000000" w:fill="FFFFFF"/>
            <w:noWrap/>
            <w:vAlign w:val="center"/>
            <w:hideMark/>
          </w:tcPr>
          <w:p w14:paraId="73D62379"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306</w:t>
            </w:r>
          </w:p>
        </w:tc>
        <w:tc>
          <w:tcPr>
            <w:tcW w:w="545" w:type="dxa"/>
            <w:tcBorders>
              <w:top w:val="nil"/>
              <w:left w:val="nil"/>
              <w:bottom w:val="single" w:sz="8" w:space="0" w:color="DCDDDE"/>
              <w:right w:val="nil"/>
            </w:tcBorders>
            <w:shd w:val="clear" w:color="000000" w:fill="FFFFFF"/>
            <w:noWrap/>
            <w:vAlign w:val="center"/>
            <w:hideMark/>
          </w:tcPr>
          <w:p w14:paraId="791BD183"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301</w:t>
            </w:r>
          </w:p>
        </w:tc>
        <w:tc>
          <w:tcPr>
            <w:tcW w:w="545" w:type="dxa"/>
            <w:tcBorders>
              <w:top w:val="nil"/>
              <w:left w:val="nil"/>
              <w:bottom w:val="single" w:sz="8" w:space="0" w:color="DCDDDE"/>
              <w:right w:val="nil"/>
            </w:tcBorders>
            <w:shd w:val="clear" w:color="000000" w:fill="FFFFFF"/>
            <w:noWrap/>
            <w:vAlign w:val="center"/>
            <w:hideMark/>
          </w:tcPr>
          <w:p w14:paraId="3B4198D5"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300</w:t>
            </w:r>
          </w:p>
        </w:tc>
        <w:tc>
          <w:tcPr>
            <w:tcW w:w="545" w:type="dxa"/>
            <w:tcBorders>
              <w:top w:val="nil"/>
              <w:left w:val="nil"/>
              <w:bottom w:val="single" w:sz="8" w:space="0" w:color="DCDDDE"/>
              <w:right w:val="nil"/>
            </w:tcBorders>
            <w:shd w:val="clear" w:color="000000" w:fill="FFFFFF"/>
            <w:noWrap/>
            <w:vAlign w:val="center"/>
            <w:hideMark/>
          </w:tcPr>
          <w:p w14:paraId="5E910229"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294</w:t>
            </w:r>
          </w:p>
        </w:tc>
        <w:tc>
          <w:tcPr>
            <w:tcW w:w="545" w:type="dxa"/>
            <w:tcBorders>
              <w:top w:val="nil"/>
              <w:left w:val="nil"/>
              <w:bottom w:val="single" w:sz="8" w:space="0" w:color="DCDDDE"/>
              <w:right w:val="nil"/>
            </w:tcBorders>
            <w:shd w:val="clear" w:color="000000" w:fill="FFFFFF"/>
            <w:noWrap/>
            <w:vAlign w:val="center"/>
            <w:hideMark/>
          </w:tcPr>
          <w:p w14:paraId="7C0CD67A"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292</w:t>
            </w:r>
          </w:p>
        </w:tc>
        <w:tc>
          <w:tcPr>
            <w:tcW w:w="545" w:type="dxa"/>
            <w:tcBorders>
              <w:top w:val="nil"/>
              <w:left w:val="nil"/>
              <w:bottom w:val="single" w:sz="8" w:space="0" w:color="DCDDDE"/>
              <w:right w:val="nil"/>
            </w:tcBorders>
            <w:shd w:val="clear" w:color="000000" w:fill="FFFFFF"/>
            <w:noWrap/>
            <w:vAlign w:val="center"/>
            <w:hideMark/>
          </w:tcPr>
          <w:p w14:paraId="138D02A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288</w:t>
            </w:r>
          </w:p>
        </w:tc>
        <w:tc>
          <w:tcPr>
            <w:tcW w:w="545" w:type="dxa"/>
            <w:tcBorders>
              <w:top w:val="nil"/>
              <w:left w:val="nil"/>
              <w:bottom w:val="single" w:sz="8" w:space="0" w:color="DCDDDE"/>
              <w:right w:val="nil"/>
            </w:tcBorders>
            <w:shd w:val="clear" w:color="000000" w:fill="FFFFFF"/>
            <w:noWrap/>
            <w:vAlign w:val="center"/>
            <w:hideMark/>
          </w:tcPr>
          <w:p w14:paraId="23AA9B27"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282</w:t>
            </w:r>
          </w:p>
        </w:tc>
        <w:tc>
          <w:tcPr>
            <w:tcW w:w="545" w:type="dxa"/>
            <w:tcBorders>
              <w:top w:val="nil"/>
              <w:left w:val="nil"/>
              <w:bottom w:val="single" w:sz="8" w:space="0" w:color="DCDDDE"/>
              <w:right w:val="nil"/>
            </w:tcBorders>
            <w:shd w:val="clear" w:color="000000" w:fill="FFFFFF"/>
            <w:noWrap/>
            <w:vAlign w:val="center"/>
            <w:hideMark/>
          </w:tcPr>
          <w:p w14:paraId="630EF7A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278</w:t>
            </w:r>
          </w:p>
        </w:tc>
      </w:tr>
      <w:tr w:rsidR="00490035" w:rsidRPr="00490035" w14:paraId="4EA4A74B" w14:textId="77777777" w:rsidTr="00490035">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22771D1D" w14:textId="77777777" w:rsidR="00490035" w:rsidRPr="00490035" w:rsidRDefault="00490035" w:rsidP="00390151">
            <w:pPr>
              <w:spacing w:line="240" w:lineRule="auto"/>
              <w:jc w:val="center"/>
              <w:rPr>
                <w:rFonts w:ascii="Arial Narrow" w:hAnsi="Arial Narrow"/>
                <w:b/>
                <w:bCs/>
                <w:sz w:val="18"/>
                <w:szCs w:val="18"/>
              </w:rPr>
            </w:pPr>
            <w:r w:rsidRPr="00490035">
              <w:rPr>
                <w:rFonts w:ascii="Arial Narrow" w:hAnsi="Arial Narrow"/>
                <w:b/>
                <w:bCs/>
                <w:sz w:val="18"/>
                <w:szCs w:val="18"/>
              </w:rPr>
              <w:t>PAC | Reference</w:t>
            </w:r>
          </w:p>
        </w:tc>
      </w:tr>
      <w:tr w:rsidR="00490035" w:rsidRPr="00490035" w14:paraId="5B2F9381"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1DB2C635"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6E6AB08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91</w:t>
            </w:r>
          </w:p>
        </w:tc>
        <w:tc>
          <w:tcPr>
            <w:tcW w:w="545" w:type="dxa"/>
            <w:tcBorders>
              <w:top w:val="nil"/>
              <w:left w:val="nil"/>
              <w:bottom w:val="single" w:sz="8" w:space="0" w:color="DCDDDE"/>
              <w:right w:val="nil"/>
            </w:tcBorders>
            <w:shd w:val="clear" w:color="000000" w:fill="FFFFFF"/>
            <w:noWrap/>
            <w:vAlign w:val="center"/>
            <w:hideMark/>
          </w:tcPr>
          <w:p w14:paraId="0E03EE2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100</w:t>
            </w:r>
          </w:p>
        </w:tc>
        <w:tc>
          <w:tcPr>
            <w:tcW w:w="545" w:type="dxa"/>
            <w:tcBorders>
              <w:top w:val="nil"/>
              <w:left w:val="nil"/>
              <w:bottom w:val="single" w:sz="8" w:space="0" w:color="DCDDDE"/>
              <w:right w:val="nil"/>
            </w:tcBorders>
            <w:shd w:val="clear" w:color="000000" w:fill="FFFFFF"/>
            <w:noWrap/>
            <w:vAlign w:val="center"/>
            <w:hideMark/>
          </w:tcPr>
          <w:p w14:paraId="47D3712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94</w:t>
            </w:r>
          </w:p>
        </w:tc>
        <w:tc>
          <w:tcPr>
            <w:tcW w:w="545" w:type="dxa"/>
            <w:tcBorders>
              <w:top w:val="nil"/>
              <w:left w:val="nil"/>
              <w:bottom w:val="single" w:sz="8" w:space="0" w:color="DCDDDE"/>
              <w:right w:val="nil"/>
            </w:tcBorders>
            <w:shd w:val="clear" w:color="000000" w:fill="FFFFFF"/>
            <w:noWrap/>
            <w:vAlign w:val="center"/>
            <w:hideMark/>
          </w:tcPr>
          <w:p w14:paraId="15A9E1F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102</w:t>
            </w:r>
          </w:p>
        </w:tc>
        <w:tc>
          <w:tcPr>
            <w:tcW w:w="545" w:type="dxa"/>
            <w:tcBorders>
              <w:top w:val="nil"/>
              <w:left w:val="nil"/>
              <w:bottom w:val="single" w:sz="8" w:space="0" w:color="DCDDDE"/>
              <w:right w:val="nil"/>
            </w:tcBorders>
            <w:shd w:val="clear" w:color="000000" w:fill="FFFFFF"/>
            <w:noWrap/>
            <w:vAlign w:val="center"/>
            <w:hideMark/>
          </w:tcPr>
          <w:p w14:paraId="314E2B3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103</w:t>
            </w:r>
          </w:p>
        </w:tc>
        <w:tc>
          <w:tcPr>
            <w:tcW w:w="545" w:type="dxa"/>
            <w:tcBorders>
              <w:top w:val="nil"/>
              <w:left w:val="nil"/>
              <w:bottom w:val="single" w:sz="8" w:space="0" w:color="DCDDDE"/>
              <w:right w:val="nil"/>
            </w:tcBorders>
            <w:shd w:val="clear" w:color="000000" w:fill="FFFFFF"/>
            <w:noWrap/>
            <w:vAlign w:val="center"/>
            <w:hideMark/>
          </w:tcPr>
          <w:p w14:paraId="1EDD24E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100</w:t>
            </w:r>
          </w:p>
        </w:tc>
        <w:tc>
          <w:tcPr>
            <w:tcW w:w="545" w:type="dxa"/>
            <w:tcBorders>
              <w:top w:val="nil"/>
              <w:left w:val="nil"/>
              <w:bottom w:val="single" w:sz="8" w:space="0" w:color="DCDDDE"/>
              <w:right w:val="nil"/>
            </w:tcBorders>
            <w:shd w:val="clear" w:color="000000" w:fill="FFFFFF"/>
            <w:noWrap/>
            <w:vAlign w:val="center"/>
            <w:hideMark/>
          </w:tcPr>
          <w:p w14:paraId="24DD09F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98</w:t>
            </w:r>
          </w:p>
        </w:tc>
        <w:tc>
          <w:tcPr>
            <w:tcW w:w="545" w:type="dxa"/>
            <w:tcBorders>
              <w:top w:val="nil"/>
              <w:left w:val="nil"/>
              <w:bottom w:val="single" w:sz="8" w:space="0" w:color="DCDDDE"/>
              <w:right w:val="nil"/>
            </w:tcBorders>
            <w:shd w:val="clear" w:color="000000" w:fill="FFFFFF"/>
            <w:noWrap/>
            <w:vAlign w:val="center"/>
            <w:hideMark/>
          </w:tcPr>
          <w:p w14:paraId="4ED4C32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98</w:t>
            </w:r>
          </w:p>
        </w:tc>
        <w:tc>
          <w:tcPr>
            <w:tcW w:w="545" w:type="dxa"/>
            <w:tcBorders>
              <w:top w:val="nil"/>
              <w:left w:val="nil"/>
              <w:bottom w:val="single" w:sz="8" w:space="0" w:color="DCDDDE"/>
              <w:right w:val="nil"/>
            </w:tcBorders>
            <w:shd w:val="clear" w:color="000000" w:fill="FFFFFF"/>
            <w:noWrap/>
            <w:vAlign w:val="center"/>
            <w:hideMark/>
          </w:tcPr>
          <w:p w14:paraId="534F179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95</w:t>
            </w:r>
          </w:p>
        </w:tc>
        <w:tc>
          <w:tcPr>
            <w:tcW w:w="545" w:type="dxa"/>
            <w:tcBorders>
              <w:top w:val="nil"/>
              <w:left w:val="nil"/>
              <w:bottom w:val="single" w:sz="8" w:space="0" w:color="DCDDDE"/>
              <w:right w:val="nil"/>
            </w:tcBorders>
            <w:shd w:val="clear" w:color="000000" w:fill="FFFFFF"/>
            <w:noWrap/>
            <w:vAlign w:val="center"/>
            <w:hideMark/>
          </w:tcPr>
          <w:p w14:paraId="1C47E73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94</w:t>
            </w:r>
          </w:p>
        </w:tc>
        <w:tc>
          <w:tcPr>
            <w:tcW w:w="545" w:type="dxa"/>
            <w:tcBorders>
              <w:top w:val="nil"/>
              <w:left w:val="nil"/>
              <w:bottom w:val="single" w:sz="8" w:space="0" w:color="DCDDDE"/>
              <w:right w:val="nil"/>
            </w:tcBorders>
            <w:shd w:val="clear" w:color="000000" w:fill="FFFFFF"/>
            <w:noWrap/>
            <w:vAlign w:val="center"/>
            <w:hideMark/>
          </w:tcPr>
          <w:p w14:paraId="0D7D5AF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94</w:t>
            </w:r>
          </w:p>
        </w:tc>
        <w:tc>
          <w:tcPr>
            <w:tcW w:w="545" w:type="dxa"/>
            <w:tcBorders>
              <w:top w:val="nil"/>
              <w:left w:val="nil"/>
              <w:bottom w:val="single" w:sz="8" w:space="0" w:color="DCDDDE"/>
              <w:right w:val="nil"/>
            </w:tcBorders>
            <w:shd w:val="clear" w:color="000000" w:fill="FFFFFF"/>
            <w:noWrap/>
            <w:vAlign w:val="center"/>
            <w:hideMark/>
          </w:tcPr>
          <w:p w14:paraId="1D1825A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94</w:t>
            </w:r>
          </w:p>
        </w:tc>
        <w:tc>
          <w:tcPr>
            <w:tcW w:w="545" w:type="dxa"/>
            <w:tcBorders>
              <w:top w:val="nil"/>
              <w:left w:val="nil"/>
              <w:bottom w:val="single" w:sz="8" w:space="0" w:color="DCDDDE"/>
              <w:right w:val="nil"/>
            </w:tcBorders>
            <w:shd w:val="clear" w:color="000000" w:fill="FFFFFF"/>
            <w:noWrap/>
            <w:vAlign w:val="center"/>
            <w:hideMark/>
          </w:tcPr>
          <w:p w14:paraId="426942A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94</w:t>
            </w:r>
          </w:p>
        </w:tc>
      </w:tr>
      <w:tr w:rsidR="00490035" w:rsidRPr="00490035" w14:paraId="6E278109"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4B3A9F98"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23095AF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38F494C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19FC22E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78D2FF5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35</w:t>
            </w:r>
          </w:p>
        </w:tc>
        <w:tc>
          <w:tcPr>
            <w:tcW w:w="545" w:type="dxa"/>
            <w:tcBorders>
              <w:top w:val="nil"/>
              <w:left w:val="nil"/>
              <w:bottom w:val="single" w:sz="8" w:space="0" w:color="DCDDDE"/>
              <w:right w:val="nil"/>
            </w:tcBorders>
            <w:shd w:val="clear" w:color="000000" w:fill="FFFFFF"/>
            <w:noWrap/>
            <w:vAlign w:val="center"/>
            <w:hideMark/>
          </w:tcPr>
          <w:p w14:paraId="519B3C4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4B64FB5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39</w:t>
            </w:r>
          </w:p>
        </w:tc>
        <w:tc>
          <w:tcPr>
            <w:tcW w:w="545" w:type="dxa"/>
            <w:tcBorders>
              <w:top w:val="nil"/>
              <w:left w:val="nil"/>
              <w:bottom w:val="single" w:sz="8" w:space="0" w:color="DCDDDE"/>
              <w:right w:val="nil"/>
            </w:tcBorders>
            <w:shd w:val="clear" w:color="000000" w:fill="FFFFFF"/>
            <w:noWrap/>
            <w:vAlign w:val="center"/>
            <w:hideMark/>
          </w:tcPr>
          <w:p w14:paraId="7C0BEAC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703A1BB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44</w:t>
            </w:r>
          </w:p>
        </w:tc>
        <w:tc>
          <w:tcPr>
            <w:tcW w:w="545" w:type="dxa"/>
            <w:tcBorders>
              <w:top w:val="nil"/>
              <w:left w:val="nil"/>
              <w:bottom w:val="single" w:sz="8" w:space="0" w:color="DCDDDE"/>
              <w:right w:val="nil"/>
            </w:tcBorders>
            <w:shd w:val="clear" w:color="000000" w:fill="FFFFFF"/>
            <w:noWrap/>
            <w:vAlign w:val="center"/>
            <w:hideMark/>
          </w:tcPr>
          <w:p w14:paraId="00465CC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46</w:t>
            </w:r>
          </w:p>
        </w:tc>
        <w:tc>
          <w:tcPr>
            <w:tcW w:w="545" w:type="dxa"/>
            <w:tcBorders>
              <w:top w:val="nil"/>
              <w:left w:val="nil"/>
              <w:bottom w:val="single" w:sz="8" w:space="0" w:color="DCDDDE"/>
              <w:right w:val="nil"/>
            </w:tcBorders>
            <w:shd w:val="clear" w:color="000000" w:fill="FFFFFF"/>
            <w:noWrap/>
            <w:vAlign w:val="center"/>
            <w:hideMark/>
          </w:tcPr>
          <w:p w14:paraId="2663012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49</w:t>
            </w:r>
          </w:p>
        </w:tc>
        <w:tc>
          <w:tcPr>
            <w:tcW w:w="545" w:type="dxa"/>
            <w:tcBorders>
              <w:top w:val="nil"/>
              <w:left w:val="nil"/>
              <w:bottom w:val="single" w:sz="8" w:space="0" w:color="DCDDDE"/>
              <w:right w:val="nil"/>
            </w:tcBorders>
            <w:shd w:val="clear" w:color="000000" w:fill="FFFFFF"/>
            <w:noWrap/>
            <w:vAlign w:val="center"/>
            <w:hideMark/>
          </w:tcPr>
          <w:p w14:paraId="3F304FD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51</w:t>
            </w:r>
          </w:p>
        </w:tc>
        <w:tc>
          <w:tcPr>
            <w:tcW w:w="545" w:type="dxa"/>
            <w:tcBorders>
              <w:top w:val="nil"/>
              <w:left w:val="nil"/>
              <w:bottom w:val="single" w:sz="8" w:space="0" w:color="DCDDDE"/>
              <w:right w:val="nil"/>
            </w:tcBorders>
            <w:shd w:val="clear" w:color="000000" w:fill="FFFFFF"/>
            <w:noWrap/>
            <w:vAlign w:val="center"/>
            <w:hideMark/>
          </w:tcPr>
          <w:p w14:paraId="3B730FE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53</w:t>
            </w:r>
          </w:p>
        </w:tc>
        <w:tc>
          <w:tcPr>
            <w:tcW w:w="545" w:type="dxa"/>
            <w:tcBorders>
              <w:top w:val="nil"/>
              <w:left w:val="nil"/>
              <w:bottom w:val="single" w:sz="8" w:space="0" w:color="DCDDDE"/>
              <w:right w:val="nil"/>
            </w:tcBorders>
            <w:shd w:val="clear" w:color="000000" w:fill="FFFFFF"/>
            <w:noWrap/>
            <w:vAlign w:val="center"/>
            <w:hideMark/>
          </w:tcPr>
          <w:p w14:paraId="4836820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56</w:t>
            </w:r>
          </w:p>
        </w:tc>
      </w:tr>
      <w:tr w:rsidR="00490035" w:rsidRPr="00490035" w14:paraId="235A81B8"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7C8E3A71"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7764EAC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758F932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200D4EA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398F56E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4B04B30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0E5503B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6E7C33B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2DD98C3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0DE5CB0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43AA1D8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703BFCB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485BD50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060906E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r>
      <w:tr w:rsidR="00490035" w:rsidRPr="00490035" w14:paraId="74EBC6DB"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622F335A"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lastRenderedPageBreak/>
              <w:t>Incentive Programs (Subtotal)</w:t>
            </w:r>
          </w:p>
        </w:tc>
        <w:tc>
          <w:tcPr>
            <w:tcW w:w="545" w:type="dxa"/>
            <w:tcBorders>
              <w:top w:val="nil"/>
              <w:left w:val="nil"/>
              <w:bottom w:val="single" w:sz="8" w:space="0" w:color="DCDDDE"/>
              <w:right w:val="nil"/>
            </w:tcBorders>
            <w:shd w:val="clear" w:color="000000" w:fill="FFFFFF"/>
            <w:noWrap/>
            <w:vAlign w:val="center"/>
            <w:hideMark/>
          </w:tcPr>
          <w:p w14:paraId="47D1F6C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119</w:t>
            </w:r>
          </w:p>
        </w:tc>
        <w:tc>
          <w:tcPr>
            <w:tcW w:w="545" w:type="dxa"/>
            <w:tcBorders>
              <w:top w:val="nil"/>
              <w:left w:val="nil"/>
              <w:bottom w:val="single" w:sz="8" w:space="0" w:color="DCDDDE"/>
              <w:right w:val="nil"/>
            </w:tcBorders>
            <w:shd w:val="clear" w:color="000000" w:fill="FFFFFF"/>
            <w:noWrap/>
            <w:vAlign w:val="center"/>
            <w:hideMark/>
          </w:tcPr>
          <w:p w14:paraId="5CF556D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134</w:t>
            </w:r>
          </w:p>
        </w:tc>
        <w:tc>
          <w:tcPr>
            <w:tcW w:w="545" w:type="dxa"/>
            <w:tcBorders>
              <w:top w:val="nil"/>
              <w:left w:val="nil"/>
              <w:bottom w:val="single" w:sz="8" w:space="0" w:color="DCDDDE"/>
              <w:right w:val="nil"/>
            </w:tcBorders>
            <w:shd w:val="clear" w:color="000000" w:fill="FFFFFF"/>
            <w:noWrap/>
            <w:vAlign w:val="center"/>
            <w:hideMark/>
          </w:tcPr>
          <w:p w14:paraId="4B12079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131</w:t>
            </w:r>
          </w:p>
        </w:tc>
        <w:tc>
          <w:tcPr>
            <w:tcW w:w="545" w:type="dxa"/>
            <w:tcBorders>
              <w:top w:val="nil"/>
              <w:left w:val="nil"/>
              <w:bottom w:val="single" w:sz="8" w:space="0" w:color="DCDDDE"/>
              <w:right w:val="nil"/>
            </w:tcBorders>
            <w:shd w:val="clear" w:color="000000" w:fill="FFFFFF"/>
            <w:noWrap/>
            <w:vAlign w:val="center"/>
            <w:hideMark/>
          </w:tcPr>
          <w:p w14:paraId="0DBA2B9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141</w:t>
            </w:r>
          </w:p>
        </w:tc>
        <w:tc>
          <w:tcPr>
            <w:tcW w:w="545" w:type="dxa"/>
            <w:tcBorders>
              <w:top w:val="nil"/>
              <w:left w:val="nil"/>
              <w:bottom w:val="single" w:sz="8" w:space="0" w:color="DCDDDE"/>
              <w:right w:val="nil"/>
            </w:tcBorders>
            <w:shd w:val="clear" w:color="000000" w:fill="FFFFFF"/>
            <w:noWrap/>
            <w:vAlign w:val="center"/>
            <w:hideMark/>
          </w:tcPr>
          <w:p w14:paraId="3A27CDE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144</w:t>
            </w:r>
          </w:p>
        </w:tc>
        <w:tc>
          <w:tcPr>
            <w:tcW w:w="545" w:type="dxa"/>
            <w:tcBorders>
              <w:top w:val="nil"/>
              <w:left w:val="nil"/>
              <w:bottom w:val="single" w:sz="8" w:space="0" w:color="DCDDDE"/>
              <w:right w:val="nil"/>
            </w:tcBorders>
            <w:shd w:val="clear" w:color="000000" w:fill="FFFFFF"/>
            <w:noWrap/>
            <w:vAlign w:val="center"/>
            <w:hideMark/>
          </w:tcPr>
          <w:p w14:paraId="2412BC4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143</w:t>
            </w:r>
          </w:p>
        </w:tc>
        <w:tc>
          <w:tcPr>
            <w:tcW w:w="545" w:type="dxa"/>
            <w:tcBorders>
              <w:top w:val="nil"/>
              <w:left w:val="nil"/>
              <w:bottom w:val="single" w:sz="8" w:space="0" w:color="DCDDDE"/>
              <w:right w:val="nil"/>
            </w:tcBorders>
            <w:shd w:val="clear" w:color="000000" w:fill="FFFFFF"/>
            <w:noWrap/>
            <w:vAlign w:val="center"/>
            <w:hideMark/>
          </w:tcPr>
          <w:p w14:paraId="7DCEEEA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143</w:t>
            </w:r>
          </w:p>
        </w:tc>
        <w:tc>
          <w:tcPr>
            <w:tcW w:w="545" w:type="dxa"/>
            <w:tcBorders>
              <w:top w:val="nil"/>
              <w:left w:val="nil"/>
              <w:bottom w:val="single" w:sz="8" w:space="0" w:color="DCDDDE"/>
              <w:right w:val="nil"/>
            </w:tcBorders>
            <w:shd w:val="clear" w:color="000000" w:fill="FFFFFF"/>
            <w:noWrap/>
            <w:vAlign w:val="center"/>
            <w:hideMark/>
          </w:tcPr>
          <w:p w14:paraId="06A743B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146</w:t>
            </w:r>
          </w:p>
        </w:tc>
        <w:tc>
          <w:tcPr>
            <w:tcW w:w="545" w:type="dxa"/>
            <w:tcBorders>
              <w:top w:val="nil"/>
              <w:left w:val="nil"/>
              <w:bottom w:val="single" w:sz="8" w:space="0" w:color="DCDDDE"/>
              <w:right w:val="nil"/>
            </w:tcBorders>
            <w:shd w:val="clear" w:color="000000" w:fill="FFFFFF"/>
            <w:noWrap/>
            <w:vAlign w:val="center"/>
            <w:hideMark/>
          </w:tcPr>
          <w:p w14:paraId="59DE318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145</w:t>
            </w:r>
          </w:p>
        </w:tc>
        <w:tc>
          <w:tcPr>
            <w:tcW w:w="545" w:type="dxa"/>
            <w:tcBorders>
              <w:top w:val="nil"/>
              <w:left w:val="nil"/>
              <w:bottom w:val="single" w:sz="8" w:space="0" w:color="DCDDDE"/>
              <w:right w:val="nil"/>
            </w:tcBorders>
            <w:shd w:val="clear" w:color="000000" w:fill="FFFFFF"/>
            <w:noWrap/>
            <w:vAlign w:val="center"/>
            <w:hideMark/>
          </w:tcPr>
          <w:p w14:paraId="3C1EE4A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147</w:t>
            </w:r>
          </w:p>
        </w:tc>
        <w:tc>
          <w:tcPr>
            <w:tcW w:w="545" w:type="dxa"/>
            <w:tcBorders>
              <w:top w:val="nil"/>
              <w:left w:val="nil"/>
              <w:bottom w:val="single" w:sz="8" w:space="0" w:color="DCDDDE"/>
              <w:right w:val="nil"/>
            </w:tcBorders>
            <w:shd w:val="clear" w:color="000000" w:fill="FFFFFF"/>
            <w:noWrap/>
            <w:vAlign w:val="center"/>
            <w:hideMark/>
          </w:tcPr>
          <w:p w14:paraId="0836C7F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149</w:t>
            </w:r>
          </w:p>
        </w:tc>
        <w:tc>
          <w:tcPr>
            <w:tcW w:w="545" w:type="dxa"/>
            <w:tcBorders>
              <w:top w:val="nil"/>
              <w:left w:val="nil"/>
              <w:bottom w:val="single" w:sz="8" w:space="0" w:color="DCDDDE"/>
              <w:right w:val="nil"/>
            </w:tcBorders>
            <w:shd w:val="clear" w:color="000000" w:fill="FFFFFF"/>
            <w:noWrap/>
            <w:vAlign w:val="center"/>
            <w:hideMark/>
          </w:tcPr>
          <w:p w14:paraId="38A30F4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151</w:t>
            </w:r>
          </w:p>
        </w:tc>
        <w:tc>
          <w:tcPr>
            <w:tcW w:w="545" w:type="dxa"/>
            <w:tcBorders>
              <w:top w:val="nil"/>
              <w:left w:val="nil"/>
              <w:bottom w:val="single" w:sz="8" w:space="0" w:color="DCDDDE"/>
              <w:right w:val="nil"/>
            </w:tcBorders>
            <w:shd w:val="clear" w:color="000000" w:fill="FFFFFF"/>
            <w:noWrap/>
            <w:vAlign w:val="center"/>
            <w:hideMark/>
          </w:tcPr>
          <w:p w14:paraId="628DCC8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154</w:t>
            </w:r>
          </w:p>
        </w:tc>
      </w:tr>
      <w:tr w:rsidR="00490035" w:rsidRPr="00490035" w14:paraId="02D7D554"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1438B6C6"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5EC87D1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120</w:t>
            </w:r>
          </w:p>
        </w:tc>
        <w:tc>
          <w:tcPr>
            <w:tcW w:w="545" w:type="dxa"/>
            <w:tcBorders>
              <w:top w:val="nil"/>
              <w:left w:val="nil"/>
              <w:bottom w:val="single" w:sz="8" w:space="0" w:color="DCDDDE"/>
              <w:right w:val="nil"/>
            </w:tcBorders>
            <w:shd w:val="clear" w:color="000000" w:fill="FFFFFF"/>
            <w:noWrap/>
            <w:vAlign w:val="center"/>
            <w:hideMark/>
          </w:tcPr>
          <w:p w14:paraId="4C7450F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122</w:t>
            </w:r>
          </w:p>
        </w:tc>
        <w:tc>
          <w:tcPr>
            <w:tcW w:w="545" w:type="dxa"/>
            <w:tcBorders>
              <w:top w:val="nil"/>
              <w:left w:val="nil"/>
              <w:bottom w:val="single" w:sz="8" w:space="0" w:color="DCDDDE"/>
              <w:right w:val="nil"/>
            </w:tcBorders>
            <w:shd w:val="clear" w:color="000000" w:fill="FFFFFF"/>
            <w:noWrap/>
            <w:vAlign w:val="center"/>
            <w:hideMark/>
          </w:tcPr>
          <w:p w14:paraId="255323F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137</w:t>
            </w:r>
          </w:p>
        </w:tc>
        <w:tc>
          <w:tcPr>
            <w:tcW w:w="545" w:type="dxa"/>
            <w:tcBorders>
              <w:top w:val="nil"/>
              <w:left w:val="nil"/>
              <w:bottom w:val="single" w:sz="8" w:space="0" w:color="DCDDDE"/>
              <w:right w:val="nil"/>
            </w:tcBorders>
            <w:shd w:val="clear" w:color="000000" w:fill="FFFFFF"/>
            <w:noWrap/>
            <w:vAlign w:val="center"/>
            <w:hideMark/>
          </w:tcPr>
          <w:p w14:paraId="0197ADD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163</w:t>
            </w:r>
          </w:p>
        </w:tc>
        <w:tc>
          <w:tcPr>
            <w:tcW w:w="545" w:type="dxa"/>
            <w:tcBorders>
              <w:top w:val="nil"/>
              <w:left w:val="nil"/>
              <w:bottom w:val="single" w:sz="8" w:space="0" w:color="DCDDDE"/>
              <w:right w:val="nil"/>
            </w:tcBorders>
            <w:shd w:val="clear" w:color="000000" w:fill="FFFFFF"/>
            <w:noWrap/>
            <w:vAlign w:val="center"/>
            <w:hideMark/>
          </w:tcPr>
          <w:p w14:paraId="32F42B2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158</w:t>
            </w:r>
          </w:p>
        </w:tc>
        <w:tc>
          <w:tcPr>
            <w:tcW w:w="545" w:type="dxa"/>
            <w:tcBorders>
              <w:top w:val="nil"/>
              <w:left w:val="nil"/>
              <w:bottom w:val="single" w:sz="8" w:space="0" w:color="DCDDDE"/>
              <w:right w:val="nil"/>
            </w:tcBorders>
            <w:shd w:val="clear" w:color="000000" w:fill="FFFFFF"/>
            <w:noWrap/>
            <w:vAlign w:val="center"/>
            <w:hideMark/>
          </w:tcPr>
          <w:p w14:paraId="5C2762A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194</w:t>
            </w:r>
          </w:p>
        </w:tc>
        <w:tc>
          <w:tcPr>
            <w:tcW w:w="545" w:type="dxa"/>
            <w:tcBorders>
              <w:top w:val="nil"/>
              <w:left w:val="nil"/>
              <w:bottom w:val="single" w:sz="8" w:space="0" w:color="DCDDDE"/>
              <w:right w:val="nil"/>
            </w:tcBorders>
            <w:shd w:val="clear" w:color="000000" w:fill="FFFFFF"/>
            <w:noWrap/>
            <w:vAlign w:val="center"/>
            <w:hideMark/>
          </w:tcPr>
          <w:p w14:paraId="6E00D24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186</w:t>
            </w:r>
          </w:p>
        </w:tc>
        <w:tc>
          <w:tcPr>
            <w:tcW w:w="545" w:type="dxa"/>
            <w:tcBorders>
              <w:top w:val="nil"/>
              <w:left w:val="nil"/>
              <w:bottom w:val="single" w:sz="8" w:space="0" w:color="DCDDDE"/>
              <w:right w:val="nil"/>
            </w:tcBorders>
            <w:shd w:val="clear" w:color="000000" w:fill="FFFFFF"/>
            <w:noWrap/>
            <w:vAlign w:val="center"/>
            <w:hideMark/>
          </w:tcPr>
          <w:p w14:paraId="3090176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180</w:t>
            </w:r>
          </w:p>
        </w:tc>
        <w:tc>
          <w:tcPr>
            <w:tcW w:w="545" w:type="dxa"/>
            <w:tcBorders>
              <w:top w:val="nil"/>
              <w:left w:val="nil"/>
              <w:bottom w:val="single" w:sz="8" w:space="0" w:color="DCDDDE"/>
              <w:right w:val="nil"/>
            </w:tcBorders>
            <w:shd w:val="clear" w:color="000000" w:fill="FFFFFF"/>
            <w:noWrap/>
            <w:vAlign w:val="center"/>
            <w:hideMark/>
          </w:tcPr>
          <w:p w14:paraId="22DFB9C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173</w:t>
            </w:r>
          </w:p>
        </w:tc>
        <w:tc>
          <w:tcPr>
            <w:tcW w:w="545" w:type="dxa"/>
            <w:tcBorders>
              <w:top w:val="nil"/>
              <w:left w:val="nil"/>
              <w:bottom w:val="single" w:sz="8" w:space="0" w:color="DCDDDE"/>
              <w:right w:val="nil"/>
            </w:tcBorders>
            <w:shd w:val="clear" w:color="000000" w:fill="FFFFFF"/>
            <w:noWrap/>
            <w:vAlign w:val="center"/>
            <w:hideMark/>
          </w:tcPr>
          <w:p w14:paraId="7BE76A9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169</w:t>
            </w:r>
          </w:p>
        </w:tc>
        <w:tc>
          <w:tcPr>
            <w:tcW w:w="545" w:type="dxa"/>
            <w:tcBorders>
              <w:top w:val="nil"/>
              <w:left w:val="nil"/>
              <w:bottom w:val="single" w:sz="8" w:space="0" w:color="DCDDDE"/>
              <w:right w:val="nil"/>
            </w:tcBorders>
            <w:shd w:val="clear" w:color="000000" w:fill="FFFFFF"/>
            <w:noWrap/>
            <w:vAlign w:val="center"/>
            <w:hideMark/>
          </w:tcPr>
          <w:p w14:paraId="77F259B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160</w:t>
            </w:r>
          </w:p>
        </w:tc>
        <w:tc>
          <w:tcPr>
            <w:tcW w:w="545" w:type="dxa"/>
            <w:tcBorders>
              <w:top w:val="nil"/>
              <w:left w:val="nil"/>
              <w:bottom w:val="single" w:sz="8" w:space="0" w:color="DCDDDE"/>
              <w:right w:val="nil"/>
            </w:tcBorders>
            <w:shd w:val="clear" w:color="000000" w:fill="FFFFFF"/>
            <w:noWrap/>
            <w:vAlign w:val="center"/>
            <w:hideMark/>
          </w:tcPr>
          <w:p w14:paraId="2768700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152</w:t>
            </w:r>
          </w:p>
        </w:tc>
        <w:tc>
          <w:tcPr>
            <w:tcW w:w="545" w:type="dxa"/>
            <w:tcBorders>
              <w:top w:val="nil"/>
              <w:left w:val="nil"/>
              <w:bottom w:val="single" w:sz="8" w:space="0" w:color="DCDDDE"/>
              <w:right w:val="nil"/>
            </w:tcBorders>
            <w:shd w:val="clear" w:color="000000" w:fill="FFFFFF"/>
            <w:noWrap/>
            <w:vAlign w:val="center"/>
            <w:hideMark/>
          </w:tcPr>
          <w:p w14:paraId="6C9DF54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145</w:t>
            </w:r>
          </w:p>
        </w:tc>
      </w:tr>
      <w:tr w:rsidR="00490035" w:rsidRPr="00490035" w14:paraId="211F0767"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2D1FA8E5"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329F279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239</w:t>
            </w:r>
          </w:p>
        </w:tc>
        <w:tc>
          <w:tcPr>
            <w:tcW w:w="545" w:type="dxa"/>
            <w:tcBorders>
              <w:top w:val="nil"/>
              <w:left w:val="nil"/>
              <w:bottom w:val="single" w:sz="8" w:space="0" w:color="DCDDDE"/>
              <w:right w:val="nil"/>
            </w:tcBorders>
            <w:shd w:val="clear" w:color="000000" w:fill="FFFFFF"/>
            <w:noWrap/>
            <w:vAlign w:val="center"/>
            <w:hideMark/>
          </w:tcPr>
          <w:p w14:paraId="1EBDD65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256</w:t>
            </w:r>
          </w:p>
        </w:tc>
        <w:tc>
          <w:tcPr>
            <w:tcW w:w="545" w:type="dxa"/>
            <w:tcBorders>
              <w:top w:val="nil"/>
              <w:left w:val="nil"/>
              <w:bottom w:val="single" w:sz="8" w:space="0" w:color="DCDDDE"/>
              <w:right w:val="nil"/>
            </w:tcBorders>
            <w:shd w:val="clear" w:color="000000" w:fill="FFFFFF"/>
            <w:noWrap/>
            <w:vAlign w:val="center"/>
            <w:hideMark/>
          </w:tcPr>
          <w:p w14:paraId="73D5B52E"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269</w:t>
            </w:r>
          </w:p>
        </w:tc>
        <w:tc>
          <w:tcPr>
            <w:tcW w:w="545" w:type="dxa"/>
            <w:tcBorders>
              <w:top w:val="nil"/>
              <w:left w:val="nil"/>
              <w:bottom w:val="single" w:sz="8" w:space="0" w:color="DCDDDE"/>
              <w:right w:val="nil"/>
            </w:tcBorders>
            <w:shd w:val="clear" w:color="000000" w:fill="FFFFFF"/>
            <w:noWrap/>
            <w:vAlign w:val="center"/>
            <w:hideMark/>
          </w:tcPr>
          <w:p w14:paraId="6894882A"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304</w:t>
            </w:r>
          </w:p>
        </w:tc>
        <w:tc>
          <w:tcPr>
            <w:tcW w:w="545" w:type="dxa"/>
            <w:tcBorders>
              <w:top w:val="nil"/>
              <w:left w:val="nil"/>
              <w:bottom w:val="single" w:sz="8" w:space="0" w:color="DCDDDE"/>
              <w:right w:val="nil"/>
            </w:tcBorders>
            <w:shd w:val="clear" w:color="000000" w:fill="FFFFFF"/>
            <w:noWrap/>
            <w:vAlign w:val="center"/>
            <w:hideMark/>
          </w:tcPr>
          <w:p w14:paraId="2538A72D"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302</w:t>
            </w:r>
          </w:p>
        </w:tc>
        <w:tc>
          <w:tcPr>
            <w:tcW w:w="545" w:type="dxa"/>
            <w:tcBorders>
              <w:top w:val="nil"/>
              <w:left w:val="nil"/>
              <w:bottom w:val="single" w:sz="8" w:space="0" w:color="DCDDDE"/>
              <w:right w:val="nil"/>
            </w:tcBorders>
            <w:shd w:val="clear" w:color="000000" w:fill="FFFFFF"/>
            <w:noWrap/>
            <w:vAlign w:val="center"/>
            <w:hideMark/>
          </w:tcPr>
          <w:p w14:paraId="09721CC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337</w:t>
            </w:r>
          </w:p>
        </w:tc>
        <w:tc>
          <w:tcPr>
            <w:tcW w:w="545" w:type="dxa"/>
            <w:tcBorders>
              <w:top w:val="nil"/>
              <w:left w:val="nil"/>
              <w:bottom w:val="single" w:sz="8" w:space="0" w:color="DCDDDE"/>
              <w:right w:val="nil"/>
            </w:tcBorders>
            <w:shd w:val="clear" w:color="000000" w:fill="FFFFFF"/>
            <w:noWrap/>
            <w:vAlign w:val="center"/>
            <w:hideMark/>
          </w:tcPr>
          <w:p w14:paraId="79C5BC73"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329</w:t>
            </w:r>
          </w:p>
        </w:tc>
        <w:tc>
          <w:tcPr>
            <w:tcW w:w="545" w:type="dxa"/>
            <w:tcBorders>
              <w:top w:val="nil"/>
              <w:left w:val="nil"/>
              <w:bottom w:val="single" w:sz="8" w:space="0" w:color="DCDDDE"/>
              <w:right w:val="nil"/>
            </w:tcBorders>
            <w:shd w:val="clear" w:color="000000" w:fill="FFFFFF"/>
            <w:noWrap/>
            <w:vAlign w:val="center"/>
            <w:hideMark/>
          </w:tcPr>
          <w:p w14:paraId="31DB8BA7"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326</w:t>
            </w:r>
          </w:p>
        </w:tc>
        <w:tc>
          <w:tcPr>
            <w:tcW w:w="545" w:type="dxa"/>
            <w:tcBorders>
              <w:top w:val="nil"/>
              <w:left w:val="nil"/>
              <w:bottom w:val="single" w:sz="8" w:space="0" w:color="DCDDDE"/>
              <w:right w:val="nil"/>
            </w:tcBorders>
            <w:shd w:val="clear" w:color="000000" w:fill="FFFFFF"/>
            <w:noWrap/>
            <w:vAlign w:val="center"/>
            <w:hideMark/>
          </w:tcPr>
          <w:p w14:paraId="4E895385"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318</w:t>
            </w:r>
          </w:p>
        </w:tc>
        <w:tc>
          <w:tcPr>
            <w:tcW w:w="545" w:type="dxa"/>
            <w:tcBorders>
              <w:top w:val="nil"/>
              <w:left w:val="nil"/>
              <w:bottom w:val="single" w:sz="8" w:space="0" w:color="DCDDDE"/>
              <w:right w:val="nil"/>
            </w:tcBorders>
            <w:shd w:val="clear" w:color="000000" w:fill="FFFFFF"/>
            <w:noWrap/>
            <w:vAlign w:val="center"/>
            <w:hideMark/>
          </w:tcPr>
          <w:p w14:paraId="0555E49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315</w:t>
            </w:r>
          </w:p>
        </w:tc>
        <w:tc>
          <w:tcPr>
            <w:tcW w:w="545" w:type="dxa"/>
            <w:tcBorders>
              <w:top w:val="nil"/>
              <w:left w:val="nil"/>
              <w:bottom w:val="single" w:sz="8" w:space="0" w:color="DCDDDE"/>
              <w:right w:val="nil"/>
            </w:tcBorders>
            <w:shd w:val="clear" w:color="000000" w:fill="FFFFFF"/>
            <w:noWrap/>
            <w:vAlign w:val="center"/>
            <w:hideMark/>
          </w:tcPr>
          <w:p w14:paraId="4B2F557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308</w:t>
            </w:r>
          </w:p>
        </w:tc>
        <w:tc>
          <w:tcPr>
            <w:tcW w:w="545" w:type="dxa"/>
            <w:tcBorders>
              <w:top w:val="nil"/>
              <w:left w:val="nil"/>
              <w:bottom w:val="single" w:sz="8" w:space="0" w:color="DCDDDE"/>
              <w:right w:val="nil"/>
            </w:tcBorders>
            <w:shd w:val="clear" w:color="000000" w:fill="FFFFFF"/>
            <w:noWrap/>
            <w:vAlign w:val="center"/>
            <w:hideMark/>
          </w:tcPr>
          <w:p w14:paraId="71ED88B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303</w:t>
            </w:r>
          </w:p>
        </w:tc>
        <w:tc>
          <w:tcPr>
            <w:tcW w:w="545" w:type="dxa"/>
            <w:tcBorders>
              <w:top w:val="nil"/>
              <w:left w:val="nil"/>
              <w:bottom w:val="single" w:sz="8" w:space="0" w:color="DCDDDE"/>
              <w:right w:val="nil"/>
            </w:tcBorders>
            <w:shd w:val="clear" w:color="000000" w:fill="FFFFFF"/>
            <w:noWrap/>
            <w:vAlign w:val="center"/>
            <w:hideMark/>
          </w:tcPr>
          <w:p w14:paraId="40A1FACB"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298</w:t>
            </w:r>
          </w:p>
        </w:tc>
      </w:tr>
      <w:tr w:rsidR="00490035" w:rsidRPr="00490035" w14:paraId="47287744" w14:textId="77777777" w:rsidTr="00490035">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3E6BC319"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PAC | Aggressive</w:t>
            </w:r>
          </w:p>
        </w:tc>
      </w:tr>
      <w:tr w:rsidR="00490035" w:rsidRPr="00490035" w14:paraId="16E57A95"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767435BB"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633E327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96</w:t>
            </w:r>
          </w:p>
        </w:tc>
        <w:tc>
          <w:tcPr>
            <w:tcW w:w="545" w:type="dxa"/>
            <w:tcBorders>
              <w:top w:val="nil"/>
              <w:left w:val="nil"/>
              <w:bottom w:val="single" w:sz="8" w:space="0" w:color="DCDDDE"/>
              <w:right w:val="nil"/>
            </w:tcBorders>
            <w:shd w:val="clear" w:color="000000" w:fill="FFFFFF"/>
            <w:noWrap/>
            <w:vAlign w:val="center"/>
            <w:hideMark/>
          </w:tcPr>
          <w:p w14:paraId="64227F2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105</w:t>
            </w:r>
          </w:p>
        </w:tc>
        <w:tc>
          <w:tcPr>
            <w:tcW w:w="545" w:type="dxa"/>
            <w:tcBorders>
              <w:top w:val="nil"/>
              <w:left w:val="nil"/>
              <w:bottom w:val="single" w:sz="8" w:space="0" w:color="DCDDDE"/>
              <w:right w:val="nil"/>
            </w:tcBorders>
            <w:shd w:val="clear" w:color="000000" w:fill="FFFFFF"/>
            <w:noWrap/>
            <w:vAlign w:val="center"/>
            <w:hideMark/>
          </w:tcPr>
          <w:p w14:paraId="1A74F46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99</w:t>
            </w:r>
          </w:p>
        </w:tc>
        <w:tc>
          <w:tcPr>
            <w:tcW w:w="545" w:type="dxa"/>
            <w:tcBorders>
              <w:top w:val="nil"/>
              <w:left w:val="nil"/>
              <w:bottom w:val="single" w:sz="8" w:space="0" w:color="DCDDDE"/>
              <w:right w:val="nil"/>
            </w:tcBorders>
            <w:shd w:val="clear" w:color="000000" w:fill="FFFFFF"/>
            <w:noWrap/>
            <w:vAlign w:val="center"/>
            <w:hideMark/>
          </w:tcPr>
          <w:p w14:paraId="13D0E93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109</w:t>
            </w:r>
          </w:p>
        </w:tc>
        <w:tc>
          <w:tcPr>
            <w:tcW w:w="545" w:type="dxa"/>
            <w:tcBorders>
              <w:top w:val="nil"/>
              <w:left w:val="nil"/>
              <w:bottom w:val="single" w:sz="8" w:space="0" w:color="DCDDDE"/>
              <w:right w:val="nil"/>
            </w:tcBorders>
            <w:shd w:val="clear" w:color="000000" w:fill="FFFFFF"/>
            <w:noWrap/>
            <w:vAlign w:val="center"/>
            <w:hideMark/>
          </w:tcPr>
          <w:p w14:paraId="508F95A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109</w:t>
            </w:r>
          </w:p>
        </w:tc>
        <w:tc>
          <w:tcPr>
            <w:tcW w:w="545" w:type="dxa"/>
            <w:tcBorders>
              <w:top w:val="nil"/>
              <w:left w:val="nil"/>
              <w:bottom w:val="single" w:sz="8" w:space="0" w:color="DCDDDE"/>
              <w:right w:val="nil"/>
            </w:tcBorders>
            <w:shd w:val="clear" w:color="000000" w:fill="FFFFFF"/>
            <w:noWrap/>
            <w:vAlign w:val="center"/>
            <w:hideMark/>
          </w:tcPr>
          <w:p w14:paraId="2F6C399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106</w:t>
            </w:r>
          </w:p>
        </w:tc>
        <w:tc>
          <w:tcPr>
            <w:tcW w:w="545" w:type="dxa"/>
            <w:tcBorders>
              <w:top w:val="nil"/>
              <w:left w:val="nil"/>
              <w:bottom w:val="single" w:sz="8" w:space="0" w:color="DCDDDE"/>
              <w:right w:val="nil"/>
            </w:tcBorders>
            <w:shd w:val="clear" w:color="000000" w:fill="FFFFFF"/>
            <w:noWrap/>
            <w:vAlign w:val="center"/>
            <w:hideMark/>
          </w:tcPr>
          <w:p w14:paraId="65EA82F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103</w:t>
            </w:r>
          </w:p>
        </w:tc>
        <w:tc>
          <w:tcPr>
            <w:tcW w:w="545" w:type="dxa"/>
            <w:tcBorders>
              <w:top w:val="nil"/>
              <w:left w:val="nil"/>
              <w:bottom w:val="single" w:sz="8" w:space="0" w:color="DCDDDE"/>
              <w:right w:val="nil"/>
            </w:tcBorders>
            <w:shd w:val="clear" w:color="000000" w:fill="FFFFFF"/>
            <w:noWrap/>
            <w:vAlign w:val="center"/>
            <w:hideMark/>
          </w:tcPr>
          <w:p w14:paraId="70AE21A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102</w:t>
            </w:r>
          </w:p>
        </w:tc>
        <w:tc>
          <w:tcPr>
            <w:tcW w:w="545" w:type="dxa"/>
            <w:tcBorders>
              <w:top w:val="nil"/>
              <w:left w:val="nil"/>
              <w:bottom w:val="single" w:sz="8" w:space="0" w:color="DCDDDE"/>
              <w:right w:val="nil"/>
            </w:tcBorders>
            <w:shd w:val="clear" w:color="000000" w:fill="FFFFFF"/>
            <w:noWrap/>
            <w:vAlign w:val="center"/>
            <w:hideMark/>
          </w:tcPr>
          <w:p w14:paraId="634DF62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101</w:t>
            </w:r>
          </w:p>
        </w:tc>
        <w:tc>
          <w:tcPr>
            <w:tcW w:w="545" w:type="dxa"/>
            <w:tcBorders>
              <w:top w:val="nil"/>
              <w:left w:val="nil"/>
              <w:bottom w:val="single" w:sz="8" w:space="0" w:color="DCDDDE"/>
              <w:right w:val="nil"/>
            </w:tcBorders>
            <w:shd w:val="clear" w:color="000000" w:fill="FFFFFF"/>
            <w:noWrap/>
            <w:vAlign w:val="center"/>
            <w:hideMark/>
          </w:tcPr>
          <w:p w14:paraId="40E94B5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99</w:t>
            </w:r>
          </w:p>
        </w:tc>
        <w:tc>
          <w:tcPr>
            <w:tcW w:w="545" w:type="dxa"/>
            <w:tcBorders>
              <w:top w:val="nil"/>
              <w:left w:val="nil"/>
              <w:bottom w:val="single" w:sz="8" w:space="0" w:color="DCDDDE"/>
              <w:right w:val="nil"/>
            </w:tcBorders>
            <w:shd w:val="clear" w:color="000000" w:fill="FFFFFF"/>
            <w:noWrap/>
            <w:vAlign w:val="center"/>
            <w:hideMark/>
          </w:tcPr>
          <w:p w14:paraId="50FC87F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100</w:t>
            </w:r>
          </w:p>
        </w:tc>
        <w:tc>
          <w:tcPr>
            <w:tcW w:w="545" w:type="dxa"/>
            <w:tcBorders>
              <w:top w:val="nil"/>
              <w:left w:val="nil"/>
              <w:bottom w:val="single" w:sz="8" w:space="0" w:color="DCDDDE"/>
              <w:right w:val="nil"/>
            </w:tcBorders>
            <w:shd w:val="clear" w:color="000000" w:fill="FFFFFF"/>
            <w:noWrap/>
            <w:vAlign w:val="center"/>
            <w:hideMark/>
          </w:tcPr>
          <w:p w14:paraId="02F931D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100</w:t>
            </w:r>
          </w:p>
        </w:tc>
        <w:tc>
          <w:tcPr>
            <w:tcW w:w="545" w:type="dxa"/>
            <w:tcBorders>
              <w:top w:val="nil"/>
              <w:left w:val="nil"/>
              <w:bottom w:val="single" w:sz="8" w:space="0" w:color="DCDDDE"/>
              <w:right w:val="nil"/>
            </w:tcBorders>
            <w:shd w:val="clear" w:color="000000" w:fill="FFFFFF"/>
            <w:noWrap/>
            <w:vAlign w:val="center"/>
            <w:hideMark/>
          </w:tcPr>
          <w:p w14:paraId="2CFA3C3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101</w:t>
            </w:r>
          </w:p>
        </w:tc>
      </w:tr>
      <w:tr w:rsidR="00490035" w:rsidRPr="00490035" w14:paraId="2E59CC05"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7C9C53C2"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14462B1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62EF131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36</w:t>
            </w:r>
          </w:p>
        </w:tc>
        <w:tc>
          <w:tcPr>
            <w:tcW w:w="545" w:type="dxa"/>
            <w:tcBorders>
              <w:top w:val="nil"/>
              <w:left w:val="nil"/>
              <w:bottom w:val="single" w:sz="8" w:space="0" w:color="DCDDDE"/>
              <w:right w:val="nil"/>
            </w:tcBorders>
            <w:shd w:val="clear" w:color="000000" w:fill="FFFFFF"/>
            <w:noWrap/>
            <w:vAlign w:val="center"/>
            <w:hideMark/>
          </w:tcPr>
          <w:p w14:paraId="08BCA3D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47E5347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43</w:t>
            </w:r>
          </w:p>
        </w:tc>
        <w:tc>
          <w:tcPr>
            <w:tcW w:w="545" w:type="dxa"/>
            <w:tcBorders>
              <w:top w:val="nil"/>
              <w:left w:val="nil"/>
              <w:bottom w:val="single" w:sz="8" w:space="0" w:color="DCDDDE"/>
              <w:right w:val="nil"/>
            </w:tcBorders>
            <w:shd w:val="clear" w:color="000000" w:fill="FFFFFF"/>
            <w:noWrap/>
            <w:vAlign w:val="center"/>
            <w:hideMark/>
          </w:tcPr>
          <w:p w14:paraId="3F1A5AC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47</w:t>
            </w:r>
          </w:p>
        </w:tc>
        <w:tc>
          <w:tcPr>
            <w:tcW w:w="545" w:type="dxa"/>
            <w:tcBorders>
              <w:top w:val="nil"/>
              <w:left w:val="nil"/>
              <w:bottom w:val="single" w:sz="8" w:space="0" w:color="DCDDDE"/>
              <w:right w:val="nil"/>
            </w:tcBorders>
            <w:shd w:val="clear" w:color="000000" w:fill="FFFFFF"/>
            <w:noWrap/>
            <w:vAlign w:val="center"/>
            <w:hideMark/>
          </w:tcPr>
          <w:p w14:paraId="711A2C5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50</w:t>
            </w:r>
          </w:p>
        </w:tc>
        <w:tc>
          <w:tcPr>
            <w:tcW w:w="545" w:type="dxa"/>
            <w:tcBorders>
              <w:top w:val="nil"/>
              <w:left w:val="nil"/>
              <w:bottom w:val="single" w:sz="8" w:space="0" w:color="DCDDDE"/>
              <w:right w:val="nil"/>
            </w:tcBorders>
            <w:shd w:val="clear" w:color="000000" w:fill="FFFFFF"/>
            <w:noWrap/>
            <w:vAlign w:val="center"/>
            <w:hideMark/>
          </w:tcPr>
          <w:p w14:paraId="1423AC1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54</w:t>
            </w:r>
          </w:p>
        </w:tc>
        <w:tc>
          <w:tcPr>
            <w:tcW w:w="545" w:type="dxa"/>
            <w:tcBorders>
              <w:top w:val="nil"/>
              <w:left w:val="nil"/>
              <w:bottom w:val="single" w:sz="8" w:space="0" w:color="DCDDDE"/>
              <w:right w:val="nil"/>
            </w:tcBorders>
            <w:shd w:val="clear" w:color="000000" w:fill="FFFFFF"/>
            <w:noWrap/>
            <w:vAlign w:val="center"/>
            <w:hideMark/>
          </w:tcPr>
          <w:p w14:paraId="378EE2D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63</w:t>
            </w:r>
          </w:p>
        </w:tc>
        <w:tc>
          <w:tcPr>
            <w:tcW w:w="545" w:type="dxa"/>
            <w:tcBorders>
              <w:top w:val="nil"/>
              <w:left w:val="nil"/>
              <w:bottom w:val="single" w:sz="8" w:space="0" w:color="DCDDDE"/>
              <w:right w:val="nil"/>
            </w:tcBorders>
            <w:shd w:val="clear" w:color="000000" w:fill="FFFFFF"/>
            <w:noWrap/>
            <w:vAlign w:val="center"/>
            <w:hideMark/>
          </w:tcPr>
          <w:p w14:paraId="7FA0900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68</w:t>
            </w:r>
          </w:p>
        </w:tc>
        <w:tc>
          <w:tcPr>
            <w:tcW w:w="545" w:type="dxa"/>
            <w:tcBorders>
              <w:top w:val="nil"/>
              <w:left w:val="nil"/>
              <w:bottom w:val="single" w:sz="8" w:space="0" w:color="DCDDDE"/>
              <w:right w:val="nil"/>
            </w:tcBorders>
            <w:shd w:val="clear" w:color="000000" w:fill="FFFFFF"/>
            <w:noWrap/>
            <w:vAlign w:val="center"/>
            <w:hideMark/>
          </w:tcPr>
          <w:p w14:paraId="4DC1E1B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74</w:t>
            </w:r>
          </w:p>
        </w:tc>
        <w:tc>
          <w:tcPr>
            <w:tcW w:w="545" w:type="dxa"/>
            <w:tcBorders>
              <w:top w:val="nil"/>
              <w:left w:val="nil"/>
              <w:bottom w:val="single" w:sz="8" w:space="0" w:color="DCDDDE"/>
              <w:right w:val="nil"/>
            </w:tcBorders>
            <w:shd w:val="clear" w:color="000000" w:fill="FFFFFF"/>
            <w:noWrap/>
            <w:vAlign w:val="center"/>
            <w:hideMark/>
          </w:tcPr>
          <w:p w14:paraId="21FCF17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80</w:t>
            </w:r>
          </w:p>
        </w:tc>
        <w:tc>
          <w:tcPr>
            <w:tcW w:w="545" w:type="dxa"/>
            <w:tcBorders>
              <w:top w:val="nil"/>
              <w:left w:val="nil"/>
              <w:bottom w:val="single" w:sz="8" w:space="0" w:color="DCDDDE"/>
              <w:right w:val="nil"/>
            </w:tcBorders>
            <w:shd w:val="clear" w:color="000000" w:fill="FFFFFF"/>
            <w:noWrap/>
            <w:vAlign w:val="center"/>
            <w:hideMark/>
          </w:tcPr>
          <w:p w14:paraId="7FC9113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87</w:t>
            </w:r>
          </w:p>
        </w:tc>
        <w:tc>
          <w:tcPr>
            <w:tcW w:w="545" w:type="dxa"/>
            <w:tcBorders>
              <w:top w:val="nil"/>
              <w:left w:val="nil"/>
              <w:bottom w:val="single" w:sz="8" w:space="0" w:color="DCDDDE"/>
              <w:right w:val="nil"/>
            </w:tcBorders>
            <w:shd w:val="clear" w:color="000000" w:fill="FFFFFF"/>
            <w:noWrap/>
            <w:vAlign w:val="center"/>
            <w:hideMark/>
          </w:tcPr>
          <w:p w14:paraId="5FA7404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96</w:t>
            </w:r>
          </w:p>
        </w:tc>
      </w:tr>
      <w:tr w:rsidR="00490035" w:rsidRPr="00490035" w14:paraId="5216099C"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45F4A8B1"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55F8761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37D6A6B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40C5D4C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0081AA0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09644AB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67936AE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1D7A1BF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7090B43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7A5F879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3DE26AD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322903E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6A88B52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199A5E0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r>
      <w:tr w:rsidR="00490035" w:rsidRPr="00490035" w14:paraId="2D041012"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327B820F"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473951D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129</w:t>
            </w:r>
          </w:p>
        </w:tc>
        <w:tc>
          <w:tcPr>
            <w:tcW w:w="545" w:type="dxa"/>
            <w:tcBorders>
              <w:top w:val="nil"/>
              <w:left w:val="nil"/>
              <w:bottom w:val="single" w:sz="8" w:space="0" w:color="DCDDDE"/>
              <w:right w:val="nil"/>
            </w:tcBorders>
            <w:shd w:val="clear" w:color="000000" w:fill="FFFFFF"/>
            <w:noWrap/>
            <w:vAlign w:val="center"/>
            <w:hideMark/>
          </w:tcPr>
          <w:p w14:paraId="7D06720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146</w:t>
            </w:r>
          </w:p>
        </w:tc>
        <w:tc>
          <w:tcPr>
            <w:tcW w:w="545" w:type="dxa"/>
            <w:tcBorders>
              <w:top w:val="nil"/>
              <w:left w:val="nil"/>
              <w:bottom w:val="single" w:sz="8" w:space="0" w:color="DCDDDE"/>
              <w:right w:val="nil"/>
            </w:tcBorders>
            <w:shd w:val="clear" w:color="000000" w:fill="FFFFFF"/>
            <w:noWrap/>
            <w:vAlign w:val="center"/>
            <w:hideMark/>
          </w:tcPr>
          <w:p w14:paraId="7B50B80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145</w:t>
            </w:r>
          </w:p>
        </w:tc>
        <w:tc>
          <w:tcPr>
            <w:tcW w:w="545" w:type="dxa"/>
            <w:tcBorders>
              <w:top w:val="nil"/>
              <w:left w:val="nil"/>
              <w:bottom w:val="single" w:sz="8" w:space="0" w:color="DCDDDE"/>
              <w:right w:val="nil"/>
            </w:tcBorders>
            <w:shd w:val="clear" w:color="000000" w:fill="FFFFFF"/>
            <w:noWrap/>
            <w:vAlign w:val="center"/>
            <w:hideMark/>
          </w:tcPr>
          <w:p w14:paraId="62B1B85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156</w:t>
            </w:r>
          </w:p>
        </w:tc>
        <w:tc>
          <w:tcPr>
            <w:tcW w:w="545" w:type="dxa"/>
            <w:tcBorders>
              <w:top w:val="nil"/>
              <w:left w:val="nil"/>
              <w:bottom w:val="single" w:sz="8" w:space="0" w:color="DCDDDE"/>
              <w:right w:val="nil"/>
            </w:tcBorders>
            <w:shd w:val="clear" w:color="000000" w:fill="FFFFFF"/>
            <w:noWrap/>
            <w:vAlign w:val="center"/>
            <w:hideMark/>
          </w:tcPr>
          <w:p w14:paraId="56F9D7E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160</w:t>
            </w:r>
          </w:p>
        </w:tc>
        <w:tc>
          <w:tcPr>
            <w:tcW w:w="545" w:type="dxa"/>
            <w:tcBorders>
              <w:top w:val="nil"/>
              <w:left w:val="nil"/>
              <w:bottom w:val="single" w:sz="8" w:space="0" w:color="DCDDDE"/>
              <w:right w:val="nil"/>
            </w:tcBorders>
            <w:shd w:val="clear" w:color="000000" w:fill="FFFFFF"/>
            <w:noWrap/>
            <w:vAlign w:val="center"/>
            <w:hideMark/>
          </w:tcPr>
          <w:p w14:paraId="49DD24F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160</w:t>
            </w:r>
          </w:p>
        </w:tc>
        <w:tc>
          <w:tcPr>
            <w:tcW w:w="545" w:type="dxa"/>
            <w:tcBorders>
              <w:top w:val="nil"/>
              <w:left w:val="nil"/>
              <w:bottom w:val="single" w:sz="8" w:space="0" w:color="DCDDDE"/>
              <w:right w:val="nil"/>
            </w:tcBorders>
            <w:shd w:val="clear" w:color="000000" w:fill="FFFFFF"/>
            <w:noWrap/>
            <w:vAlign w:val="center"/>
            <w:hideMark/>
          </w:tcPr>
          <w:p w14:paraId="43DF11D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161</w:t>
            </w:r>
          </w:p>
        </w:tc>
        <w:tc>
          <w:tcPr>
            <w:tcW w:w="545" w:type="dxa"/>
            <w:tcBorders>
              <w:top w:val="nil"/>
              <w:left w:val="nil"/>
              <w:bottom w:val="single" w:sz="8" w:space="0" w:color="DCDDDE"/>
              <w:right w:val="nil"/>
            </w:tcBorders>
            <w:shd w:val="clear" w:color="000000" w:fill="FFFFFF"/>
            <w:noWrap/>
            <w:vAlign w:val="center"/>
            <w:hideMark/>
          </w:tcPr>
          <w:p w14:paraId="5FBC01E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169</w:t>
            </w:r>
          </w:p>
        </w:tc>
        <w:tc>
          <w:tcPr>
            <w:tcW w:w="545" w:type="dxa"/>
            <w:tcBorders>
              <w:top w:val="nil"/>
              <w:left w:val="nil"/>
              <w:bottom w:val="single" w:sz="8" w:space="0" w:color="DCDDDE"/>
              <w:right w:val="nil"/>
            </w:tcBorders>
            <w:shd w:val="clear" w:color="000000" w:fill="FFFFFF"/>
            <w:noWrap/>
            <w:vAlign w:val="center"/>
            <w:hideMark/>
          </w:tcPr>
          <w:p w14:paraId="4AA0E4F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172</w:t>
            </w:r>
          </w:p>
        </w:tc>
        <w:tc>
          <w:tcPr>
            <w:tcW w:w="545" w:type="dxa"/>
            <w:tcBorders>
              <w:top w:val="nil"/>
              <w:left w:val="nil"/>
              <w:bottom w:val="single" w:sz="8" w:space="0" w:color="DCDDDE"/>
              <w:right w:val="nil"/>
            </w:tcBorders>
            <w:shd w:val="clear" w:color="000000" w:fill="FFFFFF"/>
            <w:noWrap/>
            <w:vAlign w:val="center"/>
            <w:hideMark/>
          </w:tcPr>
          <w:p w14:paraId="197D85F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177</w:t>
            </w:r>
          </w:p>
        </w:tc>
        <w:tc>
          <w:tcPr>
            <w:tcW w:w="545" w:type="dxa"/>
            <w:tcBorders>
              <w:top w:val="nil"/>
              <w:left w:val="nil"/>
              <w:bottom w:val="single" w:sz="8" w:space="0" w:color="DCDDDE"/>
              <w:right w:val="nil"/>
            </w:tcBorders>
            <w:shd w:val="clear" w:color="000000" w:fill="FFFFFF"/>
            <w:noWrap/>
            <w:vAlign w:val="center"/>
            <w:hideMark/>
          </w:tcPr>
          <w:p w14:paraId="7F8A311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184</w:t>
            </w:r>
          </w:p>
        </w:tc>
        <w:tc>
          <w:tcPr>
            <w:tcW w:w="545" w:type="dxa"/>
            <w:tcBorders>
              <w:top w:val="nil"/>
              <w:left w:val="nil"/>
              <w:bottom w:val="single" w:sz="8" w:space="0" w:color="DCDDDE"/>
              <w:right w:val="nil"/>
            </w:tcBorders>
            <w:shd w:val="clear" w:color="000000" w:fill="FFFFFF"/>
            <w:noWrap/>
            <w:vAlign w:val="center"/>
            <w:hideMark/>
          </w:tcPr>
          <w:p w14:paraId="73896A8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192</w:t>
            </w:r>
          </w:p>
        </w:tc>
        <w:tc>
          <w:tcPr>
            <w:tcW w:w="545" w:type="dxa"/>
            <w:tcBorders>
              <w:top w:val="nil"/>
              <w:left w:val="nil"/>
              <w:bottom w:val="single" w:sz="8" w:space="0" w:color="DCDDDE"/>
              <w:right w:val="nil"/>
            </w:tcBorders>
            <w:shd w:val="clear" w:color="000000" w:fill="FFFFFF"/>
            <w:noWrap/>
            <w:vAlign w:val="center"/>
            <w:hideMark/>
          </w:tcPr>
          <w:p w14:paraId="79C8F24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201</w:t>
            </w:r>
          </w:p>
        </w:tc>
      </w:tr>
      <w:tr w:rsidR="00490035" w:rsidRPr="00490035" w14:paraId="2BE864BF"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0FE960E1"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07363F2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120</w:t>
            </w:r>
          </w:p>
        </w:tc>
        <w:tc>
          <w:tcPr>
            <w:tcW w:w="545" w:type="dxa"/>
            <w:tcBorders>
              <w:top w:val="nil"/>
              <w:left w:val="nil"/>
              <w:bottom w:val="single" w:sz="8" w:space="0" w:color="DCDDDE"/>
              <w:right w:val="nil"/>
            </w:tcBorders>
            <w:shd w:val="clear" w:color="000000" w:fill="FFFFFF"/>
            <w:noWrap/>
            <w:vAlign w:val="center"/>
            <w:hideMark/>
          </w:tcPr>
          <w:p w14:paraId="4721837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122</w:t>
            </w:r>
          </w:p>
        </w:tc>
        <w:tc>
          <w:tcPr>
            <w:tcW w:w="545" w:type="dxa"/>
            <w:tcBorders>
              <w:top w:val="nil"/>
              <w:left w:val="nil"/>
              <w:bottom w:val="single" w:sz="8" w:space="0" w:color="DCDDDE"/>
              <w:right w:val="nil"/>
            </w:tcBorders>
            <w:shd w:val="clear" w:color="000000" w:fill="FFFFFF"/>
            <w:noWrap/>
            <w:vAlign w:val="center"/>
            <w:hideMark/>
          </w:tcPr>
          <w:p w14:paraId="6BBD9DA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137</w:t>
            </w:r>
          </w:p>
        </w:tc>
        <w:tc>
          <w:tcPr>
            <w:tcW w:w="545" w:type="dxa"/>
            <w:tcBorders>
              <w:top w:val="nil"/>
              <w:left w:val="nil"/>
              <w:bottom w:val="single" w:sz="8" w:space="0" w:color="DCDDDE"/>
              <w:right w:val="nil"/>
            </w:tcBorders>
            <w:shd w:val="clear" w:color="000000" w:fill="FFFFFF"/>
            <w:noWrap/>
            <w:vAlign w:val="center"/>
            <w:hideMark/>
          </w:tcPr>
          <w:p w14:paraId="64563B0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163</w:t>
            </w:r>
          </w:p>
        </w:tc>
        <w:tc>
          <w:tcPr>
            <w:tcW w:w="545" w:type="dxa"/>
            <w:tcBorders>
              <w:top w:val="nil"/>
              <w:left w:val="nil"/>
              <w:bottom w:val="single" w:sz="8" w:space="0" w:color="DCDDDE"/>
              <w:right w:val="nil"/>
            </w:tcBorders>
            <w:shd w:val="clear" w:color="000000" w:fill="FFFFFF"/>
            <w:noWrap/>
            <w:vAlign w:val="center"/>
            <w:hideMark/>
          </w:tcPr>
          <w:p w14:paraId="5B23654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158</w:t>
            </w:r>
          </w:p>
        </w:tc>
        <w:tc>
          <w:tcPr>
            <w:tcW w:w="545" w:type="dxa"/>
            <w:tcBorders>
              <w:top w:val="nil"/>
              <w:left w:val="nil"/>
              <w:bottom w:val="single" w:sz="8" w:space="0" w:color="DCDDDE"/>
              <w:right w:val="nil"/>
            </w:tcBorders>
            <w:shd w:val="clear" w:color="000000" w:fill="FFFFFF"/>
            <w:noWrap/>
            <w:vAlign w:val="center"/>
            <w:hideMark/>
          </w:tcPr>
          <w:p w14:paraId="77F0C6D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194</w:t>
            </w:r>
          </w:p>
        </w:tc>
        <w:tc>
          <w:tcPr>
            <w:tcW w:w="545" w:type="dxa"/>
            <w:tcBorders>
              <w:top w:val="nil"/>
              <w:left w:val="nil"/>
              <w:bottom w:val="single" w:sz="8" w:space="0" w:color="DCDDDE"/>
              <w:right w:val="nil"/>
            </w:tcBorders>
            <w:shd w:val="clear" w:color="000000" w:fill="FFFFFF"/>
            <w:noWrap/>
            <w:vAlign w:val="center"/>
            <w:hideMark/>
          </w:tcPr>
          <w:p w14:paraId="6B09A1A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186</w:t>
            </w:r>
          </w:p>
        </w:tc>
        <w:tc>
          <w:tcPr>
            <w:tcW w:w="545" w:type="dxa"/>
            <w:tcBorders>
              <w:top w:val="nil"/>
              <w:left w:val="nil"/>
              <w:bottom w:val="single" w:sz="8" w:space="0" w:color="DCDDDE"/>
              <w:right w:val="nil"/>
            </w:tcBorders>
            <w:shd w:val="clear" w:color="000000" w:fill="FFFFFF"/>
            <w:noWrap/>
            <w:vAlign w:val="center"/>
            <w:hideMark/>
          </w:tcPr>
          <w:p w14:paraId="6B8AE19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180</w:t>
            </w:r>
          </w:p>
        </w:tc>
        <w:tc>
          <w:tcPr>
            <w:tcW w:w="545" w:type="dxa"/>
            <w:tcBorders>
              <w:top w:val="nil"/>
              <w:left w:val="nil"/>
              <w:bottom w:val="single" w:sz="8" w:space="0" w:color="DCDDDE"/>
              <w:right w:val="nil"/>
            </w:tcBorders>
            <w:shd w:val="clear" w:color="000000" w:fill="FFFFFF"/>
            <w:noWrap/>
            <w:vAlign w:val="center"/>
            <w:hideMark/>
          </w:tcPr>
          <w:p w14:paraId="49FCABE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173</w:t>
            </w:r>
          </w:p>
        </w:tc>
        <w:tc>
          <w:tcPr>
            <w:tcW w:w="545" w:type="dxa"/>
            <w:tcBorders>
              <w:top w:val="nil"/>
              <w:left w:val="nil"/>
              <w:bottom w:val="single" w:sz="8" w:space="0" w:color="DCDDDE"/>
              <w:right w:val="nil"/>
            </w:tcBorders>
            <w:shd w:val="clear" w:color="000000" w:fill="FFFFFF"/>
            <w:noWrap/>
            <w:vAlign w:val="center"/>
            <w:hideMark/>
          </w:tcPr>
          <w:p w14:paraId="7D5AAAB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169</w:t>
            </w:r>
          </w:p>
        </w:tc>
        <w:tc>
          <w:tcPr>
            <w:tcW w:w="545" w:type="dxa"/>
            <w:tcBorders>
              <w:top w:val="nil"/>
              <w:left w:val="nil"/>
              <w:bottom w:val="single" w:sz="8" w:space="0" w:color="DCDDDE"/>
              <w:right w:val="nil"/>
            </w:tcBorders>
            <w:shd w:val="clear" w:color="000000" w:fill="FFFFFF"/>
            <w:noWrap/>
            <w:vAlign w:val="center"/>
            <w:hideMark/>
          </w:tcPr>
          <w:p w14:paraId="1A54B98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160</w:t>
            </w:r>
          </w:p>
        </w:tc>
        <w:tc>
          <w:tcPr>
            <w:tcW w:w="545" w:type="dxa"/>
            <w:tcBorders>
              <w:top w:val="nil"/>
              <w:left w:val="nil"/>
              <w:bottom w:val="single" w:sz="8" w:space="0" w:color="DCDDDE"/>
              <w:right w:val="nil"/>
            </w:tcBorders>
            <w:shd w:val="clear" w:color="000000" w:fill="FFFFFF"/>
            <w:noWrap/>
            <w:vAlign w:val="center"/>
            <w:hideMark/>
          </w:tcPr>
          <w:p w14:paraId="3F5E319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152</w:t>
            </w:r>
          </w:p>
        </w:tc>
        <w:tc>
          <w:tcPr>
            <w:tcW w:w="545" w:type="dxa"/>
            <w:tcBorders>
              <w:top w:val="nil"/>
              <w:left w:val="nil"/>
              <w:bottom w:val="single" w:sz="8" w:space="0" w:color="DCDDDE"/>
              <w:right w:val="nil"/>
            </w:tcBorders>
            <w:shd w:val="clear" w:color="000000" w:fill="FFFFFF"/>
            <w:noWrap/>
            <w:vAlign w:val="center"/>
            <w:hideMark/>
          </w:tcPr>
          <w:p w14:paraId="1BA1DEA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145</w:t>
            </w:r>
          </w:p>
        </w:tc>
      </w:tr>
      <w:tr w:rsidR="00490035" w:rsidRPr="00490035" w14:paraId="0E0571CC"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0D6DBB52" w14:textId="77777777" w:rsidR="00490035" w:rsidRPr="00490035" w:rsidRDefault="00490035" w:rsidP="00D068F8">
            <w:pPr>
              <w:spacing w:line="240" w:lineRule="auto"/>
              <w:rPr>
                <w:rFonts w:ascii="Arial Narrow" w:hAnsi="Arial Narrow"/>
                <w:b/>
                <w:bCs/>
                <w:sz w:val="18"/>
                <w:szCs w:val="18"/>
              </w:rPr>
            </w:pPr>
            <w:r w:rsidRPr="00490035">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45B7FAA7"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250</w:t>
            </w:r>
          </w:p>
        </w:tc>
        <w:tc>
          <w:tcPr>
            <w:tcW w:w="545" w:type="dxa"/>
            <w:tcBorders>
              <w:top w:val="nil"/>
              <w:left w:val="nil"/>
              <w:bottom w:val="single" w:sz="8" w:space="0" w:color="DCDDDE"/>
              <w:right w:val="nil"/>
            </w:tcBorders>
            <w:shd w:val="clear" w:color="000000" w:fill="FFFFFF"/>
            <w:noWrap/>
            <w:vAlign w:val="center"/>
            <w:hideMark/>
          </w:tcPr>
          <w:p w14:paraId="3E17A58B"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267</w:t>
            </w:r>
          </w:p>
        </w:tc>
        <w:tc>
          <w:tcPr>
            <w:tcW w:w="545" w:type="dxa"/>
            <w:tcBorders>
              <w:top w:val="nil"/>
              <w:left w:val="nil"/>
              <w:bottom w:val="single" w:sz="8" w:space="0" w:color="DCDDDE"/>
              <w:right w:val="nil"/>
            </w:tcBorders>
            <w:shd w:val="clear" w:color="000000" w:fill="FFFFFF"/>
            <w:noWrap/>
            <w:vAlign w:val="center"/>
            <w:hideMark/>
          </w:tcPr>
          <w:p w14:paraId="2C36AD46"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283</w:t>
            </w:r>
          </w:p>
        </w:tc>
        <w:tc>
          <w:tcPr>
            <w:tcW w:w="545" w:type="dxa"/>
            <w:tcBorders>
              <w:top w:val="nil"/>
              <w:left w:val="nil"/>
              <w:bottom w:val="single" w:sz="8" w:space="0" w:color="DCDDDE"/>
              <w:right w:val="nil"/>
            </w:tcBorders>
            <w:shd w:val="clear" w:color="000000" w:fill="FFFFFF"/>
            <w:noWrap/>
            <w:vAlign w:val="center"/>
            <w:hideMark/>
          </w:tcPr>
          <w:p w14:paraId="48A21FDC"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319</w:t>
            </w:r>
          </w:p>
        </w:tc>
        <w:tc>
          <w:tcPr>
            <w:tcW w:w="545" w:type="dxa"/>
            <w:tcBorders>
              <w:top w:val="nil"/>
              <w:left w:val="nil"/>
              <w:bottom w:val="single" w:sz="8" w:space="0" w:color="DCDDDE"/>
              <w:right w:val="nil"/>
            </w:tcBorders>
            <w:shd w:val="clear" w:color="000000" w:fill="FFFFFF"/>
            <w:noWrap/>
            <w:vAlign w:val="center"/>
            <w:hideMark/>
          </w:tcPr>
          <w:p w14:paraId="0EAD151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318</w:t>
            </w:r>
          </w:p>
        </w:tc>
        <w:tc>
          <w:tcPr>
            <w:tcW w:w="545" w:type="dxa"/>
            <w:tcBorders>
              <w:top w:val="nil"/>
              <w:left w:val="nil"/>
              <w:bottom w:val="single" w:sz="8" w:space="0" w:color="DCDDDE"/>
              <w:right w:val="nil"/>
            </w:tcBorders>
            <w:shd w:val="clear" w:color="000000" w:fill="FFFFFF"/>
            <w:noWrap/>
            <w:vAlign w:val="center"/>
            <w:hideMark/>
          </w:tcPr>
          <w:p w14:paraId="210DCDF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354</w:t>
            </w:r>
          </w:p>
        </w:tc>
        <w:tc>
          <w:tcPr>
            <w:tcW w:w="545" w:type="dxa"/>
            <w:tcBorders>
              <w:top w:val="nil"/>
              <w:left w:val="nil"/>
              <w:bottom w:val="single" w:sz="8" w:space="0" w:color="DCDDDE"/>
              <w:right w:val="nil"/>
            </w:tcBorders>
            <w:shd w:val="clear" w:color="000000" w:fill="FFFFFF"/>
            <w:noWrap/>
            <w:vAlign w:val="center"/>
            <w:hideMark/>
          </w:tcPr>
          <w:p w14:paraId="29A4788B"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347</w:t>
            </w:r>
          </w:p>
        </w:tc>
        <w:tc>
          <w:tcPr>
            <w:tcW w:w="545" w:type="dxa"/>
            <w:tcBorders>
              <w:top w:val="nil"/>
              <w:left w:val="nil"/>
              <w:bottom w:val="single" w:sz="8" w:space="0" w:color="DCDDDE"/>
              <w:right w:val="nil"/>
            </w:tcBorders>
            <w:shd w:val="clear" w:color="000000" w:fill="FFFFFF"/>
            <w:noWrap/>
            <w:vAlign w:val="center"/>
            <w:hideMark/>
          </w:tcPr>
          <w:p w14:paraId="25B13C39"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349</w:t>
            </w:r>
          </w:p>
        </w:tc>
        <w:tc>
          <w:tcPr>
            <w:tcW w:w="545" w:type="dxa"/>
            <w:tcBorders>
              <w:top w:val="nil"/>
              <w:left w:val="nil"/>
              <w:bottom w:val="single" w:sz="8" w:space="0" w:color="DCDDDE"/>
              <w:right w:val="nil"/>
            </w:tcBorders>
            <w:shd w:val="clear" w:color="000000" w:fill="FFFFFF"/>
            <w:noWrap/>
            <w:vAlign w:val="center"/>
            <w:hideMark/>
          </w:tcPr>
          <w:p w14:paraId="1B60146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345</w:t>
            </w:r>
          </w:p>
        </w:tc>
        <w:tc>
          <w:tcPr>
            <w:tcW w:w="545" w:type="dxa"/>
            <w:tcBorders>
              <w:top w:val="nil"/>
              <w:left w:val="nil"/>
              <w:bottom w:val="single" w:sz="8" w:space="0" w:color="DCDDDE"/>
              <w:right w:val="nil"/>
            </w:tcBorders>
            <w:shd w:val="clear" w:color="000000" w:fill="FFFFFF"/>
            <w:noWrap/>
            <w:vAlign w:val="center"/>
            <w:hideMark/>
          </w:tcPr>
          <w:p w14:paraId="4FFA6D2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346</w:t>
            </w:r>
          </w:p>
        </w:tc>
        <w:tc>
          <w:tcPr>
            <w:tcW w:w="545" w:type="dxa"/>
            <w:tcBorders>
              <w:top w:val="nil"/>
              <w:left w:val="nil"/>
              <w:bottom w:val="single" w:sz="8" w:space="0" w:color="DCDDDE"/>
              <w:right w:val="nil"/>
            </w:tcBorders>
            <w:shd w:val="clear" w:color="000000" w:fill="FFFFFF"/>
            <w:noWrap/>
            <w:vAlign w:val="center"/>
            <w:hideMark/>
          </w:tcPr>
          <w:p w14:paraId="553A7FE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344</w:t>
            </w:r>
          </w:p>
        </w:tc>
        <w:tc>
          <w:tcPr>
            <w:tcW w:w="545" w:type="dxa"/>
            <w:tcBorders>
              <w:top w:val="nil"/>
              <w:left w:val="nil"/>
              <w:bottom w:val="single" w:sz="8" w:space="0" w:color="DCDDDE"/>
              <w:right w:val="nil"/>
            </w:tcBorders>
            <w:shd w:val="clear" w:color="000000" w:fill="FFFFFF"/>
            <w:noWrap/>
            <w:vAlign w:val="center"/>
            <w:hideMark/>
          </w:tcPr>
          <w:p w14:paraId="4049C21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343</w:t>
            </w:r>
          </w:p>
        </w:tc>
        <w:tc>
          <w:tcPr>
            <w:tcW w:w="545" w:type="dxa"/>
            <w:tcBorders>
              <w:top w:val="nil"/>
              <w:left w:val="nil"/>
              <w:bottom w:val="single" w:sz="8" w:space="0" w:color="DCDDDE"/>
              <w:right w:val="nil"/>
            </w:tcBorders>
            <w:shd w:val="clear" w:color="000000" w:fill="FFFFFF"/>
            <w:noWrap/>
            <w:vAlign w:val="center"/>
            <w:hideMark/>
          </w:tcPr>
          <w:p w14:paraId="68A7F24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346</w:t>
            </w:r>
          </w:p>
        </w:tc>
      </w:tr>
    </w:tbl>
    <w:p w14:paraId="01EB4BD8" w14:textId="77777777" w:rsidR="002A760B" w:rsidRPr="00D823AE" w:rsidRDefault="002A760B" w:rsidP="002A760B">
      <w:pPr>
        <w:jc w:val="center"/>
      </w:pPr>
      <w:r>
        <w:t>* Includes interactive effects</w:t>
      </w:r>
    </w:p>
    <w:p w14:paraId="3AC961CE" w14:textId="77777777" w:rsidR="00D823AE" w:rsidRDefault="00D823AE" w:rsidP="00D823AE"/>
    <w:p w14:paraId="5AB9E87D" w14:textId="77777777" w:rsidR="00D823AE" w:rsidRPr="00D823AE" w:rsidRDefault="00D823AE" w:rsidP="00D823AE"/>
    <w:p w14:paraId="2918ED49" w14:textId="77777777" w:rsidR="00D823AE" w:rsidRDefault="00D823AE" w:rsidP="00D823AE"/>
    <w:p w14:paraId="3C53D63F" w14:textId="77777777" w:rsidR="00490035" w:rsidRDefault="00490035" w:rsidP="00D823AE"/>
    <w:p w14:paraId="774F08B9" w14:textId="77777777" w:rsidR="00490035" w:rsidRDefault="00490035" w:rsidP="00D823AE"/>
    <w:p w14:paraId="2E0E993E" w14:textId="77777777" w:rsidR="00490035" w:rsidRDefault="00490035" w:rsidP="00D823AE"/>
    <w:p w14:paraId="0119B911" w14:textId="77777777" w:rsidR="00490035" w:rsidRDefault="00490035" w:rsidP="00D823AE"/>
    <w:p w14:paraId="52DD76F9" w14:textId="77777777" w:rsidR="00490035" w:rsidRDefault="00490035" w:rsidP="00D823AE"/>
    <w:p w14:paraId="152A1856" w14:textId="77777777" w:rsidR="00490035" w:rsidRDefault="00490035" w:rsidP="00D823AE"/>
    <w:p w14:paraId="0AF44D13" w14:textId="77777777" w:rsidR="00490035" w:rsidRDefault="00490035" w:rsidP="00D823AE"/>
    <w:p w14:paraId="593D7D5C" w14:textId="77777777" w:rsidR="00490035" w:rsidRDefault="00490035" w:rsidP="00D823AE"/>
    <w:p w14:paraId="26FF19C0" w14:textId="77777777" w:rsidR="00490035" w:rsidRDefault="00490035" w:rsidP="00D823AE"/>
    <w:p w14:paraId="238BA0BC" w14:textId="77777777" w:rsidR="00490035" w:rsidRDefault="00490035" w:rsidP="00D823AE"/>
    <w:p w14:paraId="3EA218CD" w14:textId="77777777" w:rsidR="00490035" w:rsidRDefault="00490035" w:rsidP="00D823AE"/>
    <w:p w14:paraId="6B9E3568" w14:textId="77777777" w:rsidR="00490035" w:rsidRDefault="00490035" w:rsidP="00D823AE"/>
    <w:p w14:paraId="2F73B4D1" w14:textId="77777777" w:rsidR="00490035" w:rsidRDefault="00490035" w:rsidP="00D823AE"/>
    <w:p w14:paraId="04EC8E45" w14:textId="77777777" w:rsidR="00490035" w:rsidRDefault="00490035" w:rsidP="00D823AE"/>
    <w:p w14:paraId="021AA677" w14:textId="77777777" w:rsidR="00490035" w:rsidRDefault="00490035" w:rsidP="00D823AE"/>
    <w:p w14:paraId="5370DBF3" w14:textId="77777777" w:rsidR="00490035" w:rsidRDefault="00490035" w:rsidP="00D823AE"/>
    <w:p w14:paraId="2BB2E660" w14:textId="77777777" w:rsidR="00490035" w:rsidRDefault="00490035" w:rsidP="00D823AE"/>
    <w:p w14:paraId="093CCD57" w14:textId="77777777" w:rsidR="00490035" w:rsidRDefault="00490035" w:rsidP="00D823AE"/>
    <w:p w14:paraId="7C9E3B9F" w14:textId="77777777" w:rsidR="00490035" w:rsidRDefault="00490035" w:rsidP="00D823AE"/>
    <w:p w14:paraId="5D624BBB" w14:textId="77777777" w:rsidR="00490035" w:rsidRDefault="00490035" w:rsidP="00D823AE"/>
    <w:p w14:paraId="1F002046" w14:textId="77777777" w:rsidR="00490035" w:rsidRDefault="00490035" w:rsidP="00D823AE"/>
    <w:p w14:paraId="62E2E103" w14:textId="77777777" w:rsidR="00490035" w:rsidRDefault="00490035" w:rsidP="00D823AE"/>
    <w:p w14:paraId="34DF2A26" w14:textId="77777777" w:rsidR="00490035" w:rsidRDefault="00490035" w:rsidP="00D823AE"/>
    <w:p w14:paraId="7060C985" w14:textId="77777777" w:rsidR="00490035" w:rsidRDefault="00490035" w:rsidP="00D823AE"/>
    <w:p w14:paraId="4C1FEBBA" w14:textId="77777777" w:rsidR="00490035" w:rsidRDefault="00490035" w:rsidP="00D823AE"/>
    <w:p w14:paraId="7FA31482" w14:textId="77777777" w:rsidR="00490035" w:rsidRDefault="00490035" w:rsidP="00D823AE"/>
    <w:p w14:paraId="2E56CC8B" w14:textId="77777777" w:rsidR="00490035" w:rsidRDefault="00490035" w:rsidP="00D823AE"/>
    <w:p w14:paraId="52F1BA26" w14:textId="77777777" w:rsidR="00490035" w:rsidRDefault="00490035" w:rsidP="00D823AE"/>
    <w:p w14:paraId="1E7F32DA" w14:textId="77777777" w:rsidR="00D823AE" w:rsidRDefault="00D823AE" w:rsidP="00D823AE">
      <w:pPr>
        <w:pStyle w:val="Caption"/>
      </w:pPr>
      <w:bookmarkStart w:id="1208" w:name="_Toc490226058"/>
      <w:r w:rsidRPr="00122CD3">
        <w:t xml:space="preserve">Table </w:t>
      </w:r>
      <w:fldSimple w:instr=" STYLEREF 5 \s ">
        <w:r w:rsidR="007566B9">
          <w:rPr>
            <w:noProof/>
          </w:rPr>
          <w:t>H</w:t>
        </w:r>
      </w:fldSimple>
      <w:r w:rsidRPr="00323BFA">
        <w:noBreakHyphen/>
      </w:r>
      <w:fldSimple w:instr=" SEQ Table_Apx \* ARABIC \s 5 ">
        <w:r w:rsidR="007566B9">
          <w:rPr>
            <w:noProof/>
          </w:rPr>
          <w:t>3</w:t>
        </w:r>
      </w:fldSimple>
      <w:r w:rsidRPr="006F2DA9">
        <w:t xml:space="preserve">. </w:t>
      </w:r>
      <w:r>
        <w:t>PG&amp;E Gas Savings</w:t>
      </w:r>
      <w:bookmarkEnd w:id="1208"/>
    </w:p>
    <w:tbl>
      <w:tblPr>
        <w:tblW w:w="8262" w:type="dxa"/>
        <w:jc w:val="center"/>
        <w:tblLook w:val="04A0" w:firstRow="1" w:lastRow="0" w:firstColumn="1" w:lastColumn="0" w:noHBand="0" w:noVBand="1"/>
      </w:tblPr>
      <w:tblGrid>
        <w:gridCol w:w="1177"/>
        <w:gridCol w:w="545"/>
        <w:gridCol w:w="545"/>
        <w:gridCol w:w="545"/>
        <w:gridCol w:w="545"/>
        <w:gridCol w:w="545"/>
        <w:gridCol w:w="545"/>
        <w:gridCol w:w="545"/>
        <w:gridCol w:w="545"/>
        <w:gridCol w:w="545"/>
        <w:gridCol w:w="545"/>
        <w:gridCol w:w="545"/>
        <w:gridCol w:w="545"/>
        <w:gridCol w:w="545"/>
      </w:tblGrid>
      <w:tr w:rsidR="002A760B" w:rsidRPr="002A760B" w14:paraId="5F77B37B" w14:textId="77777777" w:rsidTr="002A760B">
        <w:trPr>
          <w:trHeight w:val="315"/>
          <w:jc w:val="center"/>
        </w:trPr>
        <w:tc>
          <w:tcPr>
            <w:tcW w:w="8262" w:type="dxa"/>
            <w:gridSpan w:val="14"/>
            <w:tcBorders>
              <w:top w:val="nil"/>
              <w:left w:val="nil"/>
              <w:bottom w:val="single" w:sz="12" w:space="0" w:color="95D600"/>
              <w:right w:val="nil"/>
            </w:tcBorders>
            <w:shd w:val="clear" w:color="000000" w:fill="555759"/>
            <w:noWrap/>
            <w:vAlign w:val="center"/>
            <w:hideMark/>
          </w:tcPr>
          <w:p w14:paraId="10CE9004" w14:textId="77777777" w:rsidR="002A760B" w:rsidRPr="002A760B" w:rsidRDefault="002A760B" w:rsidP="002A760B">
            <w:pPr>
              <w:spacing w:line="240" w:lineRule="auto"/>
              <w:jc w:val="center"/>
              <w:rPr>
                <w:rFonts w:ascii="Arial Narrow" w:hAnsi="Arial Narrow"/>
                <w:b/>
                <w:bCs/>
                <w:color w:val="FFFFFF"/>
                <w:sz w:val="18"/>
                <w:szCs w:val="18"/>
              </w:rPr>
            </w:pPr>
            <w:r w:rsidRPr="002A760B">
              <w:rPr>
                <w:rFonts w:ascii="Arial Narrow" w:hAnsi="Arial Narrow"/>
                <w:b/>
                <w:bCs/>
                <w:color w:val="FFFFFF"/>
                <w:sz w:val="18"/>
                <w:szCs w:val="18"/>
              </w:rPr>
              <w:t>Gas Energy (MMTherm/year)</w:t>
            </w:r>
          </w:p>
        </w:tc>
      </w:tr>
      <w:tr w:rsidR="002A760B" w:rsidRPr="002A760B" w14:paraId="371B7292" w14:textId="77777777" w:rsidTr="002A760B">
        <w:trPr>
          <w:trHeight w:val="330"/>
          <w:jc w:val="center"/>
        </w:trPr>
        <w:tc>
          <w:tcPr>
            <w:tcW w:w="1177" w:type="dxa"/>
            <w:tcBorders>
              <w:top w:val="nil"/>
              <w:left w:val="nil"/>
              <w:bottom w:val="single" w:sz="8" w:space="0" w:color="DCDDDE"/>
              <w:right w:val="nil"/>
            </w:tcBorders>
            <w:shd w:val="clear" w:color="auto" w:fill="auto"/>
            <w:vAlign w:val="center"/>
            <w:hideMark/>
          </w:tcPr>
          <w:p w14:paraId="0E2D6136"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Year</w:t>
            </w:r>
          </w:p>
        </w:tc>
        <w:tc>
          <w:tcPr>
            <w:tcW w:w="545" w:type="dxa"/>
            <w:tcBorders>
              <w:top w:val="nil"/>
              <w:left w:val="nil"/>
              <w:bottom w:val="single" w:sz="8" w:space="0" w:color="DCDDDE"/>
              <w:right w:val="nil"/>
            </w:tcBorders>
            <w:shd w:val="clear" w:color="auto" w:fill="auto"/>
            <w:noWrap/>
            <w:vAlign w:val="center"/>
            <w:hideMark/>
          </w:tcPr>
          <w:p w14:paraId="7DF6FAD4"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2018</w:t>
            </w:r>
          </w:p>
        </w:tc>
        <w:tc>
          <w:tcPr>
            <w:tcW w:w="545" w:type="dxa"/>
            <w:tcBorders>
              <w:top w:val="nil"/>
              <w:left w:val="nil"/>
              <w:bottom w:val="single" w:sz="8" w:space="0" w:color="DCDDDE"/>
              <w:right w:val="nil"/>
            </w:tcBorders>
            <w:shd w:val="clear" w:color="auto" w:fill="auto"/>
            <w:noWrap/>
            <w:vAlign w:val="center"/>
            <w:hideMark/>
          </w:tcPr>
          <w:p w14:paraId="07018949"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2019</w:t>
            </w:r>
          </w:p>
        </w:tc>
        <w:tc>
          <w:tcPr>
            <w:tcW w:w="545" w:type="dxa"/>
            <w:tcBorders>
              <w:top w:val="nil"/>
              <w:left w:val="nil"/>
              <w:bottom w:val="single" w:sz="8" w:space="0" w:color="DCDDDE"/>
              <w:right w:val="nil"/>
            </w:tcBorders>
            <w:shd w:val="clear" w:color="auto" w:fill="auto"/>
            <w:noWrap/>
            <w:vAlign w:val="center"/>
            <w:hideMark/>
          </w:tcPr>
          <w:p w14:paraId="60FC6925"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2020</w:t>
            </w:r>
          </w:p>
        </w:tc>
        <w:tc>
          <w:tcPr>
            <w:tcW w:w="545" w:type="dxa"/>
            <w:tcBorders>
              <w:top w:val="nil"/>
              <w:left w:val="nil"/>
              <w:bottom w:val="single" w:sz="8" w:space="0" w:color="DCDDDE"/>
              <w:right w:val="nil"/>
            </w:tcBorders>
            <w:shd w:val="clear" w:color="auto" w:fill="auto"/>
            <w:noWrap/>
            <w:vAlign w:val="center"/>
            <w:hideMark/>
          </w:tcPr>
          <w:p w14:paraId="4E5A900D"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2021</w:t>
            </w:r>
          </w:p>
        </w:tc>
        <w:tc>
          <w:tcPr>
            <w:tcW w:w="545" w:type="dxa"/>
            <w:tcBorders>
              <w:top w:val="nil"/>
              <w:left w:val="nil"/>
              <w:bottom w:val="single" w:sz="8" w:space="0" w:color="DCDDDE"/>
              <w:right w:val="nil"/>
            </w:tcBorders>
            <w:shd w:val="clear" w:color="auto" w:fill="auto"/>
            <w:noWrap/>
            <w:vAlign w:val="center"/>
            <w:hideMark/>
          </w:tcPr>
          <w:p w14:paraId="035513E0"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2022</w:t>
            </w:r>
          </w:p>
        </w:tc>
        <w:tc>
          <w:tcPr>
            <w:tcW w:w="545" w:type="dxa"/>
            <w:tcBorders>
              <w:top w:val="nil"/>
              <w:left w:val="nil"/>
              <w:bottom w:val="single" w:sz="8" w:space="0" w:color="DCDDDE"/>
              <w:right w:val="nil"/>
            </w:tcBorders>
            <w:shd w:val="clear" w:color="auto" w:fill="auto"/>
            <w:noWrap/>
            <w:vAlign w:val="center"/>
            <w:hideMark/>
          </w:tcPr>
          <w:p w14:paraId="71E820FC"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2023</w:t>
            </w:r>
          </w:p>
        </w:tc>
        <w:tc>
          <w:tcPr>
            <w:tcW w:w="545" w:type="dxa"/>
            <w:tcBorders>
              <w:top w:val="nil"/>
              <w:left w:val="nil"/>
              <w:bottom w:val="single" w:sz="8" w:space="0" w:color="DCDDDE"/>
              <w:right w:val="nil"/>
            </w:tcBorders>
            <w:shd w:val="clear" w:color="auto" w:fill="auto"/>
            <w:noWrap/>
            <w:vAlign w:val="center"/>
            <w:hideMark/>
          </w:tcPr>
          <w:p w14:paraId="71464E9E"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2024</w:t>
            </w:r>
          </w:p>
        </w:tc>
        <w:tc>
          <w:tcPr>
            <w:tcW w:w="545" w:type="dxa"/>
            <w:tcBorders>
              <w:top w:val="nil"/>
              <w:left w:val="nil"/>
              <w:bottom w:val="single" w:sz="8" w:space="0" w:color="DCDDDE"/>
              <w:right w:val="nil"/>
            </w:tcBorders>
            <w:shd w:val="clear" w:color="auto" w:fill="auto"/>
            <w:noWrap/>
            <w:vAlign w:val="center"/>
            <w:hideMark/>
          </w:tcPr>
          <w:p w14:paraId="314309E5"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2025</w:t>
            </w:r>
          </w:p>
        </w:tc>
        <w:tc>
          <w:tcPr>
            <w:tcW w:w="545" w:type="dxa"/>
            <w:tcBorders>
              <w:top w:val="nil"/>
              <w:left w:val="nil"/>
              <w:bottom w:val="single" w:sz="8" w:space="0" w:color="DCDDDE"/>
              <w:right w:val="nil"/>
            </w:tcBorders>
            <w:shd w:val="clear" w:color="auto" w:fill="auto"/>
            <w:noWrap/>
            <w:vAlign w:val="center"/>
            <w:hideMark/>
          </w:tcPr>
          <w:p w14:paraId="73DF71D3"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2026</w:t>
            </w:r>
          </w:p>
        </w:tc>
        <w:tc>
          <w:tcPr>
            <w:tcW w:w="545" w:type="dxa"/>
            <w:tcBorders>
              <w:top w:val="nil"/>
              <w:left w:val="nil"/>
              <w:bottom w:val="single" w:sz="8" w:space="0" w:color="DCDDDE"/>
              <w:right w:val="nil"/>
            </w:tcBorders>
            <w:shd w:val="clear" w:color="auto" w:fill="auto"/>
            <w:noWrap/>
            <w:vAlign w:val="center"/>
            <w:hideMark/>
          </w:tcPr>
          <w:p w14:paraId="5E1EB179"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2027</w:t>
            </w:r>
          </w:p>
        </w:tc>
        <w:tc>
          <w:tcPr>
            <w:tcW w:w="545" w:type="dxa"/>
            <w:tcBorders>
              <w:top w:val="nil"/>
              <w:left w:val="nil"/>
              <w:bottom w:val="single" w:sz="8" w:space="0" w:color="DCDDDE"/>
              <w:right w:val="nil"/>
            </w:tcBorders>
            <w:shd w:val="clear" w:color="auto" w:fill="auto"/>
            <w:noWrap/>
            <w:vAlign w:val="center"/>
            <w:hideMark/>
          </w:tcPr>
          <w:p w14:paraId="5A8B58AE"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2028</w:t>
            </w:r>
          </w:p>
        </w:tc>
        <w:tc>
          <w:tcPr>
            <w:tcW w:w="545" w:type="dxa"/>
            <w:tcBorders>
              <w:top w:val="nil"/>
              <w:left w:val="nil"/>
              <w:bottom w:val="single" w:sz="8" w:space="0" w:color="DCDDDE"/>
              <w:right w:val="nil"/>
            </w:tcBorders>
            <w:shd w:val="clear" w:color="auto" w:fill="auto"/>
            <w:noWrap/>
            <w:vAlign w:val="center"/>
            <w:hideMark/>
          </w:tcPr>
          <w:p w14:paraId="2ED5F05E"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2029</w:t>
            </w:r>
          </w:p>
        </w:tc>
        <w:tc>
          <w:tcPr>
            <w:tcW w:w="545" w:type="dxa"/>
            <w:tcBorders>
              <w:top w:val="nil"/>
              <w:left w:val="nil"/>
              <w:bottom w:val="single" w:sz="8" w:space="0" w:color="DCDDDE"/>
              <w:right w:val="nil"/>
            </w:tcBorders>
            <w:shd w:val="clear" w:color="auto" w:fill="auto"/>
            <w:noWrap/>
            <w:vAlign w:val="center"/>
            <w:hideMark/>
          </w:tcPr>
          <w:p w14:paraId="607301DD"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2030</w:t>
            </w:r>
          </w:p>
        </w:tc>
      </w:tr>
      <w:tr w:rsidR="002A760B" w:rsidRPr="002A760B" w14:paraId="351B9208" w14:textId="77777777" w:rsidTr="002A760B">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33072B79"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TRC | Reference</w:t>
            </w:r>
          </w:p>
        </w:tc>
      </w:tr>
      <w:tr w:rsidR="002A760B" w:rsidRPr="002A760B" w14:paraId="282322E1"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7DBE04E9"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7DCF4DD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14E9F9D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6F23552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39865FA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73117E2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0120DC1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64A7E3A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17D639B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10710CE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5C09CC1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7EE69E8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705DD3D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5A952E6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r>
      <w:tr w:rsidR="002A760B" w:rsidRPr="002A760B" w14:paraId="0ECD1EB1"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66FDE14F"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34B9902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4DDC1D0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105389B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6FD6ECF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234DEED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7FD0749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7B1681F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29843C1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51021F1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596F7BF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24F2841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06C1973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4BD3937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r>
      <w:tr w:rsidR="002A760B" w:rsidRPr="002A760B" w14:paraId="7706516F"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6E1F1356"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3935BC6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5D8AC14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2F2550D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459AA9E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597521C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7D9D390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13A2107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4B5FA64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2F7B29A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22FA553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78A425D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4C4CF43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3F428C1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r>
      <w:tr w:rsidR="002A760B" w:rsidRPr="002A760B" w14:paraId="40F1842F"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486EF6CD"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63FEEA7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4575C8D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52A6083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4695FD5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0325113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4012CC5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2C36F40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533BFAF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3F17DAC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1131DB1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40AEDB6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24</w:t>
            </w:r>
          </w:p>
        </w:tc>
        <w:tc>
          <w:tcPr>
            <w:tcW w:w="545" w:type="dxa"/>
            <w:tcBorders>
              <w:top w:val="nil"/>
              <w:left w:val="nil"/>
              <w:bottom w:val="single" w:sz="8" w:space="0" w:color="DCDDDE"/>
              <w:right w:val="nil"/>
            </w:tcBorders>
            <w:shd w:val="clear" w:color="000000" w:fill="FFFFFF"/>
            <w:noWrap/>
            <w:vAlign w:val="center"/>
            <w:hideMark/>
          </w:tcPr>
          <w:p w14:paraId="0F247E7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24</w:t>
            </w:r>
          </w:p>
        </w:tc>
        <w:tc>
          <w:tcPr>
            <w:tcW w:w="545" w:type="dxa"/>
            <w:tcBorders>
              <w:top w:val="nil"/>
              <w:left w:val="nil"/>
              <w:bottom w:val="single" w:sz="8" w:space="0" w:color="DCDDDE"/>
              <w:right w:val="nil"/>
            </w:tcBorders>
            <w:shd w:val="clear" w:color="000000" w:fill="FFFFFF"/>
            <w:noWrap/>
            <w:vAlign w:val="center"/>
            <w:hideMark/>
          </w:tcPr>
          <w:p w14:paraId="0613CEC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25</w:t>
            </w:r>
          </w:p>
        </w:tc>
      </w:tr>
      <w:tr w:rsidR="002A760B" w:rsidRPr="002A760B" w14:paraId="6A847B80"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0C68E6A1"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2F64630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3937509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1A1B9D4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306D804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73DE718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37B5B35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50AECB8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5CC2E49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3BC859E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102F00F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7643CC3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21FED37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48045D8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r>
      <w:tr w:rsidR="002A760B" w:rsidRPr="002A760B" w14:paraId="7309912C"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7782C293"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6E6F82E0"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46FCC6C8"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6A62C6C9"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6A710EF1"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35</w:t>
            </w:r>
          </w:p>
        </w:tc>
        <w:tc>
          <w:tcPr>
            <w:tcW w:w="545" w:type="dxa"/>
            <w:tcBorders>
              <w:top w:val="nil"/>
              <w:left w:val="nil"/>
              <w:bottom w:val="single" w:sz="8" w:space="0" w:color="DCDDDE"/>
              <w:right w:val="nil"/>
            </w:tcBorders>
            <w:shd w:val="clear" w:color="000000" w:fill="FFFFFF"/>
            <w:noWrap/>
            <w:vAlign w:val="center"/>
            <w:hideMark/>
          </w:tcPr>
          <w:p w14:paraId="0E573268"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4235871D"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38</w:t>
            </w:r>
          </w:p>
        </w:tc>
        <w:tc>
          <w:tcPr>
            <w:tcW w:w="545" w:type="dxa"/>
            <w:tcBorders>
              <w:top w:val="nil"/>
              <w:left w:val="nil"/>
              <w:bottom w:val="single" w:sz="8" w:space="0" w:color="DCDDDE"/>
              <w:right w:val="nil"/>
            </w:tcBorders>
            <w:shd w:val="clear" w:color="000000" w:fill="FFFFFF"/>
            <w:noWrap/>
            <w:vAlign w:val="center"/>
            <w:hideMark/>
          </w:tcPr>
          <w:p w14:paraId="1A8D3A61"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39</w:t>
            </w:r>
          </w:p>
        </w:tc>
        <w:tc>
          <w:tcPr>
            <w:tcW w:w="545" w:type="dxa"/>
            <w:tcBorders>
              <w:top w:val="nil"/>
              <w:left w:val="nil"/>
              <w:bottom w:val="single" w:sz="8" w:space="0" w:color="DCDDDE"/>
              <w:right w:val="nil"/>
            </w:tcBorders>
            <w:shd w:val="clear" w:color="000000" w:fill="FFFFFF"/>
            <w:noWrap/>
            <w:vAlign w:val="center"/>
            <w:hideMark/>
          </w:tcPr>
          <w:p w14:paraId="370562B9"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40</w:t>
            </w:r>
          </w:p>
        </w:tc>
        <w:tc>
          <w:tcPr>
            <w:tcW w:w="545" w:type="dxa"/>
            <w:tcBorders>
              <w:top w:val="nil"/>
              <w:left w:val="nil"/>
              <w:bottom w:val="single" w:sz="8" w:space="0" w:color="DCDDDE"/>
              <w:right w:val="nil"/>
            </w:tcBorders>
            <w:shd w:val="clear" w:color="000000" w:fill="FFFFFF"/>
            <w:noWrap/>
            <w:vAlign w:val="center"/>
            <w:hideMark/>
          </w:tcPr>
          <w:p w14:paraId="64A9119F"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4515E65D"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7433634F"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7275D29F"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2D1E0098"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38</w:t>
            </w:r>
          </w:p>
        </w:tc>
      </w:tr>
      <w:tr w:rsidR="002A760B" w:rsidRPr="002A760B" w14:paraId="672D63FA" w14:textId="77777777" w:rsidTr="002A760B">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5113298A"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mTRC (GHG adder 1) | Reference</w:t>
            </w:r>
          </w:p>
        </w:tc>
      </w:tr>
      <w:tr w:rsidR="002A760B" w:rsidRPr="002A760B" w14:paraId="35B02303"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53616DA6"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5BB84E7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48A84C2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7B7D80B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18BF56C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7F6FEA2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0377A5C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2020813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1A09E95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094A21C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7BFD867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481D24A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2114F4C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3BFEB69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r>
      <w:tr w:rsidR="002A760B" w:rsidRPr="002A760B" w14:paraId="7B521E79"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413C079A"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36FC6CC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0CE69D6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0630993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11717F1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4A252EC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0F7F920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2C130B2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71A0093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238DB32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0E1FDAD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771ADF2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5CF03A8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0702390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r>
      <w:tr w:rsidR="002A760B" w:rsidRPr="002A760B" w14:paraId="78371DBD"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186807DD"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6A025F2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7809725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1D75957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42F469F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35924A9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4843D06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6C9FDC6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4BD86B4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48999F9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488B972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2E31A6D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41D9E4B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5F270D5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r>
      <w:tr w:rsidR="002A760B" w:rsidRPr="002A760B" w14:paraId="1C78FCF2"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757CCDC6"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4FEF175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225F72E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42C7928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7D4E49D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3F73D1C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59430E1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24</w:t>
            </w:r>
          </w:p>
        </w:tc>
        <w:tc>
          <w:tcPr>
            <w:tcW w:w="545" w:type="dxa"/>
            <w:tcBorders>
              <w:top w:val="nil"/>
              <w:left w:val="nil"/>
              <w:bottom w:val="single" w:sz="8" w:space="0" w:color="DCDDDE"/>
              <w:right w:val="nil"/>
            </w:tcBorders>
            <w:shd w:val="clear" w:color="000000" w:fill="FFFFFF"/>
            <w:noWrap/>
            <w:vAlign w:val="center"/>
            <w:hideMark/>
          </w:tcPr>
          <w:p w14:paraId="7C7F6F0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24</w:t>
            </w:r>
          </w:p>
        </w:tc>
        <w:tc>
          <w:tcPr>
            <w:tcW w:w="545" w:type="dxa"/>
            <w:tcBorders>
              <w:top w:val="nil"/>
              <w:left w:val="nil"/>
              <w:bottom w:val="single" w:sz="8" w:space="0" w:color="DCDDDE"/>
              <w:right w:val="nil"/>
            </w:tcBorders>
            <w:shd w:val="clear" w:color="000000" w:fill="FFFFFF"/>
            <w:noWrap/>
            <w:vAlign w:val="center"/>
            <w:hideMark/>
          </w:tcPr>
          <w:p w14:paraId="3FD42D8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24</w:t>
            </w:r>
          </w:p>
        </w:tc>
        <w:tc>
          <w:tcPr>
            <w:tcW w:w="545" w:type="dxa"/>
            <w:tcBorders>
              <w:top w:val="nil"/>
              <w:left w:val="nil"/>
              <w:bottom w:val="single" w:sz="8" w:space="0" w:color="DCDDDE"/>
              <w:right w:val="nil"/>
            </w:tcBorders>
            <w:shd w:val="clear" w:color="000000" w:fill="FFFFFF"/>
            <w:noWrap/>
            <w:vAlign w:val="center"/>
            <w:hideMark/>
          </w:tcPr>
          <w:p w14:paraId="49E2510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24</w:t>
            </w:r>
          </w:p>
        </w:tc>
        <w:tc>
          <w:tcPr>
            <w:tcW w:w="545" w:type="dxa"/>
            <w:tcBorders>
              <w:top w:val="nil"/>
              <w:left w:val="nil"/>
              <w:bottom w:val="single" w:sz="8" w:space="0" w:color="DCDDDE"/>
              <w:right w:val="nil"/>
            </w:tcBorders>
            <w:shd w:val="clear" w:color="000000" w:fill="FFFFFF"/>
            <w:noWrap/>
            <w:vAlign w:val="center"/>
            <w:hideMark/>
          </w:tcPr>
          <w:p w14:paraId="0A4A747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24</w:t>
            </w:r>
          </w:p>
        </w:tc>
        <w:tc>
          <w:tcPr>
            <w:tcW w:w="545" w:type="dxa"/>
            <w:tcBorders>
              <w:top w:val="nil"/>
              <w:left w:val="nil"/>
              <w:bottom w:val="single" w:sz="8" w:space="0" w:color="DCDDDE"/>
              <w:right w:val="nil"/>
            </w:tcBorders>
            <w:shd w:val="clear" w:color="000000" w:fill="FFFFFF"/>
            <w:noWrap/>
            <w:vAlign w:val="center"/>
            <w:hideMark/>
          </w:tcPr>
          <w:p w14:paraId="6563090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235DCE1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60B8614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26</w:t>
            </w:r>
          </w:p>
        </w:tc>
      </w:tr>
      <w:tr w:rsidR="002A760B" w:rsidRPr="002A760B" w14:paraId="3B8A366D"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688C9811"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74B2C14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08AEB43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3144649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27D3E10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066D94A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34EC97D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738A16C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1397C96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41170FD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2CC8BD7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2C198E2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6B6FDED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3DC4A21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r>
      <w:tr w:rsidR="002A760B" w:rsidRPr="002A760B" w14:paraId="7FFC6E1C"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4056BBAE"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5A6AD202"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31</w:t>
            </w:r>
          </w:p>
        </w:tc>
        <w:tc>
          <w:tcPr>
            <w:tcW w:w="545" w:type="dxa"/>
            <w:tcBorders>
              <w:top w:val="nil"/>
              <w:left w:val="nil"/>
              <w:bottom w:val="single" w:sz="8" w:space="0" w:color="DCDDDE"/>
              <w:right w:val="nil"/>
            </w:tcBorders>
            <w:shd w:val="clear" w:color="000000" w:fill="FFFFFF"/>
            <w:noWrap/>
            <w:vAlign w:val="center"/>
            <w:hideMark/>
          </w:tcPr>
          <w:p w14:paraId="4F0781B9"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34</w:t>
            </w:r>
          </w:p>
        </w:tc>
        <w:tc>
          <w:tcPr>
            <w:tcW w:w="545" w:type="dxa"/>
            <w:tcBorders>
              <w:top w:val="nil"/>
              <w:left w:val="nil"/>
              <w:bottom w:val="single" w:sz="8" w:space="0" w:color="DCDDDE"/>
              <w:right w:val="nil"/>
            </w:tcBorders>
            <w:shd w:val="clear" w:color="000000" w:fill="FFFFFF"/>
            <w:noWrap/>
            <w:vAlign w:val="center"/>
            <w:hideMark/>
          </w:tcPr>
          <w:p w14:paraId="6E087EBB"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36</w:t>
            </w:r>
          </w:p>
        </w:tc>
        <w:tc>
          <w:tcPr>
            <w:tcW w:w="545" w:type="dxa"/>
            <w:tcBorders>
              <w:top w:val="nil"/>
              <w:left w:val="nil"/>
              <w:bottom w:val="single" w:sz="8" w:space="0" w:color="DCDDDE"/>
              <w:right w:val="nil"/>
            </w:tcBorders>
            <w:shd w:val="clear" w:color="000000" w:fill="FFFFFF"/>
            <w:noWrap/>
            <w:vAlign w:val="center"/>
            <w:hideMark/>
          </w:tcPr>
          <w:p w14:paraId="56F2B4AF"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40</w:t>
            </w:r>
          </w:p>
        </w:tc>
        <w:tc>
          <w:tcPr>
            <w:tcW w:w="545" w:type="dxa"/>
            <w:tcBorders>
              <w:top w:val="nil"/>
              <w:left w:val="nil"/>
              <w:bottom w:val="single" w:sz="8" w:space="0" w:color="DCDDDE"/>
              <w:right w:val="nil"/>
            </w:tcBorders>
            <w:shd w:val="clear" w:color="000000" w:fill="FFFFFF"/>
            <w:noWrap/>
            <w:vAlign w:val="center"/>
            <w:hideMark/>
          </w:tcPr>
          <w:p w14:paraId="380A7504"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43</w:t>
            </w:r>
          </w:p>
        </w:tc>
        <w:tc>
          <w:tcPr>
            <w:tcW w:w="545" w:type="dxa"/>
            <w:tcBorders>
              <w:top w:val="nil"/>
              <w:left w:val="nil"/>
              <w:bottom w:val="single" w:sz="8" w:space="0" w:color="DCDDDE"/>
              <w:right w:val="nil"/>
            </w:tcBorders>
            <w:shd w:val="clear" w:color="000000" w:fill="FFFFFF"/>
            <w:noWrap/>
            <w:vAlign w:val="center"/>
            <w:hideMark/>
          </w:tcPr>
          <w:p w14:paraId="0437F352"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43</w:t>
            </w:r>
          </w:p>
        </w:tc>
        <w:tc>
          <w:tcPr>
            <w:tcW w:w="545" w:type="dxa"/>
            <w:tcBorders>
              <w:top w:val="nil"/>
              <w:left w:val="nil"/>
              <w:bottom w:val="single" w:sz="8" w:space="0" w:color="DCDDDE"/>
              <w:right w:val="nil"/>
            </w:tcBorders>
            <w:shd w:val="clear" w:color="000000" w:fill="FFFFFF"/>
            <w:noWrap/>
            <w:vAlign w:val="center"/>
            <w:hideMark/>
          </w:tcPr>
          <w:p w14:paraId="717E5499"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44</w:t>
            </w:r>
          </w:p>
        </w:tc>
        <w:tc>
          <w:tcPr>
            <w:tcW w:w="545" w:type="dxa"/>
            <w:tcBorders>
              <w:top w:val="nil"/>
              <w:left w:val="nil"/>
              <w:bottom w:val="single" w:sz="8" w:space="0" w:color="DCDDDE"/>
              <w:right w:val="nil"/>
            </w:tcBorders>
            <w:shd w:val="clear" w:color="000000" w:fill="FFFFFF"/>
            <w:noWrap/>
            <w:vAlign w:val="center"/>
            <w:hideMark/>
          </w:tcPr>
          <w:p w14:paraId="16805A2F"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44</w:t>
            </w:r>
          </w:p>
        </w:tc>
        <w:tc>
          <w:tcPr>
            <w:tcW w:w="545" w:type="dxa"/>
            <w:tcBorders>
              <w:top w:val="nil"/>
              <w:left w:val="nil"/>
              <w:bottom w:val="single" w:sz="8" w:space="0" w:color="DCDDDE"/>
              <w:right w:val="nil"/>
            </w:tcBorders>
            <w:shd w:val="clear" w:color="000000" w:fill="FFFFFF"/>
            <w:noWrap/>
            <w:vAlign w:val="center"/>
            <w:hideMark/>
          </w:tcPr>
          <w:p w14:paraId="5510866E"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39</w:t>
            </w:r>
          </w:p>
        </w:tc>
        <w:tc>
          <w:tcPr>
            <w:tcW w:w="545" w:type="dxa"/>
            <w:tcBorders>
              <w:top w:val="nil"/>
              <w:left w:val="nil"/>
              <w:bottom w:val="single" w:sz="8" w:space="0" w:color="DCDDDE"/>
              <w:right w:val="nil"/>
            </w:tcBorders>
            <w:shd w:val="clear" w:color="000000" w:fill="FFFFFF"/>
            <w:noWrap/>
            <w:vAlign w:val="center"/>
            <w:hideMark/>
          </w:tcPr>
          <w:p w14:paraId="7601FD21"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38</w:t>
            </w:r>
          </w:p>
        </w:tc>
        <w:tc>
          <w:tcPr>
            <w:tcW w:w="545" w:type="dxa"/>
            <w:tcBorders>
              <w:top w:val="nil"/>
              <w:left w:val="nil"/>
              <w:bottom w:val="single" w:sz="8" w:space="0" w:color="DCDDDE"/>
              <w:right w:val="nil"/>
            </w:tcBorders>
            <w:shd w:val="clear" w:color="000000" w:fill="FFFFFF"/>
            <w:noWrap/>
            <w:vAlign w:val="center"/>
            <w:hideMark/>
          </w:tcPr>
          <w:p w14:paraId="4558CCA8"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38</w:t>
            </w:r>
          </w:p>
        </w:tc>
        <w:tc>
          <w:tcPr>
            <w:tcW w:w="545" w:type="dxa"/>
            <w:tcBorders>
              <w:top w:val="nil"/>
              <w:left w:val="nil"/>
              <w:bottom w:val="single" w:sz="8" w:space="0" w:color="DCDDDE"/>
              <w:right w:val="nil"/>
            </w:tcBorders>
            <w:shd w:val="clear" w:color="000000" w:fill="FFFFFF"/>
            <w:noWrap/>
            <w:vAlign w:val="center"/>
            <w:hideMark/>
          </w:tcPr>
          <w:p w14:paraId="7AB011A2"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38</w:t>
            </w:r>
          </w:p>
        </w:tc>
        <w:tc>
          <w:tcPr>
            <w:tcW w:w="545" w:type="dxa"/>
            <w:tcBorders>
              <w:top w:val="nil"/>
              <w:left w:val="nil"/>
              <w:bottom w:val="single" w:sz="8" w:space="0" w:color="DCDDDE"/>
              <w:right w:val="nil"/>
            </w:tcBorders>
            <w:shd w:val="clear" w:color="000000" w:fill="FFFFFF"/>
            <w:noWrap/>
            <w:vAlign w:val="center"/>
            <w:hideMark/>
          </w:tcPr>
          <w:p w14:paraId="4FA1746E"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38</w:t>
            </w:r>
          </w:p>
        </w:tc>
      </w:tr>
      <w:tr w:rsidR="002A760B" w:rsidRPr="002A760B" w14:paraId="67070109" w14:textId="77777777" w:rsidTr="002A760B">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12191353"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mTRC (GHG adder 2) | Reference</w:t>
            </w:r>
          </w:p>
        </w:tc>
      </w:tr>
      <w:tr w:rsidR="002A760B" w:rsidRPr="002A760B" w14:paraId="138E5BB9"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12BFA4B8"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5D1ED04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02291EC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7E8F13E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51FB940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3B6AE54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0EEA9DA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59ADCBE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7B735EE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140C16B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2ED1164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2650251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6BABBCE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367A795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r>
      <w:tr w:rsidR="002A760B" w:rsidRPr="002A760B" w14:paraId="13CA2AA0"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57617C82"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51F258D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5946691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7D39D03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2DF6F2A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75C6DA2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68AB4DC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0ED395D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6628756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392CECE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0B881BE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7FA32E2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322F7C9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62CAA93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r>
      <w:tr w:rsidR="002A760B" w:rsidRPr="002A760B" w14:paraId="0504AEEA"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4DD203D5"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0CE9D5B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01B80D4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0CE1D05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4E03070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6532864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5E57544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5748D78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2080FE3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0FA4F88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46DEC1C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6ABE049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16C28E9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40E3FA4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r>
      <w:tr w:rsidR="002A760B" w:rsidRPr="002A760B" w14:paraId="5DC04A1F"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1FB700EE"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4AAB6D9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2D9856D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4847F17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0B070BA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285763C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3B9ACBA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3C8314F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0BC81F0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175AF41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1753A23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7E834C8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0E1CDA5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03F15E6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29</w:t>
            </w:r>
          </w:p>
        </w:tc>
      </w:tr>
      <w:tr w:rsidR="002A760B" w:rsidRPr="002A760B" w14:paraId="3034329F"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34E86EE3"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53F2DC5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26FB182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09DB166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34F7D6D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22F908D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46D5C03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113B746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30ECF09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0CD625D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0E76C5A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7D889C7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7CE8299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718FAED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r>
      <w:tr w:rsidR="002A760B" w:rsidRPr="002A760B" w14:paraId="33328719"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5D86CB9C"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173E1550"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43C45848"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38</w:t>
            </w:r>
          </w:p>
        </w:tc>
        <w:tc>
          <w:tcPr>
            <w:tcW w:w="545" w:type="dxa"/>
            <w:tcBorders>
              <w:top w:val="nil"/>
              <w:left w:val="nil"/>
              <w:bottom w:val="single" w:sz="8" w:space="0" w:color="DCDDDE"/>
              <w:right w:val="nil"/>
            </w:tcBorders>
            <w:shd w:val="clear" w:color="000000" w:fill="FFFFFF"/>
            <w:noWrap/>
            <w:vAlign w:val="center"/>
            <w:hideMark/>
          </w:tcPr>
          <w:p w14:paraId="5E7BA12A"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47E2AE63"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45</w:t>
            </w:r>
          </w:p>
        </w:tc>
        <w:tc>
          <w:tcPr>
            <w:tcW w:w="545" w:type="dxa"/>
            <w:tcBorders>
              <w:top w:val="nil"/>
              <w:left w:val="nil"/>
              <w:bottom w:val="single" w:sz="8" w:space="0" w:color="DCDDDE"/>
              <w:right w:val="nil"/>
            </w:tcBorders>
            <w:shd w:val="clear" w:color="000000" w:fill="FFFFFF"/>
            <w:noWrap/>
            <w:vAlign w:val="center"/>
            <w:hideMark/>
          </w:tcPr>
          <w:p w14:paraId="5E48D58B"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45</w:t>
            </w:r>
          </w:p>
        </w:tc>
        <w:tc>
          <w:tcPr>
            <w:tcW w:w="545" w:type="dxa"/>
            <w:tcBorders>
              <w:top w:val="nil"/>
              <w:left w:val="nil"/>
              <w:bottom w:val="single" w:sz="8" w:space="0" w:color="DCDDDE"/>
              <w:right w:val="nil"/>
            </w:tcBorders>
            <w:shd w:val="clear" w:color="000000" w:fill="FFFFFF"/>
            <w:noWrap/>
            <w:vAlign w:val="center"/>
            <w:hideMark/>
          </w:tcPr>
          <w:p w14:paraId="2B351D93"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50</w:t>
            </w:r>
          </w:p>
        </w:tc>
        <w:tc>
          <w:tcPr>
            <w:tcW w:w="545" w:type="dxa"/>
            <w:tcBorders>
              <w:top w:val="nil"/>
              <w:left w:val="nil"/>
              <w:bottom w:val="single" w:sz="8" w:space="0" w:color="DCDDDE"/>
              <w:right w:val="nil"/>
            </w:tcBorders>
            <w:shd w:val="clear" w:color="000000" w:fill="FFFFFF"/>
            <w:noWrap/>
            <w:vAlign w:val="center"/>
            <w:hideMark/>
          </w:tcPr>
          <w:p w14:paraId="2FBC4F58"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49</w:t>
            </w:r>
          </w:p>
        </w:tc>
        <w:tc>
          <w:tcPr>
            <w:tcW w:w="545" w:type="dxa"/>
            <w:tcBorders>
              <w:top w:val="nil"/>
              <w:left w:val="nil"/>
              <w:bottom w:val="single" w:sz="8" w:space="0" w:color="DCDDDE"/>
              <w:right w:val="nil"/>
            </w:tcBorders>
            <w:shd w:val="clear" w:color="000000" w:fill="FFFFFF"/>
            <w:noWrap/>
            <w:vAlign w:val="center"/>
            <w:hideMark/>
          </w:tcPr>
          <w:p w14:paraId="663CAC9F"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49</w:t>
            </w:r>
          </w:p>
        </w:tc>
        <w:tc>
          <w:tcPr>
            <w:tcW w:w="545" w:type="dxa"/>
            <w:tcBorders>
              <w:top w:val="nil"/>
              <w:left w:val="nil"/>
              <w:bottom w:val="single" w:sz="8" w:space="0" w:color="DCDDDE"/>
              <w:right w:val="nil"/>
            </w:tcBorders>
            <w:shd w:val="clear" w:color="000000" w:fill="FFFFFF"/>
            <w:noWrap/>
            <w:vAlign w:val="center"/>
            <w:hideMark/>
          </w:tcPr>
          <w:p w14:paraId="40B73ECE"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44</w:t>
            </w:r>
          </w:p>
        </w:tc>
        <w:tc>
          <w:tcPr>
            <w:tcW w:w="545" w:type="dxa"/>
            <w:tcBorders>
              <w:top w:val="nil"/>
              <w:left w:val="nil"/>
              <w:bottom w:val="single" w:sz="8" w:space="0" w:color="DCDDDE"/>
              <w:right w:val="nil"/>
            </w:tcBorders>
            <w:shd w:val="clear" w:color="000000" w:fill="FFFFFF"/>
            <w:noWrap/>
            <w:vAlign w:val="center"/>
            <w:hideMark/>
          </w:tcPr>
          <w:p w14:paraId="50F14604"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42</w:t>
            </w:r>
          </w:p>
        </w:tc>
        <w:tc>
          <w:tcPr>
            <w:tcW w:w="545" w:type="dxa"/>
            <w:tcBorders>
              <w:top w:val="nil"/>
              <w:left w:val="nil"/>
              <w:bottom w:val="single" w:sz="8" w:space="0" w:color="DCDDDE"/>
              <w:right w:val="nil"/>
            </w:tcBorders>
            <w:shd w:val="clear" w:color="000000" w:fill="FFFFFF"/>
            <w:noWrap/>
            <w:vAlign w:val="center"/>
            <w:hideMark/>
          </w:tcPr>
          <w:p w14:paraId="5317F7D8"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42</w:t>
            </w:r>
          </w:p>
        </w:tc>
        <w:tc>
          <w:tcPr>
            <w:tcW w:w="545" w:type="dxa"/>
            <w:tcBorders>
              <w:top w:val="nil"/>
              <w:left w:val="nil"/>
              <w:bottom w:val="single" w:sz="8" w:space="0" w:color="DCDDDE"/>
              <w:right w:val="nil"/>
            </w:tcBorders>
            <w:shd w:val="clear" w:color="000000" w:fill="FFFFFF"/>
            <w:noWrap/>
            <w:vAlign w:val="center"/>
            <w:hideMark/>
          </w:tcPr>
          <w:p w14:paraId="598C04FD"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6BA850D9"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42</w:t>
            </w:r>
          </w:p>
        </w:tc>
      </w:tr>
      <w:tr w:rsidR="002A760B" w:rsidRPr="002A760B" w14:paraId="20242626" w14:textId="77777777" w:rsidTr="002A760B">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3475A412"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PAC | Reference</w:t>
            </w:r>
          </w:p>
        </w:tc>
      </w:tr>
      <w:tr w:rsidR="002A760B" w:rsidRPr="002A760B" w14:paraId="05578C6A"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25D850F4"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76A66F9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6A14C51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39DA8C6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10482A7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3B92378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736817A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7B5FEF3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2A697FA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2C520B3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6284507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09107E4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58C99D2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499F74F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r>
      <w:tr w:rsidR="002A760B" w:rsidRPr="002A760B" w14:paraId="6DE43F6D"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0AB28013"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7CE809E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6CD0DB2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23753BB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6380CAB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5EEEF77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1098C0F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4F30703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104CF02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72A6C92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0380096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61F68B3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4A47970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377A679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r>
      <w:tr w:rsidR="002A760B" w:rsidRPr="002A760B" w14:paraId="1A54B2B4"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68622E4F"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lastRenderedPageBreak/>
              <w:t>Low Income</w:t>
            </w:r>
          </w:p>
        </w:tc>
        <w:tc>
          <w:tcPr>
            <w:tcW w:w="545" w:type="dxa"/>
            <w:tcBorders>
              <w:top w:val="nil"/>
              <w:left w:val="nil"/>
              <w:bottom w:val="single" w:sz="8" w:space="0" w:color="DCDDDE"/>
              <w:right w:val="nil"/>
            </w:tcBorders>
            <w:shd w:val="clear" w:color="000000" w:fill="FFFFFF"/>
            <w:noWrap/>
            <w:vAlign w:val="center"/>
            <w:hideMark/>
          </w:tcPr>
          <w:p w14:paraId="1997745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6256760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29FA0D1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78D5B19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390B574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031F51A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638B280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6C8AE07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26D2433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6B699D4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4DC36FC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5DA40E1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79BE732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r>
      <w:tr w:rsidR="002A760B" w:rsidRPr="002A760B" w14:paraId="617B135C"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3E586FE5"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61C9692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06D2CEA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604F01A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51FF892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533EB34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2770978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24</w:t>
            </w:r>
          </w:p>
        </w:tc>
        <w:tc>
          <w:tcPr>
            <w:tcW w:w="545" w:type="dxa"/>
            <w:tcBorders>
              <w:top w:val="nil"/>
              <w:left w:val="nil"/>
              <w:bottom w:val="single" w:sz="8" w:space="0" w:color="DCDDDE"/>
              <w:right w:val="nil"/>
            </w:tcBorders>
            <w:shd w:val="clear" w:color="000000" w:fill="FFFFFF"/>
            <w:noWrap/>
            <w:vAlign w:val="center"/>
            <w:hideMark/>
          </w:tcPr>
          <w:p w14:paraId="25716BE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24</w:t>
            </w:r>
          </w:p>
        </w:tc>
        <w:tc>
          <w:tcPr>
            <w:tcW w:w="545" w:type="dxa"/>
            <w:tcBorders>
              <w:top w:val="nil"/>
              <w:left w:val="nil"/>
              <w:bottom w:val="single" w:sz="8" w:space="0" w:color="DCDDDE"/>
              <w:right w:val="nil"/>
            </w:tcBorders>
            <w:shd w:val="clear" w:color="000000" w:fill="FFFFFF"/>
            <w:noWrap/>
            <w:vAlign w:val="center"/>
            <w:hideMark/>
          </w:tcPr>
          <w:p w14:paraId="0B46868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2BA355D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3421C5F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0EB3936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1A2AC2F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27</w:t>
            </w:r>
          </w:p>
        </w:tc>
        <w:tc>
          <w:tcPr>
            <w:tcW w:w="545" w:type="dxa"/>
            <w:tcBorders>
              <w:top w:val="nil"/>
              <w:left w:val="nil"/>
              <w:bottom w:val="single" w:sz="8" w:space="0" w:color="DCDDDE"/>
              <w:right w:val="nil"/>
            </w:tcBorders>
            <w:shd w:val="clear" w:color="000000" w:fill="FFFFFF"/>
            <w:noWrap/>
            <w:vAlign w:val="center"/>
            <w:hideMark/>
          </w:tcPr>
          <w:p w14:paraId="7587455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r>
      <w:tr w:rsidR="002A760B" w:rsidRPr="002A760B" w14:paraId="5C81D846"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49A28FA8"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7C6DF4B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21515A9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490DD59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32C796D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2DF2643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46FA541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0C79ABB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32BE24E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439AE1C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27D44EA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16DB5CA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787F2F2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424141B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r>
      <w:tr w:rsidR="002A760B" w:rsidRPr="002A760B" w14:paraId="297DD317"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7C52DF60"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12505FF0"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307D299E"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35</w:t>
            </w:r>
          </w:p>
        </w:tc>
        <w:tc>
          <w:tcPr>
            <w:tcW w:w="545" w:type="dxa"/>
            <w:tcBorders>
              <w:top w:val="nil"/>
              <w:left w:val="nil"/>
              <w:bottom w:val="single" w:sz="8" w:space="0" w:color="DCDDDE"/>
              <w:right w:val="nil"/>
            </w:tcBorders>
            <w:shd w:val="clear" w:color="000000" w:fill="FFFFFF"/>
            <w:noWrap/>
            <w:vAlign w:val="center"/>
            <w:hideMark/>
          </w:tcPr>
          <w:p w14:paraId="4CB26B6A"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38</w:t>
            </w:r>
          </w:p>
        </w:tc>
        <w:tc>
          <w:tcPr>
            <w:tcW w:w="545" w:type="dxa"/>
            <w:tcBorders>
              <w:top w:val="nil"/>
              <w:left w:val="nil"/>
              <w:bottom w:val="single" w:sz="8" w:space="0" w:color="DCDDDE"/>
              <w:right w:val="nil"/>
            </w:tcBorders>
            <w:shd w:val="clear" w:color="000000" w:fill="FFFFFF"/>
            <w:noWrap/>
            <w:vAlign w:val="center"/>
            <w:hideMark/>
          </w:tcPr>
          <w:p w14:paraId="73CF9340"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7D5104F8"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42</w:t>
            </w:r>
          </w:p>
        </w:tc>
        <w:tc>
          <w:tcPr>
            <w:tcW w:w="545" w:type="dxa"/>
            <w:tcBorders>
              <w:top w:val="nil"/>
              <w:left w:val="nil"/>
              <w:bottom w:val="single" w:sz="8" w:space="0" w:color="DCDDDE"/>
              <w:right w:val="nil"/>
            </w:tcBorders>
            <w:shd w:val="clear" w:color="000000" w:fill="FFFFFF"/>
            <w:noWrap/>
            <w:vAlign w:val="center"/>
            <w:hideMark/>
          </w:tcPr>
          <w:p w14:paraId="28388EB6"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44</w:t>
            </w:r>
          </w:p>
        </w:tc>
        <w:tc>
          <w:tcPr>
            <w:tcW w:w="545" w:type="dxa"/>
            <w:tcBorders>
              <w:top w:val="nil"/>
              <w:left w:val="nil"/>
              <w:bottom w:val="single" w:sz="8" w:space="0" w:color="DCDDDE"/>
              <w:right w:val="nil"/>
            </w:tcBorders>
            <w:shd w:val="clear" w:color="000000" w:fill="FFFFFF"/>
            <w:noWrap/>
            <w:vAlign w:val="center"/>
            <w:hideMark/>
          </w:tcPr>
          <w:p w14:paraId="1CC7B642"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44</w:t>
            </w:r>
          </w:p>
        </w:tc>
        <w:tc>
          <w:tcPr>
            <w:tcW w:w="545" w:type="dxa"/>
            <w:tcBorders>
              <w:top w:val="nil"/>
              <w:left w:val="nil"/>
              <w:bottom w:val="single" w:sz="8" w:space="0" w:color="DCDDDE"/>
              <w:right w:val="nil"/>
            </w:tcBorders>
            <w:shd w:val="clear" w:color="000000" w:fill="FFFFFF"/>
            <w:noWrap/>
            <w:vAlign w:val="center"/>
            <w:hideMark/>
          </w:tcPr>
          <w:p w14:paraId="34A7C929"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45</w:t>
            </w:r>
          </w:p>
        </w:tc>
        <w:tc>
          <w:tcPr>
            <w:tcW w:w="545" w:type="dxa"/>
            <w:tcBorders>
              <w:top w:val="nil"/>
              <w:left w:val="nil"/>
              <w:bottom w:val="single" w:sz="8" w:space="0" w:color="DCDDDE"/>
              <w:right w:val="nil"/>
            </w:tcBorders>
            <w:shd w:val="clear" w:color="000000" w:fill="FFFFFF"/>
            <w:noWrap/>
            <w:vAlign w:val="center"/>
            <w:hideMark/>
          </w:tcPr>
          <w:p w14:paraId="23DCF2CD"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40</w:t>
            </w:r>
          </w:p>
        </w:tc>
        <w:tc>
          <w:tcPr>
            <w:tcW w:w="545" w:type="dxa"/>
            <w:tcBorders>
              <w:top w:val="nil"/>
              <w:left w:val="nil"/>
              <w:bottom w:val="single" w:sz="8" w:space="0" w:color="DCDDDE"/>
              <w:right w:val="nil"/>
            </w:tcBorders>
            <w:shd w:val="clear" w:color="000000" w:fill="FFFFFF"/>
            <w:noWrap/>
            <w:vAlign w:val="center"/>
            <w:hideMark/>
          </w:tcPr>
          <w:p w14:paraId="6E5B7232"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39</w:t>
            </w:r>
          </w:p>
        </w:tc>
        <w:tc>
          <w:tcPr>
            <w:tcW w:w="545" w:type="dxa"/>
            <w:tcBorders>
              <w:top w:val="nil"/>
              <w:left w:val="nil"/>
              <w:bottom w:val="single" w:sz="8" w:space="0" w:color="DCDDDE"/>
              <w:right w:val="nil"/>
            </w:tcBorders>
            <w:shd w:val="clear" w:color="000000" w:fill="FFFFFF"/>
            <w:noWrap/>
            <w:vAlign w:val="center"/>
            <w:hideMark/>
          </w:tcPr>
          <w:p w14:paraId="4538CC31"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39</w:t>
            </w:r>
          </w:p>
        </w:tc>
        <w:tc>
          <w:tcPr>
            <w:tcW w:w="545" w:type="dxa"/>
            <w:tcBorders>
              <w:top w:val="nil"/>
              <w:left w:val="nil"/>
              <w:bottom w:val="single" w:sz="8" w:space="0" w:color="DCDDDE"/>
              <w:right w:val="nil"/>
            </w:tcBorders>
            <w:shd w:val="clear" w:color="000000" w:fill="FFFFFF"/>
            <w:noWrap/>
            <w:vAlign w:val="center"/>
            <w:hideMark/>
          </w:tcPr>
          <w:p w14:paraId="2EFE6086"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39</w:t>
            </w:r>
          </w:p>
        </w:tc>
        <w:tc>
          <w:tcPr>
            <w:tcW w:w="545" w:type="dxa"/>
            <w:tcBorders>
              <w:top w:val="nil"/>
              <w:left w:val="nil"/>
              <w:bottom w:val="single" w:sz="8" w:space="0" w:color="DCDDDE"/>
              <w:right w:val="nil"/>
            </w:tcBorders>
            <w:shd w:val="clear" w:color="000000" w:fill="FFFFFF"/>
            <w:noWrap/>
            <w:vAlign w:val="center"/>
            <w:hideMark/>
          </w:tcPr>
          <w:p w14:paraId="6FC9BDA8"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41</w:t>
            </w:r>
          </w:p>
        </w:tc>
      </w:tr>
      <w:tr w:rsidR="002A760B" w:rsidRPr="002A760B" w14:paraId="3C058E72" w14:textId="77777777" w:rsidTr="002A760B">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5B17D2F9"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PAC | Aggressive</w:t>
            </w:r>
          </w:p>
        </w:tc>
      </w:tr>
      <w:tr w:rsidR="002A760B" w:rsidRPr="002A760B" w14:paraId="21D2A8BA"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3C368C26"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13AB546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2ED137D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2B58708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7AE1A5B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3D9F199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1BA4E9F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20B00F6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1D4BD37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00FD199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08CA50C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548A97B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63EC667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7F23F74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r>
      <w:tr w:rsidR="002A760B" w:rsidRPr="002A760B" w14:paraId="19BB5C50"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299FAF21"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6E0E4A5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3547FFF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2634994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4AE80E4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4377C3E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64A4660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11EA782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6B103BB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68CEF91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6737216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490946C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03ED42B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402655E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18</w:t>
            </w:r>
          </w:p>
        </w:tc>
      </w:tr>
      <w:tr w:rsidR="002A760B" w:rsidRPr="002A760B" w14:paraId="1D94D8BE"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43D11C2A"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48324C7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4CABC5C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74CF094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45A3EC8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3CB56A6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16BEF0B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36248DE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33644AA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298FE46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103AC63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39D33B0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778BFF2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c>
          <w:tcPr>
            <w:tcW w:w="545" w:type="dxa"/>
            <w:tcBorders>
              <w:top w:val="nil"/>
              <w:left w:val="nil"/>
              <w:bottom w:val="single" w:sz="8" w:space="0" w:color="DCDDDE"/>
              <w:right w:val="nil"/>
            </w:tcBorders>
            <w:shd w:val="clear" w:color="000000" w:fill="FFFFFF"/>
            <w:noWrap/>
            <w:vAlign w:val="center"/>
            <w:hideMark/>
          </w:tcPr>
          <w:p w14:paraId="50C7D72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w:t>
            </w:r>
          </w:p>
        </w:tc>
      </w:tr>
      <w:tr w:rsidR="002A760B" w:rsidRPr="002A760B" w14:paraId="3E93C0F6"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724BBCFF"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5E9E89E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031C77B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7628C44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14FE9EC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24</w:t>
            </w:r>
          </w:p>
        </w:tc>
        <w:tc>
          <w:tcPr>
            <w:tcW w:w="545" w:type="dxa"/>
            <w:tcBorders>
              <w:top w:val="nil"/>
              <w:left w:val="nil"/>
              <w:bottom w:val="single" w:sz="8" w:space="0" w:color="DCDDDE"/>
              <w:right w:val="nil"/>
            </w:tcBorders>
            <w:shd w:val="clear" w:color="000000" w:fill="FFFFFF"/>
            <w:noWrap/>
            <w:vAlign w:val="center"/>
            <w:hideMark/>
          </w:tcPr>
          <w:p w14:paraId="071D1D1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24</w:t>
            </w:r>
          </w:p>
        </w:tc>
        <w:tc>
          <w:tcPr>
            <w:tcW w:w="545" w:type="dxa"/>
            <w:tcBorders>
              <w:top w:val="nil"/>
              <w:left w:val="nil"/>
              <w:bottom w:val="single" w:sz="8" w:space="0" w:color="DCDDDE"/>
              <w:right w:val="nil"/>
            </w:tcBorders>
            <w:shd w:val="clear" w:color="000000" w:fill="FFFFFF"/>
            <w:noWrap/>
            <w:vAlign w:val="center"/>
            <w:hideMark/>
          </w:tcPr>
          <w:p w14:paraId="02F2DAE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27</w:t>
            </w:r>
          </w:p>
        </w:tc>
        <w:tc>
          <w:tcPr>
            <w:tcW w:w="545" w:type="dxa"/>
            <w:tcBorders>
              <w:top w:val="nil"/>
              <w:left w:val="nil"/>
              <w:bottom w:val="single" w:sz="8" w:space="0" w:color="DCDDDE"/>
              <w:right w:val="nil"/>
            </w:tcBorders>
            <w:shd w:val="clear" w:color="000000" w:fill="FFFFFF"/>
            <w:noWrap/>
            <w:vAlign w:val="center"/>
            <w:hideMark/>
          </w:tcPr>
          <w:p w14:paraId="39C54D1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612BAF3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63EDE0D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37D78EB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638AF0E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644983E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36</w:t>
            </w:r>
          </w:p>
        </w:tc>
        <w:tc>
          <w:tcPr>
            <w:tcW w:w="545" w:type="dxa"/>
            <w:tcBorders>
              <w:top w:val="nil"/>
              <w:left w:val="nil"/>
              <w:bottom w:val="single" w:sz="8" w:space="0" w:color="DCDDDE"/>
              <w:right w:val="nil"/>
            </w:tcBorders>
            <w:shd w:val="clear" w:color="000000" w:fill="FFFFFF"/>
            <w:noWrap/>
            <w:vAlign w:val="center"/>
            <w:hideMark/>
          </w:tcPr>
          <w:p w14:paraId="7355D33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39</w:t>
            </w:r>
          </w:p>
        </w:tc>
      </w:tr>
      <w:tr w:rsidR="002A760B" w:rsidRPr="002A760B" w14:paraId="1DB14934"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455E8631"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564EE40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2B90009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4E74A03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6B3235C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0045825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05A6DB7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6D3E281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0495DE7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0484BE4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73842FA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3124608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5B96D1B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43F80A5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r>
      <w:tr w:rsidR="002A760B" w:rsidRPr="002A760B" w14:paraId="4FC75F98"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35522011" w14:textId="77777777" w:rsidR="002A760B" w:rsidRPr="002A760B" w:rsidRDefault="002A760B" w:rsidP="00297144">
            <w:pPr>
              <w:spacing w:line="240" w:lineRule="auto"/>
              <w:rPr>
                <w:rFonts w:ascii="Arial Narrow" w:hAnsi="Arial Narrow"/>
                <w:b/>
                <w:bCs/>
                <w:sz w:val="18"/>
                <w:szCs w:val="18"/>
              </w:rPr>
            </w:pPr>
            <w:r w:rsidRPr="002A760B">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2AA4ED4A"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34</w:t>
            </w:r>
          </w:p>
        </w:tc>
        <w:tc>
          <w:tcPr>
            <w:tcW w:w="545" w:type="dxa"/>
            <w:tcBorders>
              <w:top w:val="nil"/>
              <w:left w:val="nil"/>
              <w:bottom w:val="single" w:sz="8" w:space="0" w:color="DCDDDE"/>
              <w:right w:val="nil"/>
            </w:tcBorders>
            <w:shd w:val="clear" w:color="000000" w:fill="FFFFFF"/>
            <w:noWrap/>
            <w:vAlign w:val="center"/>
            <w:hideMark/>
          </w:tcPr>
          <w:p w14:paraId="143003CE"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110EBA19"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40</w:t>
            </w:r>
          </w:p>
        </w:tc>
        <w:tc>
          <w:tcPr>
            <w:tcW w:w="545" w:type="dxa"/>
            <w:tcBorders>
              <w:top w:val="nil"/>
              <w:left w:val="nil"/>
              <w:bottom w:val="single" w:sz="8" w:space="0" w:color="DCDDDE"/>
              <w:right w:val="nil"/>
            </w:tcBorders>
            <w:shd w:val="clear" w:color="000000" w:fill="FFFFFF"/>
            <w:noWrap/>
            <w:vAlign w:val="center"/>
            <w:hideMark/>
          </w:tcPr>
          <w:p w14:paraId="7D0616C3"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44</w:t>
            </w:r>
          </w:p>
        </w:tc>
        <w:tc>
          <w:tcPr>
            <w:tcW w:w="545" w:type="dxa"/>
            <w:tcBorders>
              <w:top w:val="nil"/>
              <w:left w:val="nil"/>
              <w:bottom w:val="single" w:sz="8" w:space="0" w:color="DCDDDE"/>
              <w:right w:val="nil"/>
            </w:tcBorders>
            <w:shd w:val="clear" w:color="000000" w:fill="FFFFFF"/>
            <w:noWrap/>
            <w:vAlign w:val="center"/>
            <w:hideMark/>
          </w:tcPr>
          <w:p w14:paraId="6DA43431"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44</w:t>
            </w:r>
          </w:p>
        </w:tc>
        <w:tc>
          <w:tcPr>
            <w:tcW w:w="545" w:type="dxa"/>
            <w:tcBorders>
              <w:top w:val="nil"/>
              <w:left w:val="nil"/>
              <w:bottom w:val="single" w:sz="8" w:space="0" w:color="DCDDDE"/>
              <w:right w:val="nil"/>
            </w:tcBorders>
            <w:shd w:val="clear" w:color="000000" w:fill="FFFFFF"/>
            <w:noWrap/>
            <w:vAlign w:val="center"/>
            <w:hideMark/>
          </w:tcPr>
          <w:p w14:paraId="4F7337A8"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47</w:t>
            </w:r>
          </w:p>
        </w:tc>
        <w:tc>
          <w:tcPr>
            <w:tcW w:w="545" w:type="dxa"/>
            <w:tcBorders>
              <w:top w:val="nil"/>
              <w:left w:val="nil"/>
              <w:bottom w:val="single" w:sz="8" w:space="0" w:color="DCDDDE"/>
              <w:right w:val="nil"/>
            </w:tcBorders>
            <w:shd w:val="clear" w:color="000000" w:fill="FFFFFF"/>
            <w:noWrap/>
            <w:vAlign w:val="center"/>
            <w:hideMark/>
          </w:tcPr>
          <w:p w14:paraId="122B0B9D"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48</w:t>
            </w:r>
          </w:p>
        </w:tc>
        <w:tc>
          <w:tcPr>
            <w:tcW w:w="545" w:type="dxa"/>
            <w:tcBorders>
              <w:top w:val="nil"/>
              <w:left w:val="nil"/>
              <w:bottom w:val="single" w:sz="8" w:space="0" w:color="DCDDDE"/>
              <w:right w:val="nil"/>
            </w:tcBorders>
            <w:shd w:val="clear" w:color="000000" w:fill="FFFFFF"/>
            <w:noWrap/>
            <w:vAlign w:val="center"/>
            <w:hideMark/>
          </w:tcPr>
          <w:p w14:paraId="186948E0"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49</w:t>
            </w:r>
          </w:p>
        </w:tc>
        <w:tc>
          <w:tcPr>
            <w:tcW w:w="545" w:type="dxa"/>
            <w:tcBorders>
              <w:top w:val="nil"/>
              <w:left w:val="nil"/>
              <w:bottom w:val="single" w:sz="8" w:space="0" w:color="DCDDDE"/>
              <w:right w:val="nil"/>
            </w:tcBorders>
            <w:shd w:val="clear" w:color="000000" w:fill="FFFFFF"/>
            <w:noWrap/>
            <w:vAlign w:val="center"/>
            <w:hideMark/>
          </w:tcPr>
          <w:p w14:paraId="1A1D6DC1"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45</w:t>
            </w:r>
          </w:p>
        </w:tc>
        <w:tc>
          <w:tcPr>
            <w:tcW w:w="545" w:type="dxa"/>
            <w:tcBorders>
              <w:top w:val="nil"/>
              <w:left w:val="nil"/>
              <w:bottom w:val="single" w:sz="8" w:space="0" w:color="DCDDDE"/>
              <w:right w:val="nil"/>
            </w:tcBorders>
            <w:shd w:val="clear" w:color="000000" w:fill="FFFFFF"/>
            <w:noWrap/>
            <w:vAlign w:val="center"/>
            <w:hideMark/>
          </w:tcPr>
          <w:p w14:paraId="76083750"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45</w:t>
            </w:r>
          </w:p>
        </w:tc>
        <w:tc>
          <w:tcPr>
            <w:tcW w:w="545" w:type="dxa"/>
            <w:tcBorders>
              <w:top w:val="nil"/>
              <w:left w:val="nil"/>
              <w:bottom w:val="single" w:sz="8" w:space="0" w:color="DCDDDE"/>
              <w:right w:val="nil"/>
            </w:tcBorders>
            <w:shd w:val="clear" w:color="000000" w:fill="FFFFFF"/>
            <w:noWrap/>
            <w:vAlign w:val="center"/>
            <w:hideMark/>
          </w:tcPr>
          <w:p w14:paraId="343EECBA"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46</w:t>
            </w:r>
          </w:p>
        </w:tc>
        <w:tc>
          <w:tcPr>
            <w:tcW w:w="545" w:type="dxa"/>
            <w:tcBorders>
              <w:top w:val="nil"/>
              <w:left w:val="nil"/>
              <w:bottom w:val="single" w:sz="8" w:space="0" w:color="DCDDDE"/>
              <w:right w:val="nil"/>
            </w:tcBorders>
            <w:shd w:val="clear" w:color="000000" w:fill="FFFFFF"/>
            <w:noWrap/>
            <w:vAlign w:val="center"/>
            <w:hideMark/>
          </w:tcPr>
          <w:p w14:paraId="6D0C6E5D"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48</w:t>
            </w:r>
          </w:p>
        </w:tc>
        <w:tc>
          <w:tcPr>
            <w:tcW w:w="545" w:type="dxa"/>
            <w:tcBorders>
              <w:top w:val="nil"/>
              <w:left w:val="nil"/>
              <w:bottom w:val="single" w:sz="8" w:space="0" w:color="DCDDDE"/>
              <w:right w:val="nil"/>
            </w:tcBorders>
            <w:shd w:val="clear" w:color="000000" w:fill="FFFFFF"/>
            <w:noWrap/>
            <w:vAlign w:val="center"/>
            <w:hideMark/>
          </w:tcPr>
          <w:p w14:paraId="10F2DAFA"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52</w:t>
            </w:r>
          </w:p>
        </w:tc>
      </w:tr>
    </w:tbl>
    <w:p w14:paraId="2EAB1B98" w14:textId="77777777" w:rsidR="002A760B" w:rsidRPr="00D823AE" w:rsidRDefault="002A760B" w:rsidP="002A760B">
      <w:pPr>
        <w:jc w:val="center"/>
      </w:pPr>
      <w:r>
        <w:t>* Includes interactive effects</w:t>
      </w:r>
    </w:p>
    <w:p w14:paraId="754E53BB" w14:textId="77777777" w:rsidR="00D823AE" w:rsidRPr="00D823AE" w:rsidRDefault="00D823AE" w:rsidP="00D823AE"/>
    <w:p w14:paraId="58EF3201" w14:textId="77777777" w:rsidR="00D823AE" w:rsidRDefault="00D823AE" w:rsidP="00D823AE"/>
    <w:p w14:paraId="6B5E40FA" w14:textId="77777777" w:rsidR="002A760B" w:rsidRDefault="002A760B" w:rsidP="00D823AE"/>
    <w:p w14:paraId="19EFB740" w14:textId="77777777" w:rsidR="002A760B" w:rsidRDefault="002A760B" w:rsidP="00D823AE"/>
    <w:p w14:paraId="1C55D29E" w14:textId="77777777" w:rsidR="002A760B" w:rsidRDefault="002A760B" w:rsidP="00D823AE"/>
    <w:p w14:paraId="237DAC00" w14:textId="77777777" w:rsidR="002A760B" w:rsidRDefault="002A760B" w:rsidP="00D823AE"/>
    <w:p w14:paraId="273C431C" w14:textId="77777777" w:rsidR="002A760B" w:rsidRDefault="002A760B" w:rsidP="00D823AE"/>
    <w:p w14:paraId="4DE74B1C" w14:textId="77777777" w:rsidR="002A760B" w:rsidRDefault="002A760B" w:rsidP="00D823AE"/>
    <w:p w14:paraId="3D394504" w14:textId="77777777" w:rsidR="002A760B" w:rsidRDefault="002A760B" w:rsidP="00D823AE"/>
    <w:p w14:paraId="59198E1B" w14:textId="77777777" w:rsidR="002A760B" w:rsidRDefault="002A760B" w:rsidP="00D823AE"/>
    <w:p w14:paraId="446D91FA" w14:textId="77777777" w:rsidR="002A760B" w:rsidRDefault="002A760B" w:rsidP="00D823AE"/>
    <w:p w14:paraId="3A85FA70" w14:textId="77777777" w:rsidR="002A760B" w:rsidRDefault="002A760B" w:rsidP="00D823AE"/>
    <w:p w14:paraId="40E573A1" w14:textId="77777777" w:rsidR="002A760B" w:rsidRDefault="002A760B" w:rsidP="00D823AE"/>
    <w:p w14:paraId="3D91B244" w14:textId="77777777" w:rsidR="002A760B" w:rsidRDefault="002A760B" w:rsidP="00D823AE"/>
    <w:p w14:paraId="1970BF2F" w14:textId="77777777" w:rsidR="002A760B" w:rsidRDefault="002A760B" w:rsidP="00D823AE"/>
    <w:p w14:paraId="156337CE" w14:textId="77777777" w:rsidR="002A760B" w:rsidRDefault="002A760B" w:rsidP="00D823AE"/>
    <w:p w14:paraId="1A60A97D" w14:textId="77777777" w:rsidR="002A760B" w:rsidRDefault="002A760B" w:rsidP="00D823AE"/>
    <w:p w14:paraId="0952D71D" w14:textId="77777777" w:rsidR="002A760B" w:rsidRDefault="002A760B" w:rsidP="00D823AE"/>
    <w:p w14:paraId="4A131793" w14:textId="77777777" w:rsidR="002A760B" w:rsidRDefault="002A760B" w:rsidP="00D823AE"/>
    <w:p w14:paraId="597C4A67" w14:textId="77777777" w:rsidR="002A760B" w:rsidRDefault="002A760B" w:rsidP="00D823AE"/>
    <w:p w14:paraId="103F2FC2" w14:textId="77777777" w:rsidR="002A760B" w:rsidRDefault="002A760B" w:rsidP="00D823AE"/>
    <w:p w14:paraId="6317CCE3" w14:textId="77777777" w:rsidR="002A760B" w:rsidRDefault="002A760B" w:rsidP="00D823AE"/>
    <w:p w14:paraId="231C0F23" w14:textId="77777777" w:rsidR="002A760B" w:rsidRDefault="002A760B" w:rsidP="00D823AE"/>
    <w:p w14:paraId="067D700F" w14:textId="77777777" w:rsidR="002A760B" w:rsidRDefault="002A760B" w:rsidP="00D823AE"/>
    <w:p w14:paraId="1540A7B9" w14:textId="77777777" w:rsidR="002A760B" w:rsidRDefault="002A760B" w:rsidP="00D823AE"/>
    <w:p w14:paraId="6C6F277E" w14:textId="77777777" w:rsidR="002A760B" w:rsidRDefault="002A760B" w:rsidP="00D823AE"/>
    <w:p w14:paraId="7F4AEAF4" w14:textId="77777777" w:rsidR="00D823AE" w:rsidRDefault="00D823AE" w:rsidP="00D823AE">
      <w:pPr>
        <w:pStyle w:val="Heading6"/>
      </w:pPr>
      <w:bookmarkStart w:id="1209" w:name="_Toc490225856"/>
      <w:r>
        <w:lastRenderedPageBreak/>
        <w:t>SCE</w:t>
      </w:r>
      <w:bookmarkEnd w:id="1209"/>
    </w:p>
    <w:p w14:paraId="78249F47" w14:textId="77777777" w:rsidR="00D823AE" w:rsidRDefault="00D823AE" w:rsidP="00D823AE">
      <w:pPr>
        <w:pStyle w:val="Caption"/>
      </w:pPr>
      <w:bookmarkStart w:id="1210" w:name="_Toc490226059"/>
      <w:r w:rsidRPr="00122CD3">
        <w:t xml:space="preserve">Table </w:t>
      </w:r>
      <w:fldSimple w:instr=" STYLEREF 5 \s ">
        <w:r w:rsidR="007566B9">
          <w:rPr>
            <w:noProof/>
          </w:rPr>
          <w:t>H</w:t>
        </w:r>
      </w:fldSimple>
      <w:r w:rsidRPr="00323BFA">
        <w:noBreakHyphen/>
      </w:r>
      <w:fldSimple w:instr=" SEQ Table_Apx \* ARABIC \s 5 ">
        <w:r w:rsidR="007566B9">
          <w:rPr>
            <w:noProof/>
          </w:rPr>
          <w:t>4</w:t>
        </w:r>
      </w:fldSimple>
      <w:r w:rsidRPr="006F2DA9">
        <w:t xml:space="preserve">. </w:t>
      </w:r>
      <w:r>
        <w:t>SCE Electric Savings</w:t>
      </w:r>
      <w:bookmarkEnd w:id="1210"/>
    </w:p>
    <w:tbl>
      <w:tblPr>
        <w:tblW w:w="8597" w:type="dxa"/>
        <w:jc w:val="center"/>
        <w:tblLook w:val="04A0" w:firstRow="1" w:lastRow="0" w:firstColumn="1" w:lastColumn="0" w:noHBand="0" w:noVBand="1"/>
      </w:tblPr>
      <w:tblGrid>
        <w:gridCol w:w="979"/>
        <w:gridCol w:w="586"/>
        <w:gridCol w:w="586"/>
        <w:gridCol w:w="586"/>
        <w:gridCol w:w="586"/>
        <w:gridCol w:w="586"/>
        <w:gridCol w:w="586"/>
        <w:gridCol w:w="586"/>
        <w:gridCol w:w="586"/>
        <w:gridCol w:w="586"/>
        <w:gridCol w:w="586"/>
        <w:gridCol w:w="586"/>
        <w:gridCol w:w="586"/>
        <w:gridCol w:w="586"/>
      </w:tblGrid>
      <w:tr w:rsidR="00490035" w:rsidRPr="00490035" w14:paraId="73C8DA43" w14:textId="77777777" w:rsidTr="002A760B">
        <w:trPr>
          <w:trHeight w:val="315"/>
          <w:jc w:val="center"/>
        </w:trPr>
        <w:tc>
          <w:tcPr>
            <w:tcW w:w="8597" w:type="dxa"/>
            <w:gridSpan w:val="14"/>
            <w:tcBorders>
              <w:top w:val="nil"/>
              <w:left w:val="nil"/>
              <w:bottom w:val="single" w:sz="12" w:space="0" w:color="95D600"/>
              <w:right w:val="nil"/>
            </w:tcBorders>
            <w:shd w:val="clear" w:color="000000" w:fill="555759"/>
            <w:noWrap/>
            <w:vAlign w:val="center"/>
            <w:hideMark/>
          </w:tcPr>
          <w:p w14:paraId="2FFF64C0" w14:textId="77777777" w:rsidR="00490035" w:rsidRPr="00490035" w:rsidRDefault="00490035" w:rsidP="00490035">
            <w:pPr>
              <w:spacing w:line="240" w:lineRule="auto"/>
              <w:jc w:val="center"/>
              <w:rPr>
                <w:rFonts w:ascii="Arial Narrow" w:hAnsi="Arial Narrow"/>
                <w:b/>
                <w:bCs/>
                <w:color w:val="FFFFFF"/>
                <w:sz w:val="18"/>
                <w:szCs w:val="18"/>
              </w:rPr>
            </w:pPr>
            <w:r w:rsidRPr="00490035">
              <w:rPr>
                <w:rFonts w:ascii="Arial Narrow" w:hAnsi="Arial Narrow"/>
                <w:b/>
                <w:bCs/>
                <w:color w:val="FFFFFF"/>
                <w:sz w:val="18"/>
                <w:szCs w:val="18"/>
              </w:rPr>
              <w:t>Electric Energy (GWh/year)</w:t>
            </w:r>
          </w:p>
        </w:tc>
      </w:tr>
      <w:tr w:rsidR="00490035" w:rsidRPr="00490035" w14:paraId="4317F2E1" w14:textId="77777777" w:rsidTr="002A760B">
        <w:trPr>
          <w:trHeight w:val="330"/>
          <w:jc w:val="center"/>
        </w:trPr>
        <w:tc>
          <w:tcPr>
            <w:tcW w:w="979" w:type="dxa"/>
            <w:tcBorders>
              <w:top w:val="nil"/>
              <w:left w:val="nil"/>
              <w:bottom w:val="single" w:sz="8" w:space="0" w:color="DCDDDE"/>
              <w:right w:val="nil"/>
            </w:tcBorders>
            <w:shd w:val="clear" w:color="auto" w:fill="auto"/>
            <w:vAlign w:val="center"/>
            <w:hideMark/>
          </w:tcPr>
          <w:p w14:paraId="7B6A253C"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Year</w:t>
            </w:r>
          </w:p>
        </w:tc>
        <w:tc>
          <w:tcPr>
            <w:tcW w:w="586" w:type="dxa"/>
            <w:tcBorders>
              <w:top w:val="nil"/>
              <w:left w:val="nil"/>
              <w:bottom w:val="single" w:sz="8" w:space="0" w:color="DCDDDE"/>
              <w:right w:val="nil"/>
            </w:tcBorders>
            <w:shd w:val="clear" w:color="auto" w:fill="auto"/>
            <w:noWrap/>
            <w:vAlign w:val="center"/>
            <w:hideMark/>
          </w:tcPr>
          <w:p w14:paraId="32237A64"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2018</w:t>
            </w:r>
          </w:p>
        </w:tc>
        <w:tc>
          <w:tcPr>
            <w:tcW w:w="586" w:type="dxa"/>
            <w:tcBorders>
              <w:top w:val="nil"/>
              <w:left w:val="nil"/>
              <w:bottom w:val="single" w:sz="8" w:space="0" w:color="DCDDDE"/>
              <w:right w:val="nil"/>
            </w:tcBorders>
            <w:shd w:val="clear" w:color="auto" w:fill="auto"/>
            <w:noWrap/>
            <w:vAlign w:val="center"/>
            <w:hideMark/>
          </w:tcPr>
          <w:p w14:paraId="161B1118"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2019</w:t>
            </w:r>
          </w:p>
        </w:tc>
        <w:tc>
          <w:tcPr>
            <w:tcW w:w="586" w:type="dxa"/>
            <w:tcBorders>
              <w:top w:val="nil"/>
              <w:left w:val="nil"/>
              <w:bottom w:val="single" w:sz="8" w:space="0" w:color="DCDDDE"/>
              <w:right w:val="nil"/>
            </w:tcBorders>
            <w:shd w:val="clear" w:color="auto" w:fill="auto"/>
            <w:noWrap/>
            <w:vAlign w:val="center"/>
            <w:hideMark/>
          </w:tcPr>
          <w:p w14:paraId="276B7321"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2020</w:t>
            </w:r>
          </w:p>
        </w:tc>
        <w:tc>
          <w:tcPr>
            <w:tcW w:w="586" w:type="dxa"/>
            <w:tcBorders>
              <w:top w:val="nil"/>
              <w:left w:val="nil"/>
              <w:bottom w:val="single" w:sz="8" w:space="0" w:color="DCDDDE"/>
              <w:right w:val="nil"/>
            </w:tcBorders>
            <w:shd w:val="clear" w:color="auto" w:fill="auto"/>
            <w:noWrap/>
            <w:vAlign w:val="center"/>
            <w:hideMark/>
          </w:tcPr>
          <w:p w14:paraId="602C6F4F"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2021</w:t>
            </w:r>
          </w:p>
        </w:tc>
        <w:tc>
          <w:tcPr>
            <w:tcW w:w="586" w:type="dxa"/>
            <w:tcBorders>
              <w:top w:val="nil"/>
              <w:left w:val="nil"/>
              <w:bottom w:val="single" w:sz="8" w:space="0" w:color="DCDDDE"/>
              <w:right w:val="nil"/>
            </w:tcBorders>
            <w:shd w:val="clear" w:color="auto" w:fill="auto"/>
            <w:noWrap/>
            <w:vAlign w:val="center"/>
            <w:hideMark/>
          </w:tcPr>
          <w:p w14:paraId="23B71DFD"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2022</w:t>
            </w:r>
          </w:p>
        </w:tc>
        <w:tc>
          <w:tcPr>
            <w:tcW w:w="586" w:type="dxa"/>
            <w:tcBorders>
              <w:top w:val="nil"/>
              <w:left w:val="nil"/>
              <w:bottom w:val="single" w:sz="8" w:space="0" w:color="DCDDDE"/>
              <w:right w:val="nil"/>
            </w:tcBorders>
            <w:shd w:val="clear" w:color="auto" w:fill="auto"/>
            <w:noWrap/>
            <w:vAlign w:val="center"/>
            <w:hideMark/>
          </w:tcPr>
          <w:p w14:paraId="43064927"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2023</w:t>
            </w:r>
          </w:p>
        </w:tc>
        <w:tc>
          <w:tcPr>
            <w:tcW w:w="586" w:type="dxa"/>
            <w:tcBorders>
              <w:top w:val="nil"/>
              <w:left w:val="nil"/>
              <w:bottom w:val="single" w:sz="8" w:space="0" w:color="DCDDDE"/>
              <w:right w:val="nil"/>
            </w:tcBorders>
            <w:shd w:val="clear" w:color="auto" w:fill="auto"/>
            <w:noWrap/>
            <w:vAlign w:val="center"/>
            <w:hideMark/>
          </w:tcPr>
          <w:p w14:paraId="633139A1"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2024</w:t>
            </w:r>
          </w:p>
        </w:tc>
        <w:tc>
          <w:tcPr>
            <w:tcW w:w="586" w:type="dxa"/>
            <w:tcBorders>
              <w:top w:val="nil"/>
              <w:left w:val="nil"/>
              <w:bottom w:val="single" w:sz="8" w:space="0" w:color="DCDDDE"/>
              <w:right w:val="nil"/>
            </w:tcBorders>
            <w:shd w:val="clear" w:color="auto" w:fill="auto"/>
            <w:noWrap/>
            <w:vAlign w:val="center"/>
            <w:hideMark/>
          </w:tcPr>
          <w:p w14:paraId="727CB4DF"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2025</w:t>
            </w:r>
          </w:p>
        </w:tc>
        <w:tc>
          <w:tcPr>
            <w:tcW w:w="586" w:type="dxa"/>
            <w:tcBorders>
              <w:top w:val="nil"/>
              <w:left w:val="nil"/>
              <w:bottom w:val="single" w:sz="8" w:space="0" w:color="DCDDDE"/>
              <w:right w:val="nil"/>
            </w:tcBorders>
            <w:shd w:val="clear" w:color="auto" w:fill="auto"/>
            <w:noWrap/>
            <w:vAlign w:val="center"/>
            <w:hideMark/>
          </w:tcPr>
          <w:p w14:paraId="3533B19E"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2026</w:t>
            </w:r>
          </w:p>
        </w:tc>
        <w:tc>
          <w:tcPr>
            <w:tcW w:w="586" w:type="dxa"/>
            <w:tcBorders>
              <w:top w:val="nil"/>
              <w:left w:val="nil"/>
              <w:bottom w:val="single" w:sz="8" w:space="0" w:color="DCDDDE"/>
              <w:right w:val="nil"/>
            </w:tcBorders>
            <w:shd w:val="clear" w:color="auto" w:fill="auto"/>
            <w:noWrap/>
            <w:vAlign w:val="center"/>
            <w:hideMark/>
          </w:tcPr>
          <w:p w14:paraId="1B31D5BD"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2027</w:t>
            </w:r>
          </w:p>
        </w:tc>
        <w:tc>
          <w:tcPr>
            <w:tcW w:w="586" w:type="dxa"/>
            <w:tcBorders>
              <w:top w:val="nil"/>
              <w:left w:val="nil"/>
              <w:bottom w:val="single" w:sz="8" w:space="0" w:color="DCDDDE"/>
              <w:right w:val="nil"/>
            </w:tcBorders>
            <w:shd w:val="clear" w:color="auto" w:fill="auto"/>
            <w:noWrap/>
            <w:vAlign w:val="center"/>
            <w:hideMark/>
          </w:tcPr>
          <w:p w14:paraId="61E1773E"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2028</w:t>
            </w:r>
          </w:p>
        </w:tc>
        <w:tc>
          <w:tcPr>
            <w:tcW w:w="586" w:type="dxa"/>
            <w:tcBorders>
              <w:top w:val="nil"/>
              <w:left w:val="nil"/>
              <w:bottom w:val="single" w:sz="8" w:space="0" w:color="DCDDDE"/>
              <w:right w:val="nil"/>
            </w:tcBorders>
            <w:shd w:val="clear" w:color="auto" w:fill="auto"/>
            <w:noWrap/>
            <w:vAlign w:val="center"/>
            <w:hideMark/>
          </w:tcPr>
          <w:p w14:paraId="21A87F95"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2029</w:t>
            </w:r>
          </w:p>
        </w:tc>
        <w:tc>
          <w:tcPr>
            <w:tcW w:w="586" w:type="dxa"/>
            <w:tcBorders>
              <w:top w:val="nil"/>
              <w:left w:val="nil"/>
              <w:bottom w:val="single" w:sz="8" w:space="0" w:color="DCDDDE"/>
              <w:right w:val="nil"/>
            </w:tcBorders>
            <w:shd w:val="clear" w:color="auto" w:fill="auto"/>
            <w:noWrap/>
            <w:vAlign w:val="center"/>
            <w:hideMark/>
          </w:tcPr>
          <w:p w14:paraId="58334CD9"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2030</w:t>
            </w:r>
          </w:p>
        </w:tc>
      </w:tr>
      <w:tr w:rsidR="00490035" w:rsidRPr="00490035" w14:paraId="4D72554B" w14:textId="77777777" w:rsidTr="002A760B">
        <w:trPr>
          <w:trHeight w:val="315"/>
          <w:jc w:val="center"/>
        </w:trPr>
        <w:tc>
          <w:tcPr>
            <w:tcW w:w="8597" w:type="dxa"/>
            <w:gridSpan w:val="14"/>
            <w:tcBorders>
              <w:top w:val="single" w:sz="8" w:space="0" w:color="DCDDDE"/>
              <w:left w:val="nil"/>
              <w:bottom w:val="single" w:sz="8" w:space="0" w:color="DCDDDE"/>
              <w:right w:val="nil"/>
            </w:tcBorders>
            <w:shd w:val="clear" w:color="000000" w:fill="DADADA"/>
            <w:noWrap/>
            <w:vAlign w:val="center"/>
            <w:hideMark/>
          </w:tcPr>
          <w:p w14:paraId="08CD779C"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TRC | Reference</w:t>
            </w:r>
          </w:p>
        </w:tc>
      </w:tr>
      <w:tr w:rsidR="00490035" w:rsidRPr="00490035" w14:paraId="1BDB83F0" w14:textId="77777777" w:rsidTr="002A760B">
        <w:trPr>
          <w:trHeight w:val="555"/>
          <w:jc w:val="center"/>
        </w:trPr>
        <w:tc>
          <w:tcPr>
            <w:tcW w:w="979" w:type="dxa"/>
            <w:tcBorders>
              <w:top w:val="nil"/>
              <w:left w:val="nil"/>
              <w:bottom w:val="single" w:sz="8" w:space="0" w:color="DCDDDE"/>
              <w:right w:val="nil"/>
            </w:tcBorders>
            <w:shd w:val="clear" w:color="000000" w:fill="FFFFFF"/>
            <w:vAlign w:val="center"/>
            <w:hideMark/>
          </w:tcPr>
          <w:p w14:paraId="363EEBDF"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86" w:type="dxa"/>
            <w:tcBorders>
              <w:top w:val="nil"/>
              <w:left w:val="nil"/>
              <w:bottom w:val="single" w:sz="8" w:space="0" w:color="DCDDDE"/>
              <w:right w:val="nil"/>
            </w:tcBorders>
            <w:shd w:val="clear" w:color="000000" w:fill="FFFFFF"/>
            <w:noWrap/>
            <w:vAlign w:val="center"/>
            <w:hideMark/>
          </w:tcPr>
          <w:p w14:paraId="26EBAAB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298</w:t>
            </w:r>
          </w:p>
        </w:tc>
        <w:tc>
          <w:tcPr>
            <w:tcW w:w="586" w:type="dxa"/>
            <w:tcBorders>
              <w:top w:val="nil"/>
              <w:left w:val="nil"/>
              <w:bottom w:val="single" w:sz="8" w:space="0" w:color="DCDDDE"/>
              <w:right w:val="nil"/>
            </w:tcBorders>
            <w:shd w:val="clear" w:color="000000" w:fill="FFFFFF"/>
            <w:noWrap/>
            <w:vAlign w:val="center"/>
            <w:hideMark/>
          </w:tcPr>
          <w:p w14:paraId="3A0227F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318</w:t>
            </w:r>
          </w:p>
        </w:tc>
        <w:tc>
          <w:tcPr>
            <w:tcW w:w="586" w:type="dxa"/>
            <w:tcBorders>
              <w:top w:val="nil"/>
              <w:left w:val="nil"/>
              <w:bottom w:val="single" w:sz="8" w:space="0" w:color="DCDDDE"/>
              <w:right w:val="nil"/>
            </w:tcBorders>
            <w:shd w:val="clear" w:color="000000" w:fill="FFFFFF"/>
            <w:noWrap/>
            <w:vAlign w:val="center"/>
            <w:hideMark/>
          </w:tcPr>
          <w:p w14:paraId="7FC432F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313</w:t>
            </w:r>
          </w:p>
        </w:tc>
        <w:tc>
          <w:tcPr>
            <w:tcW w:w="586" w:type="dxa"/>
            <w:tcBorders>
              <w:top w:val="nil"/>
              <w:left w:val="nil"/>
              <w:bottom w:val="single" w:sz="8" w:space="0" w:color="DCDDDE"/>
              <w:right w:val="nil"/>
            </w:tcBorders>
            <w:shd w:val="clear" w:color="000000" w:fill="FFFFFF"/>
            <w:noWrap/>
            <w:vAlign w:val="center"/>
            <w:hideMark/>
          </w:tcPr>
          <w:p w14:paraId="24E4918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346</w:t>
            </w:r>
          </w:p>
        </w:tc>
        <w:tc>
          <w:tcPr>
            <w:tcW w:w="586" w:type="dxa"/>
            <w:tcBorders>
              <w:top w:val="nil"/>
              <w:left w:val="nil"/>
              <w:bottom w:val="single" w:sz="8" w:space="0" w:color="DCDDDE"/>
              <w:right w:val="nil"/>
            </w:tcBorders>
            <w:shd w:val="clear" w:color="000000" w:fill="FFFFFF"/>
            <w:noWrap/>
            <w:vAlign w:val="center"/>
            <w:hideMark/>
          </w:tcPr>
          <w:p w14:paraId="6FAF2F9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353</w:t>
            </w:r>
          </w:p>
        </w:tc>
        <w:tc>
          <w:tcPr>
            <w:tcW w:w="586" w:type="dxa"/>
            <w:tcBorders>
              <w:top w:val="nil"/>
              <w:left w:val="nil"/>
              <w:bottom w:val="single" w:sz="8" w:space="0" w:color="DCDDDE"/>
              <w:right w:val="nil"/>
            </w:tcBorders>
            <w:shd w:val="clear" w:color="000000" w:fill="FFFFFF"/>
            <w:noWrap/>
            <w:vAlign w:val="center"/>
            <w:hideMark/>
          </w:tcPr>
          <w:p w14:paraId="2EC2C93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363</w:t>
            </w:r>
          </w:p>
        </w:tc>
        <w:tc>
          <w:tcPr>
            <w:tcW w:w="586" w:type="dxa"/>
            <w:tcBorders>
              <w:top w:val="nil"/>
              <w:left w:val="nil"/>
              <w:bottom w:val="single" w:sz="8" w:space="0" w:color="DCDDDE"/>
              <w:right w:val="nil"/>
            </w:tcBorders>
            <w:shd w:val="clear" w:color="000000" w:fill="FFFFFF"/>
            <w:noWrap/>
            <w:vAlign w:val="center"/>
            <w:hideMark/>
          </w:tcPr>
          <w:p w14:paraId="01AE36E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380</w:t>
            </w:r>
          </w:p>
        </w:tc>
        <w:tc>
          <w:tcPr>
            <w:tcW w:w="586" w:type="dxa"/>
            <w:tcBorders>
              <w:top w:val="nil"/>
              <w:left w:val="nil"/>
              <w:bottom w:val="single" w:sz="8" w:space="0" w:color="DCDDDE"/>
              <w:right w:val="nil"/>
            </w:tcBorders>
            <w:shd w:val="clear" w:color="000000" w:fill="FFFFFF"/>
            <w:noWrap/>
            <w:vAlign w:val="center"/>
            <w:hideMark/>
          </w:tcPr>
          <w:p w14:paraId="137CC8F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391</w:t>
            </w:r>
          </w:p>
        </w:tc>
        <w:tc>
          <w:tcPr>
            <w:tcW w:w="586" w:type="dxa"/>
            <w:tcBorders>
              <w:top w:val="nil"/>
              <w:left w:val="nil"/>
              <w:bottom w:val="single" w:sz="8" w:space="0" w:color="DCDDDE"/>
              <w:right w:val="nil"/>
            </w:tcBorders>
            <w:shd w:val="clear" w:color="000000" w:fill="FFFFFF"/>
            <w:noWrap/>
            <w:vAlign w:val="center"/>
            <w:hideMark/>
          </w:tcPr>
          <w:p w14:paraId="353629B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406</w:t>
            </w:r>
          </w:p>
        </w:tc>
        <w:tc>
          <w:tcPr>
            <w:tcW w:w="586" w:type="dxa"/>
            <w:tcBorders>
              <w:top w:val="nil"/>
              <w:left w:val="nil"/>
              <w:bottom w:val="single" w:sz="8" w:space="0" w:color="DCDDDE"/>
              <w:right w:val="nil"/>
            </w:tcBorders>
            <w:shd w:val="clear" w:color="000000" w:fill="FFFFFF"/>
            <w:noWrap/>
            <w:vAlign w:val="center"/>
            <w:hideMark/>
          </w:tcPr>
          <w:p w14:paraId="79EAF94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412</w:t>
            </w:r>
          </w:p>
        </w:tc>
        <w:tc>
          <w:tcPr>
            <w:tcW w:w="586" w:type="dxa"/>
            <w:tcBorders>
              <w:top w:val="nil"/>
              <w:left w:val="nil"/>
              <w:bottom w:val="single" w:sz="8" w:space="0" w:color="DCDDDE"/>
              <w:right w:val="nil"/>
            </w:tcBorders>
            <w:shd w:val="clear" w:color="000000" w:fill="FFFFFF"/>
            <w:noWrap/>
            <w:vAlign w:val="center"/>
            <w:hideMark/>
          </w:tcPr>
          <w:p w14:paraId="466990D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417</w:t>
            </w:r>
          </w:p>
        </w:tc>
        <w:tc>
          <w:tcPr>
            <w:tcW w:w="586" w:type="dxa"/>
            <w:tcBorders>
              <w:top w:val="nil"/>
              <w:left w:val="nil"/>
              <w:bottom w:val="single" w:sz="8" w:space="0" w:color="DCDDDE"/>
              <w:right w:val="nil"/>
            </w:tcBorders>
            <w:shd w:val="clear" w:color="000000" w:fill="FFFFFF"/>
            <w:noWrap/>
            <w:vAlign w:val="center"/>
            <w:hideMark/>
          </w:tcPr>
          <w:p w14:paraId="5AE6CB7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418</w:t>
            </w:r>
          </w:p>
        </w:tc>
        <w:tc>
          <w:tcPr>
            <w:tcW w:w="586" w:type="dxa"/>
            <w:tcBorders>
              <w:top w:val="nil"/>
              <w:left w:val="nil"/>
              <w:bottom w:val="single" w:sz="8" w:space="0" w:color="DCDDDE"/>
              <w:right w:val="nil"/>
            </w:tcBorders>
            <w:shd w:val="clear" w:color="000000" w:fill="FFFFFF"/>
            <w:noWrap/>
            <w:vAlign w:val="center"/>
            <w:hideMark/>
          </w:tcPr>
          <w:p w14:paraId="63179C7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416</w:t>
            </w:r>
          </w:p>
        </w:tc>
      </w:tr>
      <w:tr w:rsidR="00490035" w:rsidRPr="00490035" w14:paraId="5176EA29"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4F6152D2"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BROs</w:t>
            </w:r>
          </w:p>
        </w:tc>
        <w:tc>
          <w:tcPr>
            <w:tcW w:w="586" w:type="dxa"/>
            <w:tcBorders>
              <w:top w:val="nil"/>
              <w:left w:val="nil"/>
              <w:bottom w:val="single" w:sz="8" w:space="0" w:color="DCDDDE"/>
              <w:right w:val="nil"/>
            </w:tcBorders>
            <w:shd w:val="clear" w:color="000000" w:fill="FFFFFF"/>
            <w:noWrap/>
            <w:vAlign w:val="center"/>
            <w:hideMark/>
          </w:tcPr>
          <w:p w14:paraId="63B32AD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74</w:t>
            </w:r>
          </w:p>
        </w:tc>
        <w:tc>
          <w:tcPr>
            <w:tcW w:w="586" w:type="dxa"/>
            <w:tcBorders>
              <w:top w:val="nil"/>
              <w:left w:val="nil"/>
              <w:bottom w:val="single" w:sz="8" w:space="0" w:color="DCDDDE"/>
              <w:right w:val="nil"/>
            </w:tcBorders>
            <w:shd w:val="clear" w:color="000000" w:fill="FFFFFF"/>
            <w:noWrap/>
            <w:vAlign w:val="center"/>
            <w:hideMark/>
          </w:tcPr>
          <w:p w14:paraId="6B7E564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90</w:t>
            </w:r>
          </w:p>
        </w:tc>
        <w:tc>
          <w:tcPr>
            <w:tcW w:w="586" w:type="dxa"/>
            <w:tcBorders>
              <w:top w:val="nil"/>
              <w:left w:val="nil"/>
              <w:bottom w:val="single" w:sz="8" w:space="0" w:color="DCDDDE"/>
              <w:right w:val="nil"/>
            </w:tcBorders>
            <w:shd w:val="clear" w:color="000000" w:fill="FFFFFF"/>
            <w:noWrap/>
            <w:vAlign w:val="center"/>
            <w:hideMark/>
          </w:tcPr>
          <w:p w14:paraId="68C2125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101</w:t>
            </w:r>
          </w:p>
        </w:tc>
        <w:tc>
          <w:tcPr>
            <w:tcW w:w="586" w:type="dxa"/>
            <w:tcBorders>
              <w:top w:val="nil"/>
              <w:left w:val="nil"/>
              <w:bottom w:val="single" w:sz="8" w:space="0" w:color="DCDDDE"/>
              <w:right w:val="nil"/>
            </w:tcBorders>
            <w:shd w:val="clear" w:color="000000" w:fill="FFFFFF"/>
            <w:noWrap/>
            <w:vAlign w:val="center"/>
            <w:hideMark/>
          </w:tcPr>
          <w:p w14:paraId="7846F80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113</w:t>
            </w:r>
          </w:p>
        </w:tc>
        <w:tc>
          <w:tcPr>
            <w:tcW w:w="586" w:type="dxa"/>
            <w:tcBorders>
              <w:top w:val="nil"/>
              <w:left w:val="nil"/>
              <w:bottom w:val="single" w:sz="8" w:space="0" w:color="DCDDDE"/>
              <w:right w:val="nil"/>
            </w:tcBorders>
            <w:shd w:val="clear" w:color="000000" w:fill="FFFFFF"/>
            <w:noWrap/>
            <w:vAlign w:val="center"/>
            <w:hideMark/>
          </w:tcPr>
          <w:p w14:paraId="55A750D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124</w:t>
            </w:r>
          </w:p>
        </w:tc>
        <w:tc>
          <w:tcPr>
            <w:tcW w:w="586" w:type="dxa"/>
            <w:tcBorders>
              <w:top w:val="nil"/>
              <w:left w:val="nil"/>
              <w:bottom w:val="single" w:sz="8" w:space="0" w:color="DCDDDE"/>
              <w:right w:val="nil"/>
            </w:tcBorders>
            <w:shd w:val="clear" w:color="000000" w:fill="FFFFFF"/>
            <w:noWrap/>
            <w:vAlign w:val="center"/>
            <w:hideMark/>
          </w:tcPr>
          <w:p w14:paraId="0ED4DF1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134</w:t>
            </w:r>
          </w:p>
        </w:tc>
        <w:tc>
          <w:tcPr>
            <w:tcW w:w="586" w:type="dxa"/>
            <w:tcBorders>
              <w:top w:val="nil"/>
              <w:left w:val="nil"/>
              <w:bottom w:val="single" w:sz="8" w:space="0" w:color="DCDDDE"/>
              <w:right w:val="nil"/>
            </w:tcBorders>
            <w:shd w:val="clear" w:color="000000" w:fill="FFFFFF"/>
            <w:noWrap/>
            <w:vAlign w:val="center"/>
            <w:hideMark/>
          </w:tcPr>
          <w:p w14:paraId="178005F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146</w:t>
            </w:r>
          </w:p>
        </w:tc>
        <w:tc>
          <w:tcPr>
            <w:tcW w:w="586" w:type="dxa"/>
            <w:tcBorders>
              <w:top w:val="nil"/>
              <w:left w:val="nil"/>
              <w:bottom w:val="single" w:sz="8" w:space="0" w:color="DCDDDE"/>
              <w:right w:val="nil"/>
            </w:tcBorders>
            <w:shd w:val="clear" w:color="000000" w:fill="FFFFFF"/>
            <w:noWrap/>
            <w:vAlign w:val="center"/>
            <w:hideMark/>
          </w:tcPr>
          <w:p w14:paraId="2570E76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161</w:t>
            </w:r>
          </w:p>
        </w:tc>
        <w:tc>
          <w:tcPr>
            <w:tcW w:w="586" w:type="dxa"/>
            <w:tcBorders>
              <w:top w:val="nil"/>
              <w:left w:val="nil"/>
              <w:bottom w:val="single" w:sz="8" w:space="0" w:color="DCDDDE"/>
              <w:right w:val="nil"/>
            </w:tcBorders>
            <w:shd w:val="clear" w:color="000000" w:fill="FFFFFF"/>
            <w:noWrap/>
            <w:vAlign w:val="center"/>
            <w:hideMark/>
          </w:tcPr>
          <w:p w14:paraId="776A807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174</w:t>
            </w:r>
          </w:p>
        </w:tc>
        <w:tc>
          <w:tcPr>
            <w:tcW w:w="586" w:type="dxa"/>
            <w:tcBorders>
              <w:top w:val="nil"/>
              <w:left w:val="nil"/>
              <w:bottom w:val="single" w:sz="8" w:space="0" w:color="DCDDDE"/>
              <w:right w:val="nil"/>
            </w:tcBorders>
            <w:shd w:val="clear" w:color="000000" w:fill="FFFFFF"/>
            <w:noWrap/>
            <w:vAlign w:val="center"/>
            <w:hideMark/>
          </w:tcPr>
          <w:p w14:paraId="4BCEF62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188</w:t>
            </w:r>
          </w:p>
        </w:tc>
        <w:tc>
          <w:tcPr>
            <w:tcW w:w="586" w:type="dxa"/>
            <w:tcBorders>
              <w:top w:val="nil"/>
              <w:left w:val="nil"/>
              <w:bottom w:val="single" w:sz="8" w:space="0" w:color="DCDDDE"/>
              <w:right w:val="nil"/>
            </w:tcBorders>
            <w:shd w:val="clear" w:color="000000" w:fill="FFFFFF"/>
            <w:noWrap/>
            <w:vAlign w:val="center"/>
            <w:hideMark/>
          </w:tcPr>
          <w:p w14:paraId="5DC4F99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202</w:t>
            </w:r>
          </w:p>
        </w:tc>
        <w:tc>
          <w:tcPr>
            <w:tcW w:w="586" w:type="dxa"/>
            <w:tcBorders>
              <w:top w:val="nil"/>
              <w:left w:val="nil"/>
              <w:bottom w:val="single" w:sz="8" w:space="0" w:color="DCDDDE"/>
              <w:right w:val="nil"/>
            </w:tcBorders>
            <w:shd w:val="clear" w:color="000000" w:fill="FFFFFF"/>
            <w:noWrap/>
            <w:vAlign w:val="center"/>
            <w:hideMark/>
          </w:tcPr>
          <w:p w14:paraId="68A74EF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217</w:t>
            </w:r>
          </w:p>
        </w:tc>
        <w:tc>
          <w:tcPr>
            <w:tcW w:w="586" w:type="dxa"/>
            <w:tcBorders>
              <w:top w:val="nil"/>
              <w:left w:val="nil"/>
              <w:bottom w:val="single" w:sz="8" w:space="0" w:color="DCDDDE"/>
              <w:right w:val="nil"/>
            </w:tcBorders>
            <w:shd w:val="clear" w:color="000000" w:fill="FFFFFF"/>
            <w:noWrap/>
            <w:vAlign w:val="center"/>
            <w:hideMark/>
          </w:tcPr>
          <w:p w14:paraId="758D86B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228</w:t>
            </w:r>
          </w:p>
        </w:tc>
      </w:tr>
      <w:tr w:rsidR="00490035" w:rsidRPr="00490035" w14:paraId="68946267"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5A01F724"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86" w:type="dxa"/>
            <w:tcBorders>
              <w:top w:val="nil"/>
              <w:left w:val="nil"/>
              <w:bottom w:val="single" w:sz="8" w:space="0" w:color="DCDDDE"/>
              <w:right w:val="nil"/>
            </w:tcBorders>
            <w:shd w:val="clear" w:color="000000" w:fill="FFFFFF"/>
            <w:noWrap/>
            <w:vAlign w:val="center"/>
            <w:hideMark/>
          </w:tcPr>
          <w:p w14:paraId="18730E8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21</w:t>
            </w:r>
          </w:p>
        </w:tc>
        <w:tc>
          <w:tcPr>
            <w:tcW w:w="586" w:type="dxa"/>
            <w:tcBorders>
              <w:top w:val="nil"/>
              <w:left w:val="nil"/>
              <w:bottom w:val="single" w:sz="8" w:space="0" w:color="DCDDDE"/>
              <w:right w:val="nil"/>
            </w:tcBorders>
            <w:shd w:val="clear" w:color="000000" w:fill="FFFFFF"/>
            <w:noWrap/>
            <w:vAlign w:val="center"/>
            <w:hideMark/>
          </w:tcPr>
          <w:p w14:paraId="1100FA7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w:t>
            </w:r>
          </w:p>
        </w:tc>
        <w:tc>
          <w:tcPr>
            <w:tcW w:w="586" w:type="dxa"/>
            <w:tcBorders>
              <w:top w:val="nil"/>
              <w:left w:val="nil"/>
              <w:bottom w:val="single" w:sz="8" w:space="0" w:color="DCDDDE"/>
              <w:right w:val="nil"/>
            </w:tcBorders>
            <w:shd w:val="clear" w:color="000000" w:fill="FFFFFF"/>
            <w:noWrap/>
            <w:vAlign w:val="center"/>
            <w:hideMark/>
          </w:tcPr>
          <w:p w14:paraId="6D96055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w:t>
            </w:r>
          </w:p>
        </w:tc>
        <w:tc>
          <w:tcPr>
            <w:tcW w:w="586" w:type="dxa"/>
            <w:tcBorders>
              <w:top w:val="nil"/>
              <w:left w:val="nil"/>
              <w:bottom w:val="single" w:sz="8" w:space="0" w:color="DCDDDE"/>
              <w:right w:val="nil"/>
            </w:tcBorders>
            <w:shd w:val="clear" w:color="000000" w:fill="FFFFFF"/>
            <w:noWrap/>
            <w:vAlign w:val="center"/>
            <w:hideMark/>
          </w:tcPr>
          <w:p w14:paraId="2F56DCF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32673F1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3DECA6B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3AC4349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142144B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5B56EAF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3081CE1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7ECB3A1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557F7A7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168ADED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r>
      <w:tr w:rsidR="00490035" w:rsidRPr="00490035" w14:paraId="4596E890" w14:textId="77777777" w:rsidTr="002A760B">
        <w:trPr>
          <w:trHeight w:val="825"/>
          <w:jc w:val="center"/>
        </w:trPr>
        <w:tc>
          <w:tcPr>
            <w:tcW w:w="979" w:type="dxa"/>
            <w:tcBorders>
              <w:top w:val="nil"/>
              <w:left w:val="nil"/>
              <w:bottom w:val="single" w:sz="8" w:space="0" w:color="DCDDDE"/>
              <w:right w:val="nil"/>
            </w:tcBorders>
            <w:shd w:val="clear" w:color="000000" w:fill="FFFFFF"/>
            <w:vAlign w:val="center"/>
            <w:hideMark/>
          </w:tcPr>
          <w:p w14:paraId="1F900A5F"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86" w:type="dxa"/>
            <w:tcBorders>
              <w:top w:val="nil"/>
              <w:left w:val="nil"/>
              <w:bottom w:val="single" w:sz="8" w:space="0" w:color="DCDDDE"/>
              <w:right w:val="nil"/>
            </w:tcBorders>
            <w:shd w:val="clear" w:color="000000" w:fill="FFFFFF"/>
            <w:noWrap/>
            <w:vAlign w:val="center"/>
            <w:hideMark/>
          </w:tcPr>
          <w:p w14:paraId="73EAA92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393</w:t>
            </w:r>
          </w:p>
        </w:tc>
        <w:tc>
          <w:tcPr>
            <w:tcW w:w="586" w:type="dxa"/>
            <w:tcBorders>
              <w:top w:val="nil"/>
              <w:left w:val="nil"/>
              <w:bottom w:val="single" w:sz="8" w:space="0" w:color="DCDDDE"/>
              <w:right w:val="nil"/>
            </w:tcBorders>
            <w:shd w:val="clear" w:color="000000" w:fill="FFFFFF"/>
            <w:noWrap/>
            <w:vAlign w:val="center"/>
            <w:hideMark/>
          </w:tcPr>
          <w:p w14:paraId="0C67A0A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428</w:t>
            </w:r>
          </w:p>
        </w:tc>
        <w:tc>
          <w:tcPr>
            <w:tcW w:w="586" w:type="dxa"/>
            <w:tcBorders>
              <w:top w:val="nil"/>
              <w:left w:val="nil"/>
              <w:bottom w:val="single" w:sz="8" w:space="0" w:color="DCDDDE"/>
              <w:right w:val="nil"/>
            </w:tcBorders>
            <w:shd w:val="clear" w:color="000000" w:fill="FFFFFF"/>
            <w:noWrap/>
            <w:vAlign w:val="center"/>
            <w:hideMark/>
          </w:tcPr>
          <w:p w14:paraId="7E89C5C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435</w:t>
            </w:r>
          </w:p>
        </w:tc>
        <w:tc>
          <w:tcPr>
            <w:tcW w:w="586" w:type="dxa"/>
            <w:tcBorders>
              <w:top w:val="nil"/>
              <w:left w:val="nil"/>
              <w:bottom w:val="single" w:sz="8" w:space="0" w:color="DCDDDE"/>
              <w:right w:val="nil"/>
            </w:tcBorders>
            <w:shd w:val="clear" w:color="000000" w:fill="FFFFFF"/>
            <w:noWrap/>
            <w:vAlign w:val="center"/>
            <w:hideMark/>
          </w:tcPr>
          <w:p w14:paraId="06766C1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463</w:t>
            </w:r>
          </w:p>
        </w:tc>
        <w:tc>
          <w:tcPr>
            <w:tcW w:w="586" w:type="dxa"/>
            <w:tcBorders>
              <w:top w:val="nil"/>
              <w:left w:val="nil"/>
              <w:bottom w:val="single" w:sz="8" w:space="0" w:color="DCDDDE"/>
              <w:right w:val="nil"/>
            </w:tcBorders>
            <w:shd w:val="clear" w:color="000000" w:fill="FFFFFF"/>
            <w:noWrap/>
            <w:vAlign w:val="center"/>
            <w:hideMark/>
          </w:tcPr>
          <w:p w14:paraId="081CA85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481</w:t>
            </w:r>
          </w:p>
        </w:tc>
        <w:tc>
          <w:tcPr>
            <w:tcW w:w="586" w:type="dxa"/>
            <w:tcBorders>
              <w:top w:val="nil"/>
              <w:left w:val="nil"/>
              <w:bottom w:val="single" w:sz="8" w:space="0" w:color="DCDDDE"/>
              <w:right w:val="nil"/>
            </w:tcBorders>
            <w:shd w:val="clear" w:color="000000" w:fill="FFFFFF"/>
            <w:noWrap/>
            <w:vAlign w:val="center"/>
            <w:hideMark/>
          </w:tcPr>
          <w:p w14:paraId="4E71BA4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501</w:t>
            </w:r>
          </w:p>
        </w:tc>
        <w:tc>
          <w:tcPr>
            <w:tcW w:w="586" w:type="dxa"/>
            <w:tcBorders>
              <w:top w:val="nil"/>
              <w:left w:val="nil"/>
              <w:bottom w:val="single" w:sz="8" w:space="0" w:color="DCDDDE"/>
              <w:right w:val="nil"/>
            </w:tcBorders>
            <w:shd w:val="clear" w:color="000000" w:fill="FFFFFF"/>
            <w:noWrap/>
            <w:vAlign w:val="center"/>
            <w:hideMark/>
          </w:tcPr>
          <w:p w14:paraId="7C0374D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529</w:t>
            </w:r>
          </w:p>
        </w:tc>
        <w:tc>
          <w:tcPr>
            <w:tcW w:w="586" w:type="dxa"/>
            <w:tcBorders>
              <w:top w:val="nil"/>
              <w:left w:val="nil"/>
              <w:bottom w:val="single" w:sz="8" w:space="0" w:color="DCDDDE"/>
              <w:right w:val="nil"/>
            </w:tcBorders>
            <w:shd w:val="clear" w:color="000000" w:fill="FFFFFF"/>
            <w:noWrap/>
            <w:vAlign w:val="center"/>
            <w:hideMark/>
          </w:tcPr>
          <w:p w14:paraId="2BA5D6B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555</w:t>
            </w:r>
          </w:p>
        </w:tc>
        <w:tc>
          <w:tcPr>
            <w:tcW w:w="586" w:type="dxa"/>
            <w:tcBorders>
              <w:top w:val="nil"/>
              <w:left w:val="nil"/>
              <w:bottom w:val="single" w:sz="8" w:space="0" w:color="DCDDDE"/>
              <w:right w:val="nil"/>
            </w:tcBorders>
            <w:shd w:val="clear" w:color="000000" w:fill="FFFFFF"/>
            <w:noWrap/>
            <w:vAlign w:val="center"/>
            <w:hideMark/>
          </w:tcPr>
          <w:p w14:paraId="142ADAF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584</w:t>
            </w:r>
          </w:p>
        </w:tc>
        <w:tc>
          <w:tcPr>
            <w:tcW w:w="586" w:type="dxa"/>
            <w:tcBorders>
              <w:top w:val="nil"/>
              <w:left w:val="nil"/>
              <w:bottom w:val="single" w:sz="8" w:space="0" w:color="DCDDDE"/>
              <w:right w:val="nil"/>
            </w:tcBorders>
            <w:shd w:val="clear" w:color="000000" w:fill="FFFFFF"/>
            <w:noWrap/>
            <w:vAlign w:val="center"/>
            <w:hideMark/>
          </w:tcPr>
          <w:p w14:paraId="4B1ED6D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604</w:t>
            </w:r>
          </w:p>
        </w:tc>
        <w:tc>
          <w:tcPr>
            <w:tcW w:w="586" w:type="dxa"/>
            <w:tcBorders>
              <w:top w:val="nil"/>
              <w:left w:val="nil"/>
              <w:bottom w:val="single" w:sz="8" w:space="0" w:color="DCDDDE"/>
              <w:right w:val="nil"/>
            </w:tcBorders>
            <w:shd w:val="clear" w:color="000000" w:fill="FFFFFF"/>
            <w:noWrap/>
            <w:vAlign w:val="center"/>
            <w:hideMark/>
          </w:tcPr>
          <w:p w14:paraId="7925279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623</w:t>
            </w:r>
          </w:p>
        </w:tc>
        <w:tc>
          <w:tcPr>
            <w:tcW w:w="586" w:type="dxa"/>
            <w:tcBorders>
              <w:top w:val="nil"/>
              <w:left w:val="nil"/>
              <w:bottom w:val="single" w:sz="8" w:space="0" w:color="DCDDDE"/>
              <w:right w:val="nil"/>
            </w:tcBorders>
            <w:shd w:val="clear" w:color="000000" w:fill="FFFFFF"/>
            <w:noWrap/>
            <w:vAlign w:val="center"/>
            <w:hideMark/>
          </w:tcPr>
          <w:p w14:paraId="216D714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639</w:t>
            </w:r>
          </w:p>
        </w:tc>
        <w:tc>
          <w:tcPr>
            <w:tcW w:w="586" w:type="dxa"/>
            <w:tcBorders>
              <w:top w:val="nil"/>
              <w:left w:val="nil"/>
              <w:bottom w:val="single" w:sz="8" w:space="0" w:color="DCDDDE"/>
              <w:right w:val="nil"/>
            </w:tcBorders>
            <w:shd w:val="clear" w:color="000000" w:fill="FFFFFF"/>
            <w:noWrap/>
            <w:vAlign w:val="center"/>
            <w:hideMark/>
          </w:tcPr>
          <w:p w14:paraId="7E9F6FF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648</w:t>
            </w:r>
          </w:p>
        </w:tc>
      </w:tr>
      <w:tr w:rsidR="00490035" w:rsidRPr="00490035" w14:paraId="72E76BDD"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4964BF25"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C&amp;S*</w:t>
            </w:r>
          </w:p>
        </w:tc>
        <w:tc>
          <w:tcPr>
            <w:tcW w:w="586" w:type="dxa"/>
            <w:tcBorders>
              <w:top w:val="nil"/>
              <w:left w:val="nil"/>
              <w:bottom w:val="single" w:sz="8" w:space="0" w:color="DCDDDE"/>
              <w:right w:val="nil"/>
            </w:tcBorders>
            <w:shd w:val="clear" w:color="000000" w:fill="FFFFFF"/>
            <w:noWrap/>
            <w:vAlign w:val="center"/>
            <w:hideMark/>
          </w:tcPr>
          <w:p w14:paraId="3905B85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552</w:t>
            </w:r>
          </w:p>
        </w:tc>
        <w:tc>
          <w:tcPr>
            <w:tcW w:w="586" w:type="dxa"/>
            <w:tcBorders>
              <w:top w:val="nil"/>
              <w:left w:val="nil"/>
              <w:bottom w:val="single" w:sz="8" w:space="0" w:color="DCDDDE"/>
              <w:right w:val="nil"/>
            </w:tcBorders>
            <w:shd w:val="clear" w:color="000000" w:fill="FFFFFF"/>
            <w:noWrap/>
            <w:vAlign w:val="center"/>
            <w:hideMark/>
          </w:tcPr>
          <w:p w14:paraId="2B7CFF6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572</w:t>
            </w:r>
          </w:p>
        </w:tc>
        <w:tc>
          <w:tcPr>
            <w:tcW w:w="586" w:type="dxa"/>
            <w:tcBorders>
              <w:top w:val="nil"/>
              <w:left w:val="nil"/>
              <w:bottom w:val="single" w:sz="8" w:space="0" w:color="DCDDDE"/>
              <w:right w:val="nil"/>
            </w:tcBorders>
            <w:shd w:val="clear" w:color="000000" w:fill="FFFFFF"/>
            <w:noWrap/>
            <w:vAlign w:val="center"/>
            <w:hideMark/>
          </w:tcPr>
          <w:p w14:paraId="755DDAB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577</w:t>
            </w:r>
          </w:p>
        </w:tc>
        <w:tc>
          <w:tcPr>
            <w:tcW w:w="586" w:type="dxa"/>
            <w:tcBorders>
              <w:top w:val="nil"/>
              <w:left w:val="nil"/>
              <w:bottom w:val="single" w:sz="8" w:space="0" w:color="DCDDDE"/>
              <w:right w:val="nil"/>
            </w:tcBorders>
            <w:shd w:val="clear" w:color="000000" w:fill="FFFFFF"/>
            <w:noWrap/>
            <w:vAlign w:val="center"/>
            <w:hideMark/>
          </w:tcPr>
          <w:p w14:paraId="2C9BA9D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594</w:t>
            </w:r>
          </w:p>
        </w:tc>
        <w:tc>
          <w:tcPr>
            <w:tcW w:w="586" w:type="dxa"/>
            <w:tcBorders>
              <w:top w:val="nil"/>
              <w:left w:val="nil"/>
              <w:bottom w:val="single" w:sz="8" w:space="0" w:color="DCDDDE"/>
              <w:right w:val="nil"/>
            </w:tcBorders>
            <w:shd w:val="clear" w:color="000000" w:fill="FFFFFF"/>
            <w:noWrap/>
            <w:vAlign w:val="center"/>
            <w:hideMark/>
          </w:tcPr>
          <w:p w14:paraId="6ACE97F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578</w:t>
            </w:r>
          </w:p>
        </w:tc>
        <w:tc>
          <w:tcPr>
            <w:tcW w:w="586" w:type="dxa"/>
            <w:tcBorders>
              <w:top w:val="nil"/>
              <w:left w:val="nil"/>
              <w:bottom w:val="single" w:sz="8" w:space="0" w:color="DCDDDE"/>
              <w:right w:val="nil"/>
            </w:tcBorders>
            <w:shd w:val="clear" w:color="000000" w:fill="FFFFFF"/>
            <w:noWrap/>
            <w:vAlign w:val="center"/>
            <w:hideMark/>
          </w:tcPr>
          <w:p w14:paraId="12A8747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640</w:t>
            </w:r>
          </w:p>
        </w:tc>
        <w:tc>
          <w:tcPr>
            <w:tcW w:w="586" w:type="dxa"/>
            <w:tcBorders>
              <w:top w:val="nil"/>
              <w:left w:val="nil"/>
              <w:bottom w:val="single" w:sz="8" w:space="0" w:color="DCDDDE"/>
              <w:right w:val="nil"/>
            </w:tcBorders>
            <w:shd w:val="clear" w:color="000000" w:fill="FFFFFF"/>
            <w:noWrap/>
            <w:vAlign w:val="center"/>
            <w:hideMark/>
          </w:tcPr>
          <w:p w14:paraId="6388A06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613</w:t>
            </w:r>
          </w:p>
        </w:tc>
        <w:tc>
          <w:tcPr>
            <w:tcW w:w="586" w:type="dxa"/>
            <w:tcBorders>
              <w:top w:val="nil"/>
              <w:left w:val="nil"/>
              <w:bottom w:val="single" w:sz="8" w:space="0" w:color="DCDDDE"/>
              <w:right w:val="nil"/>
            </w:tcBorders>
            <w:shd w:val="clear" w:color="000000" w:fill="FFFFFF"/>
            <w:noWrap/>
            <w:vAlign w:val="center"/>
            <w:hideMark/>
          </w:tcPr>
          <w:p w14:paraId="0B7F02A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591</w:t>
            </w:r>
          </w:p>
        </w:tc>
        <w:tc>
          <w:tcPr>
            <w:tcW w:w="586" w:type="dxa"/>
            <w:tcBorders>
              <w:top w:val="nil"/>
              <w:left w:val="nil"/>
              <w:bottom w:val="single" w:sz="8" w:space="0" w:color="DCDDDE"/>
              <w:right w:val="nil"/>
            </w:tcBorders>
            <w:shd w:val="clear" w:color="000000" w:fill="FFFFFF"/>
            <w:noWrap/>
            <w:vAlign w:val="center"/>
            <w:hideMark/>
          </w:tcPr>
          <w:p w14:paraId="2294F1E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554</w:t>
            </w:r>
          </w:p>
        </w:tc>
        <w:tc>
          <w:tcPr>
            <w:tcW w:w="586" w:type="dxa"/>
            <w:tcBorders>
              <w:top w:val="nil"/>
              <w:left w:val="nil"/>
              <w:bottom w:val="single" w:sz="8" w:space="0" w:color="DCDDDE"/>
              <w:right w:val="nil"/>
            </w:tcBorders>
            <w:shd w:val="clear" w:color="000000" w:fill="FFFFFF"/>
            <w:noWrap/>
            <w:vAlign w:val="center"/>
            <w:hideMark/>
          </w:tcPr>
          <w:p w14:paraId="4711A1E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534</w:t>
            </w:r>
          </w:p>
        </w:tc>
        <w:tc>
          <w:tcPr>
            <w:tcW w:w="586" w:type="dxa"/>
            <w:tcBorders>
              <w:top w:val="nil"/>
              <w:left w:val="nil"/>
              <w:bottom w:val="single" w:sz="8" w:space="0" w:color="DCDDDE"/>
              <w:right w:val="nil"/>
            </w:tcBorders>
            <w:shd w:val="clear" w:color="000000" w:fill="FFFFFF"/>
            <w:noWrap/>
            <w:vAlign w:val="center"/>
            <w:hideMark/>
          </w:tcPr>
          <w:p w14:paraId="0A7C28F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486</w:t>
            </w:r>
          </w:p>
        </w:tc>
        <w:tc>
          <w:tcPr>
            <w:tcW w:w="586" w:type="dxa"/>
            <w:tcBorders>
              <w:top w:val="nil"/>
              <w:left w:val="nil"/>
              <w:bottom w:val="single" w:sz="8" w:space="0" w:color="DCDDDE"/>
              <w:right w:val="nil"/>
            </w:tcBorders>
            <w:shd w:val="clear" w:color="000000" w:fill="FFFFFF"/>
            <w:noWrap/>
            <w:vAlign w:val="center"/>
            <w:hideMark/>
          </w:tcPr>
          <w:p w14:paraId="583BE7E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440</w:t>
            </w:r>
          </w:p>
        </w:tc>
        <w:tc>
          <w:tcPr>
            <w:tcW w:w="586" w:type="dxa"/>
            <w:tcBorders>
              <w:top w:val="nil"/>
              <w:left w:val="nil"/>
              <w:bottom w:val="single" w:sz="8" w:space="0" w:color="DCDDDE"/>
              <w:right w:val="nil"/>
            </w:tcBorders>
            <w:shd w:val="clear" w:color="000000" w:fill="FFFFFF"/>
            <w:noWrap/>
            <w:vAlign w:val="center"/>
            <w:hideMark/>
          </w:tcPr>
          <w:p w14:paraId="0D3CDC9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393</w:t>
            </w:r>
          </w:p>
        </w:tc>
      </w:tr>
      <w:tr w:rsidR="00490035" w:rsidRPr="00490035" w14:paraId="551FE987"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3321E36A"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Total</w:t>
            </w:r>
          </w:p>
        </w:tc>
        <w:tc>
          <w:tcPr>
            <w:tcW w:w="586" w:type="dxa"/>
            <w:tcBorders>
              <w:top w:val="nil"/>
              <w:left w:val="nil"/>
              <w:bottom w:val="single" w:sz="8" w:space="0" w:color="DCDDDE"/>
              <w:right w:val="nil"/>
            </w:tcBorders>
            <w:shd w:val="clear" w:color="000000" w:fill="FFFFFF"/>
            <w:noWrap/>
            <w:vAlign w:val="center"/>
            <w:hideMark/>
          </w:tcPr>
          <w:p w14:paraId="361E232A"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944</w:t>
            </w:r>
          </w:p>
        </w:tc>
        <w:tc>
          <w:tcPr>
            <w:tcW w:w="586" w:type="dxa"/>
            <w:tcBorders>
              <w:top w:val="nil"/>
              <w:left w:val="nil"/>
              <w:bottom w:val="single" w:sz="8" w:space="0" w:color="DCDDDE"/>
              <w:right w:val="nil"/>
            </w:tcBorders>
            <w:shd w:val="clear" w:color="000000" w:fill="FFFFFF"/>
            <w:noWrap/>
            <w:vAlign w:val="center"/>
            <w:hideMark/>
          </w:tcPr>
          <w:p w14:paraId="3D37CAF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1,000</w:t>
            </w:r>
          </w:p>
        </w:tc>
        <w:tc>
          <w:tcPr>
            <w:tcW w:w="586" w:type="dxa"/>
            <w:tcBorders>
              <w:top w:val="nil"/>
              <w:left w:val="nil"/>
              <w:bottom w:val="single" w:sz="8" w:space="0" w:color="DCDDDE"/>
              <w:right w:val="nil"/>
            </w:tcBorders>
            <w:shd w:val="clear" w:color="000000" w:fill="FFFFFF"/>
            <w:noWrap/>
            <w:vAlign w:val="center"/>
            <w:hideMark/>
          </w:tcPr>
          <w:p w14:paraId="20713A5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1,011</w:t>
            </w:r>
          </w:p>
        </w:tc>
        <w:tc>
          <w:tcPr>
            <w:tcW w:w="586" w:type="dxa"/>
            <w:tcBorders>
              <w:top w:val="nil"/>
              <w:left w:val="nil"/>
              <w:bottom w:val="single" w:sz="8" w:space="0" w:color="DCDDDE"/>
              <w:right w:val="nil"/>
            </w:tcBorders>
            <w:shd w:val="clear" w:color="000000" w:fill="FFFFFF"/>
            <w:noWrap/>
            <w:vAlign w:val="center"/>
            <w:hideMark/>
          </w:tcPr>
          <w:p w14:paraId="32D9188B"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1,056</w:t>
            </w:r>
          </w:p>
        </w:tc>
        <w:tc>
          <w:tcPr>
            <w:tcW w:w="586" w:type="dxa"/>
            <w:tcBorders>
              <w:top w:val="nil"/>
              <w:left w:val="nil"/>
              <w:bottom w:val="single" w:sz="8" w:space="0" w:color="DCDDDE"/>
              <w:right w:val="nil"/>
            </w:tcBorders>
            <w:shd w:val="clear" w:color="000000" w:fill="FFFFFF"/>
            <w:noWrap/>
            <w:vAlign w:val="center"/>
            <w:hideMark/>
          </w:tcPr>
          <w:p w14:paraId="4D8F51A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1,059</w:t>
            </w:r>
          </w:p>
        </w:tc>
        <w:tc>
          <w:tcPr>
            <w:tcW w:w="586" w:type="dxa"/>
            <w:tcBorders>
              <w:top w:val="nil"/>
              <w:left w:val="nil"/>
              <w:bottom w:val="single" w:sz="8" w:space="0" w:color="DCDDDE"/>
              <w:right w:val="nil"/>
            </w:tcBorders>
            <w:shd w:val="clear" w:color="000000" w:fill="FFFFFF"/>
            <w:noWrap/>
            <w:vAlign w:val="center"/>
            <w:hideMark/>
          </w:tcPr>
          <w:p w14:paraId="0E3C669D"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1,142</w:t>
            </w:r>
          </w:p>
        </w:tc>
        <w:tc>
          <w:tcPr>
            <w:tcW w:w="586" w:type="dxa"/>
            <w:tcBorders>
              <w:top w:val="nil"/>
              <w:left w:val="nil"/>
              <w:bottom w:val="single" w:sz="8" w:space="0" w:color="DCDDDE"/>
              <w:right w:val="nil"/>
            </w:tcBorders>
            <w:shd w:val="clear" w:color="000000" w:fill="FFFFFF"/>
            <w:noWrap/>
            <w:vAlign w:val="center"/>
            <w:hideMark/>
          </w:tcPr>
          <w:p w14:paraId="3E393A93"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1,143</w:t>
            </w:r>
          </w:p>
        </w:tc>
        <w:tc>
          <w:tcPr>
            <w:tcW w:w="586" w:type="dxa"/>
            <w:tcBorders>
              <w:top w:val="nil"/>
              <w:left w:val="nil"/>
              <w:bottom w:val="single" w:sz="8" w:space="0" w:color="DCDDDE"/>
              <w:right w:val="nil"/>
            </w:tcBorders>
            <w:shd w:val="clear" w:color="000000" w:fill="FFFFFF"/>
            <w:noWrap/>
            <w:vAlign w:val="center"/>
            <w:hideMark/>
          </w:tcPr>
          <w:p w14:paraId="3488F35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1,147</w:t>
            </w:r>
          </w:p>
        </w:tc>
        <w:tc>
          <w:tcPr>
            <w:tcW w:w="586" w:type="dxa"/>
            <w:tcBorders>
              <w:top w:val="nil"/>
              <w:left w:val="nil"/>
              <w:bottom w:val="single" w:sz="8" w:space="0" w:color="DCDDDE"/>
              <w:right w:val="nil"/>
            </w:tcBorders>
            <w:shd w:val="clear" w:color="000000" w:fill="FFFFFF"/>
            <w:noWrap/>
            <w:vAlign w:val="center"/>
            <w:hideMark/>
          </w:tcPr>
          <w:p w14:paraId="04EB431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1,139</w:t>
            </w:r>
          </w:p>
        </w:tc>
        <w:tc>
          <w:tcPr>
            <w:tcW w:w="586" w:type="dxa"/>
            <w:tcBorders>
              <w:top w:val="nil"/>
              <w:left w:val="nil"/>
              <w:bottom w:val="single" w:sz="8" w:space="0" w:color="DCDDDE"/>
              <w:right w:val="nil"/>
            </w:tcBorders>
            <w:shd w:val="clear" w:color="000000" w:fill="FFFFFF"/>
            <w:noWrap/>
            <w:vAlign w:val="center"/>
            <w:hideMark/>
          </w:tcPr>
          <w:p w14:paraId="5078B87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1,138</w:t>
            </w:r>
          </w:p>
        </w:tc>
        <w:tc>
          <w:tcPr>
            <w:tcW w:w="586" w:type="dxa"/>
            <w:tcBorders>
              <w:top w:val="nil"/>
              <w:left w:val="nil"/>
              <w:bottom w:val="single" w:sz="8" w:space="0" w:color="DCDDDE"/>
              <w:right w:val="nil"/>
            </w:tcBorders>
            <w:shd w:val="clear" w:color="000000" w:fill="FFFFFF"/>
            <w:noWrap/>
            <w:vAlign w:val="center"/>
            <w:hideMark/>
          </w:tcPr>
          <w:p w14:paraId="4248BC0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1,108</w:t>
            </w:r>
          </w:p>
        </w:tc>
        <w:tc>
          <w:tcPr>
            <w:tcW w:w="586" w:type="dxa"/>
            <w:tcBorders>
              <w:top w:val="nil"/>
              <w:left w:val="nil"/>
              <w:bottom w:val="single" w:sz="8" w:space="0" w:color="DCDDDE"/>
              <w:right w:val="nil"/>
            </w:tcBorders>
            <w:shd w:val="clear" w:color="000000" w:fill="FFFFFF"/>
            <w:noWrap/>
            <w:vAlign w:val="center"/>
            <w:hideMark/>
          </w:tcPr>
          <w:p w14:paraId="7B61ADAE"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1,079</w:t>
            </w:r>
          </w:p>
        </w:tc>
        <w:tc>
          <w:tcPr>
            <w:tcW w:w="586" w:type="dxa"/>
            <w:tcBorders>
              <w:top w:val="nil"/>
              <w:left w:val="nil"/>
              <w:bottom w:val="single" w:sz="8" w:space="0" w:color="DCDDDE"/>
              <w:right w:val="nil"/>
            </w:tcBorders>
            <w:shd w:val="clear" w:color="000000" w:fill="FFFFFF"/>
            <w:noWrap/>
            <w:vAlign w:val="center"/>
            <w:hideMark/>
          </w:tcPr>
          <w:p w14:paraId="6D50F04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1,042</w:t>
            </w:r>
          </w:p>
        </w:tc>
      </w:tr>
      <w:tr w:rsidR="00490035" w:rsidRPr="00490035" w14:paraId="1E9C3DFA" w14:textId="77777777" w:rsidTr="002A760B">
        <w:trPr>
          <w:trHeight w:val="315"/>
          <w:jc w:val="center"/>
        </w:trPr>
        <w:tc>
          <w:tcPr>
            <w:tcW w:w="8597" w:type="dxa"/>
            <w:gridSpan w:val="14"/>
            <w:tcBorders>
              <w:top w:val="single" w:sz="8" w:space="0" w:color="DCDDDE"/>
              <w:left w:val="nil"/>
              <w:bottom w:val="single" w:sz="8" w:space="0" w:color="DCDDDE"/>
              <w:right w:val="nil"/>
            </w:tcBorders>
            <w:shd w:val="clear" w:color="000000" w:fill="DADADA"/>
            <w:noWrap/>
            <w:vAlign w:val="center"/>
            <w:hideMark/>
          </w:tcPr>
          <w:p w14:paraId="444ED05C"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mTRC (GHG adder 1) | Reference</w:t>
            </w:r>
          </w:p>
        </w:tc>
      </w:tr>
      <w:tr w:rsidR="00490035" w:rsidRPr="00490035" w14:paraId="0D6C5E6B" w14:textId="77777777" w:rsidTr="002A760B">
        <w:trPr>
          <w:trHeight w:val="555"/>
          <w:jc w:val="center"/>
        </w:trPr>
        <w:tc>
          <w:tcPr>
            <w:tcW w:w="979" w:type="dxa"/>
            <w:tcBorders>
              <w:top w:val="nil"/>
              <w:left w:val="nil"/>
              <w:bottom w:val="single" w:sz="8" w:space="0" w:color="DCDDDE"/>
              <w:right w:val="nil"/>
            </w:tcBorders>
            <w:shd w:val="clear" w:color="000000" w:fill="FFFFFF"/>
            <w:vAlign w:val="center"/>
            <w:hideMark/>
          </w:tcPr>
          <w:p w14:paraId="6B027084"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86" w:type="dxa"/>
            <w:tcBorders>
              <w:top w:val="nil"/>
              <w:left w:val="nil"/>
              <w:bottom w:val="single" w:sz="8" w:space="0" w:color="DCDDDE"/>
              <w:right w:val="nil"/>
            </w:tcBorders>
            <w:shd w:val="clear" w:color="000000" w:fill="FFFFFF"/>
            <w:noWrap/>
            <w:vAlign w:val="center"/>
            <w:hideMark/>
          </w:tcPr>
          <w:p w14:paraId="57A369D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310</w:t>
            </w:r>
          </w:p>
        </w:tc>
        <w:tc>
          <w:tcPr>
            <w:tcW w:w="586" w:type="dxa"/>
            <w:tcBorders>
              <w:top w:val="nil"/>
              <w:left w:val="nil"/>
              <w:bottom w:val="single" w:sz="8" w:space="0" w:color="DCDDDE"/>
              <w:right w:val="nil"/>
            </w:tcBorders>
            <w:shd w:val="clear" w:color="000000" w:fill="FFFFFF"/>
            <w:noWrap/>
            <w:vAlign w:val="center"/>
            <w:hideMark/>
          </w:tcPr>
          <w:p w14:paraId="332060E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328</w:t>
            </w:r>
          </w:p>
        </w:tc>
        <w:tc>
          <w:tcPr>
            <w:tcW w:w="586" w:type="dxa"/>
            <w:tcBorders>
              <w:top w:val="nil"/>
              <w:left w:val="nil"/>
              <w:bottom w:val="single" w:sz="8" w:space="0" w:color="DCDDDE"/>
              <w:right w:val="nil"/>
            </w:tcBorders>
            <w:shd w:val="clear" w:color="000000" w:fill="FFFFFF"/>
            <w:noWrap/>
            <w:vAlign w:val="center"/>
            <w:hideMark/>
          </w:tcPr>
          <w:p w14:paraId="7C326B2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320</w:t>
            </w:r>
          </w:p>
        </w:tc>
        <w:tc>
          <w:tcPr>
            <w:tcW w:w="586" w:type="dxa"/>
            <w:tcBorders>
              <w:top w:val="nil"/>
              <w:left w:val="nil"/>
              <w:bottom w:val="single" w:sz="8" w:space="0" w:color="DCDDDE"/>
              <w:right w:val="nil"/>
            </w:tcBorders>
            <w:shd w:val="clear" w:color="000000" w:fill="FFFFFF"/>
            <w:noWrap/>
            <w:vAlign w:val="center"/>
            <w:hideMark/>
          </w:tcPr>
          <w:p w14:paraId="3545FDA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349</w:t>
            </w:r>
          </w:p>
        </w:tc>
        <w:tc>
          <w:tcPr>
            <w:tcW w:w="586" w:type="dxa"/>
            <w:tcBorders>
              <w:top w:val="nil"/>
              <w:left w:val="nil"/>
              <w:bottom w:val="single" w:sz="8" w:space="0" w:color="DCDDDE"/>
              <w:right w:val="nil"/>
            </w:tcBorders>
            <w:shd w:val="clear" w:color="000000" w:fill="FFFFFF"/>
            <w:noWrap/>
            <w:vAlign w:val="center"/>
            <w:hideMark/>
          </w:tcPr>
          <w:p w14:paraId="5920CFF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358</w:t>
            </w:r>
          </w:p>
        </w:tc>
        <w:tc>
          <w:tcPr>
            <w:tcW w:w="586" w:type="dxa"/>
            <w:tcBorders>
              <w:top w:val="nil"/>
              <w:left w:val="nil"/>
              <w:bottom w:val="single" w:sz="8" w:space="0" w:color="DCDDDE"/>
              <w:right w:val="nil"/>
            </w:tcBorders>
            <w:shd w:val="clear" w:color="000000" w:fill="FFFFFF"/>
            <w:noWrap/>
            <w:vAlign w:val="center"/>
            <w:hideMark/>
          </w:tcPr>
          <w:p w14:paraId="5AD686C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373</w:t>
            </w:r>
          </w:p>
        </w:tc>
        <w:tc>
          <w:tcPr>
            <w:tcW w:w="586" w:type="dxa"/>
            <w:tcBorders>
              <w:top w:val="nil"/>
              <w:left w:val="nil"/>
              <w:bottom w:val="single" w:sz="8" w:space="0" w:color="DCDDDE"/>
              <w:right w:val="nil"/>
            </w:tcBorders>
            <w:shd w:val="clear" w:color="000000" w:fill="FFFFFF"/>
            <w:noWrap/>
            <w:vAlign w:val="center"/>
            <w:hideMark/>
          </w:tcPr>
          <w:p w14:paraId="72FD508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401</w:t>
            </w:r>
          </w:p>
        </w:tc>
        <w:tc>
          <w:tcPr>
            <w:tcW w:w="586" w:type="dxa"/>
            <w:tcBorders>
              <w:top w:val="nil"/>
              <w:left w:val="nil"/>
              <w:bottom w:val="single" w:sz="8" w:space="0" w:color="DCDDDE"/>
              <w:right w:val="nil"/>
            </w:tcBorders>
            <w:shd w:val="clear" w:color="000000" w:fill="FFFFFF"/>
            <w:noWrap/>
            <w:vAlign w:val="center"/>
            <w:hideMark/>
          </w:tcPr>
          <w:p w14:paraId="7B07AC9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406</w:t>
            </w:r>
          </w:p>
        </w:tc>
        <w:tc>
          <w:tcPr>
            <w:tcW w:w="586" w:type="dxa"/>
            <w:tcBorders>
              <w:top w:val="nil"/>
              <w:left w:val="nil"/>
              <w:bottom w:val="single" w:sz="8" w:space="0" w:color="DCDDDE"/>
              <w:right w:val="nil"/>
            </w:tcBorders>
            <w:shd w:val="clear" w:color="000000" w:fill="FFFFFF"/>
            <w:noWrap/>
            <w:vAlign w:val="center"/>
            <w:hideMark/>
          </w:tcPr>
          <w:p w14:paraId="707479B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410</w:t>
            </w:r>
          </w:p>
        </w:tc>
        <w:tc>
          <w:tcPr>
            <w:tcW w:w="586" w:type="dxa"/>
            <w:tcBorders>
              <w:top w:val="nil"/>
              <w:left w:val="nil"/>
              <w:bottom w:val="single" w:sz="8" w:space="0" w:color="DCDDDE"/>
              <w:right w:val="nil"/>
            </w:tcBorders>
            <w:shd w:val="clear" w:color="000000" w:fill="FFFFFF"/>
            <w:noWrap/>
            <w:vAlign w:val="center"/>
            <w:hideMark/>
          </w:tcPr>
          <w:p w14:paraId="3F6E342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415</w:t>
            </w:r>
          </w:p>
        </w:tc>
        <w:tc>
          <w:tcPr>
            <w:tcW w:w="586" w:type="dxa"/>
            <w:tcBorders>
              <w:top w:val="nil"/>
              <w:left w:val="nil"/>
              <w:bottom w:val="single" w:sz="8" w:space="0" w:color="DCDDDE"/>
              <w:right w:val="nil"/>
            </w:tcBorders>
            <w:shd w:val="clear" w:color="000000" w:fill="FFFFFF"/>
            <w:noWrap/>
            <w:vAlign w:val="center"/>
            <w:hideMark/>
          </w:tcPr>
          <w:p w14:paraId="01D296F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418</w:t>
            </w:r>
          </w:p>
        </w:tc>
        <w:tc>
          <w:tcPr>
            <w:tcW w:w="586" w:type="dxa"/>
            <w:tcBorders>
              <w:top w:val="nil"/>
              <w:left w:val="nil"/>
              <w:bottom w:val="single" w:sz="8" w:space="0" w:color="DCDDDE"/>
              <w:right w:val="nil"/>
            </w:tcBorders>
            <w:shd w:val="clear" w:color="000000" w:fill="FFFFFF"/>
            <w:noWrap/>
            <w:vAlign w:val="center"/>
            <w:hideMark/>
          </w:tcPr>
          <w:p w14:paraId="06F5D4A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424</w:t>
            </w:r>
          </w:p>
        </w:tc>
        <w:tc>
          <w:tcPr>
            <w:tcW w:w="586" w:type="dxa"/>
            <w:tcBorders>
              <w:top w:val="nil"/>
              <w:left w:val="nil"/>
              <w:bottom w:val="single" w:sz="8" w:space="0" w:color="DCDDDE"/>
              <w:right w:val="nil"/>
            </w:tcBorders>
            <w:shd w:val="clear" w:color="000000" w:fill="FFFFFF"/>
            <w:noWrap/>
            <w:vAlign w:val="center"/>
            <w:hideMark/>
          </w:tcPr>
          <w:p w14:paraId="1FEACAA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421</w:t>
            </w:r>
          </w:p>
        </w:tc>
      </w:tr>
      <w:tr w:rsidR="00490035" w:rsidRPr="00490035" w14:paraId="3CC846D7"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116EF498"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BROs</w:t>
            </w:r>
          </w:p>
        </w:tc>
        <w:tc>
          <w:tcPr>
            <w:tcW w:w="586" w:type="dxa"/>
            <w:tcBorders>
              <w:top w:val="nil"/>
              <w:left w:val="nil"/>
              <w:bottom w:val="single" w:sz="8" w:space="0" w:color="DCDDDE"/>
              <w:right w:val="nil"/>
            </w:tcBorders>
            <w:shd w:val="clear" w:color="000000" w:fill="FFFFFF"/>
            <w:noWrap/>
            <w:vAlign w:val="center"/>
            <w:hideMark/>
          </w:tcPr>
          <w:p w14:paraId="68AA328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74</w:t>
            </w:r>
          </w:p>
        </w:tc>
        <w:tc>
          <w:tcPr>
            <w:tcW w:w="586" w:type="dxa"/>
            <w:tcBorders>
              <w:top w:val="nil"/>
              <w:left w:val="nil"/>
              <w:bottom w:val="single" w:sz="8" w:space="0" w:color="DCDDDE"/>
              <w:right w:val="nil"/>
            </w:tcBorders>
            <w:shd w:val="clear" w:color="000000" w:fill="FFFFFF"/>
            <w:noWrap/>
            <w:vAlign w:val="center"/>
            <w:hideMark/>
          </w:tcPr>
          <w:p w14:paraId="6460B22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90</w:t>
            </w:r>
          </w:p>
        </w:tc>
        <w:tc>
          <w:tcPr>
            <w:tcW w:w="586" w:type="dxa"/>
            <w:tcBorders>
              <w:top w:val="nil"/>
              <w:left w:val="nil"/>
              <w:bottom w:val="single" w:sz="8" w:space="0" w:color="DCDDDE"/>
              <w:right w:val="nil"/>
            </w:tcBorders>
            <w:shd w:val="clear" w:color="000000" w:fill="FFFFFF"/>
            <w:noWrap/>
            <w:vAlign w:val="center"/>
            <w:hideMark/>
          </w:tcPr>
          <w:p w14:paraId="6C9E78B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101</w:t>
            </w:r>
          </w:p>
        </w:tc>
        <w:tc>
          <w:tcPr>
            <w:tcW w:w="586" w:type="dxa"/>
            <w:tcBorders>
              <w:top w:val="nil"/>
              <w:left w:val="nil"/>
              <w:bottom w:val="single" w:sz="8" w:space="0" w:color="DCDDDE"/>
              <w:right w:val="nil"/>
            </w:tcBorders>
            <w:shd w:val="clear" w:color="000000" w:fill="FFFFFF"/>
            <w:noWrap/>
            <w:vAlign w:val="center"/>
            <w:hideMark/>
          </w:tcPr>
          <w:p w14:paraId="168B32A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113</w:t>
            </w:r>
          </w:p>
        </w:tc>
        <w:tc>
          <w:tcPr>
            <w:tcW w:w="586" w:type="dxa"/>
            <w:tcBorders>
              <w:top w:val="nil"/>
              <w:left w:val="nil"/>
              <w:bottom w:val="single" w:sz="8" w:space="0" w:color="DCDDDE"/>
              <w:right w:val="nil"/>
            </w:tcBorders>
            <w:shd w:val="clear" w:color="000000" w:fill="FFFFFF"/>
            <w:noWrap/>
            <w:vAlign w:val="center"/>
            <w:hideMark/>
          </w:tcPr>
          <w:p w14:paraId="7522B62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124</w:t>
            </w:r>
          </w:p>
        </w:tc>
        <w:tc>
          <w:tcPr>
            <w:tcW w:w="586" w:type="dxa"/>
            <w:tcBorders>
              <w:top w:val="nil"/>
              <w:left w:val="nil"/>
              <w:bottom w:val="single" w:sz="8" w:space="0" w:color="DCDDDE"/>
              <w:right w:val="nil"/>
            </w:tcBorders>
            <w:shd w:val="clear" w:color="000000" w:fill="FFFFFF"/>
            <w:noWrap/>
            <w:vAlign w:val="center"/>
            <w:hideMark/>
          </w:tcPr>
          <w:p w14:paraId="4FB2408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134</w:t>
            </w:r>
          </w:p>
        </w:tc>
        <w:tc>
          <w:tcPr>
            <w:tcW w:w="586" w:type="dxa"/>
            <w:tcBorders>
              <w:top w:val="nil"/>
              <w:left w:val="nil"/>
              <w:bottom w:val="single" w:sz="8" w:space="0" w:color="DCDDDE"/>
              <w:right w:val="nil"/>
            </w:tcBorders>
            <w:shd w:val="clear" w:color="000000" w:fill="FFFFFF"/>
            <w:noWrap/>
            <w:vAlign w:val="center"/>
            <w:hideMark/>
          </w:tcPr>
          <w:p w14:paraId="0462061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146</w:t>
            </w:r>
          </w:p>
        </w:tc>
        <w:tc>
          <w:tcPr>
            <w:tcW w:w="586" w:type="dxa"/>
            <w:tcBorders>
              <w:top w:val="nil"/>
              <w:left w:val="nil"/>
              <w:bottom w:val="single" w:sz="8" w:space="0" w:color="DCDDDE"/>
              <w:right w:val="nil"/>
            </w:tcBorders>
            <w:shd w:val="clear" w:color="000000" w:fill="FFFFFF"/>
            <w:noWrap/>
            <w:vAlign w:val="center"/>
            <w:hideMark/>
          </w:tcPr>
          <w:p w14:paraId="3F8F3BD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161</w:t>
            </w:r>
          </w:p>
        </w:tc>
        <w:tc>
          <w:tcPr>
            <w:tcW w:w="586" w:type="dxa"/>
            <w:tcBorders>
              <w:top w:val="nil"/>
              <w:left w:val="nil"/>
              <w:bottom w:val="single" w:sz="8" w:space="0" w:color="DCDDDE"/>
              <w:right w:val="nil"/>
            </w:tcBorders>
            <w:shd w:val="clear" w:color="000000" w:fill="FFFFFF"/>
            <w:noWrap/>
            <w:vAlign w:val="center"/>
            <w:hideMark/>
          </w:tcPr>
          <w:p w14:paraId="74F6E75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174</w:t>
            </w:r>
          </w:p>
        </w:tc>
        <w:tc>
          <w:tcPr>
            <w:tcW w:w="586" w:type="dxa"/>
            <w:tcBorders>
              <w:top w:val="nil"/>
              <w:left w:val="nil"/>
              <w:bottom w:val="single" w:sz="8" w:space="0" w:color="DCDDDE"/>
              <w:right w:val="nil"/>
            </w:tcBorders>
            <w:shd w:val="clear" w:color="000000" w:fill="FFFFFF"/>
            <w:noWrap/>
            <w:vAlign w:val="center"/>
            <w:hideMark/>
          </w:tcPr>
          <w:p w14:paraId="3F15DEB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188</w:t>
            </w:r>
          </w:p>
        </w:tc>
        <w:tc>
          <w:tcPr>
            <w:tcW w:w="586" w:type="dxa"/>
            <w:tcBorders>
              <w:top w:val="nil"/>
              <w:left w:val="nil"/>
              <w:bottom w:val="single" w:sz="8" w:space="0" w:color="DCDDDE"/>
              <w:right w:val="nil"/>
            </w:tcBorders>
            <w:shd w:val="clear" w:color="000000" w:fill="FFFFFF"/>
            <w:noWrap/>
            <w:vAlign w:val="center"/>
            <w:hideMark/>
          </w:tcPr>
          <w:p w14:paraId="450D810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202</w:t>
            </w:r>
          </w:p>
        </w:tc>
        <w:tc>
          <w:tcPr>
            <w:tcW w:w="586" w:type="dxa"/>
            <w:tcBorders>
              <w:top w:val="nil"/>
              <w:left w:val="nil"/>
              <w:bottom w:val="single" w:sz="8" w:space="0" w:color="DCDDDE"/>
              <w:right w:val="nil"/>
            </w:tcBorders>
            <w:shd w:val="clear" w:color="000000" w:fill="FFFFFF"/>
            <w:noWrap/>
            <w:vAlign w:val="center"/>
            <w:hideMark/>
          </w:tcPr>
          <w:p w14:paraId="321B90A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217</w:t>
            </w:r>
          </w:p>
        </w:tc>
        <w:tc>
          <w:tcPr>
            <w:tcW w:w="586" w:type="dxa"/>
            <w:tcBorders>
              <w:top w:val="nil"/>
              <w:left w:val="nil"/>
              <w:bottom w:val="single" w:sz="8" w:space="0" w:color="DCDDDE"/>
              <w:right w:val="nil"/>
            </w:tcBorders>
            <w:shd w:val="clear" w:color="000000" w:fill="FFFFFF"/>
            <w:noWrap/>
            <w:vAlign w:val="center"/>
            <w:hideMark/>
          </w:tcPr>
          <w:p w14:paraId="66894FD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228</w:t>
            </w:r>
          </w:p>
        </w:tc>
      </w:tr>
      <w:tr w:rsidR="00490035" w:rsidRPr="00490035" w14:paraId="52A9264F"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6A52833D"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86" w:type="dxa"/>
            <w:tcBorders>
              <w:top w:val="nil"/>
              <w:left w:val="nil"/>
              <w:bottom w:val="single" w:sz="8" w:space="0" w:color="DCDDDE"/>
              <w:right w:val="nil"/>
            </w:tcBorders>
            <w:shd w:val="clear" w:color="000000" w:fill="FFFFFF"/>
            <w:noWrap/>
            <w:vAlign w:val="center"/>
            <w:hideMark/>
          </w:tcPr>
          <w:p w14:paraId="7A81B2E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21</w:t>
            </w:r>
          </w:p>
        </w:tc>
        <w:tc>
          <w:tcPr>
            <w:tcW w:w="586" w:type="dxa"/>
            <w:tcBorders>
              <w:top w:val="nil"/>
              <w:left w:val="nil"/>
              <w:bottom w:val="single" w:sz="8" w:space="0" w:color="DCDDDE"/>
              <w:right w:val="nil"/>
            </w:tcBorders>
            <w:shd w:val="clear" w:color="000000" w:fill="FFFFFF"/>
            <w:noWrap/>
            <w:vAlign w:val="center"/>
            <w:hideMark/>
          </w:tcPr>
          <w:p w14:paraId="5CB8DF1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w:t>
            </w:r>
          </w:p>
        </w:tc>
        <w:tc>
          <w:tcPr>
            <w:tcW w:w="586" w:type="dxa"/>
            <w:tcBorders>
              <w:top w:val="nil"/>
              <w:left w:val="nil"/>
              <w:bottom w:val="single" w:sz="8" w:space="0" w:color="DCDDDE"/>
              <w:right w:val="nil"/>
            </w:tcBorders>
            <w:shd w:val="clear" w:color="000000" w:fill="FFFFFF"/>
            <w:noWrap/>
            <w:vAlign w:val="center"/>
            <w:hideMark/>
          </w:tcPr>
          <w:p w14:paraId="3B52945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w:t>
            </w:r>
          </w:p>
        </w:tc>
        <w:tc>
          <w:tcPr>
            <w:tcW w:w="586" w:type="dxa"/>
            <w:tcBorders>
              <w:top w:val="nil"/>
              <w:left w:val="nil"/>
              <w:bottom w:val="single" w:sz="8" w:space="0" w:color="DCDDDE"/>
              <w:right w:val="nil"/>
            </w:tcBorders>
            <w:shd w:val="clear" w:color="000000" w:fill="FFFFFF"/>
            <w:noWrap/>
            <w:vAlign w:val="center"/>
            <w:hideMark/>
          </w:tcPr>
          <w:p w14:paraId="6A11055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2A0809D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116D7DE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3082EA3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29612DA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102062E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457F744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459D071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3425A66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236E1F0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r>
      <w:tr w:rsidR="00490035" w:rsidRPr="00490035" w14:paraId="4C165140" w14:textId="77777777" w:rsidTr="002A760B">
        <w:trPr>
          <w:trHeight w:val="825"/>
          <w:jc w:val="center"/>
        </w:trPr>
        <w:tc>
          <w:tcPr>
            <w:tcW w:w="979" w:type="dxa"/>
            <w:tcBorders>
              <w:top w:val="nil"/>
              <w:left w:val="nil"/>
              <w:bottom w:val="single" w:sz="8" w:space="0" w:color="DCDDDE"/>
              <w:right w:val="nil"/>
            </w:tcBorders>
            <w:shd w:val="clear" w:color="000000" w:fill="FFFFFF"/>
            <w:vAlign w:val="center"/>
            <w:hideMark/>
          </w:tcPr>
          <w:p w14:paraId="3E2F8B94"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86" w:type="dxa"/>
            <w:tcBorders>
              <w:top w:val="nil"/>
              <w:left w:val="nil"/>
              <w:bottom w:val="single" w:sz="8" w:space="0" w:color="DCDDDE"/>
              <w:right w:val="nil"/>
            </w:tcBorders>
            <w:shd w:val="clear" w:color="000000" w:fill="FFFFFF"/>
            <w:noWrap/>
            <w:vAlign w:val="center"/>
            <w:hideMark/>
          </w:tcPr>
          <w:p w14:paraId="410A6F4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405</w:t>
            </w:r>
          </w:p>
        </w:tc>
        <w:tc>
          <w:tcPr>
            <w:tcW w:w="586" w:type="dxa"/>
            <w:tcBorders>
              <w:top w:val="nil"/>
              <w:left w:val="nil"/>
              <w:bottom w:val="single" w:sz="8" w:space="0" w:color="DCDDDE"/>
              <w:right w:val="nil"/>
            </w:tcBorders>
            <w:shd w:val="clear" w:color="000000" w:fill="FFFFFF"/>
            <w:noWrap/>
            <w:vAlign w:val="center"/>
            <w:hideMark/>
          </w:tcPr>
          <w:p w14:paraId="485CC23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438</w:t>
            </w:r>
          </w:p>
        </w:tc>
        <w:tc>
          <w:tcPr>
            <w:tcW w:w="586" w:type="dxa"/>
            <w:tcBorders>
              <w:top w:val="nil"/>
              <w:left w:val="nil"/>
              <w:bottom w:val="single" w:sz="8" w:space="0" w:color="DCDDDE"/>
              <w:right w:val="nil"/>
            </w:tcBorders>
            <w:shd w:val="clear" w:color="000000" w:fill="FFFFFF"/>
            <w:noWrap/>
            <w:vAlign w:val="center"/>
            <w:hideMark/>
          </w:tcPr>
          <w:p w14:paraId="2993079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442</w:t>
            </w:r>
          </w:p>
        </w:tc>
        <w:tc>
          <w:tcPr>
            <w:tcW w:w="586" w:type="dxa"/>
            <w:tcBorders>
              <w:top w:val="nil"/>
              <w:left w:val="nil"/>
              <w:bottom w:val="single" w:sz="8" w:space="0" w:color="DCDDDE"/>
              <w:right w:val="nil"/>
            </w:tcBorders>
            <w:shd w:val="clear" w:color="000000" w:fill="FFFFFF"/>
            <w:noWrap/>
            <w:vAlign w:val="center"/>
            <w:hideMark/>
          </w:tcPr>
          <w:p w14:paraId="0896859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466</w:t>
            </w:r>
          </w:p>
        </w:tc>
        <w:tc>
          <w:tcPr>
            <w:tcW w:w="586" w:type="dxa"/>
            <w:tcBorders>
              <w:top w:val="nil"/>
              <w:left w:val="nil"/>
              <w:bottom w:val="single" w:sz="8" w:space="0" w:color="DCDDDE"/>
              <w:right w:val="nil"/>
            </w:tcBorders>
            <w:shd w:val="clear" w:color="000000" w:fill="FFFFFF"/>
            <w:noWrap/>
            <w:vAlign w:val="center"/>
            <w:hideMark/>
          </w:tcPr>
          <w:p w14:paraId="118EEC7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485</w:t>
            </w:r>
          </w:p>
        </w:tc>
        <w:tc>
          <w:tcPr>
            <w:tcW w:w="586" w:type="dxa"/>
            <w:tcBorders>
              <w:top w:val="nil"/>
              <w:left w:val="nil"/>
              <w:bottom w:val="single" w:sz="8" w:space="0" w:color="DCDDDE"/>
              <w:right w:val="nil"/>
            </w:tcBorders>
            <w:shd w:val="clear" w:color="000000" w:fill="FFFFFF"/>
            <w:noWrap/>
            <w:vAlign w:val="center"/>
            <w:hideMark/>
          </w:tcPr>
          <w:p w14:paraId="33131E9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511</w:t>
            </w:r>
          </w:p>
        </w:tc>
        <w:tc>
          <w:tcPr>
            <w:tcW w:w="586" w:type="dxa"/>
            <w:tcBorders>
              <w:top w:val="nil"/>
              <w:left w:val="nil"/>
              <w:bottom w:val="single" w:sz="8" w:space="0" w:color="DCDDDE"/>
              <w:right w:val="nil"/>
            </w:tcBorders>
            <w:shd w:val="clear" w:color="000000" w:fill="FFFFFF"/>
            <w:noWrap/>
            <w:vAlign w:val="center"/>
            <w:hideMark/>
          </w:tcPr>
          <w:p w14:paraId="7F89AD5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550</w:t>
            </w:r>
          </w:p>
        </w:tc>
        <w:tc>
          <w:tcPr>
            <w:tcW w:w="586" w:type="dxa"/>
            <w:tcBorders>
              <w:top w:val="nil"/>
              <w:left w:val="nil"/>
              <w:bottom w:val="single" w:sz="8" w:space="0" w:color="DCDDDE"/>
              <w:right w:val="nil"/>
            </w:tcBorders>
            <w:shd w:val="clear" w:color="000000" w:fill="FFFFFF"/>
            <w:noWrap/>
            <w:vAlign w:val="center"/>
            <w:hideMark/>
          </w:tcPr>
          <w:p w14:paraId="5FCBFA0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571</w:t>
            </w:r>
          </w:p>
        </w:tc>
        <w:tc>
          <w:tcPr>
            <w:tcW w:w="586" w:type="dxa"/>
            <w:tcBorders>
              <w:top w:val="nil"/>
              <w:left w:val="nil"/>
              <w:bottom w:val="single" w:sz="8" w:space="0" w:color="DCDDDE"/>
              <w:right w:val="nil"/>
            </w:tcBorders>
            <w:shd w:val="clear" w:color="000000" w:fill="FFFFFF"/>
            <w:noWrap/>
            <w:vAlign w:val="center"/>
            <w:hideMark/>
          </w:tcPr>
          <w:p w14:paraId="2F4408D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588</w:t>
            </w:r>
          </w:p>
        </w:tc>
        <w:tc>
          <w:tcPr>
            <w:tcW w:w="586" w:type="dxa"/>
            <w:tcBorders>
              <w:top w:val="nil"/>
              <w:left w:val="nil"/>
              <w:bottom w:val="single" w:sz="8" w:space="0" w:color="DCDDDE"/>
              <w:right w:val="nil"/>
            </w:tcBorders>
            <w:shd w:val="clear" w:color="000000" w:fill="FFFFFF"/>
            <w:noWrap/>
            <w:vAlign w:val="center"/>
            <w:hideMark/>
          </w:tcPr>
          <w:p w14:paraId="60148E6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607</w:t>
            </w:r>
          </w:p>
        </w:tc>
        <w:tc>
          <w:tcPr>
            <w:tcW w:w="586" w:type="dxa"/>
            <w:tcBorders>
              <w:top w:val="nil"/>
              <w:left w:val="nil"/>
              <w:bottom w:val="single" w:sz="8" w:space="0" w:color="DCDDDE"/>
              <w:right w:val="nil"/>
            </w:tcBorders>
            <w:shd w:val="clear" w:color="000000" w:fill="FFFFFF"/>
            <w:noWrap/>
            <w:vAlign w:val="center"/>
            <w:hideMark/>
          </w:tcPr>
          <w:p w14:paraId="0FA6EA6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625</w:t>
            </w:r>
          </w:p>
        </w:tc>
        <w:tc>
          <w:tcPr>
            <w:tcW w:w="586" w:type="dxa"/>
            <w:tcBorders>
              <w:top w:val="nil"/>
              <w:left w:val="nil"/>
              <w:bottom w:val="single" w:sz="8" w:space="0" w:color="DCDDDE"/>
              <w:right w:val="nil"/>
            </w:tcBorders>
            <w:shd w:val="clear" w:color="000000" w:fill="FFFFFF"/>
            <w:noWrap/>
            <w:vAlign w:val="center"/>
            <w:hideMark/>
          </w:tcPr>
          <w:p w14:paraId="117ADF4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646</w:t>
            </w:r>
          </w:p>
        </w:tc>
        <w:tc>
          <w:tcPr>
            <w:tcW w:w="586" w:type="dxa"/>
            <w:tcBorders>
              <w:top w:val="nil"/>
              <w:left w:val="nil"/>
              <w:bottom w:val="single" w:sz="8" w:space="0" w:color="DCDDDE"/>
              <w:right w:val="nil"/>
            </w:tcBorders>
            <w:shd w:val="clear" w:color="000000" w:fill="FFFFFF"/>
            <w:noWrap/>
            <w:vAlign w:val="center"/>
            <w:hideMark/>
          </w:tcPr>
          <w:p w14:paraId="31D4CF0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653</w:t>
            </w:r>
          </w:p>
        </w:tc>
      </w:tr>
      <w:tr w:rsidR="00490035" w:rsidRPr="00490035" w14:paraId="092D020B"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0F37CFB5"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C&amp;S*</w:t>
            </w:r>
          </w:p>
        </w:tc>
        <w:tc>
          <w:tcPr>
            <w:tcW w:w="586" w:type="dxa"/>
            <w:tcBorders>
              <w:top w:val="nil"/>
              <w:left w:val="nil"/>
              <w:bottom w:val="single" w:sz="8" w:space="0" w:color="DCDDDE"/>
              <w:right w:val="nil"/>
            </w:tcBorders>
            <w:shd w:val="clear" w:color="000000" w:fill="FFFFFF"/>
            <w:noWrap/>
            <w:vAlign w:val="center"/>
            <w:hideMark/>
          </w:tcPr>
          <w:p w14:paraId="6B2802D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552</w:t>
            </w:r>
          </w:p>
        </w:tc>
        <w:tc>
          <w:tcPr>
            <w:tcW w:w="586" w:type="dxa"/>
            <w:tcBorders>
              <w:top w:val="nil"/>
              <w:left w:val="nil"/>
              <w:bottom w:val="single" w:sz="8" w:space="0" w:color="DCDDDE"/>
              <w:right w:val="nil"/>
            </w:tcBorders>
            <w:shd w:val="clear" w:color="000000" w:fill="FFFFFF"/>
            <w:noWrap/>
            <w:vAlign w:val="center"/>
            <w:hideMark/>
          </w:tcPr>
          <w:p w14:paraId="79027CE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572</w:t>
            </w:r>
          </w:p>
        </w:tc>
        <w:tc>
          <w:tcPr>
            <w:tcW w:w="586" w:type="dxa"/>
            <w:tcBorders>
              <w:top w:val="nil"/>
              <w:left w:val="nil"/>
              <w:bottom w:val="single" w:sz="8" w:space="0" w:color="DCDDDE"/>
              <w:right w:val="nil"/>
            </w:tcBorders>
            <w:shd w:val="clear" w:color="000000" w:fill="FFFFFF"/>
            <w:noWrap/>
            <w:vAlign w:val="center"/>
            <w:hideMark/>
          </w:tcPr>
          <w:p w14:paraId="6F7F633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577</w:t>
            </w:r>
          </w:p>
        </w:tc>
        <w:tc>
          <w:tcPr>
            <w:tcW w:w="586" w:type="dxa"/>
            <w:tcBorders>
              <w:top w:val="nil"/>
              <w:left w:val="nil"/>
              <w:bottom w:val="single" w:sz="8" w:space="0" w:color="DCDDDE"/>
              <w:right w:val="nil"/>
            </w:tcBorders>
            <w:shd w:val="clear" w:color="000000" w:fill="FFFFFF"/>
            <w:noWrap/>
            <w:vAlign w:val="center"/>
            <w:hideMark/>
          </w:tcPr>
          <w:p w14:paraId="050D399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594</w:t>
            </w:r>
          </w:p>
        </w:tc>
        <w:tc>
          <w:tcPr>
            <w:tcW w:w="586" w:type="dxa"/>
            <w:tcBorders>
              <w:top w:val="nil"/>
              <w:left w:val="nil"/>
              <w:bottom w:val="single" w:sz="8" w:space="0" w:color="DCDDDE"/>
              <w:right w:val="nil"/>
            </w:tcBorders>
            <w:shd w:val="clear" w:color="000000" w:fill="FFFFFF"/>
            <w:noWrap/>
            <w:vAlign w:val="center"/>
            <w:hideMark/>
          </w:tcPr>
          <w:p w14:paraId="6766901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578</w:t>
            </w:r>
          </w:p>
        </w:tc>
        <w:tc>
          <w:tcPr>
            <w:tcW w:w="586" w:type="dxa"/>
            <w:tcBorders>
              <w:top w:val="nil"/>
              <w:left w:val="nil"/>
              <w:bottom w:val="single" w:sz="8" w:space="0" w:color="DCDDDE"/>
              <w:right w:val="nil"/>
            </w:tcBorders>
            <w:shd w:val="clear" w:color="000000" w:fill="FFFFFF"/>
            <w:noWrap/>
            <w:vAlign w:val="center"/>
            <w:hideMark/>
          </w:tcPr>
          <w:p w14:paraId="64B2E4C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640</w:t>
            </w:r>
          </w:p>
        </w:tc>
        <w:tc>
          <w:tcPr>
            <w:tcW w:w="586" w:type="dxa"/>
            <w:tcBorders>
              <w:top w:val="nil"/>
              <w:left w:val="nil"/>
              <w:bottom w:val="single" w:sz="8" w:space="0" w:color="DCDDDE"/>
              <w:right w:val="nil"/>
            </w:tcBorders>
            <w:shd w:val="clear" w:color="000000" w:fill="FFFFFF"/>
            <w:noWrap/>
            <w:vAlign w:val="center"/>
            <w:hideMark/>
          </w:tcPr>
          <w:p w14:paraId="3E005E8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613</w:t>
            </w:r>
          </w:p>
        </w:tc>
        <w:tc>
          <w:tcPr>
            <w:tcW w:w="586" w:type="dxa"/>
            <w:tcBorders>
              <w:top w:val="nil"/>
              <w:left w:val="nil"/>
              <w:bottom w:val="single" w:sz="8" w:space="0" w:color="DCDDDE"/>
              <w:right w:val="nil"/>
            </w:tcBorders>
            <w:shd w:val="clear" w:color="000000" w:fill="FFFFFF"/>
            <w:noWrap/>
            <w:vAlign w:val="center"/>
            <w:hideMark/>
          </w:tcPr>
          <w:p w14:paraId="2F36EA3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591</w:t>
            </w:r>
          </w:p>
        </w:tc>
        <w:tc>
          <w:tcPr>
            <w:tcW w:w="586" w:type="dxa"/>
            <w:tcBorders>
              <w:top w:val="nil"/>
              <w:left w:val="nil"/>
              <w:bottom w:val="single" w:sz="8" w:space="0" w:color="DCDDDE"/>
              <w:right w:val="nil"/>
            </w:tcBorders>
            <w:shd w:val="clear" w:color="000000" w:fill="FFFFFF"/>
            <w:noWrap/>
            <w:vAlign w:val="center"/>
            <w:hideMark/>
          </w:tcPr>
          <w:p w14:paraId="68C2ED0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554</w:t>
            </w:r>
          </w:p>
        </w:tc>
        <w:tc>
          <w:tcPr>
            <w:tcW w:w="586" w:type="dxa"/>
            <w:tcBorders>
              <w:top w:val="nil"/>
              <w:left w:val="nil"/>
              <w:bottom w:val="single" w:sz="8" w:space="0" w:color="DCDDDE"/>
              <w:right w:val="nil"/>
            </w:tcBorders>
            <w:shd w:val="clear" w:color="000000" w:fill="FFFFFF"/>
            <w:noWrap/>
            <w:vAlign w:val="center"/>
            <w:hideMark/>
          </w:tcPr>
          <w:p w14:paraId="190D261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534</w:t>
            </w:r>
          </w:p>
        </w:tc>
        <w:tc>
          <w:tcPr>
            <w:tcW w:w="586" w:type="dxa"/>
            <w:tcBorders>
              <w:top w:val="nil"/>
              <w:left w:val="nil"/>
              <w:bottom w:val="single" w:sz="8" w:space="0" w:color="DCDDDE"/>
              <w:right w:val="nil"/>
            </w:tcBorders>
            <w:shd w:val="clear" w:color="000000" w:fill="FFFFFF"/>
            <w:noWrap/>
            <w:vAlign w:val="center"/>
            <w:hideMark/>
          </w:tcPr>
          <w:p w14:paraId="287A87A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486</w:t>
            </w:r>
          </w:p>
        </w:tc>
        <w:tc>
          <w:tcPr>
            <w:tcW w:w="586" w:type="dxa"/>
            <w:tcBorders>
              <w:top w:val="nil"/>
              <w:left w:val="nil"/>
              <w:bottom w:val="single" w:sz="8" w:space="0" w:color="DCDDDE"/>
              <w:right w:val="nil"/>
            </w:tcBorders>
            <w:shd w:val="clear" w:color="000000" w:fill="FFFFFF"/>
            <w:noWrap/>
            <w:vAlign w:val="center"/>
            <w:hideMark/>
          </w:tcPr>
          <w:p w14:paraId="7FB23EC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440</w:t>
            </w:r>
          </w:p>
        </w:tc>
        <w:tc>
          <w:tcPr>
            <w:tcW w:w="586" w:type="dxa"/>
            <w:tcBorders>
              <w:top w:val="nil"/>
              <w:left w:val="nil"/>
              <w:bottom w:val="single" w:sz="8" w:space="0" w:color="DCDDDE"/>
              <w:right w:val="nil"/>
            </w:tcBorders>
            <w:shd w:val="clear" w:color="000000" w:fill="FFFFFF"/>
            <w:noWrap/>
            <w:vAlign w:val="center"/>
            <w:hideMark/>
          </w:tcPr>
          <w:p w14:paraId="741FF5F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393</w:t>
            </w:r>
          </w:p>
        </w:tc>
      </w:tr>
      <w:tr w:rsidR="00490035" w:rsidRPr="00490035" w14:paraId="30A17487"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1EB421B6"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Total</w:t>
            </w:r>
          </w:p>
        </w:tc>
        <w:tc>
          <w:tcPr>
            <w:tcW w:w="586" w:type="dxa"/>
            <w:tcBorders>
              <w:top w:val="nil"/>
              <w:left w:val="nil"/>
              <w:bottom w:val="single" w:sz="8" w:space="0" w:color="DCDDDE"/>
              <w:right w:val="nil"/>
            </w:tcBorders>
            <w:shd w:val="clear" w:color="000000" w:fill="FFFFFF"/>
            <w:noWrap/>
            <w:vAlign w:val="center"/>
            <w:hideMark/>
          </w:tcPr>
          <w:p w14:paraId="7F7E020E"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956</w:t>
            </w:r>
          </w:p>
        </w:tc>
        <w:tc>
          <w:tcPr>
            <w:tcW w:w="586" w:type="dxa"/>
            <w:tcBorders>
              <w:top w:val="nil"/>
              <w:left w:val="nil"/>
              <w:bottom w:val="single" w:sz="8" w:space="0" w:color="DCDDDE"/>
              <w:right w:val="nil"/>
            </w:tcBorders>
            <w:shd w:val="clear" w:color="000000" w:fill="FFFFFF"/>
            <w:noWrap/>
            <w:vAlign w:val="center"/>
            <w:hideMark/>
          </w:tcPr>
          <w:p w14:paraId="2021C31B"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1,011</w:t>
            </w:r>
          </w:p>
        </w:tc>
        <w:tc>
          <w:tcPr>
            <w:tcW w:w="586" w:type="dxa"/>
            <w:tcBorders>
              <w:top w:val="nil"/>
              <w:left w:val="nil"/>
              <w:bottom w:val="single" w:sz="8" w:space="0" w:color="DCDDDE"/>
              <w:right w:val="nil"/>
            </w:tcBorders>
            <w:shd w:val="clear" w:color="000000" w:fill="FFFFFF"/>
            <w:noWrap/>
            <w:vAlign w:val="center"/>
            <w:hideMark/>
          </w:tcPr>
          <w:p w14:paraId="4A46AB9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1,018</w:t>
            </w:r>
          </w:p>
        </w:tc>
        <w:tc>
          <w:tcPr>
            <w:tcW w:w="586" w:type="dxa"/>
            <w:tcBorders>
              <w:top w:val="nil"/>
              <w:left w:val="nil"/>
              <w:bottom w:val="single" w:sz="8" w:space="0" w:color="DCDDDE"/>
              <w:right w:val="nil"/>
            </w:tcBorders>
            <w:shd w:val="clear" w:color="000000" w:fill="FFFFFF"/>
            <w:noWrap/>
            <w:vAlign w:val="center"/>
            <w:hideMark/>
          </w:tcPr>
          <w:p w14:paraId="14309B77"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1,060</w:t>
            </w:r>
          </w:p>
        </w:tc>
        <w:tc>
          <w:tcPr>
            <w:tcW w:w="586" w:type="dxa"/>
            <w:tcBorders>
              <w:top w:val="nil"/>
              <w:left w:val="nil"/>
              <w:bottom w:val="single" w:sz="8" w:space="0" w:color="DCDDDE"/>
              <w:right w:val="nil"/>
            </w:tcBorders>
            <w:shd w:val="clear" w:color="000000" w:fill="FFFFFF"/>
            <w:noWrap/>
            <w:vAlign w:val="center"/>
            <w:hideMark/>
          </w:tcPr>
          <w:p w14:paraId="27C8EA2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1,063</w:t>
            </w:r>
          </w:p>
        </w:tc>
        <w:tc>
          <w:tcPr>
            <w:tcW w:w="586" w:type="dxa"/>
            <w:tcBorders>
              <w:top w:val="nil"/>
              <w:left w:val="nil"/>
              <w:bottom w:val="single" w:sz="8" w:space="0" w:color="DCDDDE"/>
              <w:right w:val="nil"/>
            </w:tcBorders>
            <w:shd w:val="clear" w:color="000000" w:fill="FFFFFF"/>
            <w:noWrap/>
            <w:vAlign w:val="center"/>
            <w:hideMark/>
          </w:tcPr>
          <w:p w14:paraId="61CB2C9C"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1,152</w:t>
            </w:r>
          </w:p>
        </w:tc>
        <w:tc>
          <w:tcPr>
            <w:tcW w:w="586" w:type="dxa"/>
            <w:tcBorders>
              <w:top w:val="nil"/>
              <w:left w:val="nil"/>
              <w:bottom w:val="single" w:sz="8" w:space="0" w:color="DCDDDE"/>
              <w:right w:val="nil"/>
            </w:tcBorders>
            <w:shd w:val="clear" w:color="000000" w:fill="FFFFFF"/>
            <w:noWrap/>
            <w:vAlign w:val="center"/>
            <w:hideMark/>
          </w:tcPr>
          <w:p w14:paraId="4A7B4C17"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1,164</w:t>
            </w:r>
          </w:p>
        </w:tc>
        <w:tc>
          <w:tcPr>
            <w:tcW w:w="586" w:type="dxa"/>
            <w:tcBorders>
              <w:top w:val="nil"/>
              <w:left w:val="nil"/>
              <w:bottom w:val="single" w:sz="8" w:space="0" w:color="DCDDDE"/>
              <w:right w:val="nil"/>
            </w:tcBorders>
            <w:shd w:val="clear" w:color="000000" w:fill="FFFFFF"/>
            <w:noWrap/>
            <w:vAlign w:val="center"/>
            <w:hideMark/>
          </w:tcPr>
          <w:p w14:paraId="7722EC03"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1,162</w:t>
            </w:r>
          </w:p>
        </w:tc>
        <w:tc>
          <w:tcPr>
            <w:tcW w:w="586" w:type="dxa"/>
            <w:tcBorders>
              <w:top w:val="nil"/>
              <w:left w:val="nil"/>
              <w:bottom w:val="single" w:sz="8" w:space="0" w:color="DCDDDE"/>
              <w:right w:val="nil"/>
            </w:tcBorders>
            <w:shd w:val="clear" w:color="000000" w:fill="FFFFFF"/>
            <w:noWrap/>
            <w:vAlign w:val="center"/>
            <w:hideMark/>
          </w:tcPr>
          <w:p w14:paraId="11C5313E"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1,142</w:t>
            </w:r>
          </w:p>
        </w:tc>
        <w:tc>
          <w:tcPr>
            <w:tcW w:w="586" w:type="dxa"/>
            <w:tcBorders>
              <w:top w:val="nil"/>
              <w:left w:val="nil"/>
              <w:bottom w:val="single" w:sz="8" w:space="0" w:color="DCDDDE"/>
              <w:right w:val="nil"/>
            </w:tcBorders>
            <w:shd w:val="clear" w:color="000000" w:fill="FFFFFF"/>
            <w:noWrap/>
            <w:vAlign w:val="center"/>
            <w:hideMark/>
          </w:tcPr>
          <w:p w14:paraId="54FEDEA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1,141</w:t>
            </w:r>
          </w:p>
        </w:tc>
        <w:tc>
          <w:tcPr>
            <w:tcW w:w="586" w:type="dxa"/>
            <w:tcBorders>
              <w:top w:val="nil"/>
              <w:left w:val="nil"/>
              <w:bottom w:val="single" w:sz="8" w:space="0" w:color="DCDDDE"/>
              <w:right w:val="nil"/>
            </w:tcBorders>
            <w:shd w:val="clear" w:color="000000" w:fill="FFFFFF"/>
            <w:noWrap/>
            <w:vAlign w:val="center"/>
            <w:hideMark/>
          </w:tcPr>
          <w:p w14:paraId="50AFAECA"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1,110</w:t>
            </w:r>
          </w:p>
        </w:tc>
        <w:tc>
          <w:tcPr>
            <w:tcW w:w="586" w:type="dxa"/>
            <w:tcBorders>
              <w:top w:val="nil"/>
              <w:left w:val="nil"/>
              <w:bottom w:val="single" w:sz="8" w:space="0" w:color="DCDDDE"/>
              <w:right w:val="nil"/>
            </w:tcBorders>
            <w:shd w:val="clear" w:color="000000" w:fill="FFFFFF"/>
            <w:noWrap/>
            <w:vAlign w:val="center"/>
            <w:hideMark/>
          </w:tcPr>
          <w:p w14:paraId="7ED14F39"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1,085</w:t>
            </w:r>
          </w:p>
        </w:tc>
        <w:tc>
          <w:tcPr>
            <w:tcW w:w="586" w:type="dxa"/>
            <w:tcBorders>
              <w:top w:val="nil"/>
              <w:left w:val="nil"/>
              <w:bottom w:val="single" w:sz="8" w:space="0" w:color="DCDDDE"/>
              <w:right w:val="nil"/>
            </w:tcBorders>
            <w:shd w:val="clear" w:color="000000" w:fill="FFFFFF"/>
            <w:noWrap/>
            <w:vAlign w:val="center"/>
            <w:hideMark/>
          </w:tcPr>
          <w:p w14:paraId="3ED947BA"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1,046</w:t>
            </w:r>
          </w:p>
        </w:tc>
      </w:tr>
      <w:tr w:rsidR="00490035" w:rsidRPr="00490035" w14:paraId="486E577F" w14:textId="77777777" w:rsidTr="002A760B">
        <w:trPr>
          <w:trHeight w:val="315"/>
          <w:jc w:val="center"/>
        </w:trPr>
        <w:tc>
          <w:tcPr>
            <w:tcW w:w="8597" w:type="dxa"/>
            <w:gridSpan w:val="14"/>
            <w:tcBorders>
              <w:top w:val="single" w:sz="8" w:space="0" w:color="DCDDDE"/>
              <w:left w:val="nil"/>
              <w:bottom w:val="single" w:sz="8" w:space="0" w:color="DCDDDE"/>
              <w:right w:val="nil"/>
            </w:tcBorders>
            <w:shd w:val="clear" w:color="000000" w:fill="DADADA"/>
            <w:noWrap/>
            <w:vAlign w:val="center"/>
            <w:hideMark/>
          </w:tcPr>
          <w:p w14:paraId="3D001D3C"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mTRC (GHG adder 2) | Reference</w:t>
            </w:r>
          </w:p>
        </w:tc>
      </w:tr>
      <w:tr w:rsidR="00490035" w:rsidRPr="00490035" w14:paraId="43A4F871" w14:textId="77777777" w:rsidTr="002A760B">
        <w:trPr>
          <w:trHeight w:val="555"/>
          <w:jc w:val="center"/>
        </w:trPr>
        <w:tc>
          <w:tcPr>
            <w:tcW w:w="979" w:type="dxa"/>
            <w:tcBorders>
              <w:top w:val="nil"/>
              <w:left w:val="nil"/>
              <w:bottom w:val="single" w:sz="8" w:space="0" w:color="DCDDDE"/>
              <w:right w:val="nil"/>
            </w:tcBorders>
            <w:shd w:val="clear" w:color="000000" w:fill="FFFFFF"/>
            <w:vAlign w:val="center"/>
            <w:hideMark/>
          </w:tcPr>
          <w:p w14:paraId="4C1F6EAA"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86" w:type="dxa"/>
            <w:tcBorders>
              <w:top w:val="nil"/>
              <w:left w:val="nil"/>
              <w:bottom w:val="single" w:sz="8" w:space="0" w:color="DCDDDE"/>
              <w:right w:val="nil"/>
            </w:tcBorders>
            <w:shd w:val="clear" w:color="000000" w:fill="FFFFFF"/>
            <w:noWrap/>
            <w:vAlign w:val="center"/>
            <w:hideMark/>
          </w:tcPr>
          <w:p w14:paraId="6CE54D3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315</w:t>
            </w:r>
          </w:p>
        </w:tc>
        <w:tc>
          <w:tcPr>
            <w:tcW w:w="586" w:type="dxa"/>
            <w:tcBorders>
              <w:top w:val="nil"/>
              <w:left w:val="nil"/>
              <w:bottom w:val="single" w:sz="8" w:space="0" w:color="DCDDDE"/>
              <w:right w:val="nil"/>
            </w:tcBorders>
            <w:shd w:val="clear" w:color="000000" w:fill="FFFFFF"/>
            <w:noWrap/>
            <w:vAlign w:val="center"/>
            <w:hideMark/>
          </w:tcPr>
          <w:p w14:paraId="33CF3E0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333</w:t>
            </w:r>
          </w:p>
        </w:tc>
        <w:tc>
          <w:tcPr>
            <w:tcW w:w="586" w:type="dxa"/>
            <w:tcBorders>
              <w:top w:val="nil"/>
              <w:left w:val="nil"/>
              <w:bottom w:val="single" w:sz="8" w:space="0" w:color="DCDDDE"/>
              <w:right w:val="nil"/>
            </w:tcBorders>
            <w:shd w:val="clear" w:color="000000" w:fill="FFFFFF"/>
            <w:noWrap/>
            <w:vAlign w:val="center"/>
            <w:hideMark/>
          </w:tcPr>
          <w:p w14:paraId="308C25E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328</w:t>
            </w:r>
          </w:p>
        </w:tc>
        <w:tc>
          <w:tcPr>
            <w:tcW w:w="586" w:type="dxa"/>
            <w:tcBorders>
              <w:top w:val="nil"/>
              <w:left w:val="nil"/>
              <w:bottom w:val="single" w:sz="8" w:space="0" w:color="DCDDDE"/>
              <w:right w:val="nil"/>
            </w:tcBorders>
            <w:shd w:val="clear" w:color="000000" w:fill="FFFFFF"/>
            <w:noWrap/>
            <w:vAlign w:val="center"/>
            <w:hideMark/>
          </w:tcPr>
          <w:p w14:paraId="0B96FD1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372</w:t>
            </w:r>
          </w:p>
        </w:tc>
        <w:tc>
          <w:tcPr>
            <w:tcW w:w="586" w:type="dxa"/>
            <w:tcBorders>
              <w:top w:val="nil"/>
              <w:left w:val="nil"/>
              <w:bottom w:val="single" w:sz="8" w:space="0" w:color="DCDDDE"/>
              <w:right w:val="nil"/>
            </w:tcBorders>
            <w:shd w:val="clear" w:color="000000" w:fill="FFFFFF"/>
            <w:noWrap/>
            <w:vAlign w:val="center"/>
            <w:hideMark/>
          </w:tcPr>
          <w:p w14:paraId="3A77291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383</w:t>
            </w:r>
          </w:p>
        </w:tc>
        <w:tc>
          <w:tcPr>
            <w:tcW w:w="586" w:type="dxa"/>
            <w:tcBorders>
              <w:top w:val="nil"/>
              <w:left w:val="nil"/>
              <w:bottom w:val="single" w:sz="8" w:space="0" w:color="DCDDDE"/>
              <w:right w:val="nil"/>
            </w:tcBorders>
            <w:shd w:val="clear" w:color="000000" w:fill="FFFFFF"/>
            <w:noWrap/>
            <w:vAlign w:val="center"/>
            <w:hideMark/>
          </w:tcPr>
          <w:p w14:paraId="08709F9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408</w:t>
            </w:r>
          </w:p>
        </w:tc>
        <w:tc>
          <w:tcPr>
            <w:tcW w:w="586" w:type="dxa"/>
            <w:tcBorders>
              <w:top w:val="nil"/>
              <w:left w:val="nil"/>
              <w:bottom w:val="single" w:sz="8" w:space="0" w:color="DCDDDE"/>
              <w:right w:val="nil"/>
            </w:tcBorders>
            <w:shd w:val="clear" w:color="000000" w:fill="FFFFFF"/>
            <w:noWrap/>
            <w:vAlign w:val="center"/>
            <w:hideMark/>
          </w:tcPr>
          <w:p w14:paraId="63A63E5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425</w:t>
            </w:r>
          </w:p>
        </w:tc>
        <w:tc>
          <w:tcPr>
            <w:tcW w:w="586" w:type="dxa"/>
            <w:tcBorders>
              <w:top w:val="nil"/>
              <w:left w:val="nil"/>
              <w:bottom w:val="single" w:sz="8" w:space="0" w:color="DCDDDE"/>
              <w:right w:val="nil"/>
            </w:tcBorders>
            <w:shd w:val="clear" w:color="000000" w:fill="FFFFFF"/>
            <w:noWrap/>
            <w:vAlign w:val="center"/>
            <w:hideMark/>
          </w:tcPr>
          <w:p w14:paraId="7BB2601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430</w:t>
            </w:r>
          </w:p>
        </w:tc>
        <w:tc>
          <w:tcPr>
            <w:tcW w:w="586" w:type="dxa"/>
            <w:tcBorders>
              <w:top w:val="nil"/>
              <w:left w:val="nil"/>
              <w:bottom w:val="single" w:sz="8" w:space="0" w:color="DCDDDE"/>
              <w:right w:val="nil"/>
            </w:tcBorders>
            <w:shd w:val="clear" w:color="000000" w:fill="FFFFFF"/>
            <w:noWrap/>
            <w:vAlign w:val="center"/>
            <w:hideMark/>
          </w:tcPr>
          <w:p w14:paraId="051CBC4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431</w:t>
            </w:r>
          </w:p>
        </w:tc>
        <w:tc>
          <w:tcPr>
            <w:tcW w:w="586" w:type="dxa"/>
            <w:tcBorders>
              <w:top w:val="nil"/>
              <w:left w:val="nil"/>
              <w:bottom w:val="single" w:sz="8" w:space="0" w:color="DCDDDE"/>
              <w:right w:val="nil"/>
            </w:tcBorders>
            <w:shd w:val="clear" w:color="000000" w:fill="FFFFFF"/>
            <w:noWrap/>
            <w:vAlign w:val="center"/>
            <w:hideMark/>
          </w:tcPr>
          <w:p w14:paraId="3A6ECD2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435</w:t>
            </w:r>
          </w:p>
        </w:tc>
        <w:tc>
          <w:tcPr>
            <w:tcW w:w="586" w:type="dxa"/>
            <w:tcBorders>
              <w:top w:val="nil"/>
              <w:left w:val="nil"/>
              <w:bottom w:val="single" w:sz="8" w:space="0" w:color="DCDDDE"/>
              <w:right w:val="nil"/>
            </w:tcBorders>
            <w:shd w:val="clear" w:color="000000" w:fill="FFFFFF"/>
            <w:noWrap/>
            <w:vAlign w:val="center"/>
            <w:hideMark/>
          </w:tcPr>
          <w:p w14:paraId="47C0115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442</w:t>
            </w:r>
          </w:p>
        </w:tc>
        <w:tc>
          <w:tcPr>
            <w:tcW w:w="586" w:type="dxa"/>
            <w:tcBorders>
              <w:top w:val="nil"/>
              <w:left w:val="nil"/>
              <w:bottom w:val="single" w:sz="8" w:space="0" w:color="DCDDDE"/>
              <w:right w:val="nil"/>
            </w:tcBorders>
            <w:shd w:val="clear" w:color="000000" w:fill="FFFFFF"/>
            <w:noWrap/>
            <w:vAlign w:val="center"/>
            <w:hideMark/>
          </w:tcPr>
          <w:p w14:paraId="2E66838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441</w:t>
            </w:r>
          </w:p>
        </w:tc>
        <w:tc>
          <w:tcPr>
            <w:tcW w:w="586" w:type="dxa"/>
            <w:tcBorders>
              <w:top w:val="nil"/>
              <w:left w:val="nil"/>
              <w:bottom w:val="single" w:sz="8" w:space="0" w:color="DCDDDE"/>
              <w:right w:val="nil"/>
            </w:tcBorders>
            <w:shd w:val="clear" w:color="000000" w:fill="FFFFFF"/>
            <w:noWrap/>
            <w:vAlign w:val="center"/>
            <w:hideMark/>
          </w:tcPr>
          <w:p w14:paraId="2DD0F07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437</w:t>
            </w:r>
          </w:p>
        </w:tc>
      </w:tr>
      <w:tr w:rsidR="00490035" w:rsidRPr="00490035" w14:paraId="42BE289A"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2ADBD547"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BROs</w:t>
            </w:r>
          </w:p>
        </w:tc>
        <w:tc>
          <w:tcPr>
            <w:tcW w:w="586" w:type="dxa"/>
            <w:tcBorders>
              <w:top w:val="nil"/>
              <w:left w:val="nil"/>
              <w:bottom w:val="single" w:sz="8" w:space="0" w:color="DCDDDE"/>
              <w:right w:val="nil"/>
            </w:tcBorders>
            <w:shd w:val="clear" w:color="000000" w:fill="FFFFFF"/>
            <w:noWrap/>
            <w:vAlign w:val="center"/>
            <w:hideMark/>
          </w:tcPr>
          <w:p w14:paraId="4E91D08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74</w:t>
            </w:r>
          </w:p>
        </w:tc>
        <w:tc>
          <w:tcPr>
            <w:tcW w:w="586" w:type="dxa"/>
            <w:tcBorders>
              <w:top w:val="nil"/>
              <w:left w:val="nil"/>
              <w:bottom w:val="single" w:sz="8" w:space="0" w:color="DCDDDE"/>
              <w:right w:val="nil"/>
            </w:tcBorders>
            <w:shd w:val="clear" w:color="000000" w:fill="FFFFFF"/>
            <w:noWrap/>
            <w:vAlign w:val="center"/>
            <w:hideMark/>
          </w:tcPr>
          <w:p w14:paraId="4AFA56D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90</w:t>
            </w:r>
          </w:p>
        </w:tc>
        <w:tc>
          <w:tcPr>
            <w:tcW w:w="586" w:type="dxa"/>
            <w:tcBorders>
              <w:top w:val="nil"/>
              <w:left w:val="nil"/>
              <w:bottom w:val="single" w:sz="8" w:space="0" w:color="DCDDDE"/>
              <w:right w:val="nil"/>
            </w:tcBorders>
            <w:shd w:val="clear" w:color="000000" w:fill="FFFFFF"/>
            <w:noWrap/>
            <w:vAlign w:val="center"/>
            <w:hideMark/>
          </w:tcPr>
          <w:p w14:paraId="00E230A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101</w:t>
            </w:r>
          </w:p>
        </w:tc>
        <w:tc>
          <w:tcPr>
            <w:tcW w:w="586" w:type="dxa"/>
            <w:tcBorders>
              <w:top w:val="nil"/>
              <w:left w:val="nil"/>
              <w:bottom w:val="single" w:sz="8" w:space="0" w:color="DCDDDE"/>
              <w:right w:val="nil"/>
            </w:tcBorders>
            <w:shd w:val="clear" w:color="000000" w:fill="FFFFFF"/>
            <w:noWrap/>
            <w:vAlign w:val="center"/>
            <w:hideMark/>
          </w:tcPr>
          <w:p w14:paraId="00703EA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113</w:t>
            </w:r>
          </w:p>
        </w:tc>
        <w:tc>
          <w:tcPr>
            <w:tcW w:w="586" w:type="dxa"/>
            <w:tcBorders>
              <w:top w:val="nil"/>
              <w:left w:val="nil"/>
              <w:bottom w:val="single" w:sz="8" w:space="0" w:color="DCDDDE"/>
              <w:right w:val="nil"/>
            </w:tcBorders>
            <w:shd w:val="clear" w:color="000000" w:fill="FFFFFF"/>
            <w:noWrap/>
            <w:vAlign w:val="center"/>
            <w:hideMark/>
          </w:tcPr>
          <w:p w14:paraId="6D20159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124</w:t>
            </w:r>
          </w:p>
        </w:tc>
        <w:tc>
          <w:tcPr>
            <w:tcW w:w="586" w:type="dxa"/>
            <w:tcBorders>
              <w:top w:val="nil"/>
              <w:left w:val="nil"/>
              <w:bottom w:val="single" w:sz="8" w:space="0" w:color="DCDDDE"/>
              <w:right w:val="nil"/>
            </w:tcBorders>
            <w:shd w:val="clear" w:color="000000" w:fill="FFFFFF"/>
            <w:noWrap/>
            <w:vAlign w:val="center"/>
            <w:hideMark/>
          </w:tcPr>
          <w:p w14:paraId="02E8F21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134</w:t>
            </w:r>
          </w:p>
        </w:tc>
        <w:tc>
          <w:tcPr>
            <w:tcW w:w="586" w:type="dxa"/>
            <w:tcBorders>
              <w:top w:val="nil"/>
              <w:left w:val="nil"/>
              <w:bottom w:val="single" w:sz="8" w:space="0" w:color="DCDDDE"/>
              <w:right w:val="nil"/>
            </w:tcBorders>
            <w:shd w:val="clear" w:color="000000" w:fill="FFFFFF"/>
            <w:noWrap/>
            <w:vAlign w:val="center"/>
            <w:hideMark/>
          </w:tcPr>
          <w:p w14:paraId="3D9B6E4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146</w:t>
            </w:r>
          </w:p>
        </w:tc>
        <w:tc>
          <w:tcPr>
            <w:tcW w:w="586" w:type="dxa"/>
            <w:tcBorders>
              <w:top w:val="nil"/>
              <w:left w:val="nil"/>
              <w:bottom w:val="single" w:sz="8" w:space="0" w:color="DCDDDE"/>
              <w:right w:val="nil"/>
            </w:tcBorders>
            <w:shd w:val="clear" w:color="000000" w:fill="FFFFFF"/>
            <w:noWrap/>
            <w:vAlign w:val="center"/>
            <w:hideMark/>
          </w:tcPr>
          <w:p w14:paraId="0EE2C6E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161</w:t>
            </w:r>
          </w:p>
        </w:tc>
        <w:tc>
          <w:tcPr>
            <w:tcW w:w="586" w:type="dxa"/>
            <w:tcBorders>
              <w:top w:val="nil"/>
              <w:left w:val="nil"/>
              <w:bottom w:val="single" w:sz="8" w:space="0" w:color="DCDDDE"/>
              <w:right w:val="nil"/>
            </w:tcBorders>
            <w:shd w:val="clear" w:color="000000" w:fill="FFFFFF"/>
            <w:noWrap/>
            <w:vAlign w:val="center"/>
            <w:hideMark/>
          </w:tcPr>
          <w:p w14:paraId="2CF486D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174</w:t>
            </w:r>
          </w:p>
        </w:tc>
        <w:tc>
          <w:tcPr>
            <w:tcW w:w="586" w:type="dxa"/>
            <w:tcBorders>
              <w:top w:val="nil"/>
              <w:left w:val="nil"/>
              <w:bottom w:val="single" w:sz="8" w:space="0" w:color="DCDDDE"/>
              <w:right w:val="nil"/>
            </w:tcBorders>
            <w:shd w:val="clear" w:color="000000" w:fill="FFFFFF"/>
            <w:noWrap/>
            <w:vAlign w:val="center"/>
            <w:hideMark/>
          </w:tcPr>
          <w:p w14:paraId="3BE5F5E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188</w:t>
            </w:r>
          </w:p>
        </w:tc>
        <w:tc>
          <w:tcPr>
            <w:tcW w:w="586" w:type="dxa"/>
            <w:tcBorders>
              <w:top w:val="nil"/>
              <w:left w:val="nil"/>
              <w:bottom w:val="single" w:sz="8" w:space="0" w:color="DCDDDE"/>
              <w:right w:val="nil"/>
            </w:tcBorders>
            <w:shd w:val="clear" w:color="000000" w:fill="FFFFFF"/>
            <w:noWrap/>
            <w:vAlign w:val="center"/>
            <w:hideMark/>
          </w:tcPr>
          <w:p w14:paraId="00171B7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202</w:t>
            </w:r>
          </w:p>
        </w:tc>
        <w:tc>
          <w:tcPr>
            <w:tcW w:w="586" w:type="dxa"/>
            <w:tcBorders>
              <w:top w:val="nil"/>
              <w:left w:val="nil"/>
              <w:bottom w:val="single" w:sz="8" w:space="0" w:color="DCDDDE"/>
              <w:right w:val="nil"/>
            </w:tcBorders>
            <w:shd w:val="clear" w:color="000000" w:fill="FFFFFF"/>
            <w:noWrap/>
            <w:vAlign w:val="center"/>
            <w:hideMark/>
          </w:tcPr>
          <w:p w14:paraId="1185BD2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217</w:t>
            </w:r>
          </w:p>
        </w:tc>
        <w:tc>
          <w:tcPr>
            <w:tcW w:w="586" w:type="dxa"/>
            <w:tcBorders>
              <w:top w:val="nil"/>
              <w:left w:val="nil"/>
              <w:bottom w:val="single" w:sz="8" w:space="0" w:color="DCDDDE"/>
              <w:right w:val="nil"/>
            </w:tcBorders>
            <w:shd w:val="clear" w:color="000000" w:fill="FFFFFF"/>
            <w:noWrap/>
            <w:vAlign w:val="center"/>
            <w:hideMark/>
          </w:tcPr>
          <w:p w14:paraId="52B69D5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228</w:t>
            </w:r>
          </w:p>
        </w:tc>
      </w:tr>
      <w:tr w:rsidR="00490035" w:rsidRPr="00490035" w14:paraId="5260B4F4"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14286D18"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86" w:type="dxa"/>
            <w:tcBorders>
              <w:top w:val="nil"/>
              <w:left w:val="nil"/>
              <w:bottom w:val="single" w:sz="8" w:space="0" w:color="DCDDDE"/>
              <w:right w:val="nil"/>
            </w:tcBorders>
            <w:shd w:val="clear" w:color="000000" w:fill="FFFFFF"/>
            <w:noWrap/>
            <w:vAlign w:val="center"/>
            <w:hideMark/>
          </w:tcPr>
          <w:p w14:paraId="6DEE00B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21</w:t>
            </w:r>
          </w:p>
        </w:tc>
        <w:tc>
          <w:tcPr>
            <w:tcW w:w="586" w:type="dxa"/>
            <w:tcBorders>
              <w:top w:val="nil"/>
              <w:left w:val="nil"/>
              <w:bottom w:val="single" w:sz="8" w:space="0" w:color="DCDDDE"/>
              <w:right w:val="nil"/>
            </w:tcBorders>
            <w:shd w:val="clear" w:color="000000" w:fill="FFFFFF"/>
            <w:noWrap/>
            <w:vAlign w:val="center"/>
            <w:hideMark/>
          </w:tcPr>
          <w:p w14:paraId="5E9D715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w:t>
            </w:r>
          </w:p>
        </w:tc>
        <w:tc>
          <w:tcPr>
            <w:tcW w:w="586" w:type="dxa"/>
            <w:tcBorders>
              <w:top w:val="nil"/>
              <w:left w:val="nil"/>
              <w:bottom w:val="single" w:sz="8" w:space="0" w:color="DCDDDE"/>
              <w:right w:val="nil"/>
            </w:tcBorders>
            <w:shd w:val="clear" w:color="000000" w:fill="FFFFFF"/>
            <w:noWrap/>
            <w:vAlign w:val="center"/>
            <w:hideMark/>
          </w:tcPr>
          <w:p w14:paraId="5913391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w:t>
            </w:r>
          </w:p>
        </w:tc>
        <w:tc>
          <w:tcPr>
            <w:tcW w:w="586" w:type="dxa"/>
            <w:tcBorders>
              <w:top w:val="nil"/>
              <w:left w:val="nil"/>
              <w:bottom w:val="single" w:sz="8" w:space="0" w:color="DCDDDE"/>
              <w:right w:val="nil"/>
            </w:tcBorders>
            <w:shd w:val="clear" w:color="000000" w:fill="FFFFFF"/>
            <w:noWrap/>
            <w:vAlign w:val="center"/>
            <w:hideMark/>
          </w:tcPr>
          <w:p w14:paraId="51819FD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74DEB4D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1ECC172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16A15A5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471351E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4B3B1C9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35C55DE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6FAFF02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4B9C2F4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41CF8CF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r>
      <w:tr w:rsidR="00490035" w:rsidRPr="00490035" w14:paraId="680AAB86" w14:textId="77777777" w:rsidTr="002A760B">
        <w:trPr>
          <w:trHeight w:val="825"/>
          <w:jc w:val="center"/>
        </w:trPr>
        <w:tc>
          <w:tcPr>
            <w:tcW w:w="979" w:type="dxa"/>
            <w:tcBorders>
              <w:top w:val="nil"/>
              <w:left w:val="nil"/>
              <w:bottom w:val="single" w:sz="8" w:space="0" w:color="DCDDDE"/>
              <w:right w:val="nil"/>
            </w:tcBorders>
            <w:shd w:val="clear" w:color="000000" w:fill="FFFFFF"/>
            <w:vAlign w:val="center"/>
            <w:hideMark/>
          </w:tcPr>
          <w:p w14:paraId="630AD5D2"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86" w:type="dxa"/>
            <w:tcBorders>
              <w:top w:val="nil"/>
              <w:left w:val="nil"/>
              <w:bottom w:val="single" w:sz="8" w:space="0" w:color="DCDDDE"/>
              <w:right w:val="nil"/>
            </w:tcBorders>
            <w:shd w:val="clear" w:color="000000" w:fill="FFFFFF"/>
            <w:noWrap/>
            <w:vAlign w:val="center"/>
            <w:hideMark/>
          </w:tcPr>
          <w:p w14:paraId="31B9C9A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410</w:t>
            </w:r>
          </w:p>
        </w:tc>
        <w:tc>
          <w:tcPr>
            <w:tcW w:w="586" w:type="dxa"/>
            <w:tcBorders>
              <w:top w:val="nil"/>
              <w:left w:val="nil"/>
              <w:bottom w:val="single" w:sz="8" w:space="0" w:color="DCDDDE"/>
              <w:right w:val="nil"/>
            </w:tcBorders>
            <w:shd w:val="clear" w:color="000000" w:fill="FFFFFF"/>
            <w:noWrap/>
            <w:vAlign w:val="center"/>
            <w:hideMark/>
          </w:tcPr>
          <w:p w14:paraId="3F7B03B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443</w:t>
            </w:r>
          </w:p>
        </w:tc>
        <w:tc>
          <w:tcPr>
            <w:tcW w:w="586" w:type="dxa"/>
            <w:tcBorders>
              <w:top w:val="nil"/>
              <w:left w:val="nil"/>
              <w:bottom w:val="single" w:sz="8" w:space="0" w:color="DCDDDE"/>
              <w:right w:val="nil"/>
            </w:tcBorders>
            <w:shd w:val="clear" w:color="000000" w:fill="FFFFFF"/>
            <w:noWrap/>
            <w:vAlign w:val="center"/>
            <w:hideMark/>
          </w:tcPr>
          <w:p w14:paraId="6D4B0FD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450</w:t>
            </w:r>
          </w:p>
        </w:tc>
        <w:tc>
          <w:tcPr>
            <w:tcW w:w="586" w:type="dxa"/>
            <w:tcBorders>
              <w:top w:val="nil"/>
              <w:left w:val="nil"/>
              <w:bottom w:val="single" w:sz="8" w:space="0" w:color="DCDDDE"/>
              <w:right w:val="nil"/>
            </w:tcBorders>
            <w:shd w:val="clear" w:color="000000" w:fill="FFFFFF"/>
            <w:noWrap/>
            <w:vAlign w:val="center"/>
            <w:hideMark/>
          </w:tcPr>
          <w:p w14:paraId="73ACD04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489</w:t>
            </w:r>
          </w:p>
        </w:tc>
        <w:tc>
          <w:tcPr>
            <w:tcW w:w="586" w:type="dxa"/>
            <w:tcBorders>
              <w:top w:val="nil"/>
              <w:left w:val="nil"/>
              <w:bottom w:val="single" w:sz="8" w:space="0" w:color="DCDDDE"/>
              <w:right w:val="nil"/>
            </w:tcBorders>
            <w:shd w:val="clear" w:color="000000" w:fill="FFFFFF"/>
            <w:noWrap/>
            <w:vAlign w:val="center"/>
            <w:hideMark/>
          </w:tcPr>
          <w:p w14:paraId="47BF0DC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511</w:t>
            </w:r>
          </w:p>
        </w:tc>
        <w:tc>
          <w:tcPr>
            <w:tcW w:w="586" w:type="dxa"/>
            <w:tcBorders>
              <w:top w:val="nil"/>
              <w:left w:val="nil"/>
              <w:bottom w:val="single" w:sz="8" w:space="0" w:color="DCDDDE"/>
              <w:right w:val="nil"/>
            </w:tcBorders>
            <w:shd w:val="clear" w:color="000000" w:fill="FFFFFF"/>
            <w:noWrap/>
            <w:vAlign w:val="center"/>
            <w:hideMark/>
          </w:tcPr>
          <w:p w14:paraId="0780915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546</w:t>
            </w:r>
          </w:p>
        </w:tc>
        <w:tc>
          <w:tcPr>
            <w:tcW w:w="586" w:type="dxa"/>
            <w:tcBorders>
              <w:top w:val="nil"/>
              <w:left w:val="nil"/>
              <w:bottom w:val="single" w:sz="8" w:space="0" w:color="DCDDDE"/>
              <w:right w:val="nil"/>
            </w:tcBorders>
            <w:shd w:val="clear" w:color="000000" w:fill="FFFFFF"/>
            <w:noWrap/>
            <w:vAlign w:val="center"/>
            <w:hideMark/>
          </w:tcPr>
          <w:p w14:paraId="6A548EB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575</w:t>
            </w:r>
          </w:p>
        </w:tc>
        <w:tc>
          <w:tcPr>
            <w:tcW w:w="586" w:type="dxa"/>
            <w:tcBorders>
              <w:top w:val="nil"/>
              <w:left w:val="nil"/>
              <w:bottom w:val="single" w:sz="8" w:space="0" w:color="DCDDDE"/>
              <w:right w:val="nil"/>
            </w:tcBorders>
            <w:shd w:val="clear" w:color="000000" w:fill="FFFFFF"/>
            <w:noWrap/>
            <w:vAlign w:val="center"/>
            <w:hideMark/>
          </w:tcPr>
          <w:p w14:paraId="48F41A0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594</w:t>
            </w:r>
          </w:p>
        </w:tc>
        <w:tc>
          <w:tcPr>
            <w:tcW w:w="586" w:type="dxa"/>
            <w:tcBorders>
              <w:top w:val="nil"/>
              <w:left w:val="nil"/>
              <w:bottom w:val="single" w:sz="8" w:space="0" w:color="DCDDDE"/>
              <w:right w:val="nil"/>
            </w:tcBorders>
            <w:shd w:val="clear" w:color="000000" w:fill="FFFFFF"/>
            <w:noWrap/>
            <w:vAlign w:val="center"/>
            <w:hideMark/>
          </w:tcPr>
          <w:p w14:paraId="57989CE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609</w:t>
            </w:r>
          </w:p>
        </w:tc>
        <w:tc>
          <w:tcPr>
            <w:tcW w:w="586" w:type="dxa"/>
            <w:tcBorders>
              <w:top w:val="nil"/>
              <w:left w:val="nil"/>
              <w:bottom w:val="single" w:sz="8" w:space="0" w:color="DCDDDE"/>
              <w:right w:val="nil"/>
            </w:tcBorders>
            <w:shd w:val="clear" w:color="000000" w:fill="FFFFFF"/>
            <w:noWrap/>
            <w:vAlign w:val="center"/>
            <w:hideMark/>
          </w:tcPr>
          <w:p w14:paraId="14C7E92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627</w:t>
            </w:r>
          </w:p>
        </w:tc>
        <w:tc>
          <w:tcPr>
            <w:tcW w:w="586" w:type="dxa"/>
            <w:tcBorders>
              <w:top w:val="nil"/>
              <w:left w:val="nil"/>
              <w:bottom w:val="single" w:sz="8" w:space="0" w:color="DCDDDE"/>
              <w:right w:val="nil"/>
            </w:tcBorders>
            <w:shd w:val="clear" w:color="000000" w:fill="FFFFFF"/>
            <w:noWrap/>
            <w:vAlign w:val="center"/>
            <w:hideMark/>
          </w:tcPr>
          <w:p w14:paraId="5448C04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649</w:t>
            </w:r>
          </w:p>
        </w:tc>
        <w:tc>
          <w:tcPr>
            <w:tcW w:w="586" w:type="dxa"/>
            <w:tcBorders>
              <w:top w:val="nil"/>
              <w:left w:val="nil"/>
              <w:bottom w:val="single" w:sz="8" w:space="0" w:color="DCDDDE"/>
              <w:right w:val="nil"/>
            </w:tcBorders>
            <w:shd w:val="clear" w:color="000000" w:fill="FFFFFF"/>
            <w:noWrap/>
            <w:vAlign w:val="center"/>
            <w:hideMark/>
          </w:tcPr>
          <w:p w14:paraId="060563B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662</w:t>
            </w:r>
          </w:p>
        </w:tc>
        <w:tc>
          <w:tcPr>
            <w:tcW w:w="586" w:type="dxa"/>
            <w:tcBorders>
              <w:top w:val="nil"/>
              <w:left w:val="nil"/>
              <w:bottom w:val="single" w:sz="8" w:space="0" w:color="DCDDDE"/>
              <w:right w:val="nil"/>
            </w:tcBorders>
            <w:shd w:val="clear" w:color="000000" w:fill="FFFFFF"/>
            <w:noWrap/>
            <w:vAlign w:val="center"/>
            <w:hideMark/>
          </w:tcPr>
          <w:p w14:paraId="17CE7FD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669</w:t>
            </w:r>
          </w:p>
        </w:tc>
      </w:tr>
      <w:tr w:rsidR="00490035" w:rsidRPr="00490035" w14:paraId="477EB682"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7C6326C4"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C&amp;S*</w:t>
            </w:r>
          </w:p>
        </w:tc>
        <w:tc>
          <w:tcPr>
            <w:tcW w:w="586" w:type="dxa"/>
            <w:tcBorders>
              <w:top w:val="nil"/>
              <w:left w:val="nil"/>
              <w:bottom w:val="single" w:sz="8" w:space="0" w:color="DCDDDE"/>
              <w:right w:val="nil"/>
            </w:tcBorders>
            <w:shd w:val="clear" w:color="000000" w:fill="FFFFFF"/>
            <w:noWrap/>
            <w:vAlign w:val="center"/>
            <w:hideMark/>
          </w:tcPr>
          <w:p w14:paraId="02D32D6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552</w:t>
            </w:r>
          </w:p>
        </w:tc>
        <w:tc>
          <w:tcPr>
            <w:tcW w:w="586" w:type="dxa"/>
            <w:tcBorders>
              <w:top w:val="nil"/>
              <w:left w:val="nil"/>
              <w:bottom w:val="single" w:sz="8" w:space="0" w:color="DCDDDE"/>
              <w:right w:val="nil"/>
            </w:tcBorders>
            <w:shd w:val="clear" w:color="000000" w:fill="FFFFFF"/>
            <w:noWrap/>
            <w:vAlign w:val="center"/>
            <w:hideMark/>
          </w:tcPr>
          <w:p w14:paraId="7A81C08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572</w:t>
            </w:r>
          </w:p>
        </w:tc>
        <w:tc>
          <w:tcPr>
            <w:tcW w:w="586" w:type="dxa"/>
            <w:tcBorders>
              <w:top w:val="nil"/>
              <w:left w:val="nil"/>
              <w:bottom w:val="single" w:sz="8" w:space="0" w:color="DCDDDE"/>
              <w:right w:val="nil"/>
            </w:tcBorders>
            <w:shd w:val="clear" w:color="000000" w:fill="FFFFFF"/>
            <w:noWrap/>
            <w:vAlign w:val="center"/>
            <w:hideMark/>
          </w:tcPr>
          <w:p w14:paraId="5EC3DB6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577</w:t>
            </w:r>
          </w:p>
        </w:tc>
        <w:tc>
          <w:tcPr>
            <w:tcW w:w="586" w:type="dxa"/>
            <w:tcBorders>
              <w:top w:val="nil"/>
              <w:left w:val="nil"/>
              <w:bottom w:val="single" w:sz="8" w:space="0" w:color="DCDDDE"/>
              <w:right w:val="nil"/>
            </w:tcBorders>
            <w:shd w:val="clear" w:color="000000" w:fill="FFFFFF"/>
            <w:noWrap/>
            <w:vAlign w:val="center"/>
            <w:hideMark/>
          </w:tcPr>
          <w:p w14:paraId="1AC4DF9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594</w:t>
            </w:r>
          </w:p>
        </w:tc>
        <w:tc>
          <w:tcPr>
            <w:tcW w:w="586" w:type="dxa"/>
            <w:tcBorders>
              <w:top w:val="nil"/>
              <w:left w:val="nil"/>
              <w:bottom w:val="single" w:sz="8" w:space="0" w:color="DCDDDE"/>
              <w:right w:val="nil"/>
            </w:tcBorders>
            <w:shd w:val="clear" w:color="000000" w:fill="FFFFFF"/>
            <w:noWrap/>
            <w:vAlign w:val="center"/>
            <w:hideMark/>
          </w:tcPr>
          <w:p w14:paraId="0DC2E0F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578</w:t>
            </w:r>
          </w:p>
        </w:tc>
        <w:tc>
          <w:tcPr>
            <w:tcW w:w="586" w:type="dxa"/>
            <w:tcBorders>
              <w:top w:val="nil"/>
              <w:left w:val="nil"/>
              <w:bottom w:val="single" w:sz="8" w:space="0" w:color="DCDDDE"/>
              <w:right w:val="nil"/>
            </w:tcBorders>
            <w:shd w:val="clear" w:color="000000" w:fill="FFFFFF"/>
            <w:noWrap/>
            <w:vAlign w:val="center"/>
            <w:hideMark/>
          </w:tcPr>
          <w:p w14:paraId="083D9BF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640</w:t>
            </w:r>
          </w:p>
        </w:tc>
        <w:tc>
          <w:tcPr>
            <w:tcW w:w="586" w:type="dxa"/>
            <w:tcBorders>
              <w:top w:val="nil"/>
              <w:left w:val="nil"/>
              <w:bottom w:val="single" w:sz="8" w:space="0" w:color="DCDDDE"/>
              <w:right w:val="nil"/>
            </w:tcBorders>
            <w:shd w:val="clear" w:color="000000" w:fill="FFFFFF"/>
            <w:noWrap/>
            <w:vAlign w:val="center"/>
            <w:hideMark/>
          </w:tcPr>
          <w:p w14:paraId="3E95B8C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613</w:t>
            </w:r>
          </w:p>
        </w:tc>
        <w:tc>
          <w:tcPr>
            <w:tcW w:w="586" w:type="dxa"/>
            <w:tcBorders>
              <w:top w:val="nil"/>
              <w:left w:val="nil"/>
              <w:bottom w:val="single" w:sz="8" w:space="0" w:color="DCDDDE"/>
              <w:right w:val="nil"/>
            </w:tcBorders>
            <w:shd w:val="clear" w:color="000000" w:fill="FFFFFF"/>
            <w:noWrap/>
            <w:vAlign w:val="center"/>
            <w:hideMark/>
          </w:tcPr>
          <w:p w14:paraId="10DDDCB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591</w:t>
            </w:r>
          </w:p>
        </w:tc>
        <w:tc>
          <w:tcPr>
            <w:tcW w:w="586" w:type="dxa"/>
            <w:tcBorders>
              <w:top w:val="nil"/>
              <w:left w:val="nil"/>
              <w:bottom w:val="single" w:sz="8" w:space="0" w:color="DCDDDE"/>
              <w:right w:val="nil"/>
            </w:tcBorders>
            <w:shd w:val="clear" w:color="000000" w:fill="FFFFFF"/>
            <w:noWrap/>
            <w:vAlign w:val="center"/>
            <w:hideMark/>
          </w:tcPr>
          <w:p w14:paraId="2A6A3EF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554</w:t>
            </w:r>
          </w:p>
        </w:tc>
        <w:tc>
          <w:tcPr>
            <w:tcW w:w="586" w:type="dxa"/>
            <w:tcBorders>
              <w:top w:val="nil"/>
              <w:left w:val="nil"/>
              <w:bottom w:val="single" w:sz="8" w:space="0" w:color="DCDDDE"/>
              <w:right w:val="nil"/>
            </w:tcBorders>
            <w:shd w:val="clear" w:color="000000" w:fill="FFFFFF"/>
            <w:noWrap/>
            <w:vAlign w:val="center"/>
            <w:hideMark/>
          </w:tcPr>
          <w:p w14:paraId="48FD55D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534</w:t>
            </w:r>
          </w:p>
        </w:tc>
        <w:tc>
          <w:tcPr>
            <w:tcW w:w="586" w:type="dxa"/>
            <w:tcBorders>
              <w:top w:val="nil"/>
              <w:left w:val="nil"/>
              <w:bottom w:val="single" w:sz="8" w:space="0" w:color="DCDDDE"/>
              <w:right w:val="nil"/>
            </w:tcBorders>
            <w:shd w:val="clear" w:color="000000" w:fill="FFFFFF"/>
            <w:noWrap/>
            <w:vAlign w:val="center"/>
            <w:hideMark/>
          </w:tcPr>
          <w:p w14:paraId="39D27B4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486</w:t>
            </w:r>
          </w:p>
        </w:tc>
        <w:tc>
          <w:tcPr>
            <w:tcW w:w="586" w:type="dxa"/>
            <w:tcBorders>
              <w:top w:val="nil"/>
              <w:left w:val="nil"/>
              <w:bottom w:val="single" w:sz="8" w:space="0" w:color="DCDDDE"/>
              <w:right w:val="nil"/>
            </w:tcBorders>
            <w:shd w:val="clear" w:color="000000" w:fill="FFFFFF"/>
            <w:noWrap/>
            <w:vAlign w:val="center"/>
            <w:hideMark/>
          </w:tcPr>
          <w:p w14:paraId="5AD06E1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440</w:t>
            </w:r>
          </w:p>
        </w:tc>
        <w:tc>
          <w:tcPr>
            <w:tcW w:w="586" w:type="dxa"/>
            <w:tcBorders>
              <w:top w:val="nil"/>
              <w:left w:val="nil"/>
              <w:bottom w:val="single" w:sz="8" w:space="0" w:color="DCDDDE"/>
              <w:right w:val="nil"/>
            </w:tcBorders>
            <w:shd w:val="clear" w:color="000000" w:fill="FFFFFF"/>
            <w:noWrap/>
            <w:vAlign w:val="center"/>
            <w:hideMark/>
          </w:tcPr>
          <w:p w14:paraId="091D637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393</w:t>
            </w:r>
          </w:p>
        </w:tc>
      </w:tr>
      <w:tr w:rsidR="00490035" w:rsidRPr="00490035" w14:paraId="78887B47"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632C7BFB"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Total</w:t>
            </w:r>
          </w:p>
        </w:tc>
        <w:tc>
          <w:tcPr>
            <w:tcW w:w="586" w:type="dxa"/>
            <w:tcBorders>
              <w:top w:val="nil"/>
              <w:left w:val="nil"/>
              <w:bottom w:val="single" w:sz="8" w:space="0" w:color="DCDDDE"/>
              <w:right w:val="nil"/>
            </w:tcBorders>
            <w:shd w:val="clear" w:color="000000" w:fill="FFFFFF"/>
            <w:noWrap/>
            <w:vAlign w:val="center"/>
            <w:hideMark/>
          </w:tcPr>
          <w:p w14:paraId="3C9D3575"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962</w:t>
            </w:r>
          </w:p>
        </w:tc>
        <w:tc>
          <w:tcPr>
            <w:tcW w:w="586" w:type="dxa"/>
            <w:tcBorders>
              <w:top w:val="nil"/>
              <w:left w:val="nil"/>
              <w:bottom w:val="single" w:sz="8" w:space="0" w:color="DCDDDE"/>
              <w:right w:val="nil"/>
            </w:tcBorders>
            <w:shd w:val="clear" w:color="000000" w:fill="FFFFFF"/>
            <w:noWrap/>
            <w:vAlign w:val="center"/>
            <w:hideMark/>
          </w:tcPr>
          <w:p w14:paraId="7618AB35"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1,015</w:t>
            </w:r>
          </w:p>
        </w:tc>
        <w:tc>
          <w:tcPr>
            <w:tcW w:w="586" w:type="dxa"/>
            <w:tcBorders>
              <w:top w:val="nil"/>
              <w:left w:val="nil"/>
              <w:bottom w:val="single" w:sz="8" w:space="0" w:color="DCDDDE"/>
              <w:right w:val="nil"/>
            </w:tcBorders>
            <w:shd w:val="clear" w:color="000000" w:fill="FFFFFF"/>
            <w:noWrap/>
            <w:vAlign w:val="center"/>
            <w:hideMark/>
          </w:tcPr>
          <w:p w14:paraId="2B6D0B1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1,026</w:t>
            </w:r>
          </w:p>
        </w:tc>
        <w:tc>
          <w:tcPr>
            <w:tcW w:w="586" w:type="dxa"/>
            <w:tcBorders>
              <w:top w:val="nil"/>
              <w:left w:val="nil"/>
              <w:bottom w:val="single" w:sz="8" w:space="0" w:color="DCDDDE"/>
              <w:right w:val="nil"/>
            </w:tcBorders>
            <w:shd w:val="clear" w:color="000000" w:fill="FFFFFF"/>
            <w:noWrap/>
            <w:vAlign w:val="center"/>
            <w:hideMark/>
          </w:tcPr>
          <w:p w14:paraId="114E339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1,083</w:t>
            </w:r>
          </w:p>
        </w:tc>
        <w:tc>
          <w:tcPr>
            <w:tcW w:w="586" w:type="dxa"/>
            <w:tcBorders>
              <w:top w:val="nil"/>
              <w:left w:val="nil"/>
              <w:bottom w:val="single" w:sz="8" w:space="0" w:color="DCDDDE"/>
              <w:right w:val="nil"/>
            </w:tcBorders>
            <w:shd w:val="clear" w:color="000000" w:fill="FFFFFF"/>
            <w:noWrap/>
            <w:vAlign w:val="center"/>
            <w:hideMark/>
          </w:tcPr>
          <w:p w14:paraId="001CF17C"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1,089</w:t>
            </w:r>
          </w:p>
        </w:tc>
        <w:tc>
          <w:tcPr>
            <w:tcW w:w="586" w:type="dxa"/>
            <w:tcBorders>
              <w:top w:val="nil"/>
              <w:left w:val="nil"/>
              <w:bottom w:val="single" w:sz="8" w:space="0" w:color="DCDDDE"/>
              <w:right w:val="nil"/>
            </w:tcBorders>
            <w:shd w:val="clear" w:color="000000" w:fill="FFFFFF"/>
            <w:noWrap/>
            <w:vAlign w:val="center"/>
            <w:hideMark/>
          </w:tcPr>
          <w:p w14:paraId="7168D12D"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1,186</w:t>
            </w:r>
          </w:p>
        </w:tc>
        <w:tc>
          <w:tcPr>
            <w:tcW w:w="586" w:type="dxa"/>
            <w:tcBorders>
              <w:top w:val="nil"/>
              <w:left w:val="nil"/>
              <w:bottom w:val="single" w:sz="8" w:space="0" w:color="DCDDDE"/>
              <w:right w:val="nil"/>
            </w:tcBorders>
            <w:shd w:val="clear" w:color="000000" w:fill="FFFFFF"/>
            <w:noWrap/>
            <w:vAlign w:val="center"/>
            <w:hideMark/>
          </w:tcPr>
          <w:p w14:paraId="5D2D8EDA"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1,188</w:t>
            </w:r>
          </w:p>
        </w:tc>
        <w:tc>
          <w:tcPr>
            <w:tcW w:w="586" w:type="dxa"/>
            <w:tcBorders>
              <w:top w:val="nil"/>
              <w:left w:val="nil"/>
              <w:bottom w:val="single" w:sz="8" w:space="0" w:color="DCDDDE"/>
              <w:right w:val="nil"/>
            </w:tcBorders>
            <w:shd w:val="clear" w:color="000000" w:fill="FFFFFF"/>
            <w:noWrap/>
            <w:vAlign w:val="center"/>
            <w:hideMark/>
          </w:tcPr>
          <w:p w14:paraId="37CE31D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1,186</w:t>
            </w:r>
          </w:p>
        </w:tc>
        <w:tc>
          <w:tcPr>
            <w:tcW w:w="586" w:type="dxa"/>
            <w:tcBorders>
              <w:top w:val="nil"/>
              <w:left w:val="nil"/>
              <w:bottom w:val="single" w:sz="8" w:space="0" w:color="DCDDDE"/>
              <w:right w:val="nil"/>
            </w:tcBorders>
            <w:shd w:val="clear" w:color="000000" w:fill="FFFFFF"/>
            <w:noWrap/>
            <w:vAlign w:val="center"/>
            <w:hideMark/>
          </w:tcPr>
          <w:p w14:paraId="7C59D29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1,163</w:t>
            </w:r>
          </w:p>
        </w:tc>
        <w:tc>
          <w:tcPr>
            <w:tcW w:w="586" w:type="dxa"/>
            <w:tcBorders>
              <w:top w:val="nil"/>
              <w:left w:val="nil"/>
              <w:bottom w:val="single" w:sz="8" w:space="0" w:color="DCDDDE"/>
              <w:right w:val="nil"/>
            </w:tcBorders>
            <w:shd w:val="clear" w:color="000000" w:fill="FFFFFF"/>
            <w:noWrap/>
            <w:vAlign w:val="center"/>
            <w:hideMark/>
          </w:tcPr>
          <w:p w14:paraId="1CF22AB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1,161</w:t>
            </w:r>
          </w:p>
        </w:tc>
        <w:tc>
          <w:tcPr>
            <w:tcW w:w="586" w:type="dxa"/>
            <w:tcBorders>
              <w:top w:val="nil"/>
              <w:left w:val="nil"/>
              <w:bottom w:val="single" w:sz="8" w:space="0" w:color="DCDDDE"/>
              <w:right w:val="nil"/>
            </w:tcBorders>
            <w:shd w:val="clear" w:color="000000" w:fill="FFFFFF"/>
            <w:noWrap/>
            <w:vAlign w:val="center"/>
            <w:hideMark/>
          </w:tcPr>
          <w:p w14:paraId="115D087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1,134</w:t>
            </w:r>
          </w:p>
        </w:tc>
        <w:tc>
          <w:tcPr>
            <w:tcW w:w="586" w:type="dxa"/>
            <w:tcBorders>
              <w:top w:val="nil"/>
              <w:left w:val="nil"/>
              <w:bottom w:val="single" w:sz="8" w:space="0" w:color="DCDDDE"/>
              <w:right w:val="nil"/>
            </w:tcBorders>
            <w:shd w:val="clear" w:color="000000" w:fill="FFFFFF"/>
            <w:noWrap/>
            <w:vAlign w:val="center"/>
            <w:hideMark/>
          </w:tcPr>
          <w:p w14:paraId="391BA017"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1,102</w:t>
            </w:r>
          </w:p>
        </w:tc>
        <w:tc>
          <w:tcPr>
            <w:tcW w:w="586" w:type="dxa"/>
            <w:tcBorders>
              <w:top w:val="nil"/>
              <w:left w:val="nil"/>
              <w:bottom w:val="single" w:sz="8" w:space="0" w:color="DCDDDE"/>
              <w:right w:val="nil"/>
            </w:tcBorders>
            <w:shd w:val="clear" w:color="000000" w:fill="FFFFFF"/>
            <w:noWrap/>
            <w:vAlign w:val="center"/>
            <w:hideMark/>
          </w:tcPr>
          <w:p w14:paraId="73D975C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1,062</w:t>
            </w:r>
          </w:p>
        </w:tc>
      </w:tr>
      <w:tr w:rsidR="00490035" w:rsidRPr="00490035" w14:paraId="21574259" w14:textId="77777777" w:rsidTr="002A760B">
        <w:trPr>
          <w:trHeight w:val="315"/>
          <w:jc w:val="center"/>
        </w:trPr>
        <w:tc>
          <w:tcPr>
            <w:tcW w:w="8597" w:type="dxa"/>
            <w:gridSpan w:val="14"/>
            <w:tcBorders>
              <w:top w:val="single" w:sz="8" w:space="0" w:color="DCDDDE"/>
              <w:left w:val="nil"/>
              <w:bottom w:val="single" w:sz="8" w:space="0" w:color="DCDDDE"/>
              <w:right w:val="nil"/>
            </w:tcBorders>
            <w:shd w:val="clear" w:color="000000" w:fill="DADADA"/>
            <w:noWrap/>
            <w:vAlign w:val="center"/>
            <w:hideMark/>
          </w:tcPr>
          <w:p w14:paraId="26EE5C4A"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PAC | Reference</w:t>
            </w:r>
          </w:p>
        </w:tc>
      </w:tr>
      <w:tr w:rsidR="00490035" w:rsidRPr="00490035" w14:paraId="64427771" w14:textId="77777777" w:rsidTr="002A760B">
        <w:trPr>
          <w:trHeight w:val="555"/>
          <w:jc w:val="center"/>
        </w:trPr>
        <w:tc>
          <w:tcPr>
            <w:tcW w:w="979" w:type="dxa"/>
            <w:tcBorders>
              <w:top w:val="nil"/>
              <w:left w:val="nil"/>
              <w:bottom w:val="single" w:sz="8" w:space="0" w:color="DCDDDE"/>
              <w:right w:val="nil"/>
            </w:tcBorders>
            <w:shd w:val="clear" w:color="000000" w:fill="FFFFFF"/>
            <w:vAlign w:val="center"/>
            <w:hideMark/>
          </w:tcPr>
          <w:p w14:paraId="2B992467"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86" w:type="dxa"/>
            <w:tcBorders>
              <w:top w:val="nil"/>
              <w:left w:val="nil"/>
              <w:bottom w:val="single" w:sz="8" w:space="0" w:color="DCDDDE"/>
              <w:right w:val="nil"/>
            </w:tcBorders>
            <w:shd w:val="clear" w:color="000000" w:fill="FFFFFF"/>
            <w:noWrap/>
            <w:vAlign w:val="center"/>
            <w:hideMark/>
          </w:tcPr>
          <w:p w14:paraId="2D16559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391</w:t>
            </w:r>
          </w:p>
        </w:tc>
        <w:tc>
          <w:tcPr>
            <w:tcW w:w="586" w:type="dxa"/>
            <w:tcBorders>
              <w:top w:val="nil"/>
              <w:left w:val="nil"/>
              <w:bottom w:val="single" w:sz="8" w:space="0" w:color="DCDDDE"/>
              <w:right w:val="nil"/>
            </w:tcBorders>
            <w:shd w:val="clear" w:color="000000" w:fill="FFFFFF"/>
            <w:noWrap/>
            <w:vAlign w:val="center"/>
            <w:hideMark/>
          </w:tcPr>
          <w:p w14:paraId="4CDF4BD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408</w:t>
            </w:r>
          </w:p>
        </w:tc>
        <w:tc>
          <w:tcPr>
            <w:tcW w:w="586" w:type="dxa"/>
            <w:tcBorders>
              <w:top w:val="nil"/>
              <w:left w:val="nil"/>
              <w:bottom w:val="single" w:sz="8" w:space="0" w:color="DCDDDE"/>
              <w:right w:val="nil"/>
            </w:tcBorders>
            <w:shd w:val="clear" w:color="000000" w:fill="FFFFFF"/>
            <w:noWrap/>
            <w:vAlign w:val="center"/>
            <w:hideMark/>
          </w:tcPr>
          <w:p w14:paraId="2D6D4ED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400</w:t>
            </w:r>
          </w:p>
        </w:tc>
        <w:tc>
          <w:tcPr>
            <w:tcW w:w="586" w:type="dxa"/>
            <w:tcBorders>
              <w:top w:val="nil"/>
              <w:left w:val="nil"/>
              <w:bottom w:val="single" w:sz="8" w:space="0" w:color="DCDDDE"/>
              <w:right w:val="nil"/>
            </w:tcBorders>
            <w:shd w:val="clear" w:color="000000" w:fill="FFFFFF"/>
            <w:noWrap/>
            <w:vAlign w:val="center"/>
            <w:hideMark/>
          </w:tcPr>
          <w:p w14:paraId="5576A93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443</w:t>
            </w:r>
          </w:p>
        </w:tc>
        <w:tc>
          <w:tcPr>
            <w:tcW w:w="586" w:type="dxa"/>
            <w:tcBorders>
              <w:top w:val="nil"/>
              <w:left w:val="nil"/>
              <w:bottom w:val="single" w:sz="8" w:space="0" w:color="DCDDDE"/>
              <w:right w:val="nil"/>
            </w:tcBorders>
            <w:shd w:val="clear" w:color="000000" w:fill="FFFFFF"/>
            <w:noWrap/>
            <w:vAlign w:val="center"/>
            <w:hideMark/>
          </w:tcPr>
          <w:p w14:paraId="44462FF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456</w:t>
            </w:r>
          </w:p>
        </w:tc>
        <w:tc>
          <w:tcPr>
            <w:tcW w:w="586" w:type="dxa"/>
            <w:tcBorders>
              <w:top w:val="nil"/>
              <w:left w:val="nil"/>
              <w:bottom w:val="single" w:sz="8" w:space="0" w:color="DCDDDE"/>
              <w:right w:val="nil"/>
            </w:tcBorders>
            <w:shd w:val="clear" w:color="000000" w:fill="FFFFFF"/>
            <w:noWrap/>
            <w:vAlign w:val="center"/>
            <w:hideMark/>
          </w:tcPr>
          <w:p w14:paraId="53AA1AA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471</w:t>
            </w:r>
          </w:p>
        </w:tc>
        <w:tc>
          <w:tcPr>
            <w:tcW w:w="586" w:type="dxa"/>
            <w:tcBorders>
              <w:top w:val="nil"/>
              <w:left w:val="nil"/>
              <w:bottom w:val="single" w:sz="8" w:space="0" w:color="DCDDDE"/>
              <w:right w:val="nil"/>
            </w:tcBorders>
            <w:shd w:val="clear" w:color="000000" w:fill="FFFFFF"/>
            <w:noWrap/>
            <w:vAlign w:val="center"/>
            <w:hideMark/>
          </w:tcPr>
          <w:p w14:paraId="3FCD33F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477</w:t>
            </w:r>
          </w:p>
        </w:tc>
        <w:tc>
          <w:tcPr>
            <w:tcW w:w="586" w:type="dxa"/>
            <w:tcBorders>
              <w:top w:val="nil"/>
              <w:left w:val="nil"/>
              <w:bottom w:val="single" w:sz="8" w:space="0" w:color="DCDDDE"/>
              <w:right w:val="nil"/>
            </w:tcBorders>
            <w:shd w:val="clear" w:color="000000" w:fill="FFFFFF"/>
            <w:noWrap/>
            <w:vAlign w:val="center"/>
            <w:hideMark/>
          </w:tcPr>
          <w:p w14:paraId="3E4E4BA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480</w:t>
            </w:r>
          </w:p>
        </w:tc>
        <w:tc>
          <w:tcPr>
            <w:tcW w:w="586" w:type="dxa"/>
            <w:tcBorders>
              <w:top w:val="nil"/>
              <w:left w:val="nil"/>
              <w:bottom w:val="single" w:sz="8" w:space="0" w:color="DCDDDE"/>
              <w:right w:val="nil"/>
            </w:tcBorders>
            <w:shd w:val="clear" w:color="000000" w:fill="FFFFFF"/>
            <w:noWrap/>
            <w:vAlign w:val="center"/>
            <w:hideMark/>
          </w:tcPr>
          <w:p w14:paraId="5CB98B8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485</w:t>
            </w:r>
          </w:p>
        </w:tc>
        <w:tc>
          <w:tcPr>
            <w:tcW w:w="586" w:type="dxa"/>
            <w:tcBorders>
              <w:top w:val="nil"/>
              <w:left w:val="nil"/>
              <w:bottom w:val="single" w:sz="8" w:space="0" w:color="DCDDDE"/>
              <w:right w:val="nil"/>
            </w:tcBorders>
            <w:shd w:val="clear" w:color="000000" w:fill="FFFFFF"/>
            <w:noWrap/>
            <w:vAlign w:val="center"/>
            <w:hideMark/>
          </w:tcPr>
          <w:p w14:paraId="552B956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486</w:t>
            </w:r>
          </w:p>
        </w:tc>
        <w:tc>
          <w:tcPr>
            <w:tcW w:w="586" w:type="dxa"/>
            <w:tcBorders>
              <w:top w:val="nil"/>
              <w:left w:val="nil"/>
              <w:bottom w:val="single" w:sz="8" w:space="0" w:color="DCDDDE"/>
              <w:right w:val="nil"/>
            </w:tcBorders>
            <w:shd w:val="clear" w:color="000000" w:fill="FFFFFF"/>
            <w:noWrap/>
            <w:vAlign w:val="center"/>
            <w:hideMark/>
          </w:tcPr>
          <w:p w14:paraId="040FBA4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486</w:t>
            </w:r>
          </w:p>
        </w:tc>
        <w:tc>
          <w:tcPr>
            <w:tcW w:w="586" w:type="dxa"/>
            <w:tcBorders>
              <w:top w:val="nil"/>
              <w:left w:val="nil"/>
              <w:bottom w:val="single" w:sz="8" w:space="0" w:color="DCDDDE"/>
              <w:right w:val="nil"/>
            </w:tcBorders>
            <w:shd w:val="clear" w:color="000000" w:fill="FFFFFF"/>
            <w:noWrap/>
            <w:vAlign w:val="center"/>
            <w:hideMark/>
          </w:tcPr>
          <w:p w14:paraId="6A6A2D8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485</w:t>
            </w:r>
          </w:p>
        </w:tc>
        <w:tc>
          <w:tcPr>
            <w:tcW w:w="586" w:type="dxa"/>
            <w:tcBorders>
              <w:top w:val="nil"/>
              <w:left w:val="nil"/>
              <w:bottom w:val="single" w:sz="8" w:space="0" w:color="DCDDDE"/>
              <w:right w:val="nil"/>
            </w:tcBorders>
            <w:shd w:val="clear" w:color="000000" w:fill="FFFFFF"/>
            <w:noWrap/>
            <w:vAlign w:val="center"/>
            <w:hideMark/>
          </w:tcPr>
          <w:p w14:paraId="066177E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480</w:t>
            </w:r>
          </w:p>
        </w:tc>
      </w:tr>
      <w:tr w:rsidR="00490035" w:rsidRPr="00490035" w14:paraId="5E67695B"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64ED1AAB"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lastRenderedPageBreak/>
              <w:t>BROs</w:t>
            </w:r>
          </w:p>
        </w:tc>
        <w:tc>
          <w:tcPr>
            <w:tcW w:w="586" w:type="dxa"/>
            <w:tcBorders>
              <w:top w:val="nil"/>
              <w:left w:val="nil"/>
              <w:bottom w:val="single" w:sz="8" w:space="0" w:color="DCDDDE"/>
              <w:right w:val="nil"/>
            </w:tcBorders>
            <w:shd w:val="clear" w:color="000000" w:fill="FFFFFF"/>
            <w:noWrap/>
            <w:vAlign w:val="center"/>
            <w:hideMark/>
          </w:tcPr>
          <w:p w14:paraId="7724EC2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74</w:t>
            </w:r>
          </w:p>
        </w:tc>
        <w:tc>
          <w:tcPr>
            <w:tcW w:w="586" w:type="dxa"/>
            <w:tcBorders>
              <w:top w:val="nil"/>
              <w:left w:val="nil"/>
              <w:bottom w:val="single" w:sz="8" w:space="0" w:color="DCDDDE"/>
              <w:right w:val="nil"/>
            </w:tcBorders>
            <w:shd w:val="clear" w:color="000000" w:fill="FFFFFF"/>
            <w:noWrap/>
            <w:vAlign w:val="center"/>
            <w:hideMark/>
          </w:tcPr>
          <w:p w14:paraId="5E85ADA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90</w:t>
            </w:r>
          </w:p>
        </w:tc>
        <w:tc>
          <w:tcPr>
            <w:tcW w:w="586" w:type="dxa"/>
            <w:tcBorders>
              <w:top w:val="nil"/>
              <w:left w:val="nil"/>
              <w:bottom w:val="single" w:sz="8" w:space="0" w:color="DCDDDE"/>
              <w:right w:val="nil"/>
            </w:tcBorders>
            <w:shd w:val="clear" w:color="000000" w:fill="FFFFFF"/>
            <w:noWrap/>
            <w:vAlign w:val="center"/>
            <w:hideMark/>
          </w:tcPr>
          <w:p w14:paraId="4963ACC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101</w:t>
            </w:r>
          </w:p>
        </w:tc>
        <w:tc>
          <w:tcPr>
            <w:tcW w:w="586" w:type="dxa"/>
            <w:tcBorders>
              <w:top w:val="nil"/>
              <w:left w:val="nil"/>
              <w:bottom w:val="single" w:sz="8" w:space="0" w:color="DCDDDE"/>
              <w:right w:val="nil"/>
            </w:tcBorders>
            <w:shd w:val="clear" w:color="000000" w:fill="FFFFFF"/>
            <w:noWrap/>
            <w:vAlign w:val="center"/>
            <w:hideMark/>
          </w:tcPr>
          <w:p w14:paraId="0FE7D7E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113</w:t>
            </w:r>
          </w:p>
        </w:tc>
        <w:tc>
          <w:tcPr>
            <w:tcW w:w="586" w:type="dxa"/>
            <w:tcBorders>
              <w:top w:val="nil"/>
              <w:left w:val="nil"/>
              <w:bottom w:val="single" w:sz="8" w:space="0" w:color="DCDDDE"/>
              <w:right w:val="nil"/>
            </w:tcBorders>
            <w:shd w:val="clear" w:color="000000" w:fill="FFFFFF"/>
            <w:noWrap/>
            <w:vAlign w:val="center"/>
            <w:hideMark/>
          </w:tcPr>
          <w:p w14:paraId="4C51DC8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124</w:t>
            </w:r>
          </w:p>
        </w:tc>
        <w:tc>
          <w:tcPr>
            <w:tcW w:w="586" w:type="dxa"/>
            <w:tcBorders>
              <w:top w:val="nil"/>
              <w:left w:val="nil"/>
              <w:bottom w:val="single" w:sz="8" w:space="0" w:color="DCDDDE"/>
              <w:right w:val="nil"/>
            </w:tcBorders>
            <w:shd w:val="clear" w:color="000000" w:fill="FFFFFF"/>
            <w:noWrap/>
            <w:vAlign w:val="center"/>
            <w:hideMark/>
          </w:tcPr>
          <w:p w14:paraId="7B8628A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134</w:t>
            </w:r>
          </w:p>
        </w:tc>
        <w:tc>
          <w:tcPr>
            <w:tcW w:w="586" w:type="dxa"/>
            <w:tcBorders>
              <w:top w:val="nil"/>
              <w:left w:val="nil"/>
              <w:bottom w:val="single" w:sz="8" w:space="0" w:color="DCDDDE"/>
              <w:right w:val="nil"/>
            </w:tcBorders>
            <w:shd w:val="clear" w:color="000000" w:fill="FFFFFF"/>
            <w:noWrap/>
            <w:vAlign w:val="center"/>
            <w:hideMark/>
          </w:tcPr>
          <w:p w14:paraId="64D30B1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146</w:t>
            </w:r>
          </w:p>
        </w:tc>
        <w:tc>
          <w:tcPr>
            <w:tcW w:w="586" w:type="dxa"/>
            <w:tcBorders>
              <w:top w:val="nil"/>
              <w:left w:val="nil"/>
              <w:bottom w:val="single" w:sz="8" w:space="0" w:color="DCDDDE"/>
              <w:right w:val="nil"/>
            </w:tcBorders>
            <w:shd w:val="clear" w:color="000000" w:fill="FFFFFF"/>
            <w:noWrap/>
            <w:vAlign w:val="center"/>
            <w:hideMark/>
          </w:tcPr>
          <w:p w14:paraId="0F5DBC5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161</w:t>
            </w:r>
          </w:p>
        </w:tc>
        <w:tc>
          <w:tcPr>
            <w:tcW w:w="586" w:type="dxa"/>
            <w:tcBorders>
              <w:top w:val="nil"/>
              <w:left w:val="nil"/>
              <w:bottom w:val="single" w:sz="8" w:space="0" w:color="DCDDDE"/>
              <w:right w:val="nil"/>
            </w:tcBorders>
            <w:shd w:val="clear" w:color="000000" w:fill="FFFFFF"/>
            <w:noWrap/>
            <w:vAlign w:val="center"/>
            <w:hideMark/>
          </w:tcPr>
          <w:p w14:paraId="1A0F0B8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174</w:t>
            </w:r>
          </w:p>
        </w:tc>
        <w:tc>
          <w:tcPr>
            <w:tcW w:w="586" w:type="dxa"/>
            <w:tcBorders>
              <w:top w:val="nil"/>
              <w:left w:val="nil"/>
              <w:bottom w:val="single" w:sz="8" w:space="0" w:color="DCDDDE"/>
              <w:right w:val="nil"/>
            </w:tcBorders>
            <w:shd w:val="clear" w:color="000000" w:fill="FFFFFF"/>
            <w:noWrap/>
            <w:vAlign w:val="center"/>
            <w:hideMark/>
          </w:tcPr>
          <w:p w14:paraId="4E3B180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188</w:t>
            </w:r>
          </w:p>
        </w:tc>
        <w:tc>
          <w:tcPr>
            <w:tcW w:w="586" w:type="dxa"/>
            <w:tcBorders>
              <w:top w:val="nil"/>
              <w:left w:val="nil"/>
              <w:bottom w:val="single" w:sz="8" w:space="0" w:color="DCDDDE"/>
              <w:right w:val="nil"/>
            </w:tcBorders>
            <w:shd w:val="clear" w:color="000000" w:fill="FFFFFF"/>
            <w:noWrap/>
            <w:vAlign w:val="center"/>
            <w:hideMark/>
          </w:tcPr>
          <w:p w14:paraId="4C15D5C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202</w:t>
            </w:r>
          </w:p>
        </w:tc>
        <w:tc>
          <w:tcPr>
            <w:tcW w:w="586" w:type="dxa"/>
            <w:tcBorders>
              <w:top w:val="nil"/>
              <w:left w:val="nil"/>
              <w:bottom w:val="single" w:sz="8" w:space="0" w:color="DCDDDE"/>
              <w:right w:val="nil"/>
            </w:tcBorders>
            <w:shd w:val="clear" w:color="000000" w:fill="FFFFFF"/>
            <w:noWrap/>
            <w:vAlign w:val="center"/>
            <w:hideMark/>
          </w:tcPr>
          <w:p w14:paraId="7CB627B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217</w:t>
            </w:r>
          </w:p>
        </w:tc>
        <w:tc>
          <w:tcPr>
            <w:tcW w:w="586" w:type="dxa"/>
            <w:tcBorders>
              <w:top w:val="nil"/>
              <w:left w:val="nil"/>
              <w:bottom w:val="single" w:sz="8" w:space="0" w:color="DCDDDE"/>
              <w:right w:val="nil"/>
            </w:tcBorders>
            <w:shd w:val="clear" w:color="000000" w:fill="FFFFFF"/>
            <w:noWrap/>
            <w:vAlign w:val="center"/>
            <w:hideMark/>
          </w:tcPr>
          <w:p w14:paraId="731DEF0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228</w:t>
            </w:r>
          </w:p>
        </w:tc>
      </w:tr>
      <w:tr w:rsidR="00490035" w:rsidRPr="00490035" w14:paraId="4892ACF0"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4041C078"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86" w:type="dxa"/>
            <w:tcBorders>
              <w:top w:val="nil"/>
              <w:left w:val="nil"/>
              <w:bottom w:val="single" w:sz="8" w:space="0" w:color="DCDDDE"/>
              <w:right w:val="nil"/>
            </w:tcBorders>
            <w:shd w:val="clear" w:color="000000" w:fill="FFFFFF"/>
            <w:noWrap/>
            <w:vAlign w:val="center"/>
            <w:hideMark/>
          </w:tcPr>
          <w:p w14:paraId="3581917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21</w:t>
            </w:r>
          </w:p>
        </w:tc>
        <w:tc>
          <w:tcPr>
            <w:tcW w:w="586" w:type="dxa"/>
            <w:tcBorders>
              <w:top w:val="nil"/>
              <w:left w:val="nil"/>
              <w:bottom w:val="single" w:sz="8" w:space="0" w:color="DCDDDE"/>
              <w:right w:val="nil"/>
            </w:tcBorders>
            <w:shd w:val="clear" w:color="000000" w:fill="FFFFFF"/>
            <w:noWrap/>
            <w:vAlign w:val="center"/>
            <w:hideMark/>
          </w:tcPr>
          <w:p w14:paraId="46B63BD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w:t>
            </w:r>
          </w:p>
        </w:tc>
        <w:tc>
          <w:tcPr>
            <w:tcW w:w="586" w:type="dxa"/>
            <w:tcBorders>
              <w:top w:val="nil"/>
              <w:left w:val="nil"/>
              <w:bottom w:val="single" w:sz="8" w:space="0" w:color="DCDDDE"/>
              <w:right w:val="nil"/>
            </w:tcBorders>
            <w:shd w:val="clear" w:color="000000" w:fill="FFFFFF"/>
            <w:noWrap/>
            <w:vAlign w:val="center"/>
            <w:hideMark/>
          </w:tcPr>
          <w:p w14:paraId="5822E7D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w:t>
            </w:r>
          </w:p>
        </w:tc>
        <w:tc>
          <w:tcPr>
            <w:tcW w:w="586" w:type="dxa"/>
            <w:tcBorders>
              <w:top w:val="nil"/>
              <w:left w:val="nil"/>
              <w:bottom w:val="single" w:sz="8" w:space="0" w:color="DCDDDE"/>
              <w:right w:val="nil"/>
            </w:tcBorders>
            <w:shd w:val="clear" w:color="000000" w:fill="FFFFFF"/>
            <w:noWrap/>
            <w:vAlign w:val="center"/>
            <w:hideMark/>
          </w:tcPr>
          <w:p w14:paraId="4E24440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605260C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5356F6B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4A4407E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2EEFE39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43FAD3F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08A1DEA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44E8850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2744A39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0F44418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r>
      <w:tr w:rsidR="00490035" w:rsidRPr="00490035" w14:paraId="721B80F8" w14:textId="77777777" w:rsidTr="002A760B">
        <w:trPr>
          <w:trHeight w:val="825"/>
          <w:jc w:val="center"/>
        </w:trPr>
        <w:tc>
          <w:tcPr>
            <w:tcW w:w="979" w:type="dxa"/>
            <w:tcBorders>
              <w:top w:val="nil"/>
              <w:left w:val="nil"/>
              <w:bottom w:val="single" w:sz="8" w:space="0" w:color="DCDDDE"/>
              <w:right w:val="nil"/>
            </w:tcBorders>
            <w:shd w:val="clear" w:color="000000" w:fill="FFFFFF"/>
            <w:vAlign w:val="center"/>
            <w:hideMark/>
          </w:tcPr>
          <w:p w14:paraId="3E01454F"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86" w:type="dxa"/>
            <w:tcBorders>
              <w:top w:val="nil"/>
              <w:left w:val="nil"/>
              <w:bottom w:val="single" w:sz="8" w:space="0" w:color="DCDDDE"/>
              <w:right w:val="nil"/>
            </w:tcBorders>
            <w:shd w:val="clear" w:color="000000" w:fill="FFFFFF"/>
            <w:noWrap/>
            <w:vAlign w:val="center"/>
            <w:hideMark/>
          </w:tcPr>
          <w:p w14:paraId="51CCC48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486</w:t>
            </w:r>
          </w:p>
        </w:tc>
        <w:tc>
          <w:tcPr>
            <w:tcW w:w="586" w:type="dxa"/>
            <w:tcBorders>
              <w:top w:val="nil"/>
              <w:left w:val="nil"/>
              <w:bottom w:val="single" w:sz="8" w:space="0" w:color="DCDDDE"/>
              <w:right w:val="nil"/>
            </w:tcBorders>
            <w:shd w:val="clear" w:color="000000" w:fill="FFFFFF"/>
            <w:noWrap/>
            <w:vAlign w:val="center"/>
            <w:hideMark/>
          </w:tcPr>
          <w:p w14:paraId="379C97A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519</w:t>
            </w:r>
          </w:p>
        </w:tc>
        <w:tc>
          <w:tcPr>
            <w:tcW w:w="586" w:type="dxa"/>
            <w:tcBorders>
              <w:top w:val="nil"/>
              <w:left w:val="nil"/>
              <w:bottom w:val="single" w:sz="8" w:space="0" w:color="DCDDDE"/>
              <w:right w:val="nil"/>
            </w:tcBorders>
            <w:shd w:val="clear" w:color="000000" w:fill="FFFFFF"/>
            <w:noWrap/>
            <w:vAlign w:val="center"/>
            <w:hideMark/>
          </w:tcPr>
          <w:p w14:paraId="0D71EFD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522</w:t>
            </w:r>
          </w:p>
        </w:tc>
        <w:tc>
          <w:tcPr>
            <w:tcW w:w="586" w:type="dxa"/>
            <w:tcBorders>
              <w:top w:val="nil"/>
              <w:left w:val="nil"/>
              <w:bottom w:val="single" w:sz="8" w:space="0" w:color="DCDDDE"/>
              <w:right w:val="nil"/>
            </w:tcBorders>
            <w:shd w:val="clear" w:color="000000" w:fill="FFFFFF"/>
            <w:noWrap/>
            <w:vAlign w:val="center"/>
            <w:hideMark/>
          </w:tcPr>
          <w:p w14:paraId="670B5B6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560</w:t>
            </w:r>
          </w:p>
        </w:tc>
        <w:tc>
          <w:tcPr>
            <w:tcW w:w="586" w:type="dxa"/>
            <w:tcBorders>
              <w:top w:val="nil"/>
              <w:left w:val="nil"/>
              <w:bottom w:val="single" w:sz="8" w:space="0" w:color="DCDDDE"/>
              <w:right w:val="nil"/>
            </w:tcBorders>
            <w:shd w:val="clear" w:color="000000" w:fill="FFFFFF"/>
            <w:noWrap/>
            <w:vAlign w:val="center"/>
            <w:hideMark/>
          </w:tcPr>
          <w:p w14:paraId="39BE7D1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583</w:t>
            </w:r>
          </w:p>
        </w:tc>
        <w:tc>
          <w:tcPr>
            <w:tcW w:w="586" w:type="dxa"/>
            <w:tcBorders>
              <w:top w:val="nil"/>
              <w:left w:val="nil"/>
              <w:bottom w:val="single" w:sz="8" w:space="0" w:color="DCDDDE"/>
              <w:right w:val="nil"/>
            </w:tcBorders>
            <w:shd w:val="clear" w:color="000000" w:fill="FFFFFF"/>
            <w:noWrap/>
            <w:vAlign w:val="center"/>
            <w:hideMark/>
          </w:tcPr>
          <w:p w14:paraId="5BD2EE0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609</w:t>
            </w:r>
          </w:p>
        </w:tc>
        <w:tc>
          <w:tcPr>
            <w:tcW w:w="586" w:type="dxa"/>
            <w:tcBorders>
              <w:top w:val="nil"/>
              <w:left w:val="nil"/>
              <w:bottom w:val="single" w:sz="8" w:space="0" w:color="DCDDDE"/>
              <w:right w:val="nil"/>
            </w:tcBorders>
            <w:shd w:val="clear" w:color="000000" w:fill="FFFFFF"/>
            <w:noWrap/>
            <w:vAlign w:val="center"/>
            <w:hideMark/>
          </w:tcPr>
          <w:p w14:paraId="460214E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627</w:t>
            </w:r>
          </w:p>
        </w:tc>
        <w:tc>
          <w:tcPr>
            <w:tcW w:w="586" w:type="dxa"/>
            <w:tcBorders>
              <w:top w:val="nil"/>
              <w:left w:val="nil"/>
              <w:bottom w:val="single" w:sz="8" w:space="0" w:color="DCDDDE"/>
              <w:right w:val="nil"/>
            </w:tcBorders>
            <w:shd w:val="clear" w:color="000000" w:fill="FFFFFF"/>
            <w:noWrap/>
            <w:vAlign w:val="center"/>
            <w:hideMark/>
          </w:tcPr>
          <w:p w14:paraId="58E8A8A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645</w:t>
            </w:r>
          </w:p>
        </w:tc>
        <w:tc>
          <w:tcPr>
            <w:tcW w:w="586" w:type="dxa"/>
            <w:tcBorders>
              <w:top w:val="nil"/>
              <w:left w:val="nil"/>
              <w:bottom w:val="single" w:sz="8" w:space="0" w:color="DCDDDE"/>
              <w:right w:val="nil"/>
            </w:tcBorders>
            <w:shd w:val="clear" w:color="000000" w:fill="FFFFFF"/>
            <w:noWrap/>
            <w:vAlign w:val="center"/>
            <w:hideMark/>
          </w:tcPr>
          <w:p w14:paraId="709AD42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663</w:t>
            </w:r>
          </w:p>
        </w:tc>
        <w:tc>
          <w:tcPr>
            <w:tcW w:w="586" w:type="dxa"/>
            <w:tcBorders>
              <w:top w:val="nil"/>
              <w:left w:val="nil"/>
              <w:bottom w:val="single" w:sz="8" w:space="0" w:color="DCDDDE"/>
              <w:right w:val="nil"/>
            </w:tcBorders>
            <w:shd w:val="clear" w:color="000000" w:fill="FFFFFF"/>
            <w:noWrap/>
            <w:vAlign w:val="center"/>
            <w:hideMark/>
          </w:tcPr>
          <w:p w14:paraId="7EC8B81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678</w:t>
            </w:r>
          </w:p>
        </w:tc>
        <w:tc>
          <w:tcPr>
            <w:tcW w:w="586" w:type="dxa"/>
            <w:tcBorders>
              <w:top w:val="nil"/>
              <w:left w:val="nil"/>
              <w:bottom w:val="single" w:sz="8" w:space="0" w:color="DCDDDE"/>
              <w:right w:val="nil"/>
            </w:tcBorders>
            <w:shd w:val="clear" w:color="000000" w:fill="FFFFFF"/>
            <w:noWrap/>
            <w:vAlign w:val="center"/>
            <w:hideMark/>
          </w:tcPr>
          <w:p w14:paraId="754A92D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692</w:t>
            </w:r>
          </w:p>
        </w:tc>
        <w:tc>
          <w:tcPr>
            <w:tcW w:w="586" w:type="dxa"/>
            <w:tcBorders>
              <w:top w:val="nil"/>
              <w:left w:val="nil"/>
              <w:bottom w:val="single" w:sz="8" w:space="0" w:color="DCDDDE"/>
              <w:right w:val="nil"/>
            </w:tcBorders>
            <w:shd w:val="clear" w:color="000000" w:fill="FFFFFF"/>
            <w:noWrap/>
            <w:vAlign w:val="center"/>
            <w:hideMark/>
          </w:tcPr>
          <w:p w14:paraId="48EFDEC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706</w:t>
            </w:r>
          </w:p>
        </w:tc>
        <w:tc>
          <w:tcPr>
            <w:tcW w:w="586" w:type="dxa"/>
            <w:tcBorders>
              <w:top w:val="nil"/>
              <w:left w:val="nil"/>
              <w:bottom w:val="single" w:sz="8" w:space="0" w:color="DCDDDE"/>
              <w:right w:val="nil"/>
            </w:tcBorders>
            <w:shd w:val="clear" w:color="000000" w:fill="FFFFFF"/>
            <w:noWrap/>
            <w:vAlign w:val="center"/>
            <w:hideMark/>
          </w:tcPr>
          <w:p w14:paraId="35434E3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711</w:t>
            </w:r>
          </w:p>
        </w:tc>
      </w:tr>
      <w:tr w:rsidR="00490035" w:rsidRPr="00490035" w14:paraId="55F4020F"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242F9BC3"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C&amp;S*</w:t>
            </w:r>
          </w:p>
        </w:tc>
        <w:tc>
          <w:tcPr>
            <w:tcW w:w="586" w:type="dxa"/>
            <w:tcBorders>
              <w:top w:val="nil"/>
              <w:left w:val="nil"/>
              <w:bottom w:val="single" w:sz="8" w:space="0" w:color="DCDDDE"/>
              <w:right w:val="nil"/>
            </w:tcBorders>
            <w:shd w:val="clear" w:color="000000" w:fill="FFFFFF"/>
            <w:noWrap/>
            <w:vAlign w:val="center"/>
            <w:hideMark/>
          </w:tcPr>
          <w:p w14:paraId="5177507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552</w:t>
            </w:r>
          </w:p>
        </w:tc>
        <w:tc>
          <w:tcPr>
            <w:tcW w:w="586" w:type="dxa"/>
            <w:tcBorders>
              <w:top w:val="nil"/>
              <w:left w:val="nil"/>
              <w:bottom w:val="single" w:sz="8" w:space="0" w:color="DCDDDE"/>
              <w:right w:val="nil"/>
            </w:tcBorders>
            <w:shd w:val="clear" w:color="000000" w:fill="FFFFFF"/>
            <w:noWrap/>
            <w:vAlign w:val="center"/>
            <w:hideMark/>
          </w:tcPr>
          <w:p w14:paraId="6955FFA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572</w:t>
            </w:r>
          </w:p>
        </w:tc>
        <w:tc>
          <w:tcPr>
            <w:tcW w:w="586" w:type="dxa"/>
            <w:tcBorders>
              <w:top w:val="nil"/>
              <w:left w:val="nil"/>
              <w:bottom w:val="single" w:sz="8" w:space="0" w:color="DCDDDE"/>
              <w:right w:val="nil"/>
            </w:tcBorders>
            <w:shd w:val="clear" w:color="000000" w:fill="FFFFFF"/>
            <w:noWrap/>
            <w:vAlign w:val="center"/>
            <w:hideMark/>
          </w:tcPr>
          <w:p w14:paraId="233C91A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577</w:t>
            </w:r>
          </w:p>
        </w:tc>
        <w:tc>
          <w:tcPr>
            <w:tcW w:w="586" w:type="dxa"/>
            <w:tcBorders>
              <w:top w:val="nil"/>
              <w:left w:val="nil"/>
              <w:bottom w:val="single" w:sz="8" w:space="0" w:color="DCDDDE"/>
              <w:right w:val="nil"/>
            </w:tcBorders>
            <w:shd w:val="clear" w:color="000000" w:fill="FFFFFF"/>
            <w:noWrap/>
            <w:vAlign w:val="center"/>
            <w:hideMark/>
          </w:tcPr>
          <w:p w14:paraId="65AC055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594</w:t>
            </w:r>
          </w:p>
        </w:tc>
        <w:tc>
          <w:tcPr>
            <w:tcW w:w="586" w:type="dxa"/>
            <w:tcBorders>
              <w:top w:val="nil"/>
              <w:left w:val="nil"/>
              <w:bottom w:val="single" w:sz="8" w:space="0" w:color="DCDDDE"/>
              <w:right w:val="nil"/>
            </w:tcBorders>
            <w:shd w:val="clear" w:color="000000" w:fill="FFFFFF"/>
            <w:noWrap/>
            <w:vAlign w:val="center"/>
            <w:hideMark/>
          </w:tcPr>
          <w:p w14:paraId="135690E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578</w:t>
            </w:r>
          </w:p>
        </w:tc>
        <w:tc>
          <w:tcPr>
            <w:tcW w:w="586" w:type="dxa"/>
            <w:tcBorders>
              <w:top w:val="nil"/>
              <w:left w:val="nil"/>
              <w:bottom w:val="single" w:sz="8" w:space="0" w:color="DCDDDE"/>
              <w:right w:val="nil"/>
            </w:tcBorders>
            <w:shd w:val="clear" w:color="000000" w:fill="FFFFFF"/>
            <w:noWrap/>
            <w:vAlign w:val="center"/>
            <w:hideMark/>
          </w:tcPr>
          <w:p w14:paraId="7B010E9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640</w:t>
            </w:r>
          </w:p>
        </w:tc>
        <w:tc>
          <w:tcPr>
            <w:tcW w:w="586" w:type="dxa"/>
            <w:tcBorders>
              <w:top w:val="nil"/>
              <w:left w:val="nil"/>
              <w:bottom w:val="single" w:sz="8" w:space="0" w:color="DCDDDE"/>
              <w:right w:val="nil"/>
            </w:tcBorders>
            <w:shd w:val="clear" w:color="000000" w:fill="FFFFFF"/>
            <w:noWrap/>
            <w:vAlign w:val="center"/>
            <w:hideMark/>
          </w:tcPr>
          <w:p w14:paraId="729A4EB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613</w:t>
            </w:r>
          </w:p>
        </w:tc>
        <w:tc>
          <w:tcPr>
            <w:tcW w:w="586" w:type="dxa"/>
            <w:tcBorders>
              <w:top w:val="nil"/>
              <w:left w:val="nil"/>
              <w:bottom w:val="single" w:sz="8" w:space="0" w:color="DCDDDE"/>
              <w:right w:val="nil"/>
            </w:tcBorders>
            <w:shd w:val="clear" w:color="000000" w:fill="FFFFFF"/>
            <w:noWrap/>
            <w:vAlign w:val="center"/>
            <w:hideMark/>
          </w:tcPr>
          <w:p w14:paraId="24CA867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591</w:t>
            </w:r>
          </w:p>
        </w:tc>
        <w:tc>
          <w:tcPr>
            <w:tcW w:w="586" w:type="dxa"/>
            <w:tcBorders>
              <w:top w:val="nil"/>
              <w:left w:val="nil"/>
              <w:bottom w:val="single" w:sz="8" w:space="0" w:color="DCDDDE"/>
              <w:right w:val="nil"/>
            </w:tcBorders>
            <w:shd w:val="clear" w:color="000000" w:fill="FFFFFF"/>
            <w:noWrap/>
            <w:vAlign w:val="center"/>
            <w:hideMark/>
          </w:tcPr>
          <w:p w14:paraId="08946D4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554</w:t>
            </w:r>
          </w:p>
        </w:tc>
        <w:tc>
          <w:tcPr>
            <w:tcW w:w="586" w:type="dxa"/>
            <w:tcBorders>
              <w:top w:val="nil"/>
              <w:left w:val="nil"/>
              <w:bottom w:val="single" w:sz="8" w:space="0" w:color="DCDDDE"/>
              <w:right w:val="nil"/>
            </w:tcBorders>
            <w:shd w:val="clear" w:color="000000" w:fill="FFFFFF"/>
            <w:noWrap/>
            <w:vAlign w:val="center"/>
            <w:hideMark/>
          </w:tcPr>
          <w:p w14:paraId="4131EB0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534</w:t>
            </w:r>
          </w:p>
        </w:tc>
        <w:tc>
          <w:tcPr>
            <w:tcW w:w="586" w:type="dxa"/>
            <w:tcBorders>
              <w:top w:val="nil"/>
              <w:left w:val="nil"/>
              <w:bottom w:val="single" w:sz="8" w:space="0" w:color="DCDDDE"/>
              <w:right w:val="nil"/>
            </w:tcBorders>
            <w:shd w:val="clear" w:color="000000" w:fill="FFFFFF"/>
            <w:noWrap/>
            <w:vAlign w:val="center"/>
            <w:hideMark/>
          </w:tcPr>
          <w:p w14:paraId="331347E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486</w:t>
            </w:r>
          </w:p>
        </w:tc>
        <w:tc>
          <w:tcPr>
            <w:tcW w:w="586" w:type="dxa"/>
            <w:tcBorders>
              <w:top w:val="nil"/>
              <w:left w:val="nil"/>
              <w:bottom w:val="single" w:sz="8" w:space="0" w:color="DCDDDE"/>
              <w:right w:val="nil"/>
            </w:tcBorders>
            <w:shd w:val="clear" w:color="000000" w:fill="FFFFFF"/>
            <w:noWrap/>
            <w:vAlign w:val="center"/>
            <w:hideMark/>
          </w:tcPr>
          <w:p w14:paraId="05B9941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440</w:t>
            </w:r>
          </w:p>
        </w:tc>
        <w:tc>
          <w:tcPr>
            <w:tcW w:w="586" w:type="dxa"/>
            <w:tcBorders>
              <w:top w:val="nil"/>
              <w:left w:val="nil"/>
              <w:bottom w:val="single" w:sz="8" w:space="0" w:color="DCDDDE"/>
              <w:right w:val="nil"/>
            </w:tcBorders>
            <w:shd w:val="clear" w:color="000000" w:fill="FFFFFF"/>
            <w:noWrap/>
            <w:vAlign w:val="center"/>
            <w:hideMark/>
          </w:tcPr>
          <w:p w14:paraId="3B736B9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393</w:t>
            </w:r>
          </w:p>
        </w:tc>
      </w:tr>
      <w:tr w:rsidR="00490035" w:rsidRPr="00490035" w14:paraId="3E727DC1"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0CFFD0BE"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Total</w:t>
            </w:r>
          </w:p>
        </w:tc>
        <w:tc>
          <w:tcPr>
            <w:tcW w:w="586" w:type="dxa"/>
            <w:tcBorders>
              <w:top w:val="nil"/>
              <w:left w:val="nil"/>
              <w:bottom w:val="single" w:sz="8" w:space="0" w:color="DCDDDE"/>
              <w:right w:val="nil"/>
            </w:tcBorders>
            <w:shd w:val="clear" w:color="000000" w:fill="FFFFFF"/>
            <w:noWrap/>
            <w:vAlign w:val="center"/>
            <w:hideMark/>
          </w:tcPr>
          <w:p w14:paraId="4CF7D3F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1,038</w:t>
            </w:r>
          </w:p>
        </w:tc>
        <w:tc>
          <w:tcPr>
            <w:tcW w:w="586" w:type="dxa"/>
            <w:tcBorders>
              <w:top w:val="nil"/>
              <w:left w:val="nil"/>
              <w:bottom w:val="single" w:sz="8" w:space="0" w:color="DCDDDE"/>
              <w:right w:val="nil"/>
            </w:tcBorders>
            <w:shd w:val="clear" w:color="000000" w:fill="FFFFFF"/>
            <w:noWrap/>
            <w:vAlign w:val="center"/>
            <w:hideMark/>
          </w:tcPr>
          <w:p w14:paraId="5A8B03B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1,091</w:t>
            </w:r>
          </w:p>
        </w:tc>
        <w:tc>
          <w:tcPr>
            <w:tcW w:w="586" w:type="dxa"/>
            <w:tcBorders>
              <w:top w:val="nil"/>
              <w:left w:val="nil"/>
              <w:bottom w:val="single" w:sz="8" w:space="0" w:color="DCDDDE"/>
              <w:right w:val="nil"/>
            </w:tcBorders>
            <w:shd w:val="clear" w:color="000000" w:fill="FFFFFF"/>
            <w:noWrap/>
            <w:vAlign w:val="center"/>
            <w:hideMark/>
          </w:tcPr>
          <w:p w14:paraId="22198527"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1,099</w:t>
            </w:r>
          </w:p>
        </w:tc>
        <w:tc>
          <w:tcPr>
            <w:tcW w:w="586" w:type="dxa"/>
            <w:tcBorders>
              <w:top w:val="nil"/>
              <w:left w:val="nil"/>
              <w:bottom w:val="single" w:sz="8" w:space="0" w:color="DCDDDE"/>
              <w:right w:val="nil"/>
            </w:tcBorders>
            <w:shd w:val="clear" w:color="000000" w:fill="FFFFFF"/>
            <w:noWrap/>
            <w:vAlign w:val="center"/>
            <w:hideMark/>
          </w:tcPr>
          <w:p w14:paraId="4815F99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1,153</w:t>
            </w:r>
          </w:p>
        </w:tc>
        <w:tc>
          <w:tcPr>
            <w:tcW w:w="586" w:type="dxa"/>
            <w:tcBorders>
              <w:top w:val="nil"/>
              <w:left w:val="nil"/>
              <w:bottom w:val="single" w:sz="8" w:space="0" w:color="DCDDDE"/>
              <w:right w:val="nil"/>
            </w:tcBorders>
            <w:shd w:val="clear" w:color="000000" w:fill="FFFFFF"/>
            <w:noWrap/>
            <w:vAlign w:val="center"/>
            <w:hideMark/>
          </w:tcPr>
          <w:p w14:paraId="0E1405B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1,161</w:t>
            </w:r>
          </w:p>
        </w:tc>
        <w:tc>
          <w:tcPr>
            <w:tcW w:w="586" w:type="dxa"/>
            <w:tcBorders>
              <w:top w:val="nil"/>
              <w:left w:val="nil"/>
              <w:bottom w:val="single" w:sz="8" w:space="0" w:color="DCDDDE"/>
              <w:right w:val="nil"/>
            </w:tcBorders>
            <w:shd w:val="clear" w:color="000000" w:fill="FFFFFF"/>
            <w:noWrap/>
            <w:vAlign w:val="center"/>
            <w:hideMark/>
          </w:tcPr>
          <w:p w14:paraId="312B4539"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1,249</w:t>
            </w:r>
          </w:p>
        </w:tc>
        <w:tc>
          <w:tcPr>
            <w:tcW w:w="586" w:type="dxa"/>
            <w:tcBorders>
              <w:top w:val="nil"/>
              <w:left w:val="nil"/>
              <w:bottom w:val="single" w:sz="8" w:space="0" w:color="DCDDDE"/>
              <w:right w:val="nil"/>
            </w:tcBorders>
            <w:shd w:val="clear" w:color="000000" w:fill="FFFFFF"/>
            <w:noWrap/>
            <w:vAlign w:val="center"/>
            <w:hideMark/>
          </w:tcPr>
          <w:p w14:paraId="640B6117"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1,240</w:t>
            </w:r>
          </w:p>
        </w:tc>
        <w:tc>
          <w:tcPr>
            <w:tcW w:w="586" w:type="dxa"/>
            <w:tcBorders>
              <w:top w:val="nil"/>
              <w:left w:val="nil"/>
              <w:bottom w:val="single" w:sz="8" w:space="0" w:color="DCDDDE"/>
              <w:right w:val="nil"/>
            </w:tcBorders>
            <w:shd w:val="clear" w:color="000000" w:fill="FFFFFF"/>
            <w:noWrap/>
            <w:vAlign w:val="center"/>
            <w:hideMark/>
          </w:tcPr>
          <w:p w14:paraId="239890D7"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1,236</w:t>
            </w:r>
          </w:p>
        </w:tc>
        <w:tc>
          <w:tcPr>
            <w:tcW w:w="586" w:type="dxa"/>
            <w:tcBorders>
              <w:top w:val="nil"/>
              <w:left w:val="nil"/>
              <w:bottom w:val="single" w:sz="8" w:space="0" w:color="DCDDDE"/>
              <w:right w:val="nil"/>
            </w:tcBorders>
            <w:shd w:val="clear" w:color="000000" w:fill="FFFFFF"/>
            <w:noWrap/>
            <w:vAlign w:val="center"/>
            <w:hideMark/>
          </w:tcPr>
          <w:p w14:paraId="2EF947A5"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1,217</w:t>
            </w:r>
          </w:p>
        </w:tc>
        <w:tc>
          <w:tcPr>
            <w:tcW w:w="586" w:type="dxa"/>
            <w:tcBorders>
              <w:top w:val="nil"/>
              <w:left w:val="nil"/>
              <w:bottom w:val="single" w:sz="8" w:space="0" w:color="DCDDDE"/>
              <w:right w:val="nil"/>
            </w:tcBorders>
            <w:shd w:val="clear" w:color="000000" w:fill="FFFFFF"/>
            <w:noWrap/>
            <w:vAlign w:val="center"/>
            <w:hideMark/>
          </w:tcPr>
          <w:p w14:paraId="2C3E5FFB"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1,212</w:t>
            </w:r>
          </w:p>
        </w:tc>
        <w:tc>
          <w:tcPr>
            <w:tcW w:w="586" w:type="dxa"/>
            <w:tcBorders>
              <w:top w:val="nil"/>
              <w:left w:val="nil"/>
              <w:bottom w:val="single" w:sz="8" w:space="0" w:color="DCDDDE"/>
              <w:right w:val="nil"/>
            </w:tcBorders>
            <w:shd w:val="clear" w:color="000000" w:fill="FFFFFF"/>
            <w:noWrap/>
            <w:vAlign w:val="center"/>
            <w:hideMark/>
          </w:tcPr>
          <w:p w14:paraId="6FF4EE4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1,178</w:t>
            </w:r>
          </w:p>
        </w:tc>
        <w:tc>
          <w:tcPr>
            <w:tcW w:w="586" w:type="dxa"/>
            <w:tcBorders>
              <w:top w:val="nil"/>
              <w:left w:val="nil"/>
              <w:bottom w:val="single" w:sz="8" w:space="0" w:color="DCDDDE"/>
              <w:right w:val="nil"/>
            </w:tcBorders>
            <w:shd w:val="clear" w:color="000000" w:fill="FFFFFF"/>
            <w:noWrap/>
            <w:vAlign w:val="center"/>
            <w:hideMark/>
          </w:tcPr>
          <w:p w14:paraId="22653E2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1,146</w:t>
            </w:r>
          </w:p>
        </w:tc>
        <w:tc>
          <w:tcPr>
            <w:tcW w:w="586" w:type="dxa"/>
            <w:tcBorders>
              <w:top w:val="nil"/>
              <w:left w:val="nil"/>
              <w:bottom w:val="single" w:sz="8" w:space="0" w:color="DCDDDE"/>
              <w:right w:val="nil"/>
            </w:tcBorders>
            <w:shd w:val="clear" w:color="000000" w:fill="FFFFFF"/>
            <w:noWrap/>
            <w:vAlign w:val="center"/>
            <w:hideMark/>
          </w:tcPr>
          <w:p w14:paraId="210E58D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1,105</w:t>
            </w:r>
          </w:p>
        </w:tc>
      </w:tr>
      <w:tr w:rsidR="00490035" w:rsidRPr="00490035" w14:paraId="7D6D1C73" w14:textId="77777777" w:rsidTr="002A760B">
        <w:trPr>
          <w:trHeight w:val="315"/>
          <w:jc w:val="center"/>
        </w:trPr>
        <w:tc>
          <w:tcPr>
            <w:tcW w:w="8597" w:type="dxa"/>
            <w:gridSpan w:val="14"/>
            <w:tcBorders>
              <w:top w:val="single" w:sz="8" w:space="0" w:color="DCDDDE"/>
              <w:left w:val="nil"/>
              <w:bottom w:val="single" w:sz="8" w:space="0" w:color="DCDDDE"/>
              <w:right w:val="nil"/>
            </w:tcBorders>
            <w:shd w:val="clear" w:color="000000" w:fill="DADADA"/>
            <w:noWrap/>
            <w:vAlign w:val="center"/>
            <w:hideMark/>
          </w:tcPr>
          <w:p w14:paraId="494F2C8E"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PAC | Aggressive</w:t>
            </w:r>
          </w:p>
        </w:tc>
      </w:tr>
      <w:tr w:rsidR="00490035" w:rsidRPr="00490035" w14:paraId="4170A4EC" w14:textId="77777777" w:rsidTr="002A760B">
        <w:trPr>
          <w:trHeight w:val="555"/>
          <w:jc w:val="center"/>
        </w:trPr>
        <w:tc>
          <w:tcPr>
            <w:tcW w:w="979" w:type="dxa"/>
            <w:tcBorders>
              <w:top w:val="nil"/>
              <w:left w:val="nil"/>
              <w:bottom w:val="single" w:sz="8" w:space="0" w:color="DCDDDE"/>
              <w:right w:val="nil"/>
            </w:tcBorders>
            <w:shd w:val="clear" w:color="000000" w:fill="FFFFFF"/>
            <w:vAlign w:val="center"/>
            <w:hideMark/>
          </w:tcPr>
          <w:p w14:paraId="5DE951F3"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86" w:type="dxa"/>
            <w:tcBorders>
              <w:top w:val="nil"/>
              <w:left w:val="nil"/>
              <w:bottom w:val="single" w:sz="8" w:space="0" w:color="DCDDDE"/>
              <w:right w:val="nil"/>
            </w:tcBorders>
            <w:shd w:val="clear" w:color="000000" w:fill="FFFFFF"/>
            <w:noWrap/>
            <w:vAlign w:val="center"/>
            <w:hideMark/>
          </w:tcPr>
          <w:p w14:paraId="5AF9BFF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414</w:t>
            </w:r>
          </w:p>
        </w:tc>
        <w:tc>
          <w:tcPr>
            <w:tcW w:w="586" w:type="dxa"/>
            <w:tcBorders>
              <w:top w:val="nil"/>
              <w:left w:val="nil"/>
              <w:bottom w:val="single" w:sz="8" w:space="0" w:color="DCDDDE"/>
              <w:right w:val="nil"/>
            </w:tcBorders>
            <w:shd w:val="clear" w:color="000000" w:fill="FFFFFF"/>
            <w:noWrap/>
            <w:vAlign w:val="center"/>
            <w:hideMark/>
          </w:tcPr>
          <w:p w14:paraId="3A45C3F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434</w:t>
            </w:r>
          </w:p>
        </w:tc>
        <w:tc>
          <w:tcPr>
            <w:tcW w:w="586" w:type="dxa"/>
            <w:tcBorders>
              <w:top w:val="nil"/>
              <w:left w:val="nil"/>
              <w:bottom w:val="single" w:sz="8" w:space="0" w:color="DCDDDE"/>
              <w:right w:val="nil"/>
            </w:tcBorders>
            <w:shd w:val="clear" w:color="000000" w:fill="FFFFFF"/>
            <w:noWrap/>
            <w:vAlign w:val="center"/>
            <w:hideMark/>
          </w:tcPr>
          <w:p w14:paraId="217BA9C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428</w:t>
            </w:r>
          </w:p>
        </w:tc>
        <w:tc>
          <w:tcPr>
            <w:tcW w:w="586" w:type="dxa"/>
            <w:tcBorders>
              <w:top w:val="nil"/>
              <w:left w:val="nil"/>
              <w:bottom w:val="single" w:sz="8" w:space="0" w:color="DCDDDE"/>
              <w:right w:val="nil"/>
            </w:tcBorders>
            <w:shd w:val="clear" w:color="000000" w:fill="FFFFFF"/>
            <w:noWrap/>
            <w:vAlign w:val="center"/>
            <w:hideMark/>
          </w:tcPr>
          <w:p w14:paraId="202D295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473</w:t>
            </w:r>
          </w:p>
        </w:tc>
        <w:tc>
          <w:tcPr>
            <w:tcW w:w="586" w:type="dxa"/>
            <w:tcBorders>
              <w:top w:val="nil"/>
              <w:left w:val="nil"/>
              <w:bottom w:val="single" w:sz="8" w:space="0" w:color="DCDDDE"/>
              <w:right w:val="nil"/>
            </w:tcBorders>
            <w:shd w:val="clear" w:color="000000" w:fill="FFFFFF"/>
            <w:noWrap/>
            <w:vAlign w:val="center"/>
            <w:hideMark/>
          </w:tcPr>
          <w:p w14:paraId="7F978D3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486</w:t>
            </w:r>
          </w:p>
        </w:tc>
        <w:tc>
          <w:tcPr>
            <w:tcW w:w="586" w:type="dxa"/>
            <w:tcBorders>
              <w:top w:val="nil"/>
              <w:left w:val="nil"/>
              <w:bottom w:val="single" w:sz="8" w:space="0" w:color="DCDDDE"/>
              <w:right w:val="nil"/>
            </w:tcBorders>
            <w:shd w:val="clear" w:color="000000" w:fill="FFFFFF"/>
            <w:noWrap/>
            <w:vAlign w:val="center"/>
            <w:hideMark/>
          </w:tcPr>
          <w:p w14:paraId="7412B54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501</w:t>
            </w:r>
          </w:p>
        </w:tc>
        <w:tc>
          <w:tcPr>
            <w:tcW w:w="586" w:type="dxa"/>
            <w:tcBorders>
              <w:top w:val="nil"/>
              <w:left w:val="nil"/>
              <w:bottom w:val="single" w:sz="8" w:space="0" w:color="DCDDDE"/>
              <w:right w:val="nil"/>
            </w:tcBorders>
            <w:shd w:val="clear" w:color="000000" w:fill="FFFFFF"/>
            <w:noWrap/>
            <w:vAlign w:val="center"/>
            <w:hideMark/>
          </w:tcPr>
          <w:p w14:paraId="0CC052C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507</w:t>
            </w:r>
          </w:p>
        </w:tc>
        <w:tc>
          <w:tcPr>
            <w:tcW w:w="586" w:type="dxa"/>
            <w:tcBorders>
              <w:top w:val="nil"/>
              <w:left w:val="nil"/>
              <w:bottom w:val="single" w:sz="8" w:space="0" w:color="DCDDDE"/>
              <w:right w:val="nil"/>
            </w:tcBorders>
            <w:shd w:val="clear" w:color="000000" w:fill="FFFFFF"/>
            <w:noWrap/>
            <w:vAlign w:val="center"/>
            <w:hideMark/>
          </w:tcPr>
          <w:p w14:paraId="4933B5B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508</w:t>
            </w:r>
          </w:p>
        </w:tc>
        <w:tc>
          <w:tcPr>
            <w:tcW w:w="586" w:type="dxa"/>
            <w:tcBorders>
              <w:top w:val="nil"/>
              <w:left w:val="nil"/>
              <w:bottom w:val="single" w:sz="8" w:space="0" w:color="DCDDDE"/>
              <w:right w:val="nil"/>
            </w:tcBorders>
            <w:shd w:val="clear" w:color="000000" w:fill="FFFFFF"/>
            <w:noWrap/>
            <w:vAlign w:val="center"/>
            <w:hideMark/>
          </w:tcPr>
          <w:p w14:paraId="5FCF142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511</w:t>
            </w:r>
          </w:p>
        </w:tc>
        <w:tc>
          <w:tcPr>
            <w:tcW w:w="586" w:type="dxa"/>
            <w:tcBorders>
              <w:top w:val="nil"/>
              <w:left w:val="nil"/>
              <w:bottom w:val="single" w:sz="8" w:space="0" w:color="DCDDDE"/>
              <w:right w:val="nil"/>
            </w:tcBorders>
            <w:shd w:val="clear" w:color="000000" w:fill="FFFFFF"/>
            <w:noWrap/>
            <w:vAlign w:val="center"/>
            <w:hideMark/>
          </w:tcPr>
          <w:p w14:paraId="2644305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512</w:t>
            </w:r>
          </w:p>
        </w:tc>
        <w:tc>
          <w:tcPr>
            <w:tcW w:w="586" w:type="dxa"/>
            <w:tcBorders>
              <w:top w:val="nil"/>
              <w:left w:val="nil"/>
              <w:bottom w:val="single" w:sz="8" w:space="0" w:color="DCDDDE"/>
              <w:right w:val="nil"/>
            </w:tcBorders>
            <w:shd w:val="clear" w:color="000000" w:fill="FFFFFF"/>
            <w:noWrap/>
            <w:vAlign w:val="center"/>
            <w:hideMark/>
          </w:tcPr>
          <w:p w14:paraId="20FF919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511</w:t>
            </w:r>
          </w:p>
        </w:tc>
        <w:tc>
          <w:tcPr>
            <w:tcW w:w="586" w:type="dxa"/>
            <w:tcBorders>
              <w:top w:val="nil"/>
              <w:left w:val="nil"/>
              <w:bottom w:val="single" w:sz="8" w:space="0" w:color="DCDDDE"/>
              <w:right w:val="nil"/>
            </w:tcBorders>
            <w:shd w:val="clear" w:color="000000" w:fill="FFFFFF"/>
            <w:noWrap/>
            <w:vAlign w:val="center"/>
            <w:hideMark/>
          </w:tcPr>
          <w:p w14:paraId="078002E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508</w:t>
            </w:r>
          </w:p>
        </w:tc>
        <w:tc>
          <w:tcPr>
            <w:tcW w:w="586" w:type="dxa"/>
            <w:tcBorders>
              <w:top w:val="nil"/>
              <w:left w:val="nil"/>
              <w:bottom w:val="single" w:sz="8" w:space="0" w:color="DCDDDE"/>
              <w:right w:val="nil"/>
            </w:tcBorders>
            <w:shd w:val="clear" w:color="000000" w:fill="FFFFFF"/>
            <w:noWrap/>
            <w:vAlign w:val="center"/>
            <w:hideMark/>
          </w:tcPr>
          <w:p w14:paraId="54FB22B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504</w:t>
            </w:r>
          </w:p>
        </w:tc>
      </w:tr>
      <w:tr w:rsidR="00490035" w:rsidRPr="00490035" w14:paraId="284AD65A"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1973B9AB"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BROs</w:t>
            </w:r>
          </w:p>
        </w:tc>
        <w:tc>
          <w:tcPr>
            <w:tcW w:w="586" w:type="dxa"/>
            <w:tcBorders>
              <w:top w:val="nil"/>
              <w:left w:val="nil"/>
              <w:bottom w:val="single" w:sz="8" w:space="0" w:color="DCDDDE"/>
              <w:right w:val="nil"/>
            </w:tcBorders>
            <w:shd w:val="clear" w:color="000000" w:fill="FFFFFF"/>
            <w:noWrap/>
            <w:vAlign w:val="center"/>
            <w:hideMark/>
          </w:tcPr>
          <w:p w14:paraId="07A696F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84</w:t>
            </w:r>
          </w:p>
        </w:tc>
        <w:tc>
          <w:tcPr>
            <w:tcW w:w="586" w:type="dxa"/>
            <w:tcBorders>
              <w:top w:val="nil"/>
              <w:left w:val="nil"/>
              <w:bottom w:val="single" w:sz="8" w:space="0" w:color="DCDDDE"/>
              <w:right w:val="nil"/>
            </w:tcBorders>
            <w:shd w:val="clear" w:color="000000" w:fill="FFFFFF"/>
            <w:noWrap/>
            <w:vAlign w:val="center"/>
            <w:hideMark/>
          </w:tcPr>
          <w:p w14:paraId="1CFB0E6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130</w:t>
            </w:r>
          </w:p>
        </w:tc>
        <w:tc>
          <w:tcPr>
            <w:tcW w:w="586" w:type="dxa"/>
            <w:tcBorders>
              <w:top w:val="nil"/>
              <w:left w:val="nil"/>
              <w:bottom w:val="single" w:sz="8" w:space="0" w:color="DCDDDE"/>
              <w:right w:val="nil"/>
            </w:tcBorders>
            <w:shd w:val="clear" w:color="000000" w:fill="FFFFFF"/>
            <w:noWrap/>
            <w:vAlign w:val="center"/>
            <w:hideMark/>
          </w:tcPr>
          <w:p w14:paraId="66652D0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150</w:t>
            </w:r>
          </w:p>
        </w:tc>
        <w:tc>
          <w:tcPr>
            <w:tcW w:w="586" w:type="dxa"/>
            <w:tcBorders>
              <w:top w:val="nil"/>
              <w:left w:val="nil"/>
              <w:bottom w:val="single" w:sz="8" w:space="0" w:color="DCDDDE"/>
              <w:right w:val="nil"/>
            </w:tcBorders>
            <w:shd w:val="clear" w:color="000000" w:fill="FFFFFF"/>
            <w:noWrap/>
            <w:vAlign w:val="center"/>
            <w:hideMark/>
          </w:tcPr>
          <w:p w14:paraId="527C958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171</w:t>
            </w:r>
          </w:p>
        </w:tc>
        <w:tc>
          <w:tcPr>
            <w:tcW w:w="586" w:type="dxa"/>
            <w:tcBorders>
              <w:top w:val="nil"/>
              <w:left w:val="nil"/>
              <w:bottom w:val="single" w:sz="8" w:space="0" w:color="DCDDDE"/>
              <w:right w:val="nil"/>
            </w:tcBorders>
            <w:shd w:val="clear" w:color="000000" w:fill="FFFFFF"/>
            <w:noWrap/>
            <w:vAlign w:val="center"/>
            <w:hideMark/>
          </w:tcPr>
          <w:p w14:paraId="1080E97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194</w:t>
            </w:r>
          </w:p>
        </w:tc>
        <w:tc>
          <w:tcPr>
            <w:tcW w:w="586" w:type="dxa"/>
            <w:tcBorders>
              <w:top w:val="nil"/>
              <w:left w:val="nil"/>
              <w:bottom w:val="single" w:sz="8" w:space="0" w:color="DCDDDE"/>
              <w:right w:val="nil"/>
            </w:tcBorders>
            <w:shd w:val="clear" w:color="000000" w:fill="FFFFFF"/>
            <w:noWrap/>
            <w:vAlign w:val="center"/>
            <w:hideMark/>
          </w:tcPr>
          <w:p w14:paraId="3C88F4B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212</w:t>
            </w:r>
          </w:p>
        </w:tc>
        <w:tc>
          <w:tcPr>
            <w:tcW w:w="586" w:type="dxa"/>
            <w:tcBorders>
              <w:top w:val="nil"/>
              <w:left w:val="nil"/>
              <w:bottom w:val="single" w:sz="8" w:space="0" w:color="DCDDDE"/>
              <w:right w:val="nil"/>
            </w:tcBorders>
            <w:shd w:val="clear" w:color="000000" w:fill="FFFFFF"/>
            <w:noWrap/>
            <w:vAlign w:val="center"/>
            <w:hideMark/>
          </w:tcPr>
          <w:p w14:paraId="6D1FCCD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251</w:t>
            </w:r>
          </w:p>
        </w:tc>
        <w:tc>
          <w:tcPr>
            <w:tcW w:w="586" w:type="dxa"/>
            <w:tcBorders>
              <w:top w:val="nil"/>
              <w:left w:val="nil"/>
              <w:bottom w:val="single" w:sz="8" w:space="0" w:color="DCDDDE"/>
              <w:right w:val="nil"/>
            </w:tcBorders>
            <w:shd w:val="clear" w:color="000000" w:fill="FFFFFF"/>
            <w:noWrap/>
            <w:vAlign w:val="center"/>
            <w:hideMark/>
          </w:tcPr>
          <w:p w14:paraId="78024A3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275</w:t>
            </w:r>
          </w:p>
        </w:tc>
        <w:tc>
          <w:tcPr>
            <w:tcW w:w="586" w:type="dxa"/>
            <w:tcBorders>
              <w:top w:val="nil"/>
              <w:left w:val="nil"/>
              <w:bottom w:val="single" w:sz="8" w:space="0" w:color="DCDDDE"/>
              <w:right w:val="nil"/>
            </w:tcBorders>
            <w:shd w:val="clear" w:color="000000" w:fill="FFFFFF"/>
            <w:noWrap/>
            <w:vAlign w:val="center"/>
            <w:hideMark/>
          </w:tcPr>
          <w:p w14:paraId="0AE51DD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297</w:t>
            </w:r>
          </w:p>
        </w:tc>
        <w:tc>
          <w:tcPr>
            <w:tcW w:w="586" w:type="dxa"/>
            <w:tcBorders>
              <w:top w:val="nil"/>
              <w:left w:val="nil"/>
              <w:bottom w:val="single" w:sz="8" w:space="0" w:color="DCDDDE"/>
              <w:right w:val="nil"/>
            </w:tcBorders>
            <w:shd w:val="clear" w:color="000000" w:fill="FFFFFF"/>
            <w:noWrap/>
            <w:vAlign w:val="center"/>
            <w:hideMark/>
          </w:tcPr>
          <w:p w14:paraId="12B63AB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323</w:t>
            </w:r>
          </w:p>
        </w:tc>
        <w:tc>
          <w:tcPr>
            <w:tcW w:w="586" w:type="dxa"/>
            <w:tcBorders>
              <w:top w:val="nil"/>
              <w:left w:val="nil"/>
              <w:bottom w:val="single" w:sz="8" w:space="0" w:color="DCDDDE"/>
              <w:right w:val="nil"/>
            </w:tcBorders>
            <w:shd w:val="clear" w:color="000000" w:fill="FFFFFF"/>
            <w:noWrap/>
            <w:vAlign w:val="center"/>
            <w:hideMark/>
          </w:tcPr>
          <w:p w14:paraId="73F82DA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353</w:t>
            </w:r>
          </w:p>
        </w:tc>
        <w:tc>
          <w:tcPr>
            <w:tcW w:w="586" w:type="dxa"/>
            <w:tcBorders>
              <w:top w:val="nil"/>
              <w:left w:val="nil"/>
              <w:bottom w:val="single" w:sz="8" w:space="0" w:color="DCDDDE"/>
              <w:right w:val="nil"/>
            </w:tcBorders>
            <w:shd w:val="clear" w:color="000000" w:fill="FFFFFF"/>
            <w:noWrap/>
            <w:vAlign w:val="center"/>
            <w:hideMark/>
          </w:tcPr>
          <w:p w14:paraId="12FBC34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388</w:t>
            </w:r>
          </w:p>
        </w:tc>
        <w:tc>
          <w:tcPr>
            <w:tcW w:w="586" w:type="dxa"/>
            <w:tcBorders>
              <w:top w:val="nil"/>
              <w:left w:val="nil"/>
              <w:bottom w:val="single" w:sz="8" w:space="0" w:color="DCDDDE"/>
              <w:right w:val="nil"/>
            </w:tcBorders>
            <w:shd w:val="clear" w:color="000000" w:fill="FFFFFF"/>
            <w:noWrap/>
            <w:vAlign w:val="center"/>
            <w:hideMark/>
          </w:tcPr>
          <w:p w14:paraId="5F7F0E0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430</w:t>
            </w:r>
          </w:p>
        </w:tc>
      </w:tr>
      <w:tr w:rsidR="00490035" w:rsidRPr="00490035" w14:paraId="636637E5"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5A0DF510"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86" w:type="dxa"/>
            <w:tcBorders>
              <w:top w:val="nil"/>
              <w:left w:val="nil"/>
              <w:bottom w:val="single" w:sz="8" w:space="0" w:color="DCDDDE"/>
              <w:right w:val="nil"/>
            </w:tcBorders>
            <w:shd w:val="clear" w:color="000000" w:fill="FFFFFF"/>
            <w:noWrap/>
            <w:vAlign w:val="center"/>
            <w:hideMark/>
          </w:tcPr>
          <w:p w14:paraId="647F53C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21</w:t>
            </w:r>
          </w:p>
        </w:tc>
        <w:tc>
          <w:tcPr>
            <w:tcW w:w="586" w:type="dxa"/>
            <w:tcBorders>
              <w:top w:val="nil"/>
              <w:left w:val="nil"/>
              <w:bottom w:val="single" w:sz="8" w:space="0" w:color="DCDDDE"/>
              <w:right w:val="nil"/>
            </w:tcBorders>
            <w:shd w:val="clear" w:color="000000" w:fill="FFFFFF"/>
            <w:noWrap/>
            <w:vAlign w:val="center"/>
            <w:hideMark/>
          </w:tcPr>
          <w:p w14:paraId="03BD175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w:t>
            </w:r>
          </w:p>
        </w:tc>
        <w:tc>
          <w:tcPr>
            <w:tcW w:w="586" w:type="dxa"/>
            <w:tcBorders>
              <w:top w:val="nil"/>
              <w:left w:val="nil"/>
              <w:bottom w:val="single" w:sz="8" w:space="0" w:color="DCDDDE"/>
              <w:right w:val="nil"/>
            </w:tcBorders>
            <w:shd w:val="clear" w:color="000000" w:fill="FFFFFF"/>
            <w:noWrap/>
            <w:vAlign w:val="center"/>
            <w:hideMark/>
          </w:tcPr>
          <w:p w14:paraId="0836151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w:t>
            </w:r>
          </w:p>
        </w:tc>
        <w:tc>
          <w:tcPr>
            <w:tcW w:w="586" w:type="dxa"/>
            <w:tcBorders>
              <w:top w:val="nil"/>
              <w:left w:val="nil"/>
              <w:bottom w:val="single" w:sz="8" w:space="0" w:color="DCDDDE"/>
              <w:right w:val="nil"/>
            </w:tcBorders>
            <w:shd w:val="clear" w:color="000000" w:fill="FFFFFF"/>
            <w:noWrap/>
            <w:vAlign w:val="center"/>
            <w:hideMark/>
          </w:tcPr>
          <w:p w14:paraId="1DD4DA9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09D1CF2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510418C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25366FF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3471437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78373BE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7A01BB7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2F80FCF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0275C05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86" w:type="dxa"/>
            <w:tcBorders>
              <w:top w:val="nil"/>
              <w:left w:val="nil"/>
              <w:bottom w:val="single" w:sz="8" w:space="0" w:color="DCDDDE"/>
              <w:right w:val="nil"/>
            </w:tcBorders>
            <w:shd w:val="clear" w:color="000000" w:fill="FFFFFF"/>
            <w:noWrap/>
            <w:vAlign w:val="center"/>
            <w:hideMark/>
          </w:tcPr>
          <w:p w14:paraId="7A6081F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r>
      <w:tr w:rsidR="00490035" w:rsidRPr="00490035" w14:paraId="516AC233" w14:textId="77777777" w:rsidTr="002A760B">
        <w:trPr>
          <w:trHeight w:val="825"/>
          <w:jc w:val="center"/>
        </w:trPr>
        <w:tc>
          <w:tcPr>
            <w:tcW w:w="979" w:type="dxa"/>
            <w:tcBorders>
              <w:top w:val="nil"/>
              <w:left w:val="nil"/>
              <w:bottom w:val="single" w:sz="8" w:space="0" w:color="DCDDDE"/>
              <w:right w:val="nil"/>
            </w:tcBorders>
            <w:shd w:val="clear" w:color="000000" w:fill="FFFFFF"/>
            <w:vAlign w:val="center"/>
            <w:hideMark/>
          </w:tcPr>
          <w:p w14:paraId="637B3D42"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86" w:type="dxa"/>
            <w:tcBorders>
              <w:top w:val="nil"/>
              <w:left w:val="nil"/>
              <w:bottom w:val="single" w:sz="8" w:space="0" w:color="DCDDDE"/>
              <w:right w:val="nil"/>
            </w:tcBorders>
            <w:shd w:val="clear" w:color="000000" w:fill="FFFFFF"/>
            <w:noWrap/>
            <w:vAlign w:val="center"/>
            <w:hideMark/>
          </w:tcPr>
          <w:p w14:paraId="09E9EA7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519</w:t>
            </w:r>
          </w:p>
        </w:tc>
        <w:tc>
          <w:tcPr>
            <w:tcW w:w="586" w:type="dxa"/>
            <w:tcBorders>
              <w:top w:val="nil"/>
              <w:left w:val="nil"/>
              <w:bottom w:val="single" w:sz="8" w:space="0" w:color="DCDDDE"/>
              <w:right w:val="nil"/>
            </w:tcBorders>
            <w:shd w:val="clear" w:color="000000" w:fill="FFFFFF"/>
            <w:noWrap/>
            <w:vAlign w:val="center"/>
            <w:hideMark/>
          </w:tcPr>
          <w:p w14:paraId="6DD58B4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584</w:t>
            </w:r>
          </w:p>
        </w:tc>
        <w:tc>
          <w:tcPr>
            <w:tcW w:w="586" w:type="dxa"/>
            <w:tcBorders>
              <w:top w:val="nil"/>
              <w:left w:val="nil"/>
              <w:bottom w:val="single" w:sz="8" w:space="0" w:color="DCDDDE"/>
              <w:right w:val="nil"/>
            </w:tcBorders>
            <w:shd w:val="clear" w:color="000000" w:fill="FFFFFF"/>
            <w:noWrap/>
            <w:vAlign w:val="center"/>
            <w:hideMark/>
          </w:tcPr>
          <w:p w14:paraId="344C589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598</w:t>
            </w:r>
          </w:p>
        </w:tc>
        <w:tc>
          <w:tcPr>
            <w:tcW w:w="586" w:type="dxa"/>
            <w:tcBorders>
              <w:top w:val="nil"/>
              <w:left w:val="nil"/>
              <w:bottom w:val="single" w:sz="8" w:space="0" w:color="DCDDDE"/>
              <w:right w:val="nil"/>
            </w:tcBorders>
            <w:shd w:val="clear" w:color="000000" w:fill="FFFFFF"/>
            <w:noWrap/>
            <w:vAlign w:val="center"/>
            <w:hideMark/>
          </w:tcPr>
          <w:p w14:paraId="6FF05FC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648</w:t>
            </w:r>
          </w:p>
        </w:tc>
        <w:tc>
          <w:tcPr>
            <w:tcW w:w="586" w:type="dxa"/>
            <w:tcBorders>
              <w:top w:val="nil"/>
              <w:left w:val="nil"/>
              <w:bottom w:val="single" w:sz="8" w:space="0" w:color="DCDDDE"/>
              <w:right w:val="nil"/>
            </w:tcBorders>
            <w:shd w:val="clear" w:color="000000" w:fill="FFFFFF"/>
            <w:noWrap/>
            <w:vAlign w:val="center"/>
            <w:hideMark/>
          </w:tcPr>
          <w:p w14:paraId="7396CF2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684</w:t>
            </w:r>
          </w:p>
        </w:tc>
        <w:tc>
          <w:tcPr>
            <w:tcW w:w="586" w:type="dxa"/>
            <w:tcBorders>
              <w:top w:val="nil"/>
              <w:left w:val="nil"/>
              <w:bottom w:val="single" w:sz="8" w:space="0" w:color="DCDDDE"/>
              <w:right w:val="nil"/>
            </w:tcBorders>
            <w:shd w:val="clear" w:color="000000" w:fill="FFFFFF"/>
            <w:noWrap/>
            <w:vAlign w:val="center"/>
            <w:hideMark/>
          </w:tcPr>
          <w:p w14:paraId="7B95C2D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717</w:t>
            </w:r>
          </w:p>
        </w:tc>
        <w:tc>
          <w:tcPr>
            <w:tcW w:w="586" w:type="dxa"/>
            <w:tcBorders>
              <w:top w:val="nil"/>
              <w:left w:val="nil"/>
              <w:bottom w:val="single" w:sz="8" w:space="0" w:color="DCDDDE"/>
              <w:right w:val="nil"/>
            </w:tcBorders>
            <w:shd w:val="clear" w:color="000000" w:fill="FFFFFF"/>
            <w:noWrap/>
            <w:vAlign w:val="center"/>
            <w:hideMark/>
          </w:tcPr>
          <w:p w14:paraId="3B608A7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762</w:t>
            </w:r>
          </w:p>
        </w:tc>
        <w:tc>
          <w:tcPr>
            <w:tcW w:w="586" w:type="dxa"/>
            <w:tcBorders>
              <w:top w:val="nil"/>
              <w:left w:val="nil"/>
              <w:bottom w:val="single" w:sz="8" w:space="0" w:color="DCDDDE"/>
              <w:right w:val="nil"/>
            </w:tcBorders>
            <w:shd w:val="clear" w:color="000000" w:fill="FFFFFF"/>
            <w:noWrap/>
            <w:vAlign w:val="center"/>
            <w:hideMark/>
          </w:tcPr>
          <w:p w14:paraId="01AC174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787</w:t>
            </w:r>
          </w:p>
        </w:tc>
        <w:tc>
          <w:tcPr>
            <w:tcW w:w="586" w:type="dxa"/>
            <w:tcBorders>
              <w:top w:val="nil"/>
              <w:left w:val="nil"/>
              <w:bottom w:val="single" w:sz="8" w:space="0" w:color="DCDDDE"/>
              <w:right w:val="nil"/>
            </w:tcBorders>
            <w:shd w:val="clear" w:color="000000" w:fill="FFFFFF"/>
            <w:noWrap/>
            <w:vAlign w:val="center"/>
            <w:hideMark/>
          </w:tcPr>
          <w:p w14:paraId="4204B1F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812</w:t>
            </w:r>
          </w:p>
        </w:tc>
        <w:tc>
          <w:tcPr>
            <w:tcW w:w="586" w:type="dxa"/>
            <w:tcBorders>
              <w:top w:val="nil"/>
              <w:left w:val="nil"/>
              <w:bottom w:val="single" w:sz="8" w:space="0" w:color="DCDDDE"/>
              <w:right w:val="nil"/>
            </w:tcBorders>
            <w:shd w:val="clear" w:color="000000" w:fill="FFFFFF"/>
            <w:noWrap/>
            <w:vAlign w:val="center"/>
            <w:hideMark/>
          </w:tcPr>
          <w:p w14:paraId="492B2D2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839</w:t>
            </w:r>
          </w:p>
        </w:tc>
        <w:tc>
          <w:tcPr>
            <w:tcW w:w="586" w:type="dxa"/>
            <w:tcBorders>
              <w:top w:val="nil"/>
              <w:left w:val="nil"/>
              <w:bottom w:val="single" w:sz="8" w:space="0" w:color="DCDDDE"/>
              <w:right w:val="nil"/>
            </w:tcBorders>
            <w:shd w:val="clear" w:color="000000" w:fill="FFFFFF"/>
            <w:noWrap/>
            <w:vAlign w:val="center"/>
            <w:hideMark/>
          </w:tcPr>
          <w:p w14:paraId="1870811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868</w:t>
            </w:r>
          </w:p>
        </w:tc>
        <w:tc>
          <w:tcPr>
            <w:tcW w:w="586" w:type="dxa"/>
            <w:tcBorders>
              <w:top w:val="nil"/>
              <w:left w:val="nil"/>
              <w:bottom w:val="single" w:sz="8" w:space="0" w:color="DCDDDE"/>
              <w:right w:val="nil"/>
            </w:tcBorders>
            <w:shd w:val="clear" w:color="000000" w:fill="FFFFFF"/>
            <w:noWrap/>
            <w:vAlign w:val="center"/>
            <w:hideMark/>
          </w:tcPr>
          <w:p w14:paraId="2F15519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900</w:t>
            </w:r>
          </w:p>
        </w:tc>
        <w:tc>
          <w:tcPr>
            <w:tcW w:w="586" w:type="dxa"/>
            <w:tcBorders>
              <w:top w:val="nil"/>
              <w:left w:val="nil"/>
              <w:bottom w:val="single" w:sz="8" w:space="0" w:color="DCDDDE"/>
              <w:right w:val="nil"/>
            </w:tcBorders>
            <w:shd w:val="clear" w:color="000000" w:fill="FFFFFF"/>
            <w:noWrap/>
            <w:vAlign w:val="center"/>
            <w:hideMark/>
          </w:tcPr>
          <w:p w14:paraId="5FE78F2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938</w:t>
            </w:r>
          </w:p>
        </w:tc>
      </w:tr>
      <w:tr w:rsidR="00490035" w:rsidRPr="00490035" w14:paraId="1E5B830C"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07A8F6DF"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C&amp;S*</w:t>
            </w:r>
          </w:p>
        </w:tc>
        <w:tc>
          <w:tcPr>
            <w:tcW w:w="586" w:type="dxa"/>
            <w:tcBorders>
              <w:top w:val="nil"/>
              <w:left w:val="nil"/>
              <w:bottom w:val="single" w:sz="8" w:space="0" w:color="DCDDDE"/>
              <w:right w:val="nil"/>
            </w:tcBorders>
            <w:shd w:val="clear" w:color="000000" w:fill="FFFFFF"/>
            <w:noWrap/>
            <w:vAlign w:val="center"/>
            <w:hideMark/>
          </w:tcPr>
          <w:p w14:paraId="7813826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552</w:t>
            </w:r>
          </w:p>
        </w:tc>
        <w:tc>
          <w:tcPr>
            <w:tcW w:w="586" w:type="dxa"/>
            <w:tcBorders>
              <w:top w:val="nil"/>
              <w:left w:val="nil"/>
              <w:bottom w:val="single" w:sz="8" w:space="0" w:color="DCDDDE"/>
              <w:right w:val="nil"/>
            </w:tcBorders>
            <w:shd w:val="clear" w:color="000000" w:fill="FFFFFF"/>
            <w:noWrap/>
            <w:vAlign w:val="center"/>
            <w:hideMark/>
          </w:tcPr>
          <w:p w14:paraId="1F7EAED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572</w:t>
            </w:r>
          </w:p>
        </w:tc>
        <w:tc>
          <w:tcPr>
            <w:tcW w:w="586" w:type="dxa"/>
            <w:tcBorders>
              <w:top w:val="nil"/>
              <w:left w:val="nil"/>
              <w:bottom w:val="single" w:sz="8" w:space="0" w:color="DCDDDE"/>
              <w:right w:val="nil"/>
            </w:tcBorders>
            <w:shd w:val="clear" w:color="000000" w:fill="FFFFFF"/>
            <w:noWrap/>
            <w:vAlign w:val="center"/>
            <w:hideMark/>
          </w:tcPr>
          <w:p w14:paraId="5A07417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577</w:t>
            </w:r>
          </w:p>
        </w:tc>
        <w:tc>
          <w:tcPr>
            <w:tcW w:w="586" w:type="dxa"/>
            <w:tcBorders>
              <w:top w:val="nil"/>
              <w:left w:val="nil"/>
              <w:bottom w:val="single" w:sz="8" w:space="0" w:color="DCDDDE"/>
              <w:right w:val="nil"/>
            </w:tcBorders>
            <w:shd w:val="clear" w:color="000000" w:fill="FFFFFF"/>
            <w:noWrap/>
            <w:vAlign w:val="center"/>
            <w:hideMark/>
          </w:tcPr>
          <w:p w14:paraId="6366F1E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594</w:t>
            </w:r>
          </w:p>
        </w:tc>
        <w:tc>
          <w:tcPr>
            <w:tcW w:w="586" w:type="dxa"/>
            <w:tcBorders>
              <w:top w:val="nil"/>
              <w:left w:val="nil"/>
              <w:bottom w:val="single" w:sz="8" w:space="0" w:color="DCDDDE"/>
              <w:right w:val="nil"/>
            </w:tcBorders>
            <w:shd w:val="clear" w:color="000000" w:fill="FFFFFF"/>
            <w:noWrap/>
            <w:vAlign w:val="center"/>
            <w:hideMark/>
          </w:tcPr>
          <w:p w14:paraId="7F5C1BC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578</w:t>
            </w:r>
          </w:p>
        </w:tc>
        <w:tc>
          <w:tcPr>
            <w:tcW w:w="586" w:type="dxa"/>
            <w:tcBorders>
              <w:top w:val="nil"/>
              <w:left w:val="nil"/>
              <w:bottom w:val="single" w:sz="8" w:space="0" w:color="DCDDDE"/>
              <w:right w:val="nil"/>
            </w:tcBorders>
            <w:shd w:val="clear" w:color="000000" w:fill="FFFFFF"/>
            <w:noWrap/>
            <w:vAlign w:val="center"/>
            <w:hideMark/>
          </w:tcPr>
          <w:p w14:paraId="0BA2F68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640</w:t>
            </w:r>
          </w:p>
        </w:tc>
        <w:tc>
          <w:tcPr>
            <w:tcW w:w="586" w:type="dxa"/>
            <w:tcBorders>
              <w:top w:val="nil"/>
              <w:left w:val="nil"/>
              <w:bottom w:val="single" w:sz="8" w:space="0" w:color="DCDDDE"/>
              <w:right w:val="nil"/>
            </w:tcBorders>
            <w:shd w:val="clear" w:color="000000" w:fill="FFFFFF"/>
            <w:noWrap/>
            <w:vAlign w:val="center"/>
            <w:hideMark/>
          </w:tcPr>
          <w:p w14:paraId="05D8E42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613</w:t>
            </w:r>
          </w:p>
        </w:tc>
        <w:tc>
          <w:tcPr>
            <w:tcW w:w="586" w:type="dxa"/>
            <w:tcBorders>
              <w:top w:val="nil"/>
              <w:left w:val="nil"/>
              <w:bottom w:val="single" w:sz="8" w:space="0" w:color="DCDDDE"/>
              <w:right w:val="nil"/>
            </w:tcBorders>
            <w:shd w:val="clear" w:color="000000" w:fill="FFFFFF"/>
            <w:noWrap/>
            <w:vAlign w:val="center"/>
            <w:hideMark/>
          </w:tcPr>
          <w:p w14:paraId="6CB6563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591</w:t>
            </w:r>
          </w:p>
        </w:tc>
        <w:tc>
          <w:tcPr>
            <w:tcW w:w="586" w:type="dxa"/>
            <w:tcBorders>
              <w:top w:val="nil"/>
              <w:left w:val="nil"/>
              <w:bottom w:val="single" w:sz="8" w:space="0" w:color="DCDDDE"/>
              <w:right w:val="nil"/>
            </w:tcBorders>
            <w:shd w:val="clear" w:color="000000" w:fill="FFFFFF"/>
            <w:noWrap/>
            <w:vAlign w:val="center"/>
            <w:hideMark/>
          </w:tcPr>
          <w:p w14:paraId="2A17050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554</w:t>
            </w:r>
          </w:p>
        </w:tc>
        <w:tc>
          <w:tcPr>
            <w:tcW w:w="586" w:type="dxa"/>
            <w:tcBorders>
              <w:top w:val="nil"/>
              <w:left w:val="nil"/>
              <w:bottom w:val="single" w:sz="8" w:space="0" w:color="DCDDDE"/>
              <w:right w:val="nil"/>
            </w:tcBorders>
            <w:shd w:val="clear" w:color="000000" w:fill="FFFFFF"/>
            <w:noWrap/>
            <w:vAlign w:val="center"/>
            <w:hideMark/>
          </w:tcPr>
          <w:p w14:paraId="5027BCA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534</w:t>
            </w:r>
          </w:p>
        </w:tc>
        <w:tc>
          <w:tcPr>
            <w:tcW w:w="586" w:type="dxa"/>
            <w:tcBorders>
              <w:top w:val="nil"/>
              <w:left w:val="nil"/>
              <w:bottom w:val="single" w:sz="8" w:space="0" w:color="DCDDDE"/>
              <w:right w:val="nil"/>
            </w:tcBorders>
            <w:shd w:val="clear" w:color="000000" w:fill="FFFFFF"/>
            <w:noWrap/>
            <w:vAlign w:val="center"/>
            <w:hideMark/>
          </w:tcPr>
          <w:p w14:paraId="1F7DED0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486</w:t>
            </w:r>
          </w:p>
        </w:tc>
        <w:tc>
          <w:tcPr>
            <w:tcW w:w="586" w:type="dxa"/>
            <w:tcBorders>
              <w:top w:val="nil"/>
              <w:left w:val="nil"/>
              <w:bottom w:val="single" w:sz="8" w:space="0" w:color="DCDDDE"/>
              <w:right w:val="nil"/>
            </w:tcBorders>
            <w:shd w:val="clear" w:color="000000" w:fill="FFFFFF"/>
            <w:noWrap/>
            <w:vAlign w:val="center"/>
            <w:hideMark/>
          </w:tcPr>
          <w:p w14:paraId="3CF9DCA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440</w:t>
            </w:r>
          </w:p>
        </w:tc>
        <w:tc>
          <w:tcPr>
            <w:tcW w:w="586" w:type="dxa"/>
            <w:tcBorders>
              <w:top w:val="nil"/>
              <w:left w:val="nil"/>
              <w:bottom w:val="single" w:sz="8" w:space="0" w:color="DCDDDE"/>
              <w:right w:val="nil"/>
            </w:tcBorders>
            <w:shd w:val="clear" w:color="000000" w:fill="FFFFFF"/>
            <w:noWrap/>
            <w:vAlign w:val="center"/>
            <w:hideMark/>
          </w:tcPr>
          <w:p w14:paraId="58931A0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393</w:t>
            </w:r>
          </w:p>
        </w:tc>
      </w:tr>
      <w:tr w:rsidR="00490035" w:rsidRPr="00490035" w14:paraId="69DD655A" w14:textId="77777777" w:rsidTr="002A760B">
        <w:trPr>
          <w:trHeight w:val="315"/>
          <w:jc w:val="center"/>
        </w:trPr>
        <w:tc>
          <w:tcPr>
            <w:tcW w:w="979" w:type="dxa"/>
            <w:tcBorders>
              <w:top w:val="nil"/>
              <w:left w:val="nil"/>
              <w:bottom w:val="single" w:sz="8" w:space="0" w:color="DCDDDE"/>
              <w:right w:val="nil"/>
            </w:tcBorders>
            <w:shd w:val="clear" w:color="000000" w:fill="FFFFFF"/>
            <w:vAlign w:val="center"/>
            <w:hideMark/>
          </w:tcPr>
          <w:p w14:paraId="37BF35C8"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Total</w:t>
            </w:r>
          </w:p>
        </w:tc>
        <w:tc>
          <w:tcPr>
            <w:tcW w:w="586" w:type="dxa"/>
            <w:tcBorders>
              <w:top w:val="nil"/>
              <w:left w:val="nil"/>
              <w:bottom w:val="single" w:sz="8" w:space="0" w:color="DCDDDE"/>
              <w:right w:val="nil"/>
            </w:tcBorders>
            <w:shd w:val="clear" w:color="000000" w:fill="FFFFFF"/>
            <w:noWrap/>
            <w:vAlign w:val="center"/>
            <w:hideMark/>
          </w:tcPr>
          <w:p w14:paraId="3D7F0C0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1,070</w:t>
            </w:r>
          </w:p>
        </w:tc>
        <w:tc>
          <w:tcPr>
            <w:tcW w:w="586" w:type="dxa"/>
            <w:tcBorders>
              <w:top w:val="nil"/>
              <w:left w:val="nil"/>
              <w:bottom w:val="single" w:sz="8" w:space="0" w:color="DCDDDE"/>
              <w:right w:val="nil"/>
            </w:tcBorders>
            <w:shd w:val="clear" w:color="000000" w:fill="FFFFFF"/>
            <w:noWrap/>
            <w:vAlign w:val="center"/>
            <w:hideMark/>
          </w:tcPr>
          <w:p w14:paraId="4DFC4DBE"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1,157</w:t>
            </w:r>
          </w:p>
        </w:tc>
        <w:tc>
          <w:tcPr>
            <w:tcW w:w="586" w:type="dxa"/>
            <w:tcBorders>
              <w:top w:val="nil"/>
              <w:left w:val="nil"/>
              <w:bottom w:val="single" w:sz="8" w:space="0" w:color="DCDDDE"/>
              <w:right w:val="nil"/>
            </w:tcBorders>
            <w:shd w:val="clear" w:color="000000" w:fill="FFFFFF"/>
            <w:noWrap/>
            <w:vAlign w:val="center"/>
            <w:hideMark/>
          </w:tcPr>
          <w:p w14:paraId="633F4185"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1,174</w:t>
            </w:r>
          </w:p>
        </w:tc>
        <w:tc>
          <w:tcPr>
            <w:tcW w:w="586" w:type="dxa"/>
            <w:tcBorders>
              <w:top w:val="nil"/>
              <w:left w:val="nil"/>
              <w:bottom w:val="single" w:sz="8" w:space="0" w:color="DCDDDE"/>
              <w:right w:val="nil"/>
            </w:tcBorders>
            <w:shd w:val="clear" w:color="000000" w:fill="FFFFFF"/>
            <w:noWrap/>
            <w:vAlign w:val="center"/>
            <w:hideMark/>
          </w:tcPr>
          <w:p w14:paraId="0CC180C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1,242</w:t>
            </w:r>
          </w:p>
        </w:tc>
        <w:tc>
          <w:tcPr>
            <w:tcW w:w="586" w:type="dxa"/>
            <w:tcBorders>
              <w:top w:val="nil"/>
              <w:left w:val="nil"/>
              <w:bottom w:val="single" w:sz="8" w:space="0" w:color="DCDDDE"/>
              <w:right w:val="nil"/>
            </w:tcBorders>
            <w:shd w:val="clear" w:color="000000" w:fill="FFFFFF"/>
            <w:noWrap/>
            <w:vAlign w:val="center"/>
            <w:hideMark/>
          </w:tcPr>
          <w:p w14:paraId="7677317B"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1,261</w:t>
            </w:r>
          </w:p>
        </w:tc>
        <w:tc>
          <w:tcPr>
            <w:tcW w:w="586" w:type="dxa"/>
            <w:tcBorders>
              <w:top w:val="nil"/>
              <w:left w:val="nil"/>
              <w:bottom w:val="single" w:sz="8" w:space="0" w:color="DCDDDE"/>
              <w:right w:val="nil"/>
            </w:tcBorders>
            <w:shd w:val="clear" w:color="000000" w:fill="FFFFFF"/>
            <w:noWrap/>
            <w:vAlign w:val="center"/>
            <w:hideMark/>
          </w:tcPr>
          <w:p w14:paraId="55B222E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1,358</w:t>
            </w:r>
          </w:p>
        </w:tc>
        <w:tc>
          <w:tcPr>
            <w:tcW w:w="586" w:type="dxa"/>
            <w:tcBorders>
              <w:top w:val="nil"/>
              <w:left w:val="nil"/>
              <w:bottom w:val="single" w:sz="8" w:space="0" w:color="DCDDDE"/>
              <w:right w:val="nil"/>
            </w:tcBorders>
            <w:shd w:val="clear" w:color="000000" w:fill="FFFFFF"/>
            <w:noWrap/>
            <w:vAlign w:val="center"/>
            <w:hideMark/>
          </w:tcPr>
          <w:p w14:paraId="2DF3105A"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1,375</w:t>
            </w:r>
          </w:p>
        </w:tc>
        <w:tc>
          <w:tcPr>
            <w:tcW w:w="586" w:type="dxa"/>
            <w:tcBorders>
              <w:top w:val="nil"/>
              <w:left w:val="nil"/>
              <w:bottom w:val="single" w:sz="8" w:space="0" w:color="DCDDDE"/>
              <w:right w:val="nil"/>
            </w:tcBorders>
            <w:shd w:val="clear" w:color="000000" w:fill="FFFFFF"/>
            <w:noWrap/>
            <w:vAlign w:val="center"/>
            <w:hideMark/>
          </w:tcPr>
          <w:p w14:paraId="60C72B4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1,378</w:t>
            </w:r>
          </w:p>
        </w:tc>
        <w:tc>
          <w:tcPr>
            <w:tcW w:w="586" w:type="dxa"/>
            <w:tcBorders>
              <w:top w:val="nil"/>
              <w:left w:val="nil"/>
              <w:bottom w:val="single" w:sz="8" w:space="0" w:color="DCDDDE"/>
              <w:right w:val="nil"/>
            </w:tcBorders>
            <w:shd w:val="clear" w:color="000000" w:fill="FFFFFF"/>
            <w:noWrap/>
            <w:vAlign w:val="center"/>
            <w:hideMark/>
          </w:tcPr>
          <w:p w14:paraId="53D33F4B"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1,366</w:t>
            </w:r>
          </w:p>
        </w:tc>
        <w:tc>
          <w:tcPr>
            <w:tcW w:w="586" w:type="dxa"/>
            <w:tcBorders>
              <w:top w:val="nil"/>
              <w:left w:val="nil"/>
              <w:bottom w:val="single" w:sz="8" w:space="0" w:color="DCDDDE"/>
              <w:right w:val="nil"/>
            </w:tcBorders>
            <w:shd w:val="clear" w:color="000000" w:fill="FFFFFF"/>
            <w:noWrap/>
            <w:vAlign w:val="center"/>
            <w:hideMark/>
          </w:tcPr>
          <w:p w14:paraId="6A30028D"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1,373</w:t>
            </w:r>
          </w:p>
        </w:tc>
        <w:tc>
          <w:tcPr>
            <w:tcW w:w="586" w:type="dxa"/>
            <w:tcBorders>
              <w:top w:val="nil"/>
              <w:left w:val="nil"/>
              <w:bottom w:val="single" w:sz="8" w:space="0" w:color="DCDDDE"/>
              <w:right w:val="nil"/>
            </w:tcBorders>
            <w:shd w:val="clear" w:color="000000" w:fill="FFFFFF"/>
            <w:noWrap/>
            <w:vAlign w:val="center"/>
            <w:hideMark/>
          </w:tcPr>
          <w:p w14:paraId="4EDEC10D"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1,354</w:t>
            </w:r>
          </w:p>
        </w:tc>
        <w:tc>
          <w:tcPr>
            <w:tcW w:w="586" w:type="dxa"/>
            <w:tcBorders>
              <w:top w:val="nil"/>
              <w:left w:val="nil"/>
              <w:bottom w:val="single" w:sz="8" w:space="0" w:color="DCDDDE"/>
              <w:right w:val="nil"/>
            </w:tcBorders>
            <w:shd w:val="clear" w:color="000000" w:fill="FFFFFF"/>
            <w:noWrap/>
            <w:vAlign w:val="center"/>
            <w:hideMark/>
          </w:tcPr>
          <w:p w14:paraId="52A0E3CB"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1,340</w:t>
            </w:r>
          </w:p>
        </w:tc>
        <w:tc>
          <w:tcPr>
            <w:tcW w:w="586" w:type="dxa"/>
            <w:tcBorders>
              <w:top w:val="nil"/>
              <w:left w:val="nil"/>
              <w:bottom w:val="single" w:sz="8" w:space="0" w:color="DCDDDE"/>
              <w:right w:val="nil"/>
            </w:tcBorders>
            <w:shd w:val="clear" w:color="000000" w:fill="FFFFFF"/>
            <w:noWrap/>
            <w:vAlign w:val="center"/>
            <w:hideMark/>
          </w:tcPr>
          <w:p w14:paraId="014FB4F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1,332</w:t>
            </w:r>
          </w:p>
        </w:tc>
      </w:tr>
    </w:tbl>
    <w:p w14:paraId="6D862BCC" w14:textId="77777777" w:rsidR="002A760B" w:rsidRPr="00D823AE" w:rsidRDefault="002A760B" w:rsidP="002A760B">
      <w:pPr>
        <w:jc w:val="center"/>
      </w:pPr>
      <w:r>
        <w:t>* Includes interactive effects</w:t>
      </w:r>
    </w:p>
    <w:p w14:paraId="4F4B3150" w14:textId="77777777" w:rsidR="00D823AE" w:rsidRDefault="00D823AE" w:rsidP="00D823AE"/>
    <w:p w14:paraId="12AF9BD0" w14:textId="77777777" w:rsidR="00181744" w:rsidRDefault="00181744" w:rsidP="00D823AE"/>
    <w:p w14:paraId="75F9348E" w14:textId="77777777" w:rsidR="00490035" w:rsidRDefault="00490035" w:rsidP="00D823AE"/>
    <w:p w14:paraId="74621C0D" w14:textId="77777777" w:rsidR="00490035" w:rsidRDefault="00490035" w:rsidP="00D823AE"/>
    <w:p w14:paraId="72DB1149" w14:textId="77777777" w:rsidR="00490035" w:rsidRDefault="00490035" w:rsidP="00D823AE"/>
    <w:p w14:paraId="59331361" w14:textId="77777777" w:rsidR="00490035" w:rsidRDefault="00490035" w:rsidP="00D823AE"/>
    <w:p w14:paraId="177B65CE" w14:textId="77777777" w:rsidR="00490035" w:rsidRDefault="00490035" w:rsidP="00D823AE"/>
    <w:p w14:paraId="73FD4316" w14:textId="77777777" w:rsidR="00490035" w:rsidRDefault="00490035" w:rsidP="00D823AE"/>
    <w:p w14:paraId="5603861F" w14:textId="77777777" w:rsidR="00490035" w:rsidRDefault="00490035" w:rsidP="00D823AE"/>
    <w:p w14:paraId="603D3916" w14:textId="77777777" w:rsidR="00490035" w:rsidRDefault="00490035" w:rsidP="00D823AE"/>
    <w:p w14:paraId="27C3FB6D" w14:textId="77777777" w:rsidR="00490035" w:rsidRDefault="00490035" w:rsidP="00D823AE"/>
    <w:p w14:paraId="249156CC" w14:textId="77777777" w:rsidR="00490035" w:rsidRDefault="00490035" w:rsidP="00D823AE"/>
    <w:p w14:paraId="76BB8D8C" w14:textId="77777777" w:rsidR="00490035" w:rsidRDefault="00490035" w:rsidP="00D823AE"/>
    <w:p w14:paraId="143231F7" w14:textId="77777777" w:rsidR="00490035" w:rsidRDefault="00490035" w:rsidP="00D823AE"/>
    <w:p w14:paraId="64B39F2E" w14:textId="77777777" w:rsidR="00490035" w:rsidRDefault="00490035" w:rsidP="00D823AE"/>
    <w:p w14:paraId="59EE885E" w14:textId="77777777" w:rsidR="00490035" w:rsidRDefault="00490035" w:rsidP="00D823AE"/>
    <w:p w14:paraId="2EF26421" w14:textId="77777777" w:rsidR="00490035" w:rsidRDefault="00490035" w:rsidP="00D823AE"/>
    <w:p w14:paraId="23F801A2" w14:textId="77777777" w:rsidR="00490035" w:rsidRDefault="00490035" w:rsidP="00D823AE"/>
    <w:p w14:paraId="7C636DCD" w14:textId="77777777" w:rsidR="00490035" w:rsidRDefault="00490035" w:rsidP="00D823AE"/>
    <w:p w14:paraId="0D785C65" w14:textId="77777777" w:rsidR="00490035" w:rsidRDefault="00490035" w:rsidP="00D823AE"/>
    <w:p w14:paraId="5D7D392D" w14:textId="77777777" w:rsidR="00490035" w:rsidRDefault="00490035" w:rsidP="00D823AE"/>
    <w:p w14:paraId="28074CD0" w14:textId="77777777" w:rsidR="00490035" w:rsidRDefault="00490035" w:rsidP="00D823AE"/>
    <w:p w14:paraId="3B1A9CC2" w14:textId="77777777" w:rsidR="00490035" w:rsidRDefault="00490035" w:rsidP="00D823AE"/>
    <w:p w14:paraId="06FC861D" w14:textId="77777777" w:rsidR="00490035" w:rsidRDefault="00490035" w:rsidP="00D823AE"/>
    <w:p w14:paraId="20B1AC87" w14:textId="77777777" w:rsidR="00490035" w:rsidRDefault="00490035" w:rsidP="00D823AE"/>
    <w:p w14:paraId="5B346E0A" w14:textId="77777777" w:rsidR="00D823AE" w:rsidRDefault="00D823AE" w:rsidP="00D823AE">
      <w:pPr>
        <w:pStyle w:val="Caption"/>
      </w:pPr>
      <w:bookmarkStart w:id="1211" w:name="_Toc490226060"/>
      <w:r w:rsidRPr="00122CD3">
        <w:lastRenderedPageBreak/>
        <w:t xml:space="preserve">Table </w:t>
      </w:r>
      <w:fldSimple w:instr=" STYLEREF 5 \s ">
        <w:r w:rsidR="007566B9">
          <w:rPr>
            <w:noProof/>
          </w:rPr>
          <w:t>H</w:t>
        </w:r>
      </w:fldSimple>
      <w:r w:rsidRPr="00323BFA">
        <w:noBreakHyphen/>
      </w:r>
      <w:fldSimple w:instr=" SEQ Table_Apx \* ARABIC \s 5 ">
        <w:r w:rsidR="007566B9">
          <w:rPr>
            <w:noProof/>
          </w:rPr>
          <w:t>5</w:t>
        </w:r>
      </w:fldSimple>
      <w:r w:rsidRPr="006F2DA9">
        <w:t xml:space="preserve">. </w:t>
      </w:r>
      <w:r>
        <w:t>SCE Demand Savings</w:t>
      </w:r>
      <w:bookmarkEnd w:id="1211"/>
    </w:p>
    <w:tbl>
      <w:tblPr>
        <w:tblW w:w="8262" w:type="dxa"/>
        <w:jc w:val="center"/>
        <w:tblLook w:val="04A0" w:firstRow="1" w:lastRow="0" w:firstColumn="1" w:lastColumn="0" w:noHBand="0" w:noVBand="1"/>
      </w:tblPr>
      <w:tblGrid>
        <w:gridCol w:w="1177"/>
        <w:gridCol w:w="545"/>
        <w:gridCol w:w="545"/>
        <w:gridCol w:w="545"/>
        <w:gridCol w:w="545"/>
        <w:gridCol w:w="545"/>
        <w:gridCol w:w="545"/>
        <w:gridCol w:w="545"/>
        <w:gridCol w:w="545"/>
        <w:gridCol w:w="545"/>
        <w:gridCol w:w="545"/>
        <w:gridCol w:w="545"/>
        <w:gridCol w:w="545"/>
        <w:gridCol w:w="545"/>
      </w:tblGrid>
      <w:tr w:rsidR="00490035" w:rsidRPr="00490035" w14:paraId="75C8D128" w14:textId="77777777" w:rsidTr="00490035">
        <w:trPr>
          <w:trHeight w:val="315"/>
          <w:jc w:val="center"/>
        </w:trPr>
        <w:tc>
          <w:tcPr>
            <w:tcW w:w="8262" w:type="dxa"/>
            <w:gridSpan w:val="14"/>
            <w:tcBorders>
              <w:top w:val="nil"/>
              <w:left w:val="nil"/>
              <w:bottom w:val="single" w:sz="12" w:space="0" w:color="95D600"/>
              <w:right w:val="nil"/>
            </w:tcBorders>
            <w:shd w:val="clear" w:color="000000" w:fill="555759"/>
            <w:noWrap/>
            <w:vAlign w:val="center"/>
            <w:hideMark/>
          </w:tcPr>
          <w:p w14:paraId="056E5BEA" w14:textId="77777777" w:rsidR="00490035" w:rsidRPr="00490035" w:rsidRDefault="00490035" w:rsidP="00490035">
            <w:pPr>
              <w:spacing w:line="240" w:lineRule="auto"/>
              <w:jc w:val="center"/>
              <w:rPr>
                <w:rFonts w:ascii="Arial Narrow" w:hAnsi="Arial Narrow"/>
                <w:b/>
                <w:bCs/>
                <w:color w:val="FFFFFF"/>
                <w:sz w:val="18"/>
                <w:szCs w:val="18"/>
              </w:rPr>
            </w:pPr>
            <w:r w:rsidRPr="00490035">
              <w:rPr>
                <w:rFonts w:ascii="Arial Narrow" w:hAnsi="Arial Narrow"/>
                <w:b/>
                <w:bCs/>
                <w:color w:val="FFFFFF"/>
                <w:sz w:val="18"/>
                <w:szCs w:val="18"/>
              </w:rPr>
              <w:t>Electric Demand (MW)</w:t>
            </w:r>
          </w:p>
        </w:tc>
      </w:tr>
      <w:tr w:rsidR="00490035" w:rsidRPr="00490035" w14:paraId="395B31C2" w14:textId="77777777" w:rsidTr="002A760B">
        <w:trPr>
          <w:trHeight w:val="330"/>
          <w:jc w:val="center"/>
        </w:trPr>
        <w:tc>
          <w:tcPr>
            <w:tcW w:w="1177" w:type="dxa"/>
            <w:tcBorders>
              <w:top w:val="nil"/>
              <w:left w:val="nil"/>
              <w:bottom w:val="single" w:sz="8" w:space="0" w:color="DCDDDE"/>
              <w:right w:val="nil"/>
            </w:tcBorders>
            <w:shd w:val="clear" w:color="auto" w:fill="auto"/>
            <w:vAlign w:val="center"/>
            <w:hideMark/>
          </w:tcPr>
          <w:p w14:paraId="340CF1BB"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Year</w:t>
            </w:r>
          </w:p>
        </w:tc>
        <w:tc>
          <w:tcPr>
            <w:tcW w:w="545" w:type="dxa"/>
            <w:tcBorders>
              <w:top w:val="nil"/>
              <w:left w:val="nil"/>
              <w:bottom w:val="single" w:sz="8" w:space="0" w:color="DCDDDE"/>
              <w:right w:val="nil"/>
            </w:tcBorders>
            <w:shd w:val="clear" w:color="auto" w:fill="auto"/>
            <w:noWrap/>
            <w:vAlign w:val="center"/>
            <w:hideMark/>
          </w:tcPr>
          <w:p w14:paraId="6FA252B2"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2018</w:t>
            </w:r>
          </w:p>
        </w:tc>
        <w:tc>
          <w:tcPr>
            <w:tcW w:w="545" w:type="dxa"/>
            <w:tcBorders>
              <w:top w:val="nil"/>
              <w:left w:val="nil"/>
              <w:bottom w:val="single" w:sz="8" w:space="0" w:color="DCDDDE"/>
              <w:right w:val="nil"/>
            </w:tcBorders>
            <w:shd w:val="clear" w:color="auto" w:fill="auto"/>
            <w:noWrap/>
            <w:vAlign w:val="center"/>
            <w:hideMark/>
          </w:tcPr>
          <w:p w14:paraId="414B669B"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2019</w:t>
            </w:r>
          </w:p>
        </w:tc>
        <w:tc>
          <w:tcPr>
            <w:tcW w:w="545" w:type="dxa"/>
            <w:tcBorders>
              <w:top w:val="nil"/>
              <w:left w:val="nil"/>
              <w:bottom w:val="single" w:sz="8" w:space="0" w:color="DCDDDE"/>
              <w:right w:val="nil"/>
            </w:tcBorders>
            <w:shd w:val="clear" w:color="auto" w:fill="auto"/>
            <w:noWrap/>
            <w:vAlign w:val="center"/>
            <w:hideMark/>
          </w:tcPr>
          <w:p w14:paraId="04AC308A"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2020</w:t>
            </w:r>
          </w:p>
        </w:tc>
        <w:tc>
          <w:tcPr>
            <w:tcW w:w="545" w:type="dxa"/>
            <w:tcBorders>
              <w:top w:val="nil"/>
              <w:left w:val="nil"/>
              <w:bottom w:val="single" w:sz="8" w:space="0" w:color="DCDDDE"/>
              <w:right w:val="nil"/>
            </w:tcBorders>
            <w:shd w:val="clear" w:color="auto" w:fill="auto"/>
            <w:noWrap/>
            <w:vAlign w:val="center"/>
            <w:hideMark/>
          </w:tcPr>
          <w:p w14:paraId="5CCEC4A5"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2021</w:t>
            </w:r>
          </w:p>
        </w:tc>
        <w:tc>
          <w:tcPr>
            <w:tcW w:w="545" w:type="dxa"/>
            <w:tcBorders>
              <w:top w:val="nil"/>
              <w:left w:val="nil"/>
              <w:bottom w:val="single" w:sz="8" w:space="0" w:color="DCDDDE"/>
              <w:right w:val="nil"/>
            </w:tcBorders>
            <w:shd w:val="clear" w:color="auto" w:fill="auto"/>
            <w:noWrap/>
            <w:vAlign w:val="center"/>
            <w:hideMark/>
          </w:tcPr>
          <w:p w14:paraId="035AD5B9"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2022</w:t>
            </w:r>
          </w:p>
        </w:tc>
        <w:tc>
          <w:tcPr>
            <w:tcW w:w="545" w:type="dxa"/>
            <w:tcBorders>
              <w:top w:val="nil"/>
              <w:left w:val="nil"/>
              <w:bottom w:val="single" w:sz="8" w:space="0" w:color="DCDDDE"/>
              <w:right w:val="nil"/>
            </w:tcBorders>
            <w:shd w:val="clear" w:color="auto" w:fill="auto"/>
            <w:noWrap/>
            <w:vAlign w:val="center"/>
            <w:hideMark/>
          </w:tcPr>
          <w:p w14:paraId="4EC5BD46"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2023</w:t>
            </w:r>
          </w:p>
        </w:tc>
        <w:tc>
          <w:tcPr>
            <w:tcW w:w="545" w:type="dxa"/>
            <w:tcBorders>
              <w:top w:val="nil"/>
              <w:left w:val="nil"/>
              <w:bottom w:val="single" w:sz="8" w:space="0" w:color="DCDDDE"/>
              <w:right w:val="nil"/>
            </w:tcBorders>
            <w:shd w:val="clear" w:color="auto" w:fill="auto"/>
            <w:noWrap/>
            <w:vAlign w:val="center"/>
            <w:hideMark/>
          </w:tcPr>
          <w:p w14:paraId="12FB0092"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2024</w:t>
            </w:r>
          </w:p>
        </w:tc>
        <w:tc>
          <w:tcPr>
            <w:tcW w:w="545" w:type="dxa"/>
            <w:tcBorders>
              <w:top w:val="nil"/>
              <w:left w:val="nil"/>
              <w:bottom w:val="single" w:sz="8" w:space="0" w:color="DCDDDE"/>
              <w:right w:val="nil"/>
            </w:tcBorders>
            <w:shd w:val="clear" w:color="auto" w:fill="auto"/>
            <w:noWrap/>
            <w:vAlign w:val="center"/>
            <w:hideMark/>
          </w:tcPr>
          <w:p w14:paraId="4251A839"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2025</w:t>
            </w:r>
          </w:p>
        </w:tc>
        <w:tc>
          <w:tcPr>
            <w:tcW w:w="545" w:type="dxa"/>
            <w:tcBorders>
              <w:top w:val="nil"/>
              <w:left w:val="nil"/>
              <w:bottom w:val="single" w:sz="8" w:space="0" w:color="DCDDDE"/>
              <w:right w:val="nil"/>
            </w:tcBorders>
            <w:shd w:val="clear" w:color="auto" w:fill="auto"/>
            <w:noWrap/>
            <w:vAlign w:val="center"/>
            <w:hideMark/>
          </w:tcPr>
          <w:p w14:paraId="51AF5B9D"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2026</w:t>
            </w:r>
          </w:p>
        </w:tc>
        <w:tc>
          <w:tcPr>
            <w:tcW w:w="545" w:type="dxa"/>
            <w:tcBorders>
              <w:top w:val="nil"/>
              <w:left w:val="nil"/>
              <w:bottom w:val="single" w:sz="8" w:space="0" w:color="DCDDDE"/>
              <w:right w:val="nil"/>
            </w:tcBorders>
            <w:shd w:val="clear" w:color="auto" w:fill="auto"/>
            <w:noWrap/>
            <w:vAlign w:val="center"/>
            <w:hideMark/>
          </w:tcPr>
          <w:p w14:paraId="4F5A65C2"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2027</w:t>
            </w:r>
          </w:p>
        </w:tc>
        <w:tc>
          <w:tcPr>
            <w:tcW w:w="545" w:type="dxa"/>
            <w:tcBorders>
              <w:top w:val="nil"/>
              <w:left w:val="nil"/>
              <w:bottom w:val="single" w:sz="8" w:space="0" w:color="DCDDDE"/>
              <w:right w:val="nil"/>
            </w:tcBorders>
            <w:shd w:val="clear" w:color="auto" w:fill="auto"/>
            <w:noWrap/>
            <w:vAlign w:val="center"/>
            <w:hideMark/>
          </w:tcPr>
          <w:p w14:paraId="59FEA781"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2028</w:t>
            </w:r>
          </w:p>
        </w:tc>
        <w:tc>
          <w:tcPr>
            <w:tcW w:w="545" w:type="dxa"/>
            <w:tcBorders>
              <w:top w:val="nil"/>
              <w:left w:val="nil"/>
              <w:bottom w:val="single" w:sz="8" w:space="0" w:color="DCDDDE"/>
              <w:right w:val="nil"/>
            </w:tcBorders>
            <w:shd w:val="clear" w:color="auto" w:fill="auto"/>
            <w:noWrap/>
            <w:vAlign w:val="center"/>
            <w:hideMark/>
          </w:tcPr>
          <w:p w14:paraId="196CEC83"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2029</w:t>
            </w:r>
          </w:p>
        </w:tc>
        <w:tc>
          <w:tcPr>
            <w:tcW w:w="545" w:type="dxa"/>
            <w:tcBorders>
              <w:top w:val="nil"/>
              <w:left w:val="nil"/>
              <w:bottom w:val="single" w:sz="8" w:space="0" w:color="DCDDDE"/>
              <w:right w:val="nil"/>
            </w:tcBorders>
            <w:shd w:val="clear" w:color="auto" w:fill="auto"/>
            <w:noWrap/>
            <w:vAlign w:val="center"/>
            <w:hideMark/>
          </w:tcPr>
          <w:p w14:paraId="02BA1F9B"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2030</w:t>
            </w:r>
          </w:p>
        </w:tc>
      </w:tr>
      <w:tr w:rsidR="00490035" w:rsidRPr="00490035" w14:paraId="1DFCB746" w14:textId="77777777" w:rsidTr="00490035">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7A90BF02"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TRC | Reference</w:t>
            </w:r>
          </w:p>
        </w:tc>
      </w:tr>
      <w:tr w:rsidR="00490035" w:rsidRPr="00490035" w14:paraId="07FCD087"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030FC28A"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0EA6CDE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59</w:t>
            </w:r>
          </w:p>
        </w:tc>
        <w:tc>
          <w:tcPr>
            <w:tcW w:w="545" w:type="dxa"/>
            <w:tcBorders>
              <w:top w:val="nil"/>
              <w:left w:val="nil"/>
              <w:bottom w:val="single" w:sz="8" w:space="0" w:color="DCDDDE"/>
              <w:right w:val="nil"/>
            </w:tcBorders>
            <w:shd w:val="clear" w:color="000000" w:fill="FFFFFF"/>
            <w:noWrap/>
            <w:vAlign w:val="center"/>
            <w:hideMark/>
          </w:tcPr>
          <w:p w14:paraId="3035B90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65</w:t>
            </w:r>
          </w:p>
        </w:tc>
        <w:tc>
          <w:tcPr>
            <w:tcW w:w="545" w:type="dxa"/>
            <w:tcBorders>
              <w:top w:val="nil"/>
              <w:left w:val="nil"/>
              <w:bottom w:val="single" w:sz="8" w:space="0" w:color="DCDDDE"/>
              <w:right w:val="nil"/>
            </w:tcBorders>
            <w:shd w:val="clear" w:color="000000" w:fill="FFFFFF"/>
            <w:noWrap/>
            <w:vAlign w:val="center"/>
            <w:hideMark/>
          </w:tcPr>
          <w:p w14:paraId="18078B5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64</w:t>
            </w:r>
          </w:p>
        </w:tc>
        <w:tc>
          <w:tcPr>
            <w:tcW w:w="545" w:type="dxa"/>
            <w:tcBorders>
              <w:top w:val="nil"/>
              <w:left w:val="nil"/>
              <w:bottom w:val="single" w:sz="8" w:space="0" w:color="DCDDDE"/>
              <w:right w:val="nil"/>
            </w:tcBorders>
            <w:shd w:val="clear" w:color="000000" w:fill="FFFFFF"/>
            <w:noWrap/>
            <w:vAlign w:val="center"/>
            <w:hideMark/>
          </w:tcPr>
          <w:p w14:paraId="747A88D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72</w:t>
            </w:r>
          </w:p>
        </w:tc>
        <w:tc>
          <w:tcPr>
            <w:tcW w:w="545" w:type="dxa"/>
            <w:tcBorders>
              <w:top w:val="nil"/>
              <w:left w:val="nil"/>
              <w:bottom w:val="single" w:sz="8" w:space="0" w:color="DCDDDE"/>
              <w:right w:val="nil"/>
            </w:tcBorders>
            <w:shd w:val="clear" w:color="000000" w:fill="FFFFFF"/>
            <w:noWrap/>
            <w:vAlign w:val="center"/>
            <w:hideMark/>
          </w:tcPr>
          <w:p w14:paraId="1BE064F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75</w:t>
            </w:r>
          </w:p>
        </w:tc>
        <w:tc>
          <w:tcPr>
            <w:tcW w:w="545" w:type="dxa"/>
            <w:tcBorders>
              <w:top w:val="nil"/>
              <w:left w:val="nil"/>
              <w:bottom w:val="single" w:sz="8" w:space="0" w:color="DCDDDE"/>
              <w:right w:val="nil"/>
            </w:tcBorders>
            <w:shd w:val="clear" w:color="000000" w:fill="FFFFFF"/>
            <w:noWrap/>
            <w:vAlign w:val="center"/>
            <w:hideMark/>
          </w:tcPr>
          <w:p w14:paraId="0A8E2EE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78</w:t>
            </w:r>
          </w:p>
        </w:tc>
        <w:tc>
          <w:tcPr>
            <w:tcW w:w="545" w:type="dxa"/>
            <w:tcBorders>
              <w:top w:val="nil"/>
              <w:left w:val="nil"/>
              <w:bottom w:val="single" w:sz="8" w:space="0" w:color="DCDDDE"/>
              <w:right w:val="nil"/>
            </w:tcBorders>
            <w:shd w:val="clear" w:color="000000" w:fill="FFFFFF"/>
            <w:noWrap/>
            <w:vAlign w:val="center"/>
            <w:hideMark/>
          </w:tcPr>
          <w:p w14:paraId="0BA9045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84</w:t>
            </w:r>
          </w:p>
        </w:tc>
        <w:tc>
          <w:tcPr>
            <w:tcW w:w="545" w:type="dxa"/>
            <w:tcBorders>
              <w:top w:val="nil"/>
              <w:left w:val="nil"/>
              <w:bottom w:val="single" w:sz="8" w:space="0" w:color="DCDDDE"/>
              <w:right w:val="nil"/>
            </w:tcBorders>
            <w:shd w:val="clear" w:color="000000" w:fill="FFFFFF"/>
            <w:noWrap/>
            <w:vAlign w:val="center"/>
            <w:hideMark/>
          </w:tcPr>
          <w:p w14:paraId="6E195E7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88</w:t>
            </w:r>
          </w:p>
        </w:tc>
        <w:tc>
          <w:tcPr>
            <w:tcW w:w="545" w:type="dxa"/>
            <w:tcBorders>
              <w:top w:val="nil"/>
              <w:left w:val="nil"/>
              <w:bottom w:val="single" w:sz="8" w:space="0" w:color="DCDDDE"/>
              <w:right w:val="nil"/>
            </w:tcBorders>
            <w:shd w:val="clear" w:color="000000" w:fill="FFFFFF"/>
            <w:noWrap/>
            <w:vAlign w:val="center"/>
            <w:hideMark/>
          </w:tcPr>
          <w:p w14:paraId="5E48FC2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93</w:t>
            </w:r>
          </w:p>
        </w:tc>
        <w:tc>
          <w:tcPr>
            <w:tcW w:w="545" w:type="dxa"/>
            <w:tcBorders>
              <w:top w:val="nil"/>
              <w:left w:val="nil"/>
              <w:bottom w:val="single" w:sz="8" w:space="0" w:color="DCDDDE"/>
              <w:right w:val="nil"/>
            </w:tcBorders>
            <w:shd w:val="clear" w:color="000000" w:fill="FFFFFF"/>
            <w:noWrap/>
            <w:vAlign w:val="center"/>
            <w:hideMark/>
          </w:tcPr>
          <w:p w14:paraId="30FE3B9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95</w:t>
            </w:r>
          </w:p>
        </w:tc>
        <w:tc>
          <w:tcPr>
            <w:tcW w:w="545" w:type="dxa"/>
            <w:tcBorders>
              <w:top w:val="nil"/>
              <w:left w:val="nil"/>
              <w:bottom w:val="single" w:sz="8" w:space="0" w:color="DCDDDE"/>
              <w:right w:val="nil"/>
            </w:tcBorders>
            <w:shd w:val="clear" w:color="000000" w:fill="FFFFFF"/>
            <w:noWrap/>
            <w:vAlign w:val="center"/>
            <w:hideMark/>
          </w:tcPr>
          <w:p w14:paraId="2441A88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97</w:t>
            </w:r>
          </w:p>
        </w:tc>
        <w:tc>
          <w:tcPr>
            <w:tcW w:w="545" w:type="dxa"/>
            <w:tcBorders>
              <w:top w:val="nil"/>
              <w:left w:val="nil"/>
              <w:bottom w:val="single" w:sz="8" w:space="0" w:color="DCDDDE"/>
              <w:right w:val="nil"/>
            </w:tcBorders>
            <w:shd w:val="clear" w:color="000000" w:fill="FFFFFF"/>
            <w:noWrap/>
            <w:vAlign w:val="center"/>
            <w:hideMark/>
          </w:tcPr>
          <w:p w14:paraId="05EB79F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98</w:t>
            </w:r>
          </w:p>
        </w:tc>
        <w:tc>
          <w:tcPr>
            <w:tcW w:w="545" w:type="dxa"/>
            <w:tcBorders>
              <w:top w:val="nil"/>
              <w:left w:val="nil"/>
              <w:bottom w:val="single" w:sz="8" w:space="0" w:color="DCDDDE"/>
              <w:right w:val="nil"/>
            </w:tcBorders>
            <w:shd w:val="clear" w:color="000000" w:fill="FFFFFF"/>
            <w:noWrap/>
            <w:vAlign w:val="center"/>
            <w:hideMark/>
          </w:tcPr>
          <w:p w14:paraId="35B1FB2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98</w:t>
            </w:r>
          </w:p>
        </w:tc>
      </w:tr>
      <w:tr w:rsidR="00490035" w:rsidRPr="00490035" w14:paraId="31F0B7C7"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08D877DB"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737AB17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44F8440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0356BA2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31303C7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228B7F7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5CA5A57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24</w:t>
            </w:r>
          </w:p>
        </w:tc>
        <w:tc>
          <w:tcPr>
            <w:tcW w:w="545" w:type="dxa"/>
            <w:tcBorders>
              <w:top w:val="nil"/>
              <w:left w:val="nil"/>
              <w:bottom w:val="single" w:sz="8" w:space="0" w:color="DCDDDE"/>
              <w:right w:val="nil"/>
            </w:tcBorders>
            <w:shd w:val="clear" w:color="000000" w:fill="FFFFFF"/>
            <w:noWrap/>
            <w:vAlign w:val="center"/>
            <w:hideMark/>
          </w:tcPr>
          <w:p w14:paraId="59CA7B2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47E3AA1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03FFFD4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31</w:t>
            </w:r>
          </w:p>
        </w:tc>
        <w:tc>
          <w:tcPr>
            <w:tcW w:w="545" w:type="dxa"/>
            <w:tcBorders>
              <w:top w:val="nil"/>
              <w:left w:val="nil"/>
              <w:bottom w:val="single" w:sz="8" w:space="0" w:color="DCDDDE"/>
              <w:right w:val="nil"/>
            </w:tcBorders>
            <w:shd w:val="clear" w:color="000000" w:fill="FFFFFF"/>
            <w:noWrap/>
            <w:vAlign w:val="center"/>
            <w:hideMark/>
          </w:tcPr>
          <w:p w14:paraId="0EA57CD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7DB3265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36</w:t>
            </w:r>
          </w:p>
        </w:tc>
        <w:tc>
          <w:tcPr>
            <w:tcW w:w="545" w:type="dxa"/>
            <w:tcBorders>
              <w:top w:val="nil"/>
              <w:left w:val="nil"/>
              <w:bottom w:val="single" w:sz="8" w:space="0" w:color="DCDDDE"/>
              <w:right w:val="nil"/>
            </w:tcBorders>
            <w:shd w:val="clear" w:color="000000" w:fill="FFFFFF"/>
            <w:noWrap/>
            <w:vAlign w:val="center"/>
            <w:hideMark/>
          </w:tcPr>
          <w:p w14:paraId="5CD2901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38</w:t>
            </w:r>
          </w:p>
        </w:tc>
        <w:tc>
          <w:tcPr>
            <w:tcW w:w="545" w:type="dxa"/>
            <w:tcBorders>
              <w:top w:val="nil"/>
              <w:left w:val="nil"/>
              <w:bottom w:val="single" w:sz="8" w:space="0" w:color="DCDDDE"/>
              <w:right w:val="nil"/>
            </w:tcBorders>
            <w:shd w:val="clear" w:color="000000" w:fill="FFFFFF"/>
            <w:noWrap/>
            <w:vAlign w:val="center"/>
            <w:hideMark/>
          </w:tcPr>
          <w:p w14:paraId="14EF0DC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40</w:t>
            </w:r>
          </w:p>
        </w:tc>
      </w:tr>
      <w:tr w:rsidR="00490035" w:rsidRPr="00490035" w14:paraId="09021496"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7AC72C60"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45FE4BF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47B554E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12877D7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72E4D34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4F8A72E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0D68056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6AA329C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1087E6A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48A8898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04B1F43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39F29D7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2B900D5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505C890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r>
      <w:tr w:rsidR="00490035" w:rsidRPr="00490035" w14:paraId="64F720E5"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2FDC6AB4"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35F6355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75</w:t>
            </w:r>
          </w:p>
        </w:tc>
        <w:tc>
          <w:tcPr>
            <w:tcW w:w="545" w:type="dxa"/>
            <w:tcBorders>
              <w:top w:val="nil"/>
              <w:left w:val="nil"/>
              <w:bottom w:val="single" w:sz="8" w:space="0" w:color="DCDDDE"/>
              <w:right w:val="nil"/>
            </w:tcBorders>
            <w:shd w:val="clear" w:color="000000" w:fill="FFFFFF"/>
            <w:noWrap/>
            <w:vAlign w:val="center"/>
            <w:hideMark/>
          </w:tcPr>
          <w:p w14:paraId="4168013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85</w:t>
            </w:r>
          </w:p>
        </w:tc>
        <w:tc>
          <w:tcPr>
            <w:tcW w:w="545" w:type="dxa"/>
            <w:tcBorders>
              <w:top w:val="nil"/>
              <w:left w:val="nil"/>
              <w:bottom w:val="single" w:sz="8" w:space="0" w:color="DCDDDE"/>
              <w:right w:val="nil"/>
            </w:tcBorders>
            <w:shd w:val="clear" w:color="000000" w:fill="FFFFFF"/>
            <w:noWrap/>
            <w:vAlign w:val="center"/>
            <w:hideMark/>
          </w:tcPr>
          <w:p w14:paraId="4E02D1C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86</w:t>
            </w:r>
          </w:p>
        </w:tc>
        <w:tc>
          <w:tcPr>
            <w:tcW w:w="545" w:type="dxa"/>
            <w:tcBorders>
              <w:top w:val="nil"/>
              <w:left w:val="nil"/>
              <w:bottom w:val="single" w:sz="8" w:space="0" w:color="DCDDDE"/>
              <w:right w:val="nil"/>
            </w:tcBorders>
            <w:shd w:val="clear" w:color="000000" w:fill="FFFFFF"/>
            <w:noWrap/>
            <w:vAlign w:val="center"/>
            <w:hideMark/>
          </w:tcPr>
          <w:p w14:paraId="5D36875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93</w:t>
            </w:r>
          </w:p>
        </w:tc>
        <w:tc>
          <w:tcPr>
            <w:tcW w:w="545" w:type="dxa"/>
            <w:tcBorders>
              <w:top w:val="nil"/>
              <w:left w:val="nil"/>
              <w:bottom w:val="single" w:sz="8" w:space="0" w:color="DCDDDE"/>
              <w:right w:val="nil"/>
            </w:tcBorders>
            <w:shd w:val="clear" w:color="000000" w:fill="FFFFFF"/>
            <w:noWrap/>
            <w:vAlign w:val="center"/>
            <w:hideMark/>
          </w:tcPr>
          <w:p w14:paraId="0FF43DA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98</w:t>
            </w:r>
          </w:p>
        </w:tc>
        <w:tc>
          <w:tcPr>
            <w:tcW w:w="545" w:type="dxa"/>
            <w:tcBorders>
              <w:top w:val="nil"/>
              <w:left w:val="nil"/>
              <w:bottom w:val="single" w:sz="8" w:space="0" w:color="DCDDDE"/>
              <w:right w:val="nil"/>
            </w:tcBorders>
            <w:shd w:val="clear" w:color="000000" w:fill="FFFFFF"/>
            <w:noWrap/>
            <w:vAlign w:val="center"/>
            <w:hideMark/>
          </w:tcPr>
          <w:p w14:paraId="27EEDA7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103</w:t>
            </w:r>
          </w:p>
        </w:tc>
        <w:tc>
          <w:tcPr>
            <w:tcW w:w="545" w:type="dxa"/>
            <w:tcBorders>
              <w:top w:val="nil"/>
              <w:left w:val="nil"/>
              <w:bottom w:val="single" w:sz="8" w:space="0" w:color="DCDDDE"/>
              <w:right w:val="nil"/>
            </w:tcBorders>
            <w:shd w:val="clear" w:color="000000" w:fill="FFFFFF"/>
            <w:noWrap/>
            <w:vAlign w:val="center"/>
            <w:hideMark/>
          </w:tcPr>
          <w:p w14:paraId="1140893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110</w:t>
            </w:r>
          </w:p>
        </w:tc>
        <w:tc>
          <w:tcPr>
            <w:tcW w:w="545" w:type="dxa"/>
            <w:tcBorders>
              <w:top w:val="nil"/>
              <w:left w:val="nil"/>
              <w:bottom w:val="single" w:sz="8" w:space="0" w:color="DCDDDE"/>
              <w:right w:val="nil"/>
            </w:tcBorders>
            <w:shd w:val="clear" w:color="000000" w:fill="FFFFFF"/>
            <w:noWrap/>
            <w:vAlign w:val="center"/>
            <w:hideMark/>
          </w:tcPr>
          <w:p w14:paraId="73DC9F0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117</w:t>
            </w:r>
          </w:p>
        </w:tc>
        <w:tc>
          <w:tcPr>
            <w:tcW w:w="545" w:type="dxa"/>
            <w:tcBorders>
              <w:top w:val="nil"/>
              <w:left w:val="nil"/>
              <w:bottom w:val="single" w:sz="8" w:space="0" w:color="DCDDDE"/>
              <w:right w:val="nil"/>
            </w:tcBorders>
            <w:shd w:val="clear" w:color="000000" w:fill="FFFFFF"/>
            <w:noWrap/>
            <w:vAlign w:val="center"/>
            <w:hideMark/>
          </w:tcPr>
          <w:p w14:paraId="71CCC0A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124</w:t>
            </w:r>
          </w:p>
        </w:tc>
        <w:tc>
          <w:tcPr>
            <w:tcW w:w="545" w:type="dxa"/>
            <w:tcBorders>
              <w:top w:val="nil"/>
              <w:left w:val="nil"/>
              <w:bottom w:val="single" w:sz="8" w:space="0" w:color="DCDDDE"/>
              <w:right w:val="nil"/>
            </w:tcBorders>
            <w:shd w:val="clear" w:color="000000" w:fill="FFFFFF"/>
            <w:noWrap/>
            <w:vAlign w:val="center"/>
            <w:hideMark/>
          </w:tcPr>
          <w:p w14:paraId="5707B80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129</w:t>
            </w:r>
          </w:p>
        </w:tc>
        <w:tc>
          <w:tcPr>
            <w:tcW w:w="545" w:type="dxa"/>
            <w:tcBorders>
              <w:top w:val="nil"/>
              <w:left w:val="nil"/>
              <w:bottom w:val="single" w:sz="8" w:space="0" w:color="DCDDDE"/>
              <w:right w:val="nil"/>
            </w:tcBorders>
            <w:shd w:val="clear" w:color="000000" w:fill="FFFFFF"/>
            <w:noWrap/>
            <w:vAlign w:val="center"/>
            <w:hideMark/>
          </w:tcPr>
          <w:p w14:paraId="5E2C045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133</w:t>
            </w:r>
          </w:p>
        </w:tc>
        <w:tc>
          <w:tcPr>
            <w:tcW w:w="545" w:type="dxa"/>
            <w:tcBorders>
              <w:top w:val="nil"/>
              <w:left w:val="nil"/>
              <w:bottom w:val="single" w:sz="8" w:space="0" w:color="DCDDDE"/>
              <w:right w:val="nil"/>
            </w:tcBorders>
            <w:shd w:val="clear" w:color="000000" w:fill="FFFFFF"/>
            <w:noWrap/>
            <w:vAlign w:val="center"/>
            <w:hideMark/>
          </w:tcPr>
          <w:p w14:paraId="59B04E7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137</w:t>
            </w:r>
          </w:p>
        </w:tc>
        <w:tc>
          <w:tcPr>
            <w:tcW w:w="545" w:type="dxa"/>
            <w:tcBorders>
              <w:top w:val="nil"/>
              <w:left w:val="nil"/>
              <w:bottom w:val="single" w:sz="8" w:space="0" w:color="DCDDDE"/>
              <w:right w:val="nil"/>
            </w:tcBorders>
            <w:shd w:val="clear" w:color="000000" w:fill="FFFFFF"/>
            <w:noWrap/>
            <w:vAlign w:val="center"/>
            <w:hideMark/>
          </w:tcPr>
          <w:p w14:paraId="5BBFB7B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139</w:t>
            </w:r>
          </w:p>
        </w:tc>
      </w:tr>
      <w:tr w:rsidR="00490035" w:rsidRPr="00490035" w14:paraId="3CC91334"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77B5ED58"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195F485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124</w:t>
            </w:r>
          </w:p>
        </w:tc>
        <w:tc>
          <w:tcPr>
            <w:tcW w:w="545" w:type="dxa"/>
            <w:tcBorders>
              <w:top w:val="nil"/>
              <w:left w:val="nil"/>
              <w:bottom w:val="single" w:sz="8" w:space="0" w:color="DCDDDE"/>
              <w:right w:val="nil"/>
            </w:tcBorders>
            <w:shd w:val="clear" w:color="000000" w:fill="FFFFFF"/>
            <w:noWrap/>
            <w:vAlign w:val="center"/>
            <w:hideMark/>
          </w:tcPr>
          <w:p w14:paraId="7767501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125</w:t>
            </w:r>
          </w:p>
        </w:tc>
        <w:tc>
          <w:tcPr>
            <w:tcW w:w="545" w:type="dxa"/>
            <w:tcBorders>
              <w:top w:val="nil"/>
              <w:left w:val="nil"/>
              <w:bottom w:val="single" w:sz="8" w:space="0" w:color="DCDDDE"/>
              <w:right w:val="nil"/>
            </w:tcBorders>
            <w:shd w:val="clear" w:color="000000" w:fill="FFFFFF"/>
            <w:noWrap/>
            <w:vAlign w:val="center"/>
            <w:hideMark/>
          </w:tcPr>
          <w:p w14:paraId="5177EF9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142</w:t>
            </w:r>
          </w:p>
        </w:tc>
        <w:tc>
          <w:tcPr>
            <w:tcW w:w="545" w:type="dxa"/>
            <w:tcBorders>
              <w:top w:val="nil"/>
              <w:left w:val="nil"/>
              <w:bottom w:val="single" w:sz="8" w:space="0" w:color="DCDDDE"/>
              <w:right w:val="nil"/>
            </w:tcBorders>
            <w:shd w:val="clear" w:color="000000" w:fill="FFFFFF"/>
            <w:noWrap/>
            <w:vAlign w:val="center"/>
            <w:hideMark/>
          </w:tcPr>
          <w:p w14:paraId="0130976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168</w:t>
            </w:r>
          </w:p>
        </w:tc>
        <w:tc>
          <w:tcPr>
            <w:tcW w:w="545" w:type="dxa"/>
            <w:tcBorders>
              <w:top w:val="nil"/>
              <w:left w:val="nil"/>
              <w:bottom w:val="single" w:sz="8" w:space="0" w:color="DCDDDE"/>
              <w:right w:val="nil"/>
            </w:tcBorders>
            <w:shd w:val="clear" w:color="000000" w:fill="FFFFFF"/>
            <w:noWrap/>
            <w:vAlign w:val="center"/>
            <w:hideMark/>
          </w:tcPr>
          <w:p w14:paraId="402C3E4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163</w:t>
            </w:r>
          </w:p>
        </w:tc>
        <w:tc>
          <w:tcPr>
            <w:tcW w:w="545" w:type="dxa"/>
            <w:tcBorders>
              <w:top w:val="nil"/>
              <w:left w:val="nil"/>
              <w:bottom w:val="single" w:sz="8" w:space="0" w:color="DCDDDE"/>
              <w:right w:val="nil"/>
            </w:tcBorders>
            <w:shd w:val="clear" w:color="000000" w:fill="FFFFFF"/>
            <w:noWrap/>
            <w:vAlign w:val="center"/>
            <w:hideMark/>
          </w:tcPr>
          <w:p w14:paraId="7C5EF68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200</w:t>
            </w:r>
          </w:p>
        </w:tc>
        <w:tc>
          <w:tcPr>
            <w:tcW w:w="545" w:type="dxa"/>
            <w:tcBorders>
              <w:top w:val="nil"/>
              <w:left w:val="nil"/>
              <w:bottom w:val="single" w:sz="8" w:space="0" w:color="DCDDDE"/>
              <w:right w:val="nil"/>
            </w:tcBorders>
            <w:shd w:val="clear" w:color="000000" w:fill="FFFFFF"/>
            <w:noWrap/>
            <w:vAlign w:val="center"/>
            <w:hideMark/>
          </w:tcPr>
          <w:p w14:paraId="622557B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192</w:t>
            </w:r>
          </w:p>
        </w:tc>
        <w:tc>
          <w:tcPr>
            <w:tcW w:w="545" w:type="dxa"/>
            <w:tcBorders>
              <w:top w:val="nil"/>
              <w:left w:val="nil"/>
              <w:bottom w:val="single" w:sz="8" w:space="0" w:color="DCDDDE"/>
              <w:right w:val="nil"/>
            </w:tcBorders>
            <w:shd w:val="clear" w:color="000000" w:fill="FFFFFF"/>
            <w:noWrap/>
            <w:vAlign w:val="center"/>
            <w:hideMark/>
          </w:tcPr>
          <w:p w14:paraId="4DA2CEE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186</w:t>
            </w:r>
          </w:p>
        </w:tc>
        <w:tc>
          <w:tcPr>
            <w:tcW w:w="545" w:type="dxa"/>
            <w:tcBorders>
              <w:top w:val="nil"/>
              <w:left w:val="nil"/>
              <w:bottom w:val="single" w:sz="8" w:space="0" w:color="DCDDDE"/>
              <w:right w:val="nil"/>
            </w:tcBorders>
            <w:shd w:val="clear" w:color="000000" w:fill="FFFFFF"/>
            <w:noWrap/>
            <w:vAlign w:val="center"/>
            <w:hideMark/>
          </w:tcPr>
          <w:p w14:paraId="79E7B84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178</w:t>
            </w:r>
          </w:p>
        </w:tc>
        <w:tc>
          <w:tcPr>
            <w:tcW w:w="545" w:type="dxa"/>
            <w:tcBorders>
              <w:top w:val="nil"/>
              <w:left w:val="nil"/>
              <w:bottom w:val="single" w:sz="8" w:space="0" w:color="DCDDDE"/>
              <w:right w:val="nil"/>
            </w:tcBorders>
            <w:shd w:val="clear" w:color="000000" w:fill="FFFFFF"/>
            <w:noWrap/>
            <w:vAlign w:val="center"/>
            <w:hideMark/>
          </w:tcPr>
          <w:p w14:paraId="49953F2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174</w:t>
            </w:r>
          </w:p>
        </w:tc>
        <w:tc>
          <w:tcPr>
            <w:tcW w:w="545" w:type="dxa"/>
            <w:tcBorders>
              <w:top w:val="nil"/>
              <w:left w:val="nil"/>
              <w:bottom w:val="single" w:sz="8" w:space="0" w:color="DCDDDE"/>
              <w:right w:val="nil"/>
            </w:tcBorders>
            <w:shd w:val="clear" w:color="000000" w:fill="FFFFFF"/>
            <w:noWrap/>
            <w:vAlign w:val="center"/>
            <w:hideMark/>
          </w:tcPr>
          <w:p w14:paraId="7DA4A06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165</w:t>
            </w:r>
          </w:p>
        </w:tc>
        <w:tc>
          <w:tcPr>
            <w:tcW w:w="545" w:type="dxa"/>
            <w:tcBorders>
              <w:top w:val="nil"/>
              <w:left w:val="nil"/>
              <w:bottom w:val="single" w:sz="8" w:space="0" w:color="DCDDDE"/>
              <w:right w:val="nil"/>
            </w:tcBorders>
            <w:shd w:val="clear" w:color="000000" w:fill="FFFFFF"/>
            <w:noWrap/>
            <w:vAlign w:val="center"/>
            <w:hideMark/>
          </w:tcPr>
          <w:p w14:paraId="2FAA2BB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157</w:t>
            </w:r>
          </w:p>
        </w:tc>
        <w:tc>
          <w:tcPr>
            <w:tcW w:w="545" w:type="dxa"/>
            <w:tcBorders>
              <w:top w:val="nil"/>
              <w:left w:val="nil"/>
              <w:bottom w:val="single" w:sz="8" w:space="0" w:color="DCDDDE"/>
              <w:right w:val="nil"/>
            </w:tcBorders>
            <w:shd w:val="clear" w:color="000000" w:fill="FFFFFF"/>
            <w:noWrap/>
            <w:vAlign w:val="center"/>
            <w:hideMark/>
          </w:tcPr>
          <w:p w14:paraId="2E5CE4F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149</w:t>
            </w:r>
          </w:p>
        </w:tc>
      </w:tr>
      <w:tr w:rsidR="00490035" w:rsidRPr="00490035" w14:paraId="4E66D853"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08F27734"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58D3BA0A"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199</w:t>
            </w:r>
          </w:p>
        </w:tc>
        <w:tc>
          <w:tcPr>
            <w:tcW w:w="545" w:type="dxa"/>
            <w:tcBorders>
              <w:top w:val="nil"/>
              <w:left w:val="nil"/>
              <w:bottom w:val="single" w:sz="8" w:space="0" w:color="DCDDDE"/>
              <w:right w:val="nil"/>
            </w:tcBorders>
            <w:shd w:val="clear" w:color="000000" w:fill="FFFFFF"/>
            <w:noWrap/>
            <w:vAlign w:val="center"/>
            <w:hideMark/>
          </w:tcPr>
          <w:p w14:paraId="4D94FBA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210</w:t>
            </w:r>
          </w:p>
        </w:tc>
        <w:tc>
          <w:tcPr>
            <w:tcW w:w="545" w:type="dxa"/>
            <w:tcBorders>
              <w:top w:val="nil"/>
              <w:left w:val="nil"/>
              <w:bottom w:val="single" w:sz="8" w:space="0" w:color="DCDDDE"/>
              <w:right w:val="nil"/>
            </w:tcBorders>
            <w:shd w:val="clear" w:color="000000" w:fill="FFFFFF"/>
            <w:noWrap/>
            <w:vAlign w:val="center"/>
            <w:hideMark/>
          </w:tcPr>
          <w:p w14:paraId="678736B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228</w:t>
            </w:r>
          </w:p>
        </w:tc>
        <w:tc>
          <w:tcPr>
            <w:tcW w:w="545" w:type="dxa"/>
            <w:tcBorders>
              <w:top w:val="nil"/>
              <w:left w:val="nil"/>
              <w:bottom w:val="single" w:sz="8" w:space="0" w:color="DCDDDE"/>
              <w:right w:val="nil"/>
            </w:tcBorders>
            <w:shd w:val="clear" w:color="000000" w:fill="FFFFFF"/>
            <w:noWrap/>
            <w:vAlign w:val="center"/>
            <w:hideMark/>
          </w:tcPr>
          <w:p w14:paraId="494A1C43"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261</w:t>
            </w:r>
          </w:p>
        </w:tc>
        <w:tc>
          <w:tcPr>
            <w:tcW w:w="545" w:type="dxa"/>
            <w:tcBorders>
              <w:top w:val="nil"/>
              <w:left w:val="nil"/>
              <w:bottom w:val="single" w:sz="8" w:space="0" w:color="DCDDDE"/>
              <w:right w:val="nil"/>
            </w:tcBorders>
            <w:shd w:val="clear" w:color="000000" w:fill="FFFFFF"/>
            <w:noWrap/>
            <w:vAlign w:val="center"/>
            <w:hideMark/>
          </w:tcPr>
          <w:p w14:paraId="3B2B08C3"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261</w:t>
            </w:r>
          </w:p>
        </w:tc>
        <w:tc>
          <w:tcPr>
            <w:tcW w:w="545" w:type="dxa"/>
            <w:tcBorders>
              <w:top w:val="nil"/>
              <w:left w:val="nil"/>
              <w:bottom w:val="single" w:sz="8" w:space="0" w:color="DCDDDE"/>
              <w:right w:val="nil"/>
            </w:tcBorders>
            <w:shd w:val="clear" w:color="000000" w:fill="FFFFFF"/>
            <w:noWrap/>
            <w:vAlign w:val="center"/>
            <w:hideMark/>
          </w:tcPr>
          <w:p w14:paraId="7CFBF32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303</w:t>
            </w:r>
          </w:p>
        </w:tc>
        <w:tc>
          <w:tcPr>
            <w:tcW w:w="545" w:type="dxa"/>
            <w:tcBorders>
              <w:top w:val="nil"/>
              <w:left w:val="nil"/>
              <w:bottom w:val="single" w:sz="8" w:space="0" w:color="DCDDDE"/>
              <w:right w:val="nil"/>
            </w:tcBorders>
            <w:shd w:val="clear" w:color="000000" w:fill="FFFFFF"/>
            <w:noWrap/>
            <w:vAlign w:val="center"/>
            <w:hideMark/>
          </w:tcPr>
          <w:p w14:paraId="68AD43D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302</w:t>
            </w:r>
          </w:p>
        </w:tc>
        <w:tc>
          <w:tcPr>
            <w:tcW w:w="545" w:type="dxa"/>
            <w:tcBorders>
              <w:top w:val="nil"/>
              <w:left w:val="nil"/>
              <w:bottom w:val="single" w:sz="8" w:space="0" w:color="DCDDDE"/>
              <w:right w:val="nil"/>
            </w:tcBorders>
            <w:shd w:val="clear" w:color="000000" w:fill="FFFFFF"/>
            <w:noWrap/>
            <w:vAlign w:val="center"/>
            <w:hideMark/>
          </w:tcPr>
          <w:p w14:paraId="5A0F7893"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303</w:t>
            </w:r>
          </w:p>
        </w:tc>
        <w:tc>
          <w:tcPr>
            <w:tcW w:w="545" w:type="dxa"/>
            <w:tcBorders>
              <w:top w:val="nil"/>
              <w:left w:val="nil"/>
              <w:bottom w:val="single" w:sz="8" w:space="0" w:color="DCDDDE"/>
              <w:right w:val="nil"/>
            </w:tcBorders>
            <w:shd w:val="clear" w:color="000000" w:fill="FFFFFF"/>
            <w:noWrap/>
            <w:vAlign w:val="center"/>
            <w:hideMark/>
          </w:tcPr>
          <w:p w14:paraId="1E917C77"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303</w:t>
            </w:r>
          </w:p>
        </w:tc>
        <w:tc>
          <w:tcPr>
            <w:tcW w:w="545" w:type="dxa"/>
            <w:tcBorders>
              <w:top w:val="nil"/>
              <w:left w:val="nil"/>
              <w:bottom w:val="single" w:sz="8" w:space="0" w:color="DCDDDE"/>
              <w:right w:val="nil"/>
            </w:tcBorders>
            <w:shd w:val="clear" w:color="000000" w:fill="FFFFFF"/>
            <w:noWrap/>
            <w:vAlign w:val="center"/>
            <w:hideMark/>
          </w:tcPr>
          <w:p w14:paraId="4E60ABA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303</w:t>
            </w:r>
          </w:p>
        </w:tc>
        <w:tc>
          <w:tcPr>
            <w:tcW w:w="545" w:type="dxa"/>
            <w:tcBorders>
              <w:top w:val="nil"/>
              <w:left w:val="nil"/>
              <w:bottom w:val="single" w:sz="8" w:space="0" w:color="DCDDDE"/>
              <w:right w:val="nil"/>
            </w:tcBorders>
            <w:shd w:val="clear" w:color="000000" w:fill="FFFFFF"/>
            <w:noWrap/>
            <w:vAlign w:val="center"/>
            <w:hideMark/>
          </w:tcPr>
          <w:p w14:paraId="6DA54DD9"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298</w:t>
            </w:r>
          </w:p>
        </w:tc>
        <w:tc>
          <w:tcPr>
            <w:tcW w:w="545" w:type="dxa"/>
            <w:tcBorders>
              <w:top w:val="nil"/>
              <w:left w:val="nil"/>
              <w:bottom w:val="single" w:sz="8" w:space="0" w:color="DCDDDE"/>
              <w:right w:val="nil"/>
            </w:tcBorders>
            <w:shd w:val="clear" w:color="000000" w:fill="FFFFFF"/>
            <w:noWrap/>
            <w:vAlign w:val="center"/>
            <w:hideMark/>
          </w:tcPr>
          <w:p w14:paraId="79A88287"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293</w:t>
            </w:r>
          </w:p>
        </w:tc>
        <w:tc>
          <w:tcPr>
            <w:tcW w:w="545" w:type="dxa"/>
            <w:tcBorders>
              <w:top w:val="nil"/>
              <w:left w:val="nil"/>
              <w:bottom w:val="single" w:sz="8" w:space="0" w:color="DCDDDE"/>
              <w:right w:val="nil"/>
            </w:tcBorders>
            <w:shd w:val="clear" w:color="000000" w:fill="FFFFFF"/>
            <w:noWrap/>
            <w:vAlign w:val="center"/>
            <w:hideMark/>
          </w:tcPr>
          <w:p w14:paraId="50A4694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288</w:t>
            </w:r>
          </w:p>
        </w:tc>
      </w:tr>
      <w:tr w:rsidR="00490035" w:rsidRPr="00490035" w14:paraId="5A7E0747" w14:textId="77777777" w:rsidTr="00490035">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5A85CFB4"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mTRC (GHG adder 1) | Reference</w:t>
            </w:r>
          </w:p>
        </w:tc>
      </w:tr>
      <w:tr w:rsidR="00490035" w:rsidRPr="00490035" w14:paraId="45BB1E71"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2FEA154C"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423FCAA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64</w:t>
            </w:r>
          </w:p>
        </w:tc>
        <w:tc>
          <w:tcPr>
            <w:tcW w:w="545" w:type="dxa"/>
            <w:tcBorders>
              <w:top w:val="nil"/>
              <w:left w:val="nil"/>
              <w:bottom w:val="single" w:sz="8" w:space="0" w:color="DCDDDE"/>
              <w:right w:val="nil"/>
            </w:tcBorders>
            <w:shd w:val="clear" w:color="000000" w:fill="FFFFFF"/>
            <w:noWrap/>
            <w:vAlign w:val="center"/>
            <w:hideMark/>
          </w:tcPr>
          <w:p w14:paraId="244ED59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69</w:t>
            </w:r>
          </w:p>
        </w:tc>
        <w:tc>
          <w:tcPr>
            <w:tcW w:w="545" w:type="dxa"/>
            <w:tcBorders>
              <w:top w:val="nil"/>
              <w:left w:val="nil"/>
              <w:bottom w:val="single" w:sz="8" w:space="0" w:color="DCDDDE"/>
              <w:right w:val="nil"/>
            </w:tcBorders>
            <w:shd w:val="clear" w:color="000000" w:fill="FFFFFF"/>
            <w:noWrap/>
            <w:vAlign w:val="center"/>
            <w:hideMark/>
          </w:tcPr>
          <w:p w14:paraId="7F64E90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67</w:t>
            </w:r>
          </w:p>
        </w:tc>
        <w:tc>
          <w:tcPr>
            <w:tcW w:w="545" w:type="dxa"/>
            <w:tcBorders>
              <w:top w:val="nil"/>
              <w:left w:val="nil"/>
              <w:bottom w:val="single" w:sz="8" w:space="0" w:color="DCDDDE"/>
              <w:right w:val="nil"/>
            </w:tcBorders>
            <w:shd w:val="clear" w:color="000000" w:fill="FFFFFF"/>
            <w:noWrap/>
            <w:vAlign w:val="center"/>
            <w:hideMark/>
          </w:tcPr>
          <w:p w14:paraId="5D4CB65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74</w:t>
            </w:r>
          </w:p>
        </w:tc>
        <w:tc>
          <w:tcPr>
            <w:tcW w:w="545" w:type="dxa"/>
            <w:tcBorders>
              <w:top w:val="nil"/>
              <w:left w:val="nil"/>
              <w:bottom w:val="single" w:sz="8" w:space="0" w:color="DCDDDE"/>
              <w:right w:val="nil"/>
            </w:tcBorders>
            <w:shd w:val="clear" w:color="000000" w:fill="FFFFFF"/>
            <w:noWrap/>
            <w:vAlign w:val="center"/>
            <w:hideMark/>
          </w:tcPr>
          <w:p w14:paraId="62FB162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78</w:t>
            </w:r>
          </w:p>
        </w:tc>
        <w:tc>
          <w:tcPr>
            <w:tcW w:w="545" w:type="dxa"/>
            <w:tcBorders>
              <w:top w:val="nil"/>
              <w:left w:val="nil"/>
              <w:bottom w:val="single" w:sz="8" w:space="0" w:color="DCDDDE"/>
              <w:right w:val="nil"/>
            </w:tcBorders>
            <w:shd w:val="clear" w:color="000000" w:fill="FFFFFF"/>
            <w:noWrap/>
            <w:vAlign w:val="center"/>
            <w:hideMark/>
          </w:tcPr>
          <w:p w14:paraId="558E5A2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83</w:t>
            </w:r>
          </w:p>
        </w:tc>
        <w:tc>
          <w:tcPr>
            <w:tcW w:w="545" w:type="dxa"/>
            <w:tcBorders>
              <w:top w:val="nil"/>
              <w:left w:val="nil"/>
              <w:bottom w:val="single" w:sz="8" w:space="0" w:color="DCDDDE"/>
              <w:right w:val="nil"/>
            </w:tcBorders>
            <w:shd w:val="clear" w:color="000000" w:fill="FFFFFF"/>
            <w:noWrap/>
            <w:vAlign w:val="center"/>
            <w:hideMark/>
          </w:tcPr>
          <w:p w14:paraId="512608B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90</w:t>
            </w:r>
          </w:p>
        </w:tc>
        <w:tc>
          <w:tcPr>
            <w:tcW w:w="545" w:type="dxa"/>
            <w:tcBorders>
              <w:top w:val="nil"/>
              <w:left w:val="nil"/>
              <w:bottom w:val="single" w:sz="8" w:space="0" w:color="DCDDDE"/>
              <w:right w:val="nil"/>
            </w:tcBorders>
            <w:shd w:val="clear" w:color="000000" w:fill="FFFFFF"/>
            <w:noWrap/>
            <w:vAlign w:val="center"/>
            <w:hideMark/>
          </w:tcPr>
          <w:p w14:paraId="3B28962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93</w:t>
            </w:r>
          </w:p>
        </w:tc>
        <w:tc>
          <w:tcPr>
            <w:tcW w:w="545" w:type="dxa"/>
            <w:tcBorders>
              <w:top w:val="nil"/>
              <w:left w:val="nil"/>
              <w:bottom w:val="single" w:sz="8" w:space="0" w:color="DCDDDE"/>
              <w:right w:val="nil"/>
            </w:tcBorders>
            <w:shd w:val="clear" w:color="000000" w:fill="FFFFFF"/>
            <w:noWrap/>
            <w:vAlign w:val="center"/>
            <w:hideMark/>
          </w:tcPr>
          <w:p w14:paraId="1F14B82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94</w:t>
            </w:r>
          </w:p>
        </w:tc>
        <w:tc>
          <w:tcPr>
            <w:tcW w:w="545" w:type="dxa"/>
            <w:tcBorders>
              <w:top w:val="nil"/>
              <w:left w:val="nil"/>
              <w:bottom w:val="single" w:sz="8" w:space="0" w:color="DCDDDE"/>
              <w:right w:val="nil"/>
            </w:tcBorders>
            <w:shd w:val="clear" w:color="000000" w:fill="FFFFFF"/>
            <w:noWrap/>
            <w:vAlign w:val="center"/>
            <w:hideMark/>
          </w:tcPr>
          <w:p w14:paraId="78E85D5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96</w:t>
            </w:r>
          </w:p>
        </w:tc>
        <w:tc>
          <w:tcPr>
            <w:tcW w:w="545" w:type="dxa"/>
            <w:tcBorders>
              <w:top w:val="nil"/>
              <w:left w:val="nil"/>
              <w:bottom w:val="single" w:sz="8" w:space="0" w:color="DCDDDE"/>
              <w:right w:val="nil"/>
            </w:tcBorders>
            <w:shd w:val="clear" w:color="000000" w:fill="FFFFFF"/>
            <w:noWrap/>
            <w:vAlign w:val="center"/>
            <w:hideMark/>
          </w:tcPr>
          <w:p w14:paraId="0550E76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97</w:t>
            </w:r>
          </w:p>
        </w:tc>
        <w:tc>
          <w:tcPr>
            <w:tcW w:w="545" w:type="dxa"/>
            <w:tcBorders>
              <w:top w:val="nil"/>
              <w:left w:val="nil"/>
              <w:bottom w:val="single" w:sz="8" w:space="0" w:color="DCDDDE"/>
              <w:right w:val="nil"/>
            </w:tcBorders>
            <w:shd w:val="clear" w:color="000000" w:fill="FFFFFF"/>
            <w:noWrap/>
            <w:vAlign w:val="center"/>
            <w:hideMark/>
          </w:tcPr>
          <w:p w14:paraId="0BC9774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99</w:t>
            </w:r>
          </w:p>
        </w:tc>
        <w:tc>
          <w:tcPr>
            <w:tcW w:w="545" w:type="dxa"/>
            <w:tcBorders>
              <w:top w:val="nil"/>
              <w:left w:val="nil"/>
              <w:bottom w:val="single" w:sz="8" w:space="0" w:color="DCDDDE"/>
              <w:right w:val="nil"/>
            </w:tcBorders>
            <w:shd w:val="clear" w:color="000000" w:fill="FFFFFF"/>
            <w:noWrap/>
            <w:vAlign w:val="center"/>
            <w:hideMark/>
          </w:tcPr>
          <w:p w14:paraId="4AF21FC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99</w:t>
            </w:r>
          </w:p>
        </w:tc>
      </w:tr>
      <w:tr w:rsidR="00490035" w:rsidRPr="00490035" w14:paraId="3C8A0780"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368BB183"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2825CDF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4D5BAC1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50E4BD2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723944C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1A0F73D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5DDAA1F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24</w:t>
            </w:r>
          </w:p>
        </w:tc>
        <w:tc>
          <w:tcPr>
            <w:tcW w:w="545" w:type="dxa"/>
            <w:tcBorders>
              <w:top w:val="nil"/>
              <w:left w:val="nil"/>
              <w:bottom w:val="single" w:sz="8" w:space="0" w:color="DCDDDE"/>
              <w:right w:val="nil"/>
            </w:tcBorders>
            <w:shd w:val="clear" w:color="000000" w:fill="FFFFFF"/>
            <w:noWrap/>
            <w:vAlign w:val="center"/>
            <w:hideMark/>
          </w:tcPr>
          <w:p w14:paraId="2785664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43B1F6A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1D4F5ED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31</w:t>
            </w:r>
          </w:p>
        </w:tc>
        <w:tc>
          <w:tcPr>
            <w:tcW w:w="545" w:type="dxa"/>
            <w:tcBorders>
              <w:top w:val="nil"/>
              <w:left w:val="nil"/>
              <w:bottom w:val="single" w:sz="8" w:space="0" w:color="DCDDDE"/>
              <w:right w:val="nil"/>
            </w:tcBorders>
            <w:shd w:val="clear" w:color="000000" w:fill="FFFFFF"/>
            <w:noWrap/>
            <w:vAlign w:val="center"/>
            <w:hideMark/>
          </w:tcPr>
          <w:p w14:paraId="08F674F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71F0E75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36</w:t>
            </w:r>
          </w:p>
        </w:tc>
        <w:tc>
          <w:tcPr>
            <w:tcW w:w="545" w:type="dxa"/>
            <w:tcBorders>
              <w:top w:val="nil"/>
              <w:left w:val="nil"/>
              <w:bottom w:val="single" w:sz="8" w:space="0" w:color="DCDDDE"/>
              <w:right w:val="nil"/>
            </w:tcBorders>
            <w:shd w:val="clear" w:color="000000" w:fill="FFFFFF"/>
            <w:noWrap/>
            <w:vAlign w:val="center"/>
            <w:hideMark/>
          </w:tcPr>
          <w:p w14:paraId="41E6D6E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38</w:t>
            </w:r>
          </w:p>
        </w:tc>
        <w:tc>
          <w:tcPr>
            <w:tcW w:w="545" w:type="dxa"/>
            <w:tcBorders>
              <w:top w:val="nil"/>
              <w:left w:val="nil"/>
              <w:bottom w:val="single" w:sz="8" w:space="0" w:color="DCDDDE"/>
              <w:right w:val="nil"/>
            </w:tcBorders>
            <w:shd w:val="clear" w:color="000000" w:fill="FFFFFF"/>
            <w:noWrap/>
            <w:vAlign w:val="center"/>
            <w:hideMark/>
          </w:tcPr>
          <w:p w14:paraId="4FCE687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40</w:t>
            </w:r>
          </w:p>
        </w:tc>
      </w:tr>
      <w:tr w:rsidR="00490035" w:rsidRPr="00490035" w14:paraId="3F0A7D47"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164E9FC8"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61546CC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7EDF210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510315F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7E6E412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66C562C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3D6A895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3B229DE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3A115B1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46E0AB4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3418349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1FA63E4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47AEFC5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1F1335F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r>
      <w:tr w:rsidR="00490035" w:rsidRPr="00490035" w14:paraId="1EACD354"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1074F53F"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71F12D4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81</w:t>
            </w:r>
          </w:p>
        </w:tc>
        <w:tc>
          <w:tcPr>
            <w:tcW w:w="545" w:type="dxa"/>
            <w:tcBorders>
              <w:top w:val="nil"/>
              <w:left w:val="nil"/>
              <w:bottom w:val="single" w:sz="8" w:space="0" w:color="DCDDDE"/>
              <w:right w:val="nil"/>
            </w:tcBorders>
            <w:shd w:val="clear" w:color="000000" w:fill="FFFFFF"/>
            <w:noWrap/>
            <w:vAlign w:val="center"/>
            <w:hideMark/>
          </w:tcPr>
          <w:p w14:paraId="4C63E4B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89</w:t>
            </w:r>
          </w:p>
        </w:tc>
        <w:tc>
          <w:tcPr>
            <w:tcW w:w="545" w:type="dxa"/>
            <w:tcBorders>
              <w:top w:val="nil"/>
              <w:left w:val="nil"/>
              <w:bottom w:val="single" w:sz="8" w:space="0" w:color="DCDDDE"/>
              <w:right w:val="nil"/>
            </w:tcBorders>
            <w:shd w:val="clear" w:color="000000" w:fill="FFFFFF"/>
            <w:noWrap/>
            <w:vAlign w:val="center"/>
            <w:hideMark/>
          </w:tcPr>
          <w:p w14:paraId="2F4B644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88</w:t>
            </w:r>
          </w:p>
        </w:tc>
        <w:tc>
          <w:tcPr>
            <w:tcW w:w="545" w:type="dxa"/>
            <w:tcBorders>
              <w:top w:val="nil"/>
              <w:left w:val="nil"/>
              <w:bottom w:val="single" w:sz="8" w:space="0" w:color="DCDDDE"/>
              <w:right w:val="nil"/>
            </w:tcBorders>
            <w:shd w:val="clear" w:color="000000" w:fill="FFFFFF"/>
            <w:noWrap/>
            <w:vAlign w:val="center"/>
            <w:hideMark/>
          </w:tcPr>
          <w:p w14:paraId="7A53D3E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95</w:t>
            </w:r>
          </w:p>
        </w:tc>
        <w:tc>
          <w:tcPr>
            <w:tcW w:w="545" w:type="dxa"/>
            <w:tcBorders>
              <w:top w:val="nil"/>
              <w:left w:val="nil"/>
              <w:bottom w:val="single" w:sz="8" w:space="0" w:color="DCDDDE"/>
              <w:right w:val="nil"/>
            </w:tcBorders>
            <w:shd w:val="clear" w:color="000000" w:fill="FFFFFF"/>
            <w:noWrap/>
            <w:vAlign w:val="center"/>
            <w:hideMark/>
          </w:tcPr>
          <w:p w14:paraId="7CF567B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100</w:t>
            </w:r>
          </w:p>
        </w:tc>
        <w:tc>
          <w:tcPr>
            <w:tcW w:w="545" w:type="dxa"/>
            <w:tcBorders>
              <w:top w:val="nil"/>
              <w:left w:val="nil"/>
              <w:bottom w:val="single" w:sz="8" w:space="0" w:color="DCDDDE"/>
              <w:right w:val="nil"/>
            </w:tcBorders>
            <w:shd w:val="clear" w:color="000000" w:fill="FFFFFF"/>
            <w:noWrap/>
            <w:vAlign w:val="center"/>
            <w:hideMark/>
          </w:tcPr>
          <w:p w14:paraId="6D998C4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107</w:t>
            </w:r>
          </w:p>
        </w:tc>
        <w:tc>
          <w:tcPr>
            <w:tcW w:w="545" w:type="dxa"/>
            <w:tcBorders>
              <w:top w:val="nil"/>
              <w:left w:val="nil"/>
              <w:bottom w:val="single" w:sz="8" w:space="0" w:color="DCDDDE"/>
              <w:right w:val="nil"/>
            </w:tcBorders>
            <w:shd w:val="clear" w:color="000000" w:fill="FFFFFF"/>
            <w:noWrap/>
            <w:vAlign w:val="center"/>
            <w:hideMark/>
          </w:tcPr>
          <w:p w14:paraId="36A6AEA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117</w:t>
            </w:r>
          </w:p>
        </w:tc>
        <w:tc>
          <w:tcPr>
            <w:tcW w:w="545" w:type="dxa"/>
            <w:tcBorders>
              <w:top w:val="nil"/>
              <w:left w:val="nil"/>
              <w:bottom w:val="single" w:sz="8" w:space="0" w:color="DCDDDE"/>
              <w:right w:val="nil"/>
            </w:tcBorders>
            <w:shd w:val="clear" w:color="000000" w:fill="FFFFFF"/>
            <w:noWrap/>
            <w:vAlign w:val="center"/>
            <w:hideMark/>
          </w:tcPr>
          <w:p w14:paraId="3386D4B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122</w:t>
            </w:r>
          </w:p>
        </w:tc>
        <w:tc>
          <w:tcPr>
            <w:tcW w:w="545" w:type="dxa"/>
            <w:tcBorders>
              <w:top w:val="nil"/>
              <w:left w:val="nil"/>
              <w:bottom w:val="single" w:sz="8" w:space="0" w:color="DCDDDE"/>
              <w:right w:val="nil"/>
            </w:tcBorders>
            <w:shd w:val="clear" w:color="000000" w:fill="FFFFFF"/>
            <w:noWrap/>
            <w:vAlign w:val="center"/>
            <w:hideMark/>
          </w:tcPr>
          <w:p w14:paraId="569B7C7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125</w:t>
            </w:r>
          </w:p>
        </w:tc>
        <w:tc>
          <w:tcPr>
            <w:tcW w:w="545" w:type="dxa"/>
            <w:tcBorders>
              <w:top w:val="nil"/>
              <w:left w:val="nil"/>
              <w:bottom w:val="single" w:sz="8" w:space="0" w:color="DCDDDE"/>
              <w:right w:val="nil"/>
            </w:tcBorders>
            <w:shd w:val="clear" w:color="000000" w:fill="FFFFFF"/>
            <w:noWrap/>
            <w:vAlign w:val="center"/>
            <w:hideMark/>
          </w:tcPr>
          <w:p w14:paraId="260206F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130</w:t>
            </w:r>
          </w:p>
        </w:tc>
        <w:tc>
          <w:tcPr>
            <w:tcW w:w="545" w:type="dxa"/>
            <w:tcBorders>
              <w:top w:val="nil"/>
              <w:left w:val="nil"/>
              <w:bottom w:val="single" w:sz="8" w:space="0" w:color="DCDDDE"/>
              <w:right w:val="nil"/>
            </w:tcBorders>
            <w:shd w:val="clear" w:color="000000" w:fill="FFFFFF"/>
            <w:noWrap/>
            <w:vAlign w:val="center"/>
            <w:hideMark/>
          </w:tcPr>
          <w:p w14:paraId="36D12A1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134</w:t>
            </w:r>
          </w:p>
        </w:tc>
        <w:tc>
          <w:tcPr>
            <w:tcW w:w="545" w:type="dxa"/>
            <w:tcBorders>
              <w:top w:val="nil"/>
              <w:left w:val="nil"/>
              <w:bottom w:val="single" w:sz="8" w:space="0" w:color="DCDDDE"/>
              <w:right w:val="nil"/>
            </w:tcBorders>
            <w:shd w:val="clear" w:color="000000" w:fill="FFFFFF"/>
            <w:noWrap/>
            <w:vAlign w:val="center"/>
            <w:hideMark/>
          </w:tcPr>
          <w:p w14:paraId="114956D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138</w:t>
            </w:r>
          </w:p>
        </w:tc>
        <w:tc>
          <w:tcPr>
            <w:tcW w:w="545" w:type="dxa"/>
            <w:tcBorders>
              <w:top w:val="nil"/>
              <w:left w:val="nil"/>
              <w:bottom w:val="single" w:sz="8" w:space="0" w:color="DCDDDE"/>
              <w:right w:val="nil"/>
            </w:tcBorders>
            <w:shd w:val="clear" w:color="000000" w:fill="FFFFFF"/>
            <w:noWrap/>
            <w:vAlign w:val="center"/>
            <w:hideMark/>
          </w:tcPr>
          <w:p w14:paraId="4595CB8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139</w:t>
            </w:r>
          </w:p>
        </w:tc>
      </w:tr>
      <w:tr w:rsidR="00490035" w:rsidRPr="00490035" w14:paraId="2EE119A4"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67341195"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539379B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124</w:t>
            </w:r>
          </w:p>
        </w:tc>
        <w:tc>
          <w:tcPr>
            <w:tcW w:w="545" w:type="dxa"/>
            <w:tcBorders>
              <w:top w:val="nil"/>
              <w:left w:val="nil"/>
              <w:bottom w:val="single" w:sz="8" w:space="0" w:color="DCDDDE"/>
              <w:right w:val="nil"/>
            </w:tcBorders>
            <w:shd w:val="clear" w:color="000000" w:fill="FFFFFF"/>
            <w:noWrap/>
            <w:vAlign w:val="center"/>
            <w:hideMark/>
          </w:tcPr>
          <w:p w14:paraId="5BB038B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125</w:t>
            </w:r>
          </w:p>
        </w:tc>
        <w:tc>
          <w:tcPr>
            <w:tcW w:w="545" w:type="dxa"/>
            <w:tcBorders>
              <w:top w:val="nil"/>
              <w:left w:val="nil"/>
              <w:bottom w:val="single" w:sz="8" w:space="0" w:color="DCDDDE"/>
              <w:right w:val="nil"/>
            </w:tcBorders>
            <w:shd w:val="clear" w:color="000000" w:fill="FFFFFF"/>
            <w:noWrap/>
            <w:vAlign w:val="center"/>
            <w:hideMark/>
          </w:tcPr>
          <w:p w14:paraId="127DA8C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142</w:t>
            </w:r>
          </w:p>
        </w:tc>
        <w:tc>
          <w:tcPr>
            <w:tcW w:w="545" w:type="dxa"/>
            <w:tcBorders>
              <w:top w:val="nil"/>
              <w:left w:val="nil"/>
              <w:bottom w:val="single" w:sz="8" w:space="0" w:color="DCDDDE"/>
              <w:right w:val="nil"/>
            </w:tcBorders>
            <w:shd w:val="clear" w:color="000000" w:fill="FFFFFF"/>
            <w:noWrap/>
            <w:vAlign w:val="center"/>
            <w:hideMark/>
          </w:tcPr>
          <w:p w14:paraId="79C0359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168</w:t>
            </w:r>
          </w:p>
        </w:tc>
        <w:tc>
          <w:tcPr>
            <w:tcW w:w="545" w:type="dxa"/>
            <w:tcBorders>
              <w:top w:val="nil"/>
              <w:left w:val="nil"/>
              <w:bottom w:val="single" w:sz="8" w:space="0" w:color="DCDDDE"/>
              <w:right w:val="nil"/>
            </w:tcBorders>
            <w:shd w:val="clear" w:color="000000" w:fill="FFFFFF"/>
            <w:noWrap/>
            <w:vAlign w:val="center"/>
            <w:hideMark/>
          </w:tcPr>
          <w:p w14:paraId="5DD4487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163</w:t>
            </w:r>
          </w:p>
        </w:tc>
        <w:tc>
          <w:tcPr>
            <w:tcW w:w="545" w:type="dxa"/>
            <w:tcBorders>
              <w:top w:val="nil"/>
              <w:left w:val="nil"/>
              <w:bottom w:val="single" w:sz="8" w:space="0" w:color="DCDDDE"/>
              <w:right w:val="nil"/>
            </w:tcBorders>
            <w:shd w:val="clear" w:color="000000" w:fill="FFFFFF"/>
            <w:noWrap/>
            <w:vAlign w:val="center"/>
            <w:hideMark/>
          </w:tcPr>
          <w:p w14:paraId="33EC745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200</w:t>
            </w:r>
          </w:p>
        </w:tc>
        <w:tc>
          <w:tcPr>
            <w:tcW w:w="545" w:type="dxa"/>
            <w:tcBorders>
              <w:top w:val="nil"/>
              <w:left w:val="nil"/>
              <w:bottom w:val="single" w:sz="8" w:space="0" w:color="DCDDDE"/>
              <w:right w:val="nil"/>
            </w:tcBorders>
            <w:shd w:val="clear" w:color="000000" w:fill="FFFFFF"/>
            <w:noWrap/>
            <w:vAlign w:val="center"/>
            <w:hideMark/>
          </w:tcPr>
          <w:p w14:paraId="113709A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192</w:t>
            </w:r>
          </w:p>
        </w:tc>
        <w:tc>
          <w:tcPr>
            <w:tcW w:w="545" w:type="dxa"/>
            <w:tcBorders>
              <w:top w:val="nil"/>
              <w:left w:val="nil"/>
              <w:bottom w:val="single" w:sz="8" w:space="0" w:color="DCDDDE"/>
              <w:right w:val="nil"/>
            </w:tcBorders>
            <w:shd w:val="clear" w:color="000000" w:fill="FFFFFF"/>
            <w:noWrap/>
            <w:vAlign w:val="center"/>
            <w:hideMark/>
          </w:tcPr>
          <w:p w14:paraId="077A881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186</w:t>
            </w:r>
          </w:p>
        </w:tc>
        <w:tc>
          <w:tcPr>
            <w:tcW w:w="545" w:type="dxa"/>
            <w:tcBorders>
              <w:top w:val="nil"/>
              <w:left w:val="nil"/>
              <w:bottom w:val="single" w:sz="8" w:space="0" w:color="DCDDDE"/>
              <w:right w:val="nil"/>
            </w:tcBorders>
            <w:shd w:val="clear" w:color="000000" w:fill="FFFFFF"/>
            <w:noWrap/>
            <w:vAlign w:val="center"/>
            <w:hideMark/>
          </w:tcPr>
          <w:p w14:paraId="02C493B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178</w:t>
            </w:r>
          </w:p>
        </w:tc>
        <w:tc>
          <w:tcPr>
            <w:tcW w:w="545" w:type="dxa"/>
            <w:tcBorders>
              <w:top w:val="nil"/>
              <w:left w:val="nil"/>
              <w:bottom w:val="single" w:sz="8" w:space="0" w:color="DCDDDE"/>
              <w:right w:val="nil"/>
            </w:tcBorders>
            <w:shd w:val="clear" w:color="000000" w:fill="FFFFFF"/>
            <w:noWrap/>
            <w:vAlign w:val="center"/>
            <w:hideMark/>
          </w:tcPr>
          <w:p w14:paraId="4A63520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174</w:t>
            </w:r>
          </w:p>
        </w:tc>
        <w:tc>
          <w:tcPr>
            <w:tcW w:w="545" w:type="dxa"/>
            <w:tcBorders>
              <w:top w:val="nil"/>
              <w:left w:val="nil"/>
              <w:bottom w:val="single" w:sz="8" w:space="0" w:color="DCDDDE"/>
              <w:right w:val="nil"/>
            </w:tcBorders>
            <w:shd w:val="clear" w:color="000000" w:fill="FFFFFF"/>
            <w:noWrap/>
            <w:vAlign w:val="center"/>
            <w:hideMark/>
          </w:tcPr>
          <w:p w14:paraId="5F4FD1F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165</w:t>
            </w:r>
          </w:p>
        </w:tc>
        <w:tc>
          <w:tcPr>
            <w:tcW w:w="545" w:type="dxa"/>
            <w:tcBorders>
              <w:top w:val="nil"/>
              <w:left w:val="nil"/>
              <w:bottom w:val="single" w:sz="8" w:space="0" w:color="DCDDDE"/>
              <w:right w:val="nil"/>
            </w:tcBorders>
            <w:shd w:val="clear" w:color="000000" w:fill="FFFFFF"/>
            <w:noWrap/>
            <w:vAlign w:val="center"/>
            <w:hideMark/>
          </w:tcPr>
          <w:p w14:paraId="1437746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157</w:t>
            </w:r>
          </w:p>
        </w:tc>
        <w:tc>
          <w:tcPr>
            <w:tcW w:w="545" w:type="dxa"/>
            <w:tcBorders>
              <w:top w:val="nil"/>
              <w:left w:val="nil"/>
              <w:bottom w:val="single" w:sz="8" w:space="0" w:color="DCDDDE"/>
              <w:right w:val="nil"/>
            </w:tcBorders>
            <w:shd w:val="clear" w:color="000000" w:fill="FFFFFF"/>
            <w:noWrap/>
            <w:vAlign w:val="center"/>
            <w:hideMark/>
          </w:tcPr>
          <w:p w14:paraId="2E7A8F8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149</w:t>
            </w:r>
          </w:p>
        </w:tc>
      </w:tr>
      <w:tr w:rsidR="00490035" w:rsidRPr="00490035" w14:paraId="2E67FA88"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0CA17C20"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2A239F6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204</w:t>
            </w:r>
          </w:p>
        </w:tc>
        <w:tc>
          <w:tcPr>
            <w:tcW w:w="545" w:type="dxa"/>
            <w:tcBorders>
              <w:top w:val="nil"/>
              <w:left w:val="nil"/>
              <w:bottom w:val="single" w:sz="8" w:space="0" w:color="DCDDDE"/>
              <w:right w:val="nil"/>
            </w:tcBorders>
            <w:shd w:val="clear" w:color="000000" w:fill="FFFFFF"/>
            <w:noWrap/>
            <w:vAlign w:val="center"/>
            <w:hideMark/>
          </w:tcPr>
          <w:p w14:paraId="33A7331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214</w:t>
            </w:r>
          </w:p>
        </w:tc>
        <w:tc>
          <w:tcPr>
            <w:tcW w:w="545" w:type="dxa"/>
            <w:tcBorders>
              <w:top w:val="nil"/>
              <w:left w:val="nil"/>
              <w:bottom w:val="single" w:sz="8" w:space="0" w:color="DCDDDE"/>
              <w:right w:val="nil"/>
            </w:tcBorders>
            <w:shd w:val="clear" w:color="000000" w:fill="FFFFFF"/>
            <w:noWrap/>
            <w:vAlign w:val="center"/>
            <w:hideMark/>
          </w:tcPr>
          <w:p w14:paraId="305F0EA9"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230</w:t>
            </w:r>
          </w:p>
        </w:tc>
        <w:tc>
          <w:tcPr>
            <w:tcW w:w="545" w:type="dxa"/>
            <w:tcBorders>
              <w:top w:val="nil"/>
              <w:left w:val="nil"/>
              <w:bottom w:val="single" w:sz="8" w:space="0" w:color="DCDDDE"/>
              <w:right w:val="nil"/>
            </w:tcBorders>
            <w:shd w:val="clear" w:color="000000" w:fill="FFFFFF"/>
            <w:noWrap/>
            <w:vAlign w:val="center"/>
            <w:hideMark/>
          </w:tcPr>
          <w:p w14:paraId="49C22A0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263</w:t>
            </w:r>
          </w:p>
        </w:tc>
        <w:tc>
          <w:tcPr>
            <w:tcW w:w="545" w:type="dxa"/>
            <w:tcBorders>
              <w:top w:val="nil"/>
              <w:left w:val="nil"/>
              <w:bottom w:val="single" w:sz="8" w:space="0" w:color="DCDDDE"/>
              <w:right w:val="nil"/>
            </w:tcBorders>
            <w:shd w:val="clear" w:color="000000" w:fill="FFFFFF"/>
            <w:noWrap/>
            <w:vAlign w:val="center"/>
            <w:hideMark/>
          </w:tcPr>
          <w:p w14:paraId="38D451EC"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264</w:t>
            </w:r>
          </w:p>
        </w:tc>
        <w:tc>
          <w:tcPr>
            <w:tcW w:w="545" w:type="dxa"/>
            <w:tcBorders>
              <w:top w:val="nil"/>
              <w:left w:val="nil"/>
              <w:bottom w:val="single" w:sz="8" w:space="0" w:color="DCDDDE"/>
              <w:right w:val="nil"/>
            </w:tcBorders>
            <w:shd w:val="clear" w:color="000000" w:fill="FFFFFF"/>
            <w:noWrap/>
            <w:vAlign w:val="center"/>
            <w:hideMark/>
          </w:tcPr>
          <w:p w14:paraId="4457A7B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307</w:t>
            </w:r>
          </w:p>
        </w:tc>
        <w:tc>
          <w:tcPr>
            <w:tcW w:w="545" w:type="dxa"/>
            <w:tcBorders>
              <w:top w:val="nil"/>
              <w:left w:val="nil"/>
              <w:bottom w:val="single" w:sz="8" w:space="0" w:color="DCDDDE"/>
              <w:right w:val="nil"/>
            </w:tcBorders>
            <w:shd w:val="clear" w:color="000000" w:fill="FFFFFF"/>
            <w:noWrap/>
            <w:vAlign w:val="center"/>
            <w:hideMark/>
          </w:tcPr>
          <w:p w14:paraId="71CA27A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309</w:t>
            </w:r>
          </w:p>
        </w:tc>
        <w:tc>
          <w:tcPr>
            <w:tcW w:w="545" w:type="dxa"/>
            <w:tcBorders>
              <w:top w:val="nil"/>
              <w:left w:val="nil"/>
              <w:bottom w:val="single" w:sz="8" w:space="0" w:color="DCDDDE"/>
              <w:right w:val="nil"/>
            </w:tcBorders>
            <w:shd w:val="clear" w:color="000000" w:fill="FFFFFF"/>
            <w:noWrap/>
            <w:vAlign w:val="center"/>
            <w:hideMark/>
          </w:tcPr>
          <w:p w14:paraId="735FAAB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308</w:t>
            </w:r>
          </w:p>
        </w:tc>
        <w:tc>
          <w:tcPr>
            <w:tcW w:w="545" w:type="dxa"/>
            <w:tcBorders>
              <w:top w:val="nil"/>
              <w:left w:val="nil"/>
              <w:bottom w:val="single" w:sz="8" w:space="0" w:color="DCDDDE"/>
              <w:right w:val="nil"/>
            </w:tcBorders>
            <w:shd w:val="clear" w:color="000000" w:fill="FFFFFF"/>
            <w:noWrap/>
            <w:vAlign w:val="center"/>
            <w:hideMark/>
          </w:tcPr>
          <w:p w14:paraId="3824731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304</w:t>
            </w:r>
          </w:p>
        </w:tc>
        <w:tc>
          <w:tcPr>
            <w:tcW w:w="545" w:type="dxa"/>
            <w:tcBorders>
              <w:top w:val="nil"/>
              <w:left w:val="nil"/>
              <w:bottom w:val="single" w:sz="8" w:space="0" w:color="DCDDDE"/>
              <w:right w:val="nil"/>
            </w:tcBorders>
            <w:shd w:val="clear" w:color="000000" w:fill="FFFFFF"/>
            <w:noWrap/>
            <w:vAlign w:val="center"/>
            <w:hideMark/>
          </w:tcPr>
          <w:p w14:paraId="695F0527"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304</w:t>
            </w:r>
          </w:p>
        </w:tc>
        <w:tc>
          <w:tcPr>
            <w:tcW w:w="545" w:type="dxa"/>
            <w:tcBorders>
              <w:top w:val="nil"/>
              <w:left w:val="nil"/>
              <w:bottom w:val="single" w:sz="8" w:space="0" w:color="DCDDDE"/>
              <w:right w:val="nil"/>
            </w:tcBorders>
            <w:shd w:val="clear" w:color="000000" w:fill="FFFFFF"/>
            <w:noWrap/>
            <w:vAlign w:val="center"/>
            <w:hideMark/>
          </w:tcPr>
          <w:p w14:paraId="7D5588EC"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298</w:t>
            </w:r>
          </w:p>
        </w:tc>
        <w:tc>
          <w:tcPr>
            <w:tcW w:w="545" w:type="dxa"/>
            <w:tcBorders>
              <w:top w:val="nil"/>
              <w:left w:val="nil"/>
              <w:bottom w:val="single" w:sz="8" w:space="0" w:color="DCDDDE"/>
              <w:right w:val="nil"/>
            </w:tcBorders>
            <w:shd w:val="clear" w:color="000000" w:fill="FFFFFF"/>
            <w:noWrap/>
            <w:vAlign w:val="center"/>
            <w:hideMark/>
          </w:tcPr>
          <w:p w14:paraId="5572CB2E"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294</w:t>
            </w:r>
          </w:p>
        </w:tc>
        <w:tc>
          <w:tcPr>
            <w:tcW w:w="545" w:type="dxa"/>
            <w:tcBorders>
              <w:top w:val="nil"/>
              <w:left w:val="nil"/>
              <w:bottom w:val="single" w:sz="8" w:space="0" w:color="DCDDDE"/>
              <w:right w:val="nil"/>
            </w:tcBorders>
            <w:shd w:val="clear" w:color="000000" w:fill="FFFFFF"/>
            <w:noWrap/>
            <w:vAlign w:val="center"/>
            <w:hideMark/>
          </w:tcPr>
          <w:p w14:paraId="2FE990E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289</w:t>
            </w:r>
          </w:p>
        </w:tc>
      </w:tr>
      <w:tr w:rsidR="00490035" w:rsidRPr="00490035" w14:paraId="19F2ABAC" w14:textId="77777777" w:rsidTr="00490035">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6602F15F"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mTRC (GHG adder 2) | Reference</w:t>
            </w:r>
          </w:p>
        </w:tc>
      </w:tr>
      <w:tr w:rsidR="00490035" w:rsidRPr="00490035" w14:paraId="66E3E44E"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0DB09704"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4A9E2A6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65</w:t>
            </w:r>
          </w:p>
        </w:tc>
        <w:tc>
          <w:tcPr>
            <w:tcW w:w="545" w:type="dxa"/>
            <w:tcBorders>
              <w:top w:val="nil"/>
              <w:left w:val="nil"/>
              <w:bottom w:val="single" w:sz="8" w:space="0" w:color="DCDDDE"/>
              <w:right w:val="nil"/>
            </w:tcBorders>
            <w:shd w:val="clear" w:color="000000" w:fill="FFFFFF"/>
            <w:noWrap/>
            <w:vAlign w:val="center"/>
            <w:hideMark/>
          </w:tcPr>
          <w:p w14:paraId="30CD82D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71</w:t>
            </w:r>
          </w:p>
        </w:tc>
        <w:tc>
          <w:tcPr>
            <w:tcW w:w="545" w:type="dxa"/>
            <w:tcBorders>
              <w:top w:val="nil"/>
              <w:left w:val="nil"/>
              <w:bottom w:val="single" w:sz="8" w:space="0" w:color="DCDDDE"/>
              <w:right w:val="nil"/>
            </w:tcBorders>
            <w:shd w:val="clear" w:color="000000" w:fill="FFFFFF"/>
            <w:noWrap/>
            <w:vAlign w:val="center"/>
            <w:hideMark/>
          </w:tcPr>
          <w:p w14:paraId="5722432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70</w:t>
            </w:r>
          </w:p>
        </w:tc>
        <w:tc>
          <w:tcPr>
            <w:tcW w:w="545" w:type="dxa"/>
            <w:tcBorders>
              <w:top w:val="nil"/>
              <w:left w:val="nil"/>
              <w:bottom w:val="single" w:sz="8" w:space="0" w:color="DCDDDE"/>
              <w:right w:val="nil"/>
            </w:tcBorders>
            <w:shd w:val="clear" w:color="000000" w:fill="FFFFFF"/>
            <w:noWrap/>
            <w:vAlign w:val="center"/>
            <w:hideMark/>
          </w:tcPr>
          <w:p w14:paraId="587649F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81</w:t>
            </w:r>
          </w:p>
        </w:tc>
        <w:tc>
          <w:tcPr>
            <w:tcW w:w="545" w:type="dxa"/>
            <w:tcBorders>
              <w:top w:val="nil"/>
              <w:left w:val="nil"/>
              <w:bottom w:val="single" w:sz="8" w:space="0" w:color="DCDDDE"/>
              <w:right w:val="nil"/>
            </w:tcBorders>
            <w:shd w:val="clear" w:color="000000" w:fill="FFFFFF"/>
            <w:noWrap/>
            <w:vAlign w:val="center"/>
            <w:hideMark/>
          </w:tcPr>
          <w:p w14:paraId="4CFF6D2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85</w:t>
            </w:r>
          </w:p>
        </w:tc>
        <w:tc>
          <w:tcPr>
            <w:tcW w:w="545" w:type="dxa"/>
            <w:tcBorders>
              <w:top w:val="nil"/>
              <w:left w:val="nil"/>
              <w:bottom w:val="single" w:sz="8" w:space="0" w:color="DCDDDE"/>
              <w:right w:val="nil"/>
            </w:tcBorders>
            <w:shd w:val="clear" w:color="000000" w:fill="FFFFFF"/>
            <w:noWrap/>
            <w:vAlign w:val="center"/>
            <w:hideMark/>
          </w:tcPr>
          <w:p w14:paraId="7E0C544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91</w:t>
            </w:r>
          </w:p>
        </w:tc>
        <w:tc>
          <w:tcPr>
            <w:tcW w:w="545" w:type="dxa"/>
            <w:tcBorders>
              <w:top w:val="nil"/>
              <w:left w:val="nil"/>
              <w:bottom w:val="single" w:sz="8" w:space="0" w:color="DCDDDE"/>
              <w:right w:val="nil"/>
            </w:tcBorders>
            <w:shd w:val="clear" w:color="000000" w:fill="FFFFFF"/>
            <w:noWrap/>
            <w:vAlign w:val="center"/>
            <w:hideMark/>
          </w:tcPr>
          <w:p w14:paraId="3A09139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107</w:t>
            </w:r>
          </w:p>
        </w:tc>
        <w:tc>
          <w:tcPr>
            <w:tcW w:w="545" w:type="dxa"/>
            <w:tcBorders>
              <w:top w:val="nil"/>
              <w:left w:val="nil"/>
              <w:bottom w:val="single" w:sz="8" w:space="0" w:color="DCDDDE"/>
              <w:right w:val="nil"/>
            </w:tcBorders>
            <w:shd w:val="clear" w:color="000000" w:fill="FFFFFF"/>
            <w:noWrap/>
            <w:vAlign w:val="center"/>
            <w:hideMark/>
          </w:tcPr>
          <w:p w14:paraId="0941308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109</w:t>
            </w:r>
          </w:p>
        </w:tc>
        <w:tc>
          <w:tcPr>
            <w:tcW w:w="545" w:type="dxa"/>
            <w:tcBorders>
              <w:top w:val="nil"/>
              <w:left w:val="nil"/>
              <w:bottom w:val="single" w:sz="8" w:space="0" w:color="DCDDDE"/>
              <w:right w:val="nil"/>
            </w:tcBorders>
            <w:shd w:val="clear" w:color="000000" w:fill="FFFFFF"/>
            <w:noWrap/>
            <w:vAlign w:val="center"/>
            <w:hideMark/>
          </w:tcPr>
          <w:p w14:paraId="24F0102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110</w:t>
            </w:r>
          </w:p>
        </w:tc>
        <w:tc>
          <w:tcPr>
            <w:tcW w:w="545" w:type="dxa"/>
            <w:tcBorders>
              <w:top w:val="nil"/>
              <w:left w:val="nil"/>
              <w:bottom w:val="single" w:sz="8" w:space="0" w:color="DCDDDE"/>
              <w:right w:val="nil"/>
            </w:tcBorders>
            <w:shd w:val="clear" w:color="000000" w:fill="FFFFFF"/>
            <w:noWrap/>
            <w:vAlign w:val="center"/>
            <w:hideMark/>
          </w:tcPr>
          <w:p w14:paraId="28A9535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112</w:t>
            </w:r>
          </w:p>
        </w:tc>
        <w:tc>
          <w:tcPr>
            <w:tcW w:w="545" w:type="dxa"/>
            <w:tcBorders>
              <w:top w:val="nil"/>
              <w:left w:val="nil"/>
              <w:bottom w:val="single" w:sz="8" w:space="0" w:color="DCDDDE"/>
              <w:right w:val="nil"/>
            </w:tcBorders>
            <w:shd w:val="clear" w:color="000000" w:fill="FFFFFF"/>
            <w:noWrap/>
            <w:vAlign w:val="center"/>
            <w:hideMark/>
          </w:tcPr>
          <w:p w14:paraId="02EFAF1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117</w:t>
            </w:r>
          </w:p>
        </w:tc>
        <w:tc>
          <w:tcPr>
            <w:tcW w:w="545" w:type="dxa"/>
            <w:tcBorders>
              <w:top w:val="nil"/>
              <w:left w:val="nil"/>
              <w:bottom w:val="single" w:sz="8" w:space="0" w:color="DCDDDE"/>
              <w:right w:val="nil"/>
            </w:tcBorders>
            <w:shd w:val="clear" w:color="000000" w:fill="FFFFFF"/>
            <w:noWrap/>
            <w:vAlign w:val="center"/>
            <w:hideMark/>
          </w:tcPr>
          <w:p w14:paraId="401BCCF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117</w:t>
            </w:r>
          </w:p>
        </w:tc>
        <w:tc>
          <w:tcPr>
            <w:tcW w:w="545" w:type="dxa"/>
            <w:tcBorders>
              <w:top w:val="nil"/>
              <w:left w:val="nil"/>
              <w:bottom w:val="single" w:sz="8" w:space="0" w:color="DCDDDE"/>
              <w:right w:val="nil"/>
            </w:tcBorders>
            <w:shd w:val="clear" w:color="000000" w:fill="FFFFFF"/>
            <w:noWrap/>
            <w:vAlign w:val="center"/>
            <w:hideMark/>
          </w:tcPr>
          <w:p w14:paraId="0592AC2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117</w:t>
            </w:r>
          </w:p>
        </w:tc>
      </w:tr>
      <w:tr w:rsidR="00490035" w:rsidRPr="00490035" w14:paraId="779FA0A4"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4FBA79BF"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3FDD866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307AEEF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772E851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4EB4E43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0CA45E5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18C2E35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24</w:t>
            </w:r>
          </w:p>
        </w:tc>
        <w:tc>
          <w:tcPr>
            <w:tcW w:w="545" w:type="dxa"/>
            <w:tcBorders>
              <w:top w:val="nil"/>
              <w:left w:val="nil"/>
              <w:bottom w:val="single" w:sz="8" w:space="0" w:color="DCDDDE"/>
              <w:right w:val="nil"/>
            </w:tcBorders>
            <w:shd w:val="clear" w:color="000000" w:fill="FFFFFF"/>
            <w:noWrap/>
            <w:vAlign w:val="center"/>
            <w:hideMark/>
          </w:tcPr>
          <w:p w14:paraId="0798C7B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0B319C8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094ECEF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31</w:t>
            </w:r>
          </w:p>
        </w:tc>
        <w:tc>
          <w:tcPr>
            <w:tcW w:w="545" w:type="dxa"/>
            <w:tcBorders>
              <w:top w:val="nil"/>
              <w:left w:val="nil"/>
              <w:bottom w:val="single" w:sz="8" w:space="0" w:color="DCDDDE"/>
              <w:right w:val="nil"/>
            </w:tcBorders>
            <w:shd w:val="clear" w:color="000000" w:fill="FFFFFF"/>
            <w:noWrap/>
            <w:vAlign w:val="center"/>
            <w:hideMark/>
          </w:tcPr>
          <w:p w14:paraId="2F66D77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17649BC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36</w:t>
            </w:r>
          </w:p>
        </w:tc>
        <w:tc>
          <w:tcPr>
            <w:tcW w:w="545" w:type="dxa"/>
            <w:tcBorders>
              <w:top w:val="nil"/>
              <w:left w:val="nil"/>
              <w:bottom w:val="single" w:sz="8" w:space="0" w:color="DCDDDE"/>
              <w:right w:val="nil"/>
            </w:tcBorders>
            <w:shd w:val="clear" w:color="000000" w:fill="FFFFFF"/>
            <w:noWrap/>
            <w:vAlign w:val="center"/>
            <w:hideMark/>
          </w:tcPr>
          <w:p w14:paraId="09B8762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38</w:t>
            </w:r>
          </w:p>
        </w:tc>
        <w:tc>
          <w:tcPr>
            <w:tcW w:w="545" w:type="dxa"/>
            <w:tcBorders>
              <w:top w:val="nil"/>
              <w:left w:val="nil"/>
              <w:bottom w:val="single" w:sz="8" w:space="0" w:color="DCDDDE"/>
              <w:right w:val="nil"/>
            </w:tcBorders>
            <w:shd w:val="clear" w:color="000000" w:fill="FFFFFF"/>
            <w:noWrap/>
            <w:vAlign w:val="center"/>
            <w:hideMark/>
          </w:tcPr>
          <w:p w14:paraId="0498DE9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40</w:t>
            </w:r>
          </w:p>
        </w:tc>
      </w:tr>
      <w:tr w:rsidR="00490035" w:rsidRPr="00490035" w14:paraId="3C0667F2"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41E29B5B"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2D6EBB9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0C1E646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04FF464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50389AE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269AE90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1FEAA75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0822300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2299A00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7A9D602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027E545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437672D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32203E6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1A07E5C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r>
      <w:tr w:rsidR="00490035" w:rsidRPr="00490035" w14:paraId="156D32DF"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5CCE7D4A"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78A9599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82</w:t>
            </w:r>
          </w:p>
        </w:tc>
        <w:tc>
          <w:tcPr>
            <w:tcW w:w="545" w:type="dxa"/>
            <w:tcBorders>
              <w:top w:val="nil"/>
              <w:left w:val="nil"/>
              <w:bottom w:val="single" w:sz="8" w:space="0" w:color="DCDDDE"/>
              <w:right w:val="nil"/>
            </w:tcBorders>
            <w:shd w:val="clear" w:color="000000" w:fill="FFFFFF"/>
            <w:noWrap/>
            <w:vAlign w:val="center"/>
            <w:hideMark/>
          </w:tcPr>
          <w:p w14:paraId="13DE202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90</w:t>
            </w:r>
          </w:p>
        </w:tc>
        <w:tc>
          <w:tcPr>
            <w:tcW w:w="545" w:type="dxa"/>
            <w:tcBorders>
              <w:top w:val="nil"/>
              <w:left w:val="nil"/>
              <w:bottom w:val="single" w:sz="8" w:space="0" w:color="DCDDDE"/>
              <w:right w:val="nil"/>
            </w:tcBorders>
            <w:shd w:val="clear" w:color="000000" w:fill="FFFFFF"/>
            <w:noWrap/>
            <w:vAlign w:val="center"/>
            <w:hideMark/>
          </w:tcPr>
          <w:p w14:paraId="4B83C05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92</w:t>
            </w:r>
          </w:p>
        </w:tc>
        <w:tc>
          <w:tcPr>
            <w:tcW w:w="545" w:type="dxa"/>
            <w:tcBorders>
              <w:top w:val="nil"/>
              <w:left w:val="nil"/>
              <w:bottom w:val="single" w:sz="8" w:space="0" w:color="DCDDDE"/>
              <w:right w:val="nil"/>
            </w:tcBorders>
            <w:shd w:val="clear" w:color="000000" w:fill="FFFFFF"/>
            <w:noWrap/>
            <w:vAlign w:val="center"/>
            <w:hideMark/>
          </w:tcPr>
          <w:p w14:paraId="1876E3D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102</w:t>
            </w:r>
          </w:p>
        </w:tc>
        <w:tc>
          <w:tcPr>
            <w:tcW w:w="545" w:type="dxa"/>
            <w:tcBorders>
              <w:top w:val="nil"/>
              <w:left w:val="nil"/>
              <w:bottom w:val="single" w:sz="8" w:space="0" w:color="DCDDDE"/>
              <w:right w:val="nil"/>
            </w:tcBorders>
            <w:shd w:val="clear" w:color="000000" w:fill="FFFFFF"/>
            <w:noWrap/>
            <w:vAlign w:val="center"/>
            <w:hideMark/>
          </w:tcPr>
          <w:p w14:paraId="240E4EF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108</w:t>
            </w:r>
          </w:p>
        </w:tc>
        <w:tc>
          <w:tcPr>
            <w:tcW w:w="545" w:type="dxa"/>
            <w:tcBorders>
              <w:top w:val="nil"/>
              <w:left w:val="nil"/>
              <w:bottom w:val="single" w:sz="8" w:space="0" w:color="DCDDDE"/>
              <w:right w:val="nil"/>
            </w:tcBorders>
            <w:shd w:val="clear" w:color="000000" w:fill="FFFFFF"/>
            <w:noWrap/>
            <w:vAlign w:val="center"/>
            <w:hideMark/>
          </w:tcPr>
          <w:p w14:paraId="53F95B7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115</w:t>
            </w:r>
          </w:p>
        </w:tc>
        <w:tc>
          <w:tcPr>
            <w:tcW w:w="545" w:type="dxa"/>
            <w:tcBorders>
              <w:top w:val="nil"/>
              <w:left w:val="nil"/>
              <w:bottom w:val="single" w:sz="8" w:space="0" w:color="DCDDDE"/>
              <w:right w:val="nil"/>
            </w:tcBorders>
            <w:shd w:val="clear" w:color="000000" w:fill="FFFFFF"/>
            <w:noWrap/>
            <w:vAlign w:val="center"/>
            <w:hideMark/>
          </w:tcPr>
          <w:p w14:paraId="20369B0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133</w:t>
            </w:r>
          </w:p>
        </w:tc>
        <w:tc>
          <w:tcPr>
            <w:tcW w:w="545" w:type="dxa"/>
            <w:tcBorders>
              <w:top w:val="nil"/>
              <w:left w:val="nil"/>
              <w:bottom w:val="single" w:sz="8" w:space="0" w:color="DCDDDE"/>
              <w:right w:val="nil"/>
            </w:tcBorders>
            <w:shd w:val="clear" w:color="000000" w:fill="FFFFFF"/>
            <w:noWrap/>
            <w:vAlign w:val="center"/>
            <w:hideMark/>
          </w:tcPr>
          <w:p w14:paraId="69E546B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139</w:t>
            </w:r>
          </w:p>
        </w:tc>
        <w:tc>
          <w:tcPr>
            <w:tcW w:w="545" w:type="dxa"/>
            <w:tcBorders>
              <w:top w:val="nil"/>
              <w:left w:val="nil"/>
              <w:bottom w:val="single" w:sz="8" w:space="0" w:color="DCDDDE"/>
              <w:right w:val="nil"/>
            </w:tcBorders>
            <w:shd w:val="clear" w:color="000000" w:fill="FFFFFF"/>
            <w:noWrap/>
            <w:vAlign w:val="center"/>
            <w:hideMark/>
          </w:tcPr>
          <w:p w14:paraId="1BD77E2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142</w:t>
            </w:r>
          </w:p>
        </w:tc>
        <w:tc>
          <w:tcPr>
            <w:tcW w:w="545" w:type="dxa"/>
            <w:tcBorders>
              <w:top w:val="nil"/>
              <w:left w:val="nil"/>
              <w:bottom w:val="single" w:sz="8" w:space="0" w:color="DCDDDE"/>
              <w:right w:val="nil"/>
            </w:tcBorders>
            <w:shd w:val="clear" w:color="000000" w:fill="FFFFFF"/>
            <w:noWrap/>
            <w:vAlign w:val="center"/>
            <w:hideMark/>
          </w:tcPr>
          <w:p w14:paraId="3510630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146</w:t>
            </w:r>
          </w:p>
        </w:tc>
        <w:tc>
          <w:tcPr>
            <w:tcW w:w="545" w:type="dxa"/>
            <w:tcBorders>
              <w:top w:val="nil"/>
              <w:left w:val="nil"/>
              <w:bottom w:val="single" w:sz="8" w:space="0" w:color="DCDDDE"/>
              <w:right w:val="nil"/>
            </w:tcBorders>
            <w:shd w:val="clear" w:color="000000" w:fill="FFFFFF"/>
            <w:noWrap/>
            <w:vAlign w:val="center"/>
            <w:hideMark/>
          </w:tcPr>
          <w:p w14:paraId="50B500B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154</w:t>
            </w:r>
          </w:p>
        </w:tc>
        <w:tc>
          <w:tcPr>
            <w:tcW w:w="545" w:type="dxa"/>
            <w:tcBorders>
              <w:top w:val="nil"/>
              <w:left w:val="nil"/>
              <w:bottom w:val="single" w:sz="8" w:space="0" w:color="DCDDDE"/>
              <w:right w:val="nil"/>
            </w:tcBorders>
            <w:shd w:val="clear" w:color="000000" w:fill="FFFFFF"/>
            <w:noWrap/>
            <w:vAlign w:val="center"/>
            <w:hideMark/>
          </w:tcPr>
          <w:p w14:paraId="4AE8D37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156</w:t>
            </w:r>
          </w:p>
        </w:tc>
        <w:tc>
          <w:tcPr>
            <w:tcW w:w="545" w:type="dxa"/>
            <w:tcBorders>
              <w:top w:val="nil"/>
              <w:left w:val="nil"/>
              <w:bottom w:val="single" w:sz="8" w:space="0" w:color="DCDDDE"/>
              <w:right w:val="nil"/>
            </w:tcBorders>
            <w:shd w:val="clear" w:color="000000" w:fill="FFFFFF"/>
            <w:noWrap/>
            <w:vAlign w:val="center"/>
            <w:hideMark/>
          </w:tcPr>
          <w:p w14:paraId="6104EFB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157</w:t>
            </w:r>
          </w:p>
        </w:tc>
      </w:tr>
      <w:tr w:rsidR="00490035" w:rsidRPr="00490035" w14:paraId="1815C8E4"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1945645D"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162804F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124</w:t>
            </w:r>
          </w:p>
        </w:tc>
        <w:tc>
          <w:tcPr>
            <w:tcW w:w="545" w:type="dxa"/>
            <w:tcBorders>
              <w:top w:val="nil"/>
              <w:left w:val="nil"/>
              <w:bottom w:val="single" w:sz="8" w:space="0" w:color="DCDDDE"/>
              <w:right w:val="nil"/>
            </w:tcBorders>
            <w:shd w:val="clear" w:color="000000" w:fill="FFFFFF"/>
            <w:noWrap/>
            <w:vAlign w:val="center"/>
            <w:hideMark/>
          </w:tcPr>
          <w:p w14:paraId="18539F5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125</w:t>
            </w:r>
          </w:p>
        </w:tc>
        <w:tc>
          <w:tcPr>
            <w:tcW w:w="545" w:type="dxa"/>
            <w:tcBorders>
              <w:top w:val="nil"/>
              <w:left w:val="nil"/>
              <w:bottom w:val="single" w:sz="8" w:space="0" w:color="DCDDDE"/>
              <w:right w:val="nil"/>
            </w:tcBorders>
            <w:shd w:val="clear" w:color="000000" w:fill="FFFFFF"/>
            <w:noWrap/>
            <w:vAlign w:val="center"/>
            <w:hideMark/>
          </w:tcPr>
          <w:p w14:paraId="5B14D97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142</w:t>
            </w:r>
          </w:p>
        </w:tc>
        <w:tc>
          <w:tcPr>
            <w:tcW w:w="545" w:type="dxa"/>
            <w:tcBorders>
              <w:top w:val="nil"/>
              <w:left w:val="nil"/>
              <w:bottom w:val="single" w:sz="8" w:space="0" w:color="DCDDDE"/>
              <w:right w:val="nil"/>
            </w:tcBorders>
            <w:shd w:val="clear" w:color="000000" w:fill="FFFFFF"/>
            <w:noWrap/>
            <w:vAlign w:val="center"/>
            <w:hideMark/>
          </w:tcPr>
          <w:p w14:paraId="49E7BD0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168</w:t>
            </w:r>
          </w:p>
        </w:tc>
        <w:tc>
          <w:tcPr>
            <w:tcW w:w="545" w:type="dxa"/>
            <w:tcBorders>
              <w:top w:val="nil"/>
              <w:left w:val="nil"/>
              <w:bottom w:val="single" w:sz="8" w:space="0" w:color="DCDDDE"/>
              <w:right w:val="nil"/>
            </w:tcBorders>
            <w:shd w:val="clear" w:color="000000" w:fill="FFFFFF"/>
            <w:noWrap/>
            <w:vAlign w:val="center"/>
            <w:hideMark/>
          </w:tcPr>
          <w:p w14:paraId="5A4B15E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163</w:t>
            </w:r>
          </w:p>
        </w:tc>
        <w:tc>
          <w:tcPr>
            <w:tcW w:w="545" w:type="dxa"/>
            <w:tcBorders>
              <w:top w:val="nil"/>
              <w:left w:val="nil"/>
              <w:bottom w:val="single" w:sz="8" w:space="0" w:color="DCDDDE"/>
              <w:right w:val="nil"/>
            </w:tcBorders>
            <w:shd w:val="clear" w:color="000000" w:fill="FFFFFF"/>
            <w:noWrap/>
            <w:vAlign w:val="center"/>
            <w:hideMark/>
          </w:tcPr>
          <w:p w14:paraId="0D94E5E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200</w:t>
            </w:r>
          </w:p>
        </w:tc>
        <w:tc>
          <w:tcPr>
            <w:tcW w:w="545" w:type="dxa"/>
            <w:tcBorders>
              <w:top w:val="nil"/>
              <w:left w:val="nil"/>
              <w:bottom w:val="single" w:sz="8" w:space="0" w:color="DCDDDE"/>
              <w:right w:val="nil"/>
            </w:tcBorders>
            <w:shd w:val="clear" w:color="000000" w:fill="FFFFFF"/>
            <w:noWrap/>
            <w:vAlign w:val="center"/>
            <w:hideMark/>
          </w:tcPr>
          <w:p w14:paraId="2444FA0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192</w:t>
            </w:r>
          </w:p>
        </w:tc>
        <w:tc>
          <w:tcPr>
            <w:tcW w:w="545" w:type="dxa"/>
            <w:tcBorders>
              <w:top w:val="nil"/>
              <w:left w:val="nil"/>
              <w:bottom w:val="single" w:sz="8" w:space="0" w:color="DCDDDE"/>
              <w:right w:val="nil"/>
            </w:tcBorders>
            <w:shd w:val="clear" w:color="000000" w:fill="FFFFFF"/>
            <w:noWrap/>
            <w:vAlign w:val="center"/>
            <w:hideMark/>
          </w:tcPr>
          <w:p w14:paraId="0539BFD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186</w:t>
            </w:r>
          </w:p>
        </w:tc>
        <w:tc>
          <w:tcPr>
            <w:tcW w:w="545" w:type="dxa"/>
            <w:tcBorders>
              <w:top w:val="nil"/>
              <w:left w:val="nil"/>
              <w:bottom w:val="single" w:sz="8" w:space="0" w:color="DCDDDE"/>
              <w:right w:val="nil"/>
            </w:tcBorders>
            <w:shd w:val="clear" w:color="000000" w:fill="FFFFFF"/>
            <w:noWrap/>
            <w:vAlign w:val="center"/>
            <w:hideMark/>
          </w:tcPr>
          <w:p w14:paraId="1381129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178</w:t>
            </w:r>
          </w:p>
        </w:tc>
        <w:tc>
          <w:tcPr>
            <w:tcW w:w="545" w:type="dxa"/>
            <w:tcBorders>
              <w:top w:val="nil"/>
              <w:left w:val="nil"/>
              <w:bottom w:val="single" w:sz="8" w:space="0" w:color="DCDDDE"/>
              <w:right w:val="nil"/>
            </w:tcBorders>
            <w:shd w:val="clear" w:color="000000" w:fill="FFFFFF"/>
            <w:noWrap/>
            <w:vAlign w:val="center"/>
            <w:hideMark/>
          </w:tcPr>
          <w:p w14:paraId="59B2036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174</w:t>
            </w:r>
          </w:p>
        </w:tc>
        <w:tc>
          <w:tcPr>
            <w:tcW w:w="545" w:type="dxa"/>
            <w:tcBorders>
              <w:top w:val="nil"/>
              <w:left w:val="nil"/>
              <w:bottom w:val="single" w:sz="8" w:space="0" w:color="DCDDDE"/>
              <w:right w:val="nil"/>
            </w:tcBorders>
            <w:shd w:val="clear" w:color="000000" w:fill="FFFFFF"/>
            <w:noWrap/>
            <w:vAlign w:val="center"/>
            <w:hideMark/>
          </w:tcPr>
          <w:p w14:paraId="1D38EE7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165</w:t>
            </w:r>
          </w:p>
        </w:tc>
        <w:tc>
          <w:tcPr>
            <w:tcW w:w="545" w:type="dxa"/>
            <w:tcBorders>
              <w:top w:val="nil"/>
              <w:left w:val="nil"/>
              <w:bottom w:val="single" w:sz="8" w:space="0" w:color="DCDDDE"/>
              <w:right w:val="nil"/>
            </w:tcBorders>
            <w:shd w:val="clear" w:color="000000" w:fill="FFFFFF"/>
            <w:noWrap/>
            <w:vAlign w:val="center"/>
            <w:hideMark/>
          </w:tcPr>
          <w:p w14:paraId="2C203A1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157</w:t>
            </w:r>
          </w:p>
        </w:tc>
        <w:tc>
          <w:tcPr>
            <w:tcW w:w="545" w:type="dxa"/>
            <w:tcBorders>
              <w:top w:val="nil"/>
              <w:left w:val="nil"/>
              <w:bottom w:val="single" w:sz="8" w:space="0" w:color="DCDDDE"/>
              <w:right w:val="nil"/>
            </w:tcBorders>
            <w:shd w:val="clear" w:color="000000" w:fill="FFFFFF"/>
            <w:noWrap/>
            <w:vAlign w:val="center"/>
            <w:hideMark/>
          </w:tcPr>
          <w:p w14:paraId="6B618AC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149</w:t>
            </w:r>
          </w:p>
        </w:tc>
      </w:tr>
      <w:tr w:rsidR="00490035" w:rsidRPr="00490035" w14:paraId="3C33C81E"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16C88927"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26426B1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206</w:t>
            </w:r>
          </w:p>
        </w:tc>
        <w:tc>
          <w:tcPr>
            <w:tcW w:w="545" w:type="dxa"/>
            <w:tcBorders>
              <w:top w:val="nil"/>
              <w:left w:val="nil"/>
              <w:bottom w:val="single" w:sz="8" w:space="0" w:color="DCDDDE"/>
              <w:right w:val="nil"/>
            </w:tcBorders>
            <w:shd w:val="clear" w:color="000000" w:fill="FFFFFF"/>
            <w:noWrap/>
            <w:vAlign w:val="center"/>
            <w:hideMark/>
          </w:tcPr>
          <w:p w14:paraId="5D134DF6"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216</w:t>
            </w:r>
          </w:p>
        </w:tc>
        <w:tc>
          <w:tcPr>
            <w:tcW w:w="545" w:type="dxa"/>
            <w:tcBorders>
              <w:top w:val="nil"/>
              <w:left w:val="nil"/>
              <w:bottom w:val="single" w:sz="8" w:space="0" w:color="DCDDDE"/>
              <w:right w:val="nil"/>
            </w:tcBorders>
            <w:shd w:val="clear" w:color="000000" w:fill="FFFFFF"/>
            <w:noWrap/>
            <w:vAlign w:val="center"/>
            <w:hideMark/>
          </w:tcPr>
          <w:p w14:paraId="48A2B2D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234</w:t>
            </w:r>
          </w:p>
        </w:tc>
        <w:tc>
          <w:tcPr>
            <w:tcW w:w="545" w:type="dxa"/>
            <w:tcBorders>
              <w:top w:val="nil"/>
              <w:left w:val="nil"/>
              <w:bottom w:val="single" w:sz="8" w:space="0" w:color="DCDDDE"/>
              <w:right w:val="nil"/>
            </w:tcBorders>
            <w:shd w:val="clear" w:color="000000" w:fill="FFFFFF"/>
            <w:noWrap/>
            <w:vAlign w:val="center"/>
            <w:hideMark/>
          </w:tcPr>
          <w:p w14:paraId="24B34E67"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269</w:t>
            </w:r>
          </w:p>
        </w:tc>
        <w:tc>
          <w:tcPr>
            <w:tcW w:w="545" w:type="dxa"/>
            <w:tcBorders>
              <w:top w:val="nil"/>
              <w:left w:val="nil"/>
              <w:bottom w:val="single" w:sz="8" w:space="0" w:color="DCDDDE"/>
              <w:right w:val="nil"/>
            </w:tcBorders>
            <w:shd w:val="clear" w:color="000000" w:fill="FFFFFF"/>
            <w:noWrap/>
            <w:vAlign w:val="center"/>
            <w:hideMark/>
          </w:tcPr>
          <w:p w14:paraId="0DD381AA"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271</w:t>
            </w:r>
          </w:p>
        </w:tc>
        <w:tc>
          <w:tcPr>
            <w:tcW w:w="545" w:type="dxa"/>
            <w:tcBorders>
              <w:top w:val="nil"/>
              <w:left w:val="nil"/>
              <w:bottom w:val="single" w:sz="8" w:space="0" w:color="DCDDDE"/>
              <w:right w:val="nil"/>
            </w:tcBorders>
            <w:shd w:val="clear" w:color="000000" w:fill="FFFFFF"/>
            <w:noWrap/>
            <w:vAlign w:val="center"/>
            <w:hideMark/>
          </w:tcPr>
          <w:p w14:paraId="06220BBC"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316</w:t>
            </w:r>
          </w:p>
        </w:tc>
        <w:tc>
          <w:tcPr>
            <w:tcW w:w="545" w:type="dxa"/>
            <w:tcBorders>
              <w:top w:val="nil"/>
              <w:left w:val="nil"/>
              <w:bottom w:val="single" w:sz="8" w:space="0" w:color="DCDDDE"/>
              <w:right w:val="nil"/>
            </w:tcBorders>
            <w:shd w:val="clear" w:color="000000" w:fill="FFFFFF"/>
            <w:noWrap/>
            <w:vAlign w:val="center"/>
            <w:hideMark/>
          </w:tcPr>
          <w:p w14:paraId="6328EEE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325</w:t>
            </w:r>
          </w:p>
        </w:tc>
        <w:tc>
          <w:tcPr>
            <w:tcW w:w="545" w:type="dxa"/>
            <w:tcBorders>
              <w:top w:val="nil"/>
              <w:left w:val="nil"/>
              <w:bottom w:val="single" w:sz="8" w:space="0" w:color="DCDDDE"/>
              <w:right w:val="nil"/>
            </w:tcBorders>
            <w:shd w:val="clear" w:color="000000" w:fill="FFFFFF"/>
            <w:noWrap/>
            <w:vAlign w:val="center"/>
            <w:hideMark/>
          </w:tcPr>
          <w:p w14:paraId="346127CC"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324</w:t>
            </w:r>
          </w:p>
        </w:tc>
        <w:tc>
          <w:tcPr>
            <w:tcW w:w="545" w:type="dxa"/>
            <w:tcBorders>
              <w:top w:val="nil"/>
              <w:left w:val="nil"/>
              <w:bottom w:val="single" w:sz="8" w:space="0" w:color="DCDDDE"/>
              <w:right w:val="nil"/>
            </w:tcBorders>
            <w:shd w:val="clear" w:color="000000" w:fill="FFFFFF"/>
            <w:noWrap/>
            <w:vAlign w:val="center"/>
            <w:hideMark/>
          </w:tcPr>
          <w:p w14:paraId="0E4092D5"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320</w:t>
            </w:r>
          </w:p>
        </w:tc>
        <w:tc>
          <w:tcPr>
            <w:tcW w:w="545" w:type="dxa"/>
            <w:tcBorders>
              <w:top w:val="nil"/>
              <w:left w:val="nil"/>
              <w:bottom w:val="single" w:sz="8" w:space="0" w:color="DCDDDE"/>
              <w:right w:val="nil"/>
            </w:tcBorders>
            <w:shd w:val="clear" w:color="000000" w:fill="FFFFFF"/>
            <w:noWrap/>
            <w:vAlign w:val="center"/>
            <w:hideMark/>
          </w:tcPr>
          <w:p w14:paraId="5E4DA11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320</w:t>
            </w:r>
          </w:p>
        </w:tc>
        <w:tc>
          <w:tcPr>
            <w:tcW w:w="545" w:type="dxa"/>
            <w:tcBorders>
              <w:top w:val="nil"/>
              <w:left w:val="nil"/>
              <w:bottom w:val="single" w:sz="8" w:space="0" w:color="DCDDDE"/>
              <w:right w:val="nil"/>
            </w:tcBorders>
            <w:shd w:val="clear" w:color="000000" w:fill="FFFFFF"/>
            <w:noWrap/>
            <w:vAlign w:val="center"/>
            <w:hideMark/>
          </w:tcPr>
          <w:p w14:paraId="6328B8AE"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318</w:t>
            </w:r>
          </w:p>
        </w:tc>
        <w:tc>
          <w:tcPr>
            <w:tcW w:w="545" w:type="dxa"/>
            <w:tcBorders>
              <w:top w:val="nil"/>
              <w:left w:val="nil"/>
              <w:bottom w:val="single" w:sz="8" w:space="0" w:color="DCDDDE"/>
              <w:right w:val="nil"/>
            </w:tcBorders>
            <w:shd w:val="clear" w:color="000000" w:fill="FFFFFF"/>
            <w:noWrap/>
            <w:vAlign w:val="center"/>
            <w:hideMark/>
          </w:tcPr>
          <w:p w14:paraId="2C41CB3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313</w:t>
            </w:r>
          </w:p>
        </w:tc>
        <w:tc>
          <w:tcPr>
            <w:tcW w:w="545" w:type="dxa"/>
            <w:tcBorders>
              <w:top w:val="nil"/>
              <w:left w:val="nil"/>
              <w:bottom w:val="single" w:sz="8" w:space="0" w:color="DCDDDE"/>
              <w:right w:val="nil"/>
            </w:tcBorders>
            <w:shd w:val="clear" w:color="000000" w:fill="FFFFFF"/>
            <w:noWrap/>
            <w:vAlign w:val="center"/>
            <w:hideMark/>
          </w:tcPr>
          <w:p w14:paraId="731D0AC9"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306</w:t>
            </w:r>
          </w:p>
        </w:tc>
      </w:tr>
      <w:tr w:rsidR="00490035" w:rsidRPr="00490035" w14:paraId="37F64571" w14:textId="77777777" w:rsidTr="00490035">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2990ED8F"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PAC | Reference</w:t>
            </w:r>
          </w:p>
        </w:tc>
      </w:tr>
      <w:tr w:rsidR="00490035" w:rsidRPr="00490035" w14:paraId="733339B5"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7DD2C641"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1A0CB36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102</w:t>
            </w:r>
          </w:p>
        </w:tc>
        <w:tc>
          <w:tcPr>
            <w:tcW w:w="545" w:type="dxa"/>
            <w:tcBorders>
              <w:top w:val="nil"/>
              <w:left w:val="nil"/>
              <w:bottom w:val="single" w:sz="8" w:space="0" w:color="DCDDDE"/>
              <w:right w:val="nil"/>
            </w:tcBorders>
            <w:shd w:val="clear" w:color="000000" w:fill="FFFFFF"/>
            <w:noWrap/>
            <w:vAlign w:val="center"/>
            <w:hideMark/>
          </w:tcPr>
          <w:p w14:paraId="744A958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111</w:t>
            </w:r>
          </w:p>
        </w:tc>
        <w:tc>
          <w:tcPr>
            <w:tcW w:w="545" w:type="dxa"/>
            <w:tcBorders>
              <w:top w:val="nil"/>
              <w:left w:val="nil"/>
              <w:bottom w:val="single" w:sz="8" w:space="0" w:color="DCDDDE"/>
              <w:right w:val="nil"/>
            </w:tcBorders>
            <w:shd w:val="clear" w:color="000000" w:fill="FFFFFF"/>
            <w:noWrap/>
            <w:vAlign w:val="center"/>
            <w:hideMark/>
          </w:tcPr>
          <w:p w14:paraId="6C5787E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109</w:t>
            </w:r>
          </w:p>
        </w:tc>
        <w:tc>
          <w:tcPr>
            <w:tcW w:w="545" w:type="dxa"/>
            <w:tcBorders>
              <w:top w:val="nil"/>
              <w:left w:val="nil"/>
              <w:bottom w:val="single" w:sz="8" w:space="0" w:color="DCDDDE"/>
              <w:right w:val="nil"/>
            </w:tcBorders>
            <w:shd w:val="clear" w:color="000000" w:fill="FFFFFF"/>
            <w:noWrap/>
            <w:vAlign w:val="center"/>
            <w:hideMark/>
          </w:tcPr>
          <w:p w14:paraId="7506834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126</w:t>
            </w:r>
          </w:p>
        </w:tc>
        <w:tc>
          <w:tcPr>
            <w:tcW w:w="545" w:type="dxa"/>
            <w:tcBorders>
              <w:top w:val="nil"/>
              <w:left w:val="nil"/>
              <w:bottom w:val="single" w:sz="8" w:space="0" w:color="DCDDDE"/>
              <w:right w:val="nil"/>
            </w:tcBorders>
            <w:shd w:val="clear" w:color="000000" w:fill="FFFFFF"/>
            <w:noWrap/>
            <w:vAlign w:val="center"/>
            <w:hideMark/>
          </w:tcPr>
          <w:p w14:paraId="15E8636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128</w:t>
            </w:r>
          </w:p>
        </w:tc>
        <w:tc>
          <w:tcPr>
            <w:tcW w:w="545" w:type="dxa"/>
            <w:tcBorders>
              <w:top w:val="nil"/>
              <w:left w:val="nil"/>
              <w:bottom w:val="single" w:sz="8" w:space="0" w:color="DCDDDE"/>
              <w:right w:val="nil"/>
            </w:tcBorders>
            <w:shd w:val="clear" w:color="000000" w:fill="FFFFFF"/>
            <w:noWrap/>
            <w:vAlign w:val="center"/>
            <w:hideMark/>
          </w:tcPr>
          <w:p w14:paraId="0F3A9AC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141</w:t>
            </w:r>
          </w:p>
        </w:tc>
        <w:tc>
          <w:tcPr>
            <w:tcW w:w="545" w:type="dxa"/>
            <w:tcBorders>
              <w:top w:val="nil"/>
              <w:left w:val="nil"/>
              <w:bottom w:val="single" w:sz="8" w:space="0" w:color="DCDDDE"/>
              <w:right w:val="nil"/>
            </w:tcBorders>
            <w:shd w:val="clear" w:color="000000" w:fill="FFFFFF"/>
            <w:noWrap/>
            <w:vAlign w:val="center"/>
            <w:hideMark/>
          </w:tcPr>
          <w:p w14:paraId="5650596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142</w:t>
            </w:r>
          </w:p>
        </w:tc>
        <w:tc>
          <w:tcPr>
            <w:tcW w:w="545" w:type="dxa"/>
            <w:tcBorders>
              <w:top w:val="nil"/>
              <w:left w:val="nil"/>
              <w:bottom w:val="single" w:sz="8" w:space="0" w:color="DCDDDE"/>
              <w:right w:val="nil"/>
            </w:tcBorders>
            <w:shd w:val="clear" w:color="000000" w:fill="FFFFFF"/>
            <w:noWrap/>
            <w:vAlign w:val="center"/>
            <w:hideMark/>
          </w:tcPr>
          <w:p w14:paraId="6383669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143</w:t>
            </w:r>
          </w:p>
        </w:tc>
        <w:tc>
          <w:tcPr>
            <w:tcW w:w="545" w:type="dxa"/>
            <w:tcBorders>
              <w:top w:val="nil"/>
              <w:left w:val="nil"/>
              <w:bottom w:val="single" w:sz="8" w:space="0" w:color="DCDDDE"/>
              <w:right w:val="nil"/>
            </w:tcBorders>
            <w:shd w:val="clear" w:color="000000" w:fill="FFFFFF"/>
            <w:noWrap/>
            <w:vAlign w:val="center"/>
            <w:hideMark/>
          </w:tcPr>
          <w:p w14:paraId="430481D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142</w:t>
            </w:r>
          </w:p>
        </w:tc>
        <w:tc>
          <w:tcPr>
            <w:tcW w:w="545" w:type="dxa"/>
            <w:tcBorders>
              <w:top w:val="nil"/>
              <w:left w:val="nil"/>
              <w:bottom w:val="single" w:sz="8" w:space="0" w:color="DCDDDE"/>
              <w:right w:val="nil"/>
            </w:tcBorders>
            <w:shd w:val="clear" w:color="000000" w:fill="FFFFFF"/>
            <w:noWrap/>
            <w:vAlign w:val="center"/>
            <w:hideMark/>
          </w:tcPr>
          <w:p w14:paraId="1EF5985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143</w:t>
            </w:r>
          </w:p>
        </w:tc>
        <w:tc>
          <w:tcPr>
            <w:tcW w:w="545" w:type="dxa"/>
            <w:tcBorders>
              <w:top w:val="nil"/>
              <w:left w:val="nil"/>
              <w:bottom w:val="single" w:sz="8" w:space="0" w:color="DCDDDE"/>
              <w:right w:val="nil"/>
            </w:tcBorders>
            <w:shd w:val="clear" w:color="000000" w:fill="FFFFFF"/>
            <w:noWrap/>
            <w:vAlign w:val="center"/>
            <w:hideMark/>
          </w:tcPr>
          <w:p w14:paraId="4EE1A11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144</w:t>
            </w:r>
          </w:p>
        </w:tc>
        <w:tc>
          <w:tcPr>
            <w:tcW w:w="545" w:type="dxa"/>
            <w:tcBorders>
              <w:top w:val="nil"/>
              <w:left w:val="nil"/>
              <w:bottom w:val="single" w:sz="8" w:space="0" w:color="DCDDDE"/>
              <w:right w:val="nil"/>
            </w:tcBorders>
            <w:shd w:val="clear" w:color="000000" w:fill="FFFFFF"/>
            <w:noWrap/>
            <w:vAlign w:val="center"/>
            <w:hideMark/>
          </w:tcPr>
          <w:p w14:paraId="40EDA94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146</w:t>
            </w:r>
          </w:p>
        </w:tc>
        <w:tc>
          <w:tcPr>
            <w:tcW w:w="545" w:type="dxa"/>
            <w:tcBorders>
              <w:top w:val="nil"/>
              <w:left w:val="nil"/>
              <w:bottom w:val="single" w:sz="8" w:space="0" w:color="DCDDDE"/>
              <w:right w:val="nil"/>
            </w:tcBorders>
            <w:shd w:val="clear" w:color="000000" w:fill="FFFFFF"/>
            <w:noWrap/>
            <w:vAlign w:val="center"/>
            <w:hideMark/>
          </w:tcPr>
          <w:p w14:paraId="7883CBE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145</w:t>
            </w:r>
          </w:p>
        </w:tc>
      </w:tr>
      <w:tr w:rsidR="00490035" w:rsidRPr="00490035" w14:paraId="27315C82"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0F39C347"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36052B4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7F59E3E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3689466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4B5F82E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2A2E112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44546C8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24</w:t>
            </w:r>
          </w:p>
        </w:tc>
        <w:tc>
          <w:tcPr>
            <w:tcW w:w="545" w:type="dxa"/>
            <w:tcBorders>
              <w:top w:val="nil"/>
              <w:left w:val="nil"/>
              <w:bottom w:val="single" w:sz="8" w:space="0" w:color="DCDDDE"/>
              <w:right w:val="nil"/>
            </w:tcBorders>
            <w:shd w:val="clear" w:color="000000" w:fill="FFFFFF"/>
            <w:noWrap/>
            <w:vAlign w:val="center"/>
            <w:hideMark/>
          </w:tcPr>
          <w:p w14:paraId="75D3E70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5D52168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313670E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31</w:t>
            </w:r>
          </w:p>
        </w:tc>
        <w:tc>
          <w:tcPr>
            <w:tcW w:w="545" w:type="dxa"/>
            <w:tcBorders>
              <w:top w:val="nil"/>
              <w:left w:val="nil"/>
              <w:bottom w:val="single" w:sz="8" w:space="0" w:color="DCDDDE"/>
              <w:right w:val="nil"/>
            </w:tcBorders>
            <w:shd w:val="clear" w:color="000000" w:fill="FFFFFF"/>
            <w:noWrap/>
            <w:vAlign w:val="center"/>
            <w:hideMark/>
          </w:tcPr>
          <w:p w14:paraId="1095916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54F6F2B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36</w:t>
            </w:r>
          </w:p>
        </w:tc>
        <w:tc>
          <w:tcPr>
            <w:tcW w:w="545" w:type="dxa"/>
            <w:tcBorders>
              <w:top w:val="nil"/>
              <w:left w:val="nil"/>
              <w:bottom w:val="single" w:sz="8" w:space="0" w:color="DCDDDE"/>
              <w:right w:val="nil"/>
            </w:tcBorders>
            <w:shd w:val="clear" w:color="000000" w:fill="FFFFFF"/>
            <w:noWrap/>
            <w:vAlign w:val="center"/>
            <w:hideMark/>
          </w:tcPr>
          <w:p w14:paraId="20C9D3A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38</w:t>
            </w:r>
          </w:p>
        </w:tc>
        <w:tc>
          <w:tcPr>
            <w:tcW w:w="545" w:type="dxa"/>
            <w:tcBorders>
              <w:top w:val="nil"/>
              <w:left w:val="nil"/>
              <w:bottom w:val="single" w:sz="8" w:space="0" w:color="DCDDDE"/>
              <w:right w:val="nil"/>
            </w:tcBorders>
            <w:shd w:val="clear" w:color="000000" w:fill="FFFFFF"/>
            <w:noWrap/>
            <w:vAlign w:val="center"/>
            <w:hideMark/>
          </w:tcPr>
          <w:p w14:paraId="79C8CB6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40</w:t>
            </w:r>
          </w:p>
        </w:tc>
      </w:tr>
      <w:tr w:rsidR="00490035" w:rsidRPr="00490035" w14:paraId="00E46721"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2BB6B262"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1AE6143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07A19DA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5E29E13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07B0E04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2797F41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0B7B94A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1F01DDE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25A997B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762F24C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09A3789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5F56ABB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1B05C04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46AD495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r>
      <w:tr w:rsidR="00490035" w:rsidRPr="00490035" w14:paraId="63EF7A8F"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55551782"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lastRenderedPageBreak/>
              <w:t>Incentive Programs (Subtotal)</w:t>
            </w:r>
          </w:p>
        </w:tc>
        <w:tc>
          <w:tcPr>
            <w:tcW w:w="545" w:type="dxa"/>
            <w:tcBorders>
              <w:top w:val="nil"/>
              <w:left w:val="nil"/>
              <w:bottom w:val="single" w:sz="8" w:space="0" w:color="DCDDDE"/>
              <w:right w:val="nil"/>
            </w:tcBorders>
            <w:shd w:val="clear" w:color="000000" w:fill="FFFFFF"/>
            <w:noWrap/>
            <w:vAlign w:val="center"/>
            <w:hideMark/>
          </w:tcPr>
          <w:p w14:paraId="3C73AAB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119</w:t>
            </w:r>
          </w:p>
        </w:tc>
        <w:tc>
          <w:tcPr>
            <w:tcW w:w="545" w:type="dxa"/>
            <w:tcBorders>
              <w:top w:val="nil"/>
              <w:left w:val="nil"/>
              <w:bottom w:val="single" w:sz="8" w:space="0" w:color="DCDDDE"/>
              <w:right w:val="nil"/>
            </w:tcBorders>
            <w:shd w:val="clear" w:color="000000" w:fill="FFFFFF"/>
            <w:noWrap/>
            <w:vAlign w:val="center"/>
            <w:hideMark/>
          </w:tcPr>
          <w:p w14:paraId="3C6A427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131</w:t>
            </w:r>
          </w:p>
        </w:tc>
        <w:tc>
          <w:tcPr>
            <w:tcW w:w="545" w:type="dxa"/>
            <w:tcBorders>
              <w:top w:val="nil"/>
              <w:left w:val="nil"/>
              <w:bottom w:val="single" w:sz="8" w:space="0" w:color="DCDDDE"/>
              <w:right w:val="nil"/>
            </w:tcBorders>
            <w:shd w:val="clear" w:color="000000" w:fill="FFFFFF"/>
            <w:noWrap/>
            <w:vAlign w:val="center"/>
            <w:hideMark/>
          </w:tcPr>
          <w:p w14:paraId="5385C53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131</w:t>
            </w:r>
          </w:p>
        </w:tc>
        <w:tc>
          <w:tcPr>
            <w:tcW w:w="545" w:type="dxa"/>
            <w:tcBorders>
              <w:top w:val="nil"/>
              <w:left w:val="nil"/>
              <w:bottom w:val="single" w:sz="8" w:space="0" w:color="DCDDDE"/>
              <w:right w:val="nil"/>
            </w:tcBorders>
            <w:shd w:val="clear" w:color="000000" w:fill="FFFFFF"/>
            <w:noWrap/>
            <w:vAlign w:val="center"/>
            <w:hideMark/>
          </w:tcPr>
          <w:p w14:paraId="4DEAFEC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147</w:t>
            </w:r>
          </w:p>
        </w:tc>
        <w:tc>
          <w:tcPr>
            <w:tcW w:w="545" w:type="dxa"/>
            <w:tcBorders>
              <w:top w:val="nil"/>
              <w:left w:val="nil"/>
              <w:bottom w:val="single" w:sz="8" w:space="0" w:color="DCDDDE"/>
              <w:right w:val="nil"/>
            </w:tcBorders>
            <w:shd w:val="clear" w:color="000000" w:fill="FFFFFF"/>
            <w:noWrap/>
            <w:vAlign w:val="center"/>
            <w:hideMark/>
          </w:tcPr>
          <w:p w14:paraId="4B3E176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151</w:t>
            </w:r>
          </w:p>
        </w:tc>
        <w:tc>
          <w:tcPr>
            <w:tcW w:w="545" w:type="dxa"/>
            <w:tcBorders>
              <w:top w:val="nil"/>
              <w:left w:val="nil"/>
              <w:bottom w:val="single" w:sz="8" w:space="0" w:color="DCDDDE"/>
              <w:right w:val="nil"/>
            </w:tcBorders>
            <w:shd w:val="clear" w:color="000000" w:fill="FFFFFF"/>
            <w:noWrap/>
            <w:vAlign w:val="center"/>
            <w:hideMark/>
          </w:tcPr>
          <w:p w14:paraId="281499D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166</w:t>
            </w:r>
          </w:p>
        </w:tc>
        <w:tc>
          <w:tcPr>
            <w:tcW w:w="545" w:type="dxa"/>
            <w:tcBorders>
              <w:top w:val="nil"/>
              <w:left w:val="nil"/>
              <w:bottom w:val="single" w:sz="8" w:space="0" w:color="DCDDDE"/>
              <w:right w:val="nil"/>
            </w:tcBorders>
            <w:shd w:val="clear" w:color="000000" w:fill="FFFFFF"/>
            <w:noWrap/>
            <w:vAlign w:val="center"/>
            <w:hideMark/>
          </w:tcPr>
          <w:p w14:paraId="395EBBA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168</w:t>
            </w:r>
          </w:p>
        </w:tc>
        <w:tc>
          <w:tcPr>
            <w:tcW w:w="545" w:type="dxa"/>
            <w:tcBorders>
              <w:top w:val="nil"/>
              <w:left w:val="nil"/>
              <w:bottom w:val="single" w:sz="8" w:space="0" w:color="DCDDDE"/>
              <w:right w:val="nil"/>
            </w:tcBorders>
            <w:shd w:val="clear" w:color="000000" w:fill="FFFFFF"/>
            <w:noWrap/>
            <w:vAlign w:val="center"/>
            <w:hideMark/>
          </w:tcPr>
          <w:p w14:paraId="0250BFE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172</w:t>
            </w:r>
          </w:p>
        </w:tc>
        <w:tc>
          <w:tcPr>
            <w:tcW w:w="545" w:type="dxa"/>
            <w:tcBorders>
              <w:top w:val="nil"/>
              <w:left w:val="nil"/>
              <w:bottom w:val="single" w:sz="8" w:space="0" w:color="DCDDDE"/>
              <w:right w:val="nil"/>
            </w:tcBorders>
            <w:shd w:val="clear" w:color="000000" w:fill="FFFFFF"/>
            <w:noWrap/>
            <w:vAlign w:val="center"/>
            <w:hideMark/>
          </w:tcPr>
          <w:p w14:paraId="6EDE74B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174</w:t>
            </w:r>
          </w:p>
        </w:tc>
        <w:tc>
          <w:tcPr>
            <w:tcW w:w="545" w:type="dxa"/>
            <w:tcBorders>
              <w:top w:val="nil"/>
              <w:left w:val="nil"/>
              <w:bottom w:val="single" w:sz="8" w:space="0" w:color="DCDDDE"/>
              <w:right w:val="nil"/>
            </w:tcBorders>
            <w:shd w:val="clear" w:color="000000" w:fill="FFFFFF"/>
            <w:noWrap/>
            <w:vAlign w:val="center"/>
            <w:hideMark/>
          </w:tcPr>
          <w:p w14:paraId="6730064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177</w:t>
            </w:r>
          </w:p>
        </w:tc>
        <w:tc>
          <w:tcPr>
            <w:tcW w:w="545" w:type="dxa"/>
            <w:tcBorders>
              <w:top w:val="nil"/>
              <w:left w:val="nil"/>
              <w:bottom w:val="single" w:sz="8" w:space="0" w:color="DCDDDE"/>
              <w:right w:val="nil"/>
            </w:tcBorders>
            <w:shd w:val="clear" w:color="000000" w:fill="FFFFFF"/>
            <w:noWrap/>
            <w:vAlign w:val="center"/>
            <w:hideMark/>
          </w:tcPr>
          <w:p w14:paraId="386E413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181</w:t>
            </w:r>
          </w:p>
        </w:tc>
        <w:tc>
          <w:tcPr>
            <w:tcW w:w="545" w:type="dxa"/>
            <w:tcBorders>
              <w:top w:val="nil"/>
              <w:left w:val="nil"/>
              <w:bottom w:val="single" w:sz="8" w:space="0" w:color="DCDDDE"/>
              <w:right w:val="nil"/>
            </w:tcBorders>
            <w:shd w:val="clear" w:color="000000" w:fill="FFFFFF"/>
            <w:noWrap/>
            <w:vAlign w:val="center"/>
            <w:hideMark/>
          </w:tcPr>
          <w:p w14:paraId="78C7B56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185</w:t>
            </w:r>
          </w:p>
        </w:tc>
        <w:tc>
          <w:tcPr>
            <w:tcW w:w="545" w:type="dxa"/>
            <w:tcBorders>
              <w:top w:val="nil"/>
              <w:left w:val="nil"/>
              <w:bottom w:val="single" w:sz="8" w:space="0" w:color="DCDDDE"/>
              <w:right w:val="nil"/>
            </w:tcBorders>
            <w:shd w:val="clear" w:color="000000" w:fill="FFFFFF"/>
            <w:noWrap/>
            <w:vAlign w:val="center"/>
            <w:hideMark/>
          </w:tcPr>
          <w:p w14:paraId="208686D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186</w:t>
            </w:r>
          </w:p>
        </w:tc>
      </w:tr>
      <w:tr w:rsidR="00490035" w:rsidRPr="00490035" w14:paraId="14379950"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753DB057"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5AA2E52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124</w:t>
            </w:r>
          </w:p>
        </w:tc>
        <w:tc>
          <w:tcPr>
            <w:tcW w:w="545" w:type="dxa"/>
            <w:tcBorders>
              <w:top w:val="nil"/>
              <w:left w:val="nil"/>
              <w:bottom w:val="single" w:sz="8" w:space="0" w:color="DCDDDE"/>
              <w:right w:val="nil"/>
            </w:tcBorders>
            <w:shd w:val="clear" w:color="000000" w:fill="FFFFFF"/>
            <w:noWrap/>
            <w:vAlign w:val="center"/>
            <w:hideMark/>
          </w:tcPr>
          <w:p w14:paraId="363CEFA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125</w:t>
            </w:r>
          </w:p>
        </w:tc>
        <w:tc>
          <w:tcPr>
            <w:tcW w:w="545" w:type="dxa"/>
            <w:tcBorders>
              <w:top w:val="nil"/>
              <w:left w:val="nil"/>
              <w:bottom w:val="single" w:sz="8" w:space="0" w:color="DCDDDE"/>
              <w:right w:val="nil"/>
            </w:tcBorders>
            <w:shd w:val="clear" w:color="000000" w:fill="FFFFFF"/>
            <w:noWrap/>
            <w:vAlign w:val="center"/>
            <w:hideMark/>
          </w:tcPr>
          <w:p w14:paraId="5AC2397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142</w:t>
            </w:r>
          </w:p>
        </w:tc>
        <w:tc>
          <w:tcPr>
            <w:tcW w:w="545" w:type="dxa"/>
            <w:tcBorders>
              <w:top w:val="nil"/>
              <w:left w:val="nil"/>
              <w:bottom w:val="single" w:sz="8" w:space="0" w:color="DCDDDE"/>
              <w:right w:val="nil"/>
            </w:tcBorders>
            <w:shd w:val="clear" w:color="000000" w:fill="FFFFFF"/>
            <w:noWrap/>
            <w:vAlign w:val="center"/>
            <w:hideMark/>
          </w:tcPr>
          <w:p w14:paraId="6822C69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168</w:t>
            </w:r>
          </w:p>
        </w:tc>
        <w:tc>
          <w:tcPr>
            <w:tcW w:w="545" w:type="dxa"/>
            <w:tcBorders>
              <w:top w:val="nil"/>
              <w:left w:val="nil"/>
              <w:bottom w:val="single" w:sz="8" w:space="0" w:color="DCDDDE"/>
              <w:right w:val="nil"/>
            </w:tcBorders>
            <w:shd w:val="clear" w:color="000000" w:fill="FFFFFF"/>
            <w:noWrap/>
            <w:vAlign w:val="center"/>
            <w:hideMark/>
          </w:tcPr>
          <w:p w14:paraId="1928A80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163</w:t>
            </w:r>
          </w:p>
        </w:tc>
        <w:tc>
          <w:tcPr>
            <w:tcW w:w="545" w:type="dxa"/>
            <w:tcBorders>
              <w:top w:val="nil"/>
              <w:left w:val="nil"/>
              <w:bottom w:val="single" w:sz="8" w:space="0" w:color="DCDDDE"/>
              <w:right w:val="nil"/>
            </w:tcBorders>
            <w:shd w:val="clear" w:color="000000" w:fill="FFFFFF"/>
            <w:noWrap/>
            <w:vAlign w:val="center"/>
            <w:hideMark/>
          </w:tcPr>
          <w:p w14:paraId="47C3F2D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200</w:t>
            </w:r>
          </w:p>
        </w:tc>
        <w:tc>
          <w:tcPr>
            <w:tcW w:w="545" w:type="dxa"/>
            <w:tcBorders>
              <w:top w:val="nil"/>
              <w:left w:val="nil"/>
              <w:bottom w:val="single" w:sz="8" w:space="0" w:color="DCDDDE"/>
              <w:right w:val="nil"/>
            </w:tcBorders>
            <w:shd w:val="clear" w:color="000000" w:fill="FFFFFF"/>
            <w:noWrap/>
            <w:vAlign w:val="center"/>
            <w:hideMark/>
          </w:tcPr>
          <w:p w14:paraId="4347B5B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192</w:t>
            </w:r>
          </w:p>
        </w:tc>
        <w:tc>
          <w:tcPr>
            <w:tcW w:w="545" w:type="dxa"/>
            <w:tcBorders>
              <w:top w:val="nil"/>
              <w:left w:val="nil"/>
              <w:bottom w:val="single" w:sz="8" w:space="0" w:color="DCDDDE"/>
              <w:right w:val="nil"/>
            </w:tcBorders>
            <w:shd w:val="clear" w:color="000000" w:fill="FFFFFF"/>
            <w:noWrap/>
            <w:vAlign w:val="center"/>
            <w:hideMark/>
          </w:tcPr>
          <w:p w14:paraId="3113DDC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186</w:t>
            </w:r>
          </w:p>
        </w:tc>
        <w:tc>
          <w:tcPr>
            <w:tcW w:w="545" w:type="dxa"/>
            <w:tcBorders>
              <w:top w:val="nil"/>
              <w:left w:val="nil"/>
              <w:bottom w:val="single" w:sz="8" w:space="0" w:color="DCDDDE"/>
              <w:right w:val="nil"/>
            </w:tcBorders>
            <w:shd w:val="clear" w:color="000000" w:fill="FFFFFF"/>
            <w:noWrap/>
            <w:vAlign w:val="center"/>
            <w:hideMark/>
          </w:tcPr>
          <w:p w14:paraId="622F745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178</w:t>
            </w:r>
          </w:p>
        </w:tc>
        <w:tc>
          <w:tcPr>
            <w:tcW w:w="545" w:type="dxa"/>
            <w:tcBorders>
              <w:top w:val="nil"/>
              <w:left w:val="nil"/>
              <w:bottom w:val="single" w:sz="8" w:space="0" w:color="DCDDDE"/>
              <w:right w:val="nil"/>
            </w:tcBorders>
            <w:shd w:val="clear" w:color="000000" w:fill="FFFFFF"/>
            <w:noWrap/>
            <w:vAlign w:val="center"/>
            <w:hideMark/>
          </w:tcPr>
          <w:p w14:paraId="518EA95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174</w:t>
            </w:r>
          </w:p>
        </w:tc>
        <w:tc>
          <w:tcPr>
            <w:tcW w:w="545" w:type="dxa"/>
            <w:tcBorders>
              <w:top w:val="nil"/>
              <w:left w:val="nil"/>
              <w:bottom w:val="single" w:sz="8" w:space="0" w:color="DCDDDE"/>
              <w:right w:val="nil"/>
            </w:tcBorders>
            <w:shd w:val="clear" w:color="000000" w:fill="FFFFFF"/>
            <w:noWrap/>
            <w:vAlign w:val="center"/>
            <w:hideMark/>
          </w:tcPr>
          <w:p w14:paraId="6903148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165</w:t>
            </w:r>
          </w:p>
        </w:tc>
        <w:tc>
          <w:tcPr>
            <w:tcW w:w="545" w:type="dxa"/>
            <w:tcBorders>
              <w:top w:val="nil"/>
              <w:left w:val="nil"/>
              <w:bottom w:val="single" w:sz="8" w:space="0" w:color="DCDDDE"/>
              <w:right w:val="nil"/>
            </w:tcBorders>
            <w:shd w:val="clear" w:color="000000" w:fill="FFFFFF"/>
            <w:noWrap/>
            <w:vAlign w:val="center"/>
            <w:hideMark/>
          </w:tcPr>
          <w:p w14:paraId="363708B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157</w:t>
            </w:r>
          </w:p>
        </w:tc>
        <w:tc>
          <w:tcPr>
            <w:tcW w:w="545" w:type="dxa"/>
            <w:tcBorders>
              <w:top w:val="nil"/>
              <w:left w:val="nil"/>
              <w:bottom w:val="single" w:sz="8" w:space="0" w:color="DCDDDE"/>
              <w:right w:val="nil"/>
            </w:tcBorders>
            <w:shd w:val="clear" w:color="000000" w:fill="FFFFFF"/>
            <w:noWrap/>
            <w:vAlign w:val="center"/>
            <w:hideMark/>
          </w:tcPr>
          <w:p w14:paraId="7855F22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149</w:t>
            </w:r>
          </w:p>
        </w:tc>
      </w:tr>
      <w:tr w:rsidR="00490035" w:rsidRPr="00490035" w14:paraId="404AB7FB"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34014F21"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3145804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243</w:t>
            </w:r>
          </w:p>
        </w:tc>
        <w:tc>
          <w:tcPr>
            <w:tcW w:w="545" w:type="dxa"/>
            <w:tcBorders>
              <w:top w:val="nil"/>
              <w:left w:val="nil"/>
              <w:bottom w:val="single" w:sz="8" w:space="0" w:color="DCDDDE"/>
              <w:right w:val="nil"/>
            </w:tcBorders>
            <w:shd w:val="clear" w:color="000000" w:fill="FFFFFF"/>
            <w:noWrap/>
            <w:vAlign w:val="center"/>
            <w:hideMark/>
          </w:tcPr>
          <w:p w14:paraId="5255FA3B"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256</w:t>
            </w:r>
          </w:p>
        </w:tc>
        <w:tc>
          <w:tcPr>
            <w:tcW w:w="545" w:type="dxa"/>
            <w:tcBorders>
              <w:top w:val="nil"/>
              <w:left w:val="nil"/>
              <w:bottom w:val="single" w:sz="8" w:space="0" w:color="DCDDDE"/>
              <w:right w:val="nil"/>
            </w:tcBorders>
            <w:shd w:val="clear" w:color="000000" w:fill="FFFFFF"/>
            <w:noWrap/>
            <w:vAlign w:val="center"/>
            <w:hideMark/>
          </w:tcPr>
          <w:p w14:paraId="476D814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273</w:t>
            </w:r>
          </w:p>
        </w:tc>
        <w:tc>
          <w:tcPr>
            <w:tcW w:w="545" w:type="dxa"/>
            <w:tcBorders>
              <w:top w:val="nil"/>
              <w:left w:val="nil"/>
              <w:bottom w:val="single" w:sz="8" w:space="0" w:color="DCDDDE"/>
              <w:right w:val="nil"/>
            </w:tcBorders>
            <w:shd w:val="clear" w:color="000000" w:fill="FFFFFF"/>
            <w:noWrap/>
            <w:vAlign w:val="center"/>
            <w:hideMark/>
          </w:tcPr>
          <w:p w14:paraId="4F04499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314</w:t>
            </w:r>
          </w:p>
        </w:tc>
        <w:tc>
          <w:tcPr>
            <w:tcW w:w="545" w:type="dxa"/>
            <w:tcBorders>
              <w:top w:val="nil"/>
              <w:left w:val="nil"/>
              <w:bottom w:val="single" w:sz="8" w:space="0" w:color="DCDDDE"/>
              <w:right w:val="nil"/>
            </w:tcBorders>
            <w:shd w:val="clear" w:color="000000" w:fill="FFFFFF"/>
            <w:noWrap/>
            <w:vAlign w:val="center"/>
            <w:hideMark/>
          </w:tcPr>
          <w:p w14:paraId="728821C9"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314</w:t>
            </w:r>
          </w:p>
        </w:tc>
        <w:tc>
          <w:tcPr>
            <w:tcW w:w="545" w:type="dxa"/>
            <w:tcBorders>
              <w:top w:val="nil"/>
              <w:left w:val="nil"/>
              <w:bottom w:val="single" w:sz="8" w:space="0" w:color="DCDDDE"/>
              <w:right w:val="nil"/>
            </w:tcBorders>
            <w:shd w:val="clear" w:color="000000" w:fill="FFFFFF"/>
            <w:noWrap/>
            <w:vAlign w:val="center"/>
            <w:hideMark/>
          </w:tcPr>
          <w:p w14:paraId="6B85067E"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366</w:t>
            </w:r>
          </w:p>
        </w:tc>
        <w:tc>
          <w:tcPr>
            <w:tcW w:w="545" w:type="dxa"/>
            <w:tcBorders>
              <w:top w:val="nil"/>
              <w:left w:val="nil"/>
              <w:bottom w:val="single" w:sz="8" w:space="0" w:color="DCDDDE"/>
              <w:right w:val="nil"/>
            </w:tcBorders>
            <w:shd w:val="clear" w:color="000000" w:fill="FFFFFF"/>
            <w:noWrap/>
            <w:vAlign w:val="center"/>
            <w:hideMark/>
          </w:tcPr>
          <w:p w14:paraId="6956EDF5"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360</w:t>
            </w:r>
          </w:p>
        </w:tc>
        <w:tc>
          <w:tcPr>
            <w:tcW w:w="545" w:type="dxa"/>
            <w:tcBorders>
              <w:top w:val="nil"/>
              <w:left w:val="nil"/>
              <w:bottom w:val="single" w:sz="8" w:space="0" w:color="DCDDDE"/>
              <w:right w:val="nil"/>
            </w:tcBorders>
            <w:shd w:val="clear" w:color="000000" w:fill="FFFFFF"/>
            <w:noWrap/>
            <w:vAlign w:val="center"/>
            <w:hideMark/>
          </w:tcPr>
          <w:p w14:paraId="46F3B64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358</w:t>
            </w:r>
          </w:p>
        </w:tc>
        <w:tc>
          <w:tcPr>
            <w:tcW w:w="545" w:type="dxa"/>
            <w:tcBorders>
              <w:top w:val="nil"/>
              <w:left w:val="nil"/>
              <w:bottom w:val="single" w:sz="8" w:space="0" w:color="DCDDDE"/>
              <w:right w:val="nil"/>
            </w:tcBorders>
            <w:shd w:val="clear" w:color="000000" w:fill="FFFFFF"/>
            <w:noWrap/>
            <w:vAlign w:val="center"/>
            <w:hideMark/>
          </w:tcPr>
          <w:p w14:paraId="0EA4BFAD"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352</w:t>
            </w:r>
          </w:p>
        </w:tc>
        <w:tc>
          <w:tcPr>
            <w:tcW w:w="545" w:type="dxa"/>
            <w:tcBorders>
              <w:top w:val="nil"/>
              <w:left w:val="nil"/>
              <w:bottom w:val="single" w:sz="8" w:space="0" w:color="DCDDDE"/>
              <w:right w:val="nil"/>
            </w:tcBorders>
            <w:shd w:val="clear" w:color="000000" w:fill="FFFFFF"/>
            <w:noWrap/>
            <w:vAlign w:val="center"/>
            <w:hideMark/>
          </w:tcPr>
          <w:p w14:paraId="615A095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351</w:t>
            </w:r>
          </w:p>
        </w:tc>
        <w:tc>
          <w:tcPr>
            <w:tcW w:w="545" w:type="dxa"/>
            <w:tcBorders>
              <w:top w:val="nil"/>
              <w:left w:val="nil"/>
              <w:bottom w:val="single" w:sz="8" w:space="0" w:color="DCDDDE"/>
              <w:right w:val="nil"/>
            </w:tcBorders>
            <w:shd w:val="clear" w:color="000000" w:fill="FFFFFF"/>
            <w:noWrap/>
            <w:vAlign w:val="center"/>
            <w:hideMark/>
          </w:tcPr>
          <w:p w14:paraId="56244E7A"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345</w:t>
            </w:r>
          </w:p>
        </w:tc>
        <w:tc>
          <w:tcPr>
            <w:tcW w:w="545" w:type="dxa"/>
            <w:tcBorders>
              <w:top w:val="nil"/>
              <w:left w:val="nil"/>
              <w:bottom w:val="single" w:sz="8" w:space="0" w:color="DCDDDE"/>
              <w:right w:val="nil"/>
            </w:tcBorders>
            <w:shd w:val="clear" w:color="000000" w:fill="FFFFFF"/>
            <w:noWrap/>
            <w:vAlign w:val="center"/>
            <w:hideMark/>
          </w:tcPr>
          <w:p w14:paraId="49E3874B"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341</w:t>
            </w:r>
          </w:p>
        </w:tc>
        <w:tc>
          <w:tcPr>
            <w:tcW w:w="545" w:type="dxa"/>
            <w:tcBorders>
              <w:top w:val="nil"/>
              <w:left w:val="nil"/>
              <w:bottom w:val="single" w:sz="8" w:space="0" w:color="DCDDDE"/>
              <w:right w:val="nil"/>
            </w:tcBorders>
            <w:shd w:val="clear" w:color="000000" w:fill="FFFFFF"/>
            <w:noWrap/>
            <w:vAlign w:val="center"/>
            <w:hideMark/>
          </w:tcPr>
          <w:p w14:paraId="38CA347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335</w:t>
            </w:r>
          </w:p>
        </w:tc>
      </w:tr>
      <w:tr w:rsidR="00490035" w:rsidRPr="00490035" w14:paraId="24EBD7B6" w14:textId="77777777" w:rsidTr="00490035">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0D80E55D"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PAC | Aggressive</w:t>
            </w:r>
          </w:p>
        </w:tc>
      </w:tr>
      <w:tr w:rsidR="00490035" w:rsidRPr="00490035" w14:paraId="11F2694F"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06BF1A11"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6C57B37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109</w:t>
            </w:r>
          </w:p>
        </w:tc>
        <w:tc>
          <w:tcPr>
            <w:tcW w:w="545" w:type="dxa"/>
            <w:tcBorders>
              <w:top w:val="nil"/>
              <w:left w:val="nil"/>
              <w:bottom w:val="single" w:sz="8" w:space="0" w:color="DCDDDE"/>
              <w:right w:val="nil"/>
            </w:tcBorders>
            <w:shd w:val="clear" w:color="000000" w:fill="FFFFFF"/>
            <w:noWrap/>
            <w:vAlign w:val="center"/>
            <w:hideMark/>
          </w:tcPr>
          <w:p w14:paraId="7B8C223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119</w:t>
            </w:r>
          </w:p>
        </w:tc>
        <w:tc>
          <w:tcPr>
            <w:tcW w:w="545" w:type="dxa"/>
            <w:tcBorders>
              <w:top w:val="nil"/>
              <w:left w:val="nil"/>
              <w:bottom w:val="single" w:sz="8" w:space="0" w:color="DCDDDE"/>
              <w:right w:val="nil"/>
            </w:tcBorders>
            <w:shd w:val="clear" w:color="000000" w:fill="FFFFFF"/>
            <w:noWrap/>
            <w:vAlign w:val="center"/>
            <w:hideMark/>
          </w:tcPr>
          <w:p w14:paraId="4A0A418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119</w:t>
            </w:r>
          </w:p>
        </w:tc>
        <w:tc>
          <w:tcPr>
            <w:tcW w:w="545" w:type="dxa"/>
            <w:tcBorders>
              <w:top w:val="nil"/>
              <w:left w:val="nil"/>
              <w:bottom w:val="single" w:sz="8" w:space="0" w:color="DCDDDE"/>
              <w:right w:val="nil"/>
            </w:tcBorders>
            <w:shd w:val="clear" w:color="000000" w:fill="FFFFFF"/>
            <w:noWrap/>
            <w:vAlign w:val="center"/>
            <w:hideMark/>
          </w:tcPr>
          <w:p w14:paraId="0680708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137</w:t>
            </w:r>
          </w:p>
        </w:tc>
        <w:tc>
          <w:tcPr>
            <w:tcW w:w="545" w:type="dxa"/>
            <w:tcBorders>
              <w:top w:val="nil"/>
              <w:left w:val="nil"/>
              <w:bottom w:val="single" w:sz="8" w:space="0" w:color="DCDDDE"/>
              <w:right w:val="nil"/>
            </w:tcBorders>
            <w:shd w:val="clear" w:color="000000" w:fill="FFFFFF"/>
            <w:noWrap/>
            <w:vAlign w:val="center"/>
            <w:hideMark/>
          </w:tcPr>
          <w:p w14:paraId="086A6D8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138</w:t>
            </w:r>
          </w:p>
        </w:tc>
        <w:tc>
          <w:tcPr>
            <w:tcW w:w="545" w:type="dxa"/>
            <w:tcBorders>
              <w:top w:val="nil"/>
              <w:left w:val="nil"/>
              <w:bottom w:val="single" w:sz="8" w:space="0" w:color="DCDDDE"/>
              <w:right w:val="nil"/>
            </w:tcBorders>
            <w:shd w:val="clear" w:color="000000" w:fill="FFFFFF"/>
            <w:noWrap/>
            <w:vAlign w:val="center"/>
            <w:hideMark/>
          </w:tcPr>
          <w:p w14:paraId="75F960A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152</w:t>
            </w:r>
          </w:p>
        </w:tc>
        <w:tc>
          <w:tcPr>
            <w:tcW w:w="545" w:type="dxa"/>
            <w:tcBorders>
              <w:top w:val="nil"/>
              <w:left w:val="nil"/>
              <w:bottom w:val="single" w:sz="8" w:space="0" w:color="DCDDDE"/>
              <w:right w:val="nil"/>
            </w:tcBorders>
            <w:shd w:val="clear" w:color="000000" w:fill="FFFFFF"/>
            <w:noWrap/>
            <w:vAlign w:val="center"/>
            <w:hideMark/>
          </w:tcPr>
          <w:p w14:paraId="7AFE143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152</w:t>
            </w:r>
          </w:p>
        </w:tc>
        <w:tc>
          <w:tcPr>
            <w:tcW w:w="545" w:type="dxa"/>
            <w:tcBorders>
              <w:top w:val="nil"/>
              <w:left w:val="nil"/>
              <w:bottom w:val="single" w:sz="8" w:space="0" w:color="DCDDDE"/>
              <w:right w:val="nil"/>
            </w:tcBorders>
            <w:shd w:val="clear" w:color="000000" w:fill="FFFFFF"/>
            <w:noWrap/>
            <w:vAlign w:val="center"/>
            <w:hideMark/>
          </w:tcPr>
          <w:p w14:paraId="0059DC7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152</w:t>
            </w:r>
          </w:p>
        </w:tc>
        <w:tc>
          <w:tcPr>
            <w:tcW w:w="545" w:type="dxa"/>
            <w:tcBorders>
              <w:top w:val="nil"/>
              <w:left w:val="nil"/>
              <w:bottom w:val="single" w:sz="8" w:space="0" w:color="DCDDDE"/>
              <w:right w:val="nil"/>
            </w:tcBorders>
            <w:shd w:val="clear" w:color="000000" w:fill="FFFFFF"/>
            <w:noWrap/>
            <w:vAlign w:val="center"/>
            <w:hideMark/>
          </w:tcPr>
          <w:p w14:paraId="126AB4E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151</w:t>
            </w:r>
          </w:p>
        </w:tc>
        <w:tc>
          <w:tcPr>
            <w:tcW w:w="545" w:type="dxa"/>
            <w:tcBorders>
              <w:top w:val="nil"/>
              <w:left w:val="nil"/>
              <w:bottom w:val="single" w:sz="8" w:space="0" w:color="DCDDDE"/>
              <w:right w:val="nil"/>
            </w:tcBorders>
            <w:shd w:val="clear" w:color="000000" w:fill="FFFFFF"/>
            <w:noWrap/>
            <w:vAlign w:val="center"/>
            <w:hideMark/>
          </w:tcPr>
          <w:p w14:paraId="22AA608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153</w:t>
            </w:r>
          </w:p>
        </w:tc>
        <w:tc>
          <w:tcPr>
            <w:tcW w:w="545" w:type="dxa"/>
            <w:tcBorders>
              <w:top w:val="nil"/>
              <w:left w:val="nil"/>
              <w:bottom w:val="single" w:sz="8" w:space="0" w:color="DCDDDE"/>
              <w:right w:val="nil"/>
            </w:tcBorders>
            <w:shd w:val="clear" w:color="000000" w:fill="FFFFFF"/>
            <w:noWrap/>
            <w:vAlign w:val="center"/>
            <w:hideMark/>
          </w:tcPr>
          <w:p w14:paraId="7D44F64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153</w:t>
            </w:r>
          </w:p>
        </w:tc>
        <w:tc>
          <w:tcPr>
            <w:tcW w:w="545" w:type="dxa"/>
            <w:tcBorders>
              <w:top w:val="nil"/>
              <w:left w:val="nil"/>
              <w:bottom w:val="single" w:sz="8" w:space="0" w:color="DCDDDE"/>
              <w:right w:val="nil"/>
            </w:tcBorders>
            <w:shd w:val="clear" w:color="000000" w:fill="FFFFFF"/>
            <w:noWrap/>
            <w:vAlign w:val="center"/>
            <w:hideMark/>
          </w:tcPr>
          <w:p w14:paraId="59A8134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154</w:t>
            </w:r>
          </w:p>
        </w:tc>
        <w:tc>
          <w:tcPr>
            <w:tcW w:w="545" w:type="dxa"/>
            <w:tcBorders>
              <w:top w:val="nil"/>
              <w:left w:val="nil"/>
              <w:bottom w:val="single" w:sz="8" w:space="0" w:color="DCDDDE"/>
              <w:right w:val="nil"/>
            </w:tcBorders>
            <w:shd w:val="clear" w:color="000000" w:fill="FFFFFF"/>
            <w:noWrap/>
            <w:vAlign w:val="center"/>
            <w:hideMark/>
          </w:tcPr>
          <w:p w14:paraId="1FF8416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153</w:t>
            </w:r>
          </w:p>
        </w:tc>
      </w:tr>
      <w:tr w:rsidR="00490035" w:rsidRPr="00490035" w14:paraId="358A3461"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1BBEC176"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0010837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14903D8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7C9540F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04E9C12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16A2D36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7F94C3A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36</w:t>
            </w:r>
          </w:p>
        </w:tc>
        <w:tc>
          <w:tcPr>
            <w:tcW w:w="545" w:type="dxa"/>
            <w:tcBorders>
              <w:top w:val="nil"/>
              <w:left w:val="nil"/>
              <w:bottom w:val="single" w:sz="8" w:space="0" w:color="DCDDDE"/>
              <w:right w:val="nil"/>
            </w:tcBorders>
            <w:shd w:val="clear" w:color="000000" w:fill="FFFFFF"/>
            <w:noWrap/>
            <w:vAlign w:val="center"/>
            <w:hideMark/>
          </w:tcPr>
          <w:p w14:paraId="0923929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34BBCDD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45</w:t>
            </w:r>
          </w:p>
        </w:tc>
        <w:tc>
          <w:tcPr>
            <w:tcW w:w="545" w:type="dxa"/>
            <w:tcBorders>
              <w:top w:val="nil"/>
              <w:left w:val="nil"/>
              <w:bottom w:val="single" w:sz="8" w:space="0" w:color="DCDDDE"/>
              <w:right w:val="nil"/>
            </w:tcBorders>
            <w:shd w:val="clear" w:color="000000" w:fill="FFFFFF"/>
            <w:noWrap/>
            <w:vAlign w:val="center"/>
            <w:hideMark/>
          </w:tcPr>
          <w:p w14:paraId="23D3F41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49</w:t>
            </w:r>
          </w:p>
        </w:tc>
        <w:tc>
          <w:tcPr>
            <w:tcW w:w="545" w:type="dxa"/>
            <w:tcBorders>
              <w:top w:val="nil"/>
              <w:left w:val="nil"/>
              <w:bottom w:val="single" w:sz="8" w:space="0" w:color="DCDDDE"/>
              <w:right w:val="nil"/>
            </w:tcBorders>
            <w:shd w:val="clear" w:color="000000" w:fill="FFFFFF"/>
            <w:noWrap/>
            <w:vAlign w:val="center"/>
            <w:hideMark/>
          </w:tcPr>
          <w:p w14:paraId="1548DBE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53</w:t>
            </w:r>
          </w:p>
        </w:tc>
        <w:tc>
          <w:tcPr>
            <w:tcW w:w="545" w:type="dxa"/>
            <w:tcBorders>
              <w:top w:val="nil"/>
              <w:left w:val="nil"/>
              <w:bottom w:val="single" w:sz="8" w:space="0" w:color="DCDDDE"/>
              <w:right w:val="nil"/>
            </w:tcBorders>
            <w:shd w:val="clear" w:color="000000" w:fill="FFFFFF"/>
            <w:noWrap/>
            <w:vAlign w:val="center"/>
            <w:hideMark/>
          </w:tcPr>
          <w:p w14:paraId="2729A8F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57</w:t>
            </w:r>
          </w:p>
        </w:tc>
        <w:tc>
          <w:tcPr>
            <w:tcW w:w="545" w:type="dxa"/>
            <w:tcBorders>
              <w:top w:val="nil"/>
              <w:left w:val="nil"/>
              <w:bottom w:val="single" w:sz="8" w:space="0" w:color="DCDDDE"/>
              <w:right w:val="nil"/>
            </w:tcBorders>
            <w:shd w:val="clear" w:color="000000" w:fill="FFFFFF"/>
            <w:noWrap/>
            <w:vAlign w:val="center"/>
            <w:hideMark/>
          </w:tcPr>
          <w:p w14:paraId="04445A2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63</w:t>
            </w:r>
          </w:p>
        </w:tc>
        <w:tc>
          <w:tcPr>
            <w:tcW w:w="545" w:type="dxa"/>
            <w:tcBorders>
              <w:top w:val="nil"/>
              <w:left w:val="nil"/>
              <w:bottom w:val="single" w:sz="8" w:space="0" w:color="DCDDDE"/>
              <w:right w:val="nil"/>
            </w:tcBorders>
            <w:shd w:val="clear" w:color="000000" w:fill="FFFFFF"/>
            <w:noWrap/>
            <w:vAlign w:val="center"/>
            <w:hideMark/>
          </w:tcPr>
          <w:p w14:paraId="4D439A7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69</w:t>
            </w:r>
          </w:p>
        </w:tc>
      </w:tr>
      <w:tr w:rsidR="00490035" w:rsidRPr="00490035" w14:paraId="545A00C9"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120842F6"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61FD830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55995F9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77F503D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0DA11CB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78D812A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1450F0B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002F076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273CB8D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5F8CCF1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37F0FD7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3339B2B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4789546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7A77789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w:t>
            </w:r>
          </w:p>
        </w:tc>
      </w:tr>
      <w:tr w:rsidR="00490035" w:rsidRPr="00490035" w14:paraId="0692ED8F"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1BDD073F"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096BC8C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127</w:t>
            </w:r>
          </w:p>
        </w:tc>
        <w:tc>
          <w:tcPr>
            <w:tcW w:w="545" w:type="dxa"/>
            <w:tcBorders>
              <w:top w:val="nil"/>
              <w:left w:val="nil"/>
              <w:bottom w:val="single" w:sz="8" w:space="0" w:color="DCDDDE"/>
              <w:right w:val="nil"/>
            </w:tcBorders>
            <w:shd w:val="clear" w:color="000000" w:fill="FFFFFF"/>
            <w:noWrap/>
            <w:vAlign w:val="center"/>
            <w:hideMark/>
          </w:tcPr>
          <w:p w14:paraId="0701C89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145</w:t>
            </w:r>
          </w:p>
        </w:tc>
        <w:tc>
          <w:tcPr>
            <w:tcW w:w="545" w:type="dxa"/>
            <w:tcBorders>
              <w:top w:val="nil"/>
              <w:left w:val="nil"/>
              <w:bottom w:val="single" w:sz="8" w:space="0" w:color="DCDDDE"/>
              <w:right w:val="nil"/>
            </w:tcBorders>
            <w:shd w:val="clear" w:color="000000" w:fill="FFFFFF"/>
            <w:noWrap/>
            <w:vAlign w:val="center"/>
            <w:hideMark/>
          </w:tcPr>
          <w:p w14:paraId="6A7A1ED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148</w:t>
            </w:r>
          </w:p>
        </w:tc>
        <w:tc>
          <w:tcPr>
            <w:tcW w:w="545" w:type="dxa"/>
            <w:tcBorders>
              <w:top w:val="nil"/>
              <w:left w:val="nil"/>
              <w:bottom w:val="single" w:sz="8" w:space="0" w:color="DCDDDE"/>
              <w:right w:val="nil"/>
            </w:tcBorders>
            <w:shd w:val="clear" w:color="000000" w:fill="FFFFFF"/>
            <w:noWrap/>
            <w:vAlign w:val="center"/>
            <w:hideMark/>
          </w:tcPr>
          <w:p w14:paraId="69FD852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167</w:t>
            </w:r>
          </w:p>
        </w:tc>
        <w:tc>
          <w:tcPr>
            <w:tcW w:w="545" w:type="dxa"/>
            <w:tcBorders>
              <w:top w:val="nil"/>
              <w:left w:val="nil"/>
              <w:bottom w:val="single" w:sz="8" w:space="0" w:color="DCDDDE"/>
              <w:right w:val="nil"/>
            </w:tcBorders>
            <w:shd w:val="clear" w:color="000000" w:fill="FFFFFF"/>
            <w:noWrap/>
            <w:vAlign w:val="center"/>
            <w:hideMark/>
          </w:tcPr>
          <w:p w14:paraId="3DEA16B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172</w:t>
            </w:r>
          </w:p>
        </w:tc>
        <w:tc>
          <w:tcPr>
            <w:tcW w:w="545" w:type="dxa"/>
            <w:tcBorders>
              <w:top w:val="nil"/>
              <w:left w:val="nil"/>
              <w:bottom w:val="single" w:sz="8" w:space="0" w:color="DCDDDE"/>
              <w:right w:val="nil"/>
            </w:tcBorders>
            <w:shd w:val="clear" w:color="000000" w:fill="FFFFFF"/>
            <w:noWrap/>
            <w:vAlign w:val="center"/>
            <w:hideMark/>
          </w:tcPr>
          <w:p w14:paraId="5876336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189</w:t>
            </w:r>
          </w:p>
        </w:tc>
        <w:tc>
          <w:tcPr>
            <w:tcW w:w="545" w:type="dxa"/>
            <w:tcBorders>
              <w:top w:val="nil"/>
              <w:left w:val="nil"/>
              <w:bottom w:val="single" w:sz="8" w:space="0" w:color="DCDDDE"/>
              <w:right w:val="nil"/>
            </w:tcBorders>
            <w:shd w:val="clear" w:color="000000" w:fill="FFFFFF"/>
            <w:noWrap/>
            <w:vAlign w:val="center"/>
            <w:hideMark/>
          </w:tcPr>
          <w:p w14:paraId="499E2CB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194</w:t>
            </w:r>
          </w:p>
        </w:tc>
        <w:tc>
          <w:tcPr>
            <w:tcW w:w="545" w:type="dxa"/>
            <w:tcBorders>
              <w:top w:val="nil"/>
              <w:left w:val="nil"/>
              <w:bottom w:val="single" w:sz="8" w:space="0" w:color="DCDDDE"/>
              <w:right w:val="nil"/>
            </w:tcBorders>
            <w:shd w:val="clear" w:color="000000" w:fill="FFFFFF"/>
            <w:noWrap/>
            <w:vAlign w:val="center"/>
            <w:hideMark/>
          </w:tcPr>
          <w:p w14:paraId="54253FF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198</w:t>
            </w:r>
          </w:p>
        </w:tc>
        <w:tc>
          <w:tcPr>
            <w:tcW w:w="545" w:type="dxa"/>
            <w:tcBorders>
              <w:top w:val="nil"/>
              <w:left w:val="nil"/>
              <w:bottom w:val="single" w:sz="8" w:space="0" w:color="DCDDDE"/>
              <w:right w:val="nil"/>
            </w:tcBorders>
            <w:shd w:val="clear" w:color="000000" w:fill="FFFFFF"/>
            <w:noWrap/>
            <w:vAlign w:val="center"/>
            <w:hideMark/>
          </w:tcPr>
          <w:p w14:paraId="3413D36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201</w:t>
            </w:r>
          </w:p>
        </w:tc>
        <w:tc>
          <w:tcPr>
            <w:tcW w:w="545" w:type="dxa"/>
            <w:tcBorders>
              <w:top w:val="nil"/>
              <w:left w:val="nil"/>
              <w:bottom w:val="single" w:sz="8" w:space="0" w:color="DCDDDE"/>
              <w:right w:val="nil"/>
            </w:tcBorders>
            <w:shd w:val="clear" w:color="000000" w:fill="FFFFFF"/>
            <w:noWrap/>
            <w:vAlign w:val="center"/>
            <w:hideMark/>
          </w:tcPr>
          <w:p w14:paraId="77A0F23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206</w:t>
            </w:r>
          </w:p>
        </w:tc>
        <w:tc>
          <w:tcPr>
            <w:tcW w:w="545" w:type="dxa"/>
            <w:tcBorders>
              <w:top w:val="nil"/>
              <w:left w:val="nil"/>
              <w:bottom w:val="single" w:sz="8" w:space="0" w:color="DCDDDE"/>
              <w:right w:val="nil"/>
            </w:tcBorders>
            <w:shd w:val="clear" w:color="000000" w:fill="FFFFFF"/>
            <w:noWrap/>
            <w:vAlign w:val="center"/>
            <w:hideMark/>
          </w:tcPr>
          <w:p w14:paraId="747A5C0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211</w:t>
            </w:r>
          </w:p>
        </w:tc>
        <w:tc>
          <w:tcPr>
            <w:tcW w:w="545" w:type="dxa"/>
            <w:tcBorders>
              <w:top w:val="nil"/>
              <w:left w:val="nil"/>
              <w:bottom w:val="single" w:sz="8" w:space="0" w:color="DCDDDE"/>
              <w:right w:val="nil"/>
            </w:tcBorders>
            <w:shd w:val="clear" w:color="000000" w:fill="FFFFFF"/>
            <w:noWrap/>
            <w:vAlign w:val="center"/>
            <w:hideMark/>
          </w:tcPr>
          <w:p w14:paraId="152AB15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218</w:t>
            </w:r>
          </w:p>
        </w:tc>
        <w:tc>
          <w:tcPr>
            <w:tcW w:w="545" w:type="dxa"/>
            <w:tcBorders>
              <w:top w:val="nil"/>
              <w:left w:val="nil"/>
              <w:bottom w:val="single" w:sz="8" w:space="0" w:color="DCDDDE"/>
              <w:right w:val="nil"/>
            </w:tcBorders>
            <w:shd w:val="clear" w:color="000000" w:fill="FFFFFF"/>
            <w:noWrap/>
            <w:vAlign w:val="center"/>
            <w:hideMark/>
          </w:tcPr>
          <w:p w14:paraId="21E26D9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223</w:t>
            </w:r>
          </w:p>
        </w:tc>
      </w:tr>
      <w:tr w:rsidR="00490035" w:rsidRPr="00490035" w14:paraId="380C162D"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4DB0472A"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7EA6E34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124</w:t>
            </w:r>
          </w:p>
        </w:tc>
        <w:tc>
          <w:tcPr>
            <w:tcW w:w="545" w:type="dxa"/>
            <w:tcBorders>
              <w:top w:val="nil"/>
              <w:left w:val="nil"/>
              <w:bottom w:val="single" w:sz="8" w:space="0" w:color="DCDDDE"/>
              <w:right w:val="nil"/>
            </w:tcBorders>
            <w:shd w:val="clear" w:color="000000" w:fill="FFFFFF"/>
            <w:noWrap/>
            <w:vAlign w:val="center"/>
            <w:hideMark/>
          </w:tcPr>
          <w:p w14:paraId="636A36D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125</w:t>
            </w:r>
          </w:p>
        </w:tc>
        <w:tc>
          <w:tcPr>
            <w:tcW w:w="545" w:type="dxa"/>
            <w:tcBorders>
              <w:top w:val="nil"/>
              <w:left w:val="nil"/>
              <w:bottom w:val="single" w:sz="8" w:space="0" w:color="DCDDDE"/>
              <w:right w:val="nil"/>
            </w:tcBorders>
            <w:shd w:val="clear" w:color="000000" w:fill="FFFFFF"/>
            <w:noWrap/>
            <w:vAlign w:val="center"/>
            <w:hideMark/>
          </w:tcPr>
          <w:p w14:paraId="7CC7CA4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142</w:t>
            </w:r>
          </w:p>
        </w:tc>
        <w:tc>
          <w:tcPr>
            <w:tcW w:w="545" w:type="dxa"/>
            <w:tcBorders>
              <w:top w:val="nil"/>
              <w:left w:val="nil"/>
              <w:bottom w:val="single" w:sz="8" w:space="0" w:color="DCDDDE"/>
              <w:right w:val="nil"/>
            </w:tcBorders>
            <w:shd w:val="clear" w:color="000000" w:fill="FFFFFF"/>
            <w:noWrap/>
            <w:vAlign w:val="center"/>
            <w:hideMark/>
          </w:tcPr>
          <w:p w14:paraId="17A7C14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168</w:t>
            </w:r>
          </w:p>
        </w:tc>
        <w:tc>
          <w:tcPr>
            <w:tcW w:w="545" w:type="dxa"/>
            <w:tcBorders>
              <w:top w:val="nil"/>
              <w:left w:val="nil"/>
              <w:bottom w:val="single" w:sz="8" w:space="0" w:color="DCDDDE"/>
              <w:right w:val="nil"/>
            </w:tcBorders>
            <w:shd w:val="clear" w:color="000000" w:fill="FFFFFF"/>
            <w:noWrap/>
            <w:vAlign w:val="center"/>
            <w:hideMark/>
          </w:tcPr>
          <w:p w14:paraId="19AEF00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163</w:t>
            </w:r>
          </w:p>
        </w:tc>
        <w:tc>
          <w:tcPr>
            <w:tcW w:w="545" w:type="dxa"/>
            <w:tcBorders>
              <w:top w:val="nil"/>
              <w:left w:val="nil"/>
              <w:bottom w:val="single" w:sz="8" w:space="0" w:color="DCDDDE"/>
              <w:right w:val="nil"/>
            </w:tcBorders>
            <w:shd w:val="clear" w:color="000000" w:fill="FFFFFF"/>
            <w:noWrap/>
            <w:vAlign w:val="center"/>
            <w:hideMark/>
          </w:tcPr>
          <w:p w14:paraId="673BF71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200</w:t>
            </w:r>
          </w:p>
        </w:tc>
        <w:tc>
          <w:tcPr>
            <w:tcW w:w="545" w:type="dxa"/>
            <w:tcBorders>
              <w:top w:val="nil"/>
              <w:left w:val="nil"/>
              <w:bottom w:val="single" w:sz="8" w:space="0" w:color="DCDDDE"/>
              <w:right w:val="nil"/>
            </w:tcBorders>
            <w:shd w:val="clear" w:color="000000" w:fill="FFFFFF"/>
            <w:noWrap/>
            <w:vAlign w:val="center"/>
            <w:hideMark/>
          </w:tcPr>
          <w:p w14:paraId="02831B6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192</w:t>
            </w:r>
          </w:p>
        </w:tc>
        <w:tc>
          <w:tcPr>
            <w:tcW w:w="545" w:type="dxa"/>
            <w:tcBorders>
              <w:top w:val="nil"/>
              <w:left w:val="nil"/>
              <w:bottom w:val="single" w:sz="8" w:space="0" w:color="DCDDDE"/>
              <w:right w:val="nil"/>
            </w:tcBorders>
            <w:shd w:val="clear" w:color="000000" w:fill="FFFFFF"/>
            <w:noWrap/>
            <w:vAlign w:val="center"/>
            <w:hideMark/>
          </w:tcPr>
          <w:p w14:paraId="7ABFF7E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186</w:t>
            </w:r>
          </w:p>
        </w:tc>
        <w:tc>
          <w:tcPr>
            <w:tcW w:w="545" w:type="dxa"/>
            <w:tcBorders>
              <w:top w:val="nil"/>
              <w:left w:val="nil"/>
              <w:bottom w:val="single" w:sz="8" w:space="0" w:color="DCDDDE"/>
              <w:right w:val="nil"/>
            </w:tcBorders>
            <w:shd w:val="clear" w:color="000000" w:fill="FFFFFF"/>
            <w:noWrap/>
            <w:vAlign w:val="center"/>
            <w:hideMark/>
          </w:tcPr>
          <w:p w14:paraId="3196CB9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178</w:t>
            </w:r>
          </w:p>
        </w:tc>
        <w:tc>
          <w:tcPr>
            <w:tcW w:w="545" w:type="dxa"/>
            <w:tcBorders>
              <w:top w:val="nil"/>
              <w:left w:val="nil"/>
              <w:bottom w:val="single" w:sz="8" w:space="0" w:color="DCDDDE"/>
              <w:right w:val="nil"/>
            </w:tcBorders>
            <w:shd w:val="clear" w:color="000000" w:fill="FFFFFF"/>
            <w:noWrap/>
            <w:vAlign w:val="center"/>
            <w:hideMark/>
          </w:tcPr>
          <w:p w14:paraId="010E1D5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174</w:t>
            </w:r>
          </w:p>
        </w:tc>
        <w:tc>
          <w:tcPr>
            <w:tcW w:w="545" w:type="dxa"/>
            <w:tcBorders>
              <w:top w:val="nil"/>
              <w:left w:val="nil"/>
              <w:bottom w:val="single" w:sz="8" w:space="0" w:color="DCDDDE"/>
              <w:right w:val="nil"/>
            </w:tcBorders>
            <w:shd w:val="clear" w:color="000000" w:fill="FFFFFF"/>
            <w:noWrap/>
            <w:vAlign w:val="center"/>
            <w:hideMark/>
          </w:tcPr>
          <w:p w14:paraId="1587EA7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165</w:t>
            </w:r>
          </w:p>
        </w:tc>
        <w:tc>
          <w:tcPr>
            <w:tcW w:w="545" w:type="dxa"/>
            <w:tcBorders>
              <w:top w:val="nil"/>
              <w:left w:val="nil"/>
              <w:bottom w:val="single" w:sz="8" w:space="0" w:color="DCDDDE"/>
              <w:right w:val="nil"/>
            </w:tcBorders>
            <w:shd w:val="clear" w:color="000000" w:fill="FFFFFF"/>
            <w:noWrap/>
            <w:vAlign w:val="center"/>
            <w:hideMark/>
          </w:tcPr>
          <w:p w14:paraId="1A39E37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157</w:t>
            </w:r>
          </w:p>
        </w:tc>
        <w:tc>
          <w:tcPr>
            <w:tcW w:w="545" w:type="dxa"/>
            <w:tcBorders>
              <w:top w:val="nil"/>
              <w:left w:val="nil"/>
              <w:bottom w:val="single" w:sz="8" w:space="0" w:color="DCDDDE"/>
              <w:right w:val="nil"/>
            </w:tcBorders>
            <w:shd w:val="clear" w:color="000000" w:fill="FFFFFF"/>
            <w:noWrap/>
            <w:vAlign w:val="center"/>
            <w:hideMark/>
          </w:tcPr>
          <w:p w14:paraId="39D83F9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149</w:t>
            </w:r>
          </w:p>
        </w:tc>
      </w:tr>
      <w:tr w:rsidR="00490035" w:rsidRPr="00490035" w14:paraId="090AC0F8"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42BB92D1" w14:textId="77777777" w:rsidR="00490035" w:rsidRPr="00490035" w:rsidRDefault="00490035" w:rsidP="00297144">
            <w:pPr>
              <w:spacing w:line="240" w:lineRule="auto"/>
              <w:rPr>
                <w:rFonts w:ascii="Arial Narrow" w:hAnsi="Arial Narrow"/>
                <w:b/>
                <w:bCs/>
                <w:sz w:val="18"/>
                <w:szCs w:val="18"/>
              </w:rPr>
            </w:pPr>
            <w:r w:rsidRPr="00490035">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30FC26EE"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251</w:t>
            </w:r>
          </w:p>
        </w:tc>
        <w:tc>
          <w:tcPr>
            <w:tcW w:w="545" w:type="dxa"/>
            <w:tcBorders>
              <w:top w:val="nil"/>
              <w:left w:val="nil"/>
              <w:bottom w:val="single" w:sz="8" w:space="0" w:color="DCDDDE"/>
              <w:right w:val="nil"/>
            </w:tcBorders>
            <w:shd w:val="clear" w:color="000000" w:fill="FFFFFF"/>
            <w:noWrap/>
            <w:vAlign w:val="center"/>
            <w:hideMark/>
          </w:tcPr>
          <w:p w14:paraId="546E4B7B"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271</w:t>
            </w:r>
          </w:p>
        </w:tc>
        <w:tc>
          <w:tcPr>
            <w:tcW w:w="545" w:type="dxa"/>
            <w:tcBorders>
              <w:top w:val="nil"/>
              <w:left w:val="nil"/>
              <w:bottom w:val="single" w:sz="8" w:space="0" w:color="DCDDDE"/>
              <w:right w:val="nil"/>
            </w:tcBorders>
            <w:shd w:val="clear" w:color="000000" w:fill="FFFFFF"/>
            <w:noWrap/>
            <w:vAlign w:val="center"/>
            <w:hideMark/>
          </w:tcPr>
          <w:p w14:paraId="2652916A"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289</w:t>
            </w:r>
          </w:p>
        </w:tc>
        <w:tc>
          <w:tcPr>
            <w:tcW w:w="545" w:type="dxa"/>
            <w:tcBorders>
              <w:top w:val="nil"/>
              <w:left w:val="nil"/>
              <w:bottom w:val="single" w:sz="8" w:space="0" w:color="DCDDDE"/>
              <w:right w:val="nil"/>
            </w:tcBorders>
            <w:shd w:val="clear" w:color="000000" w:fill="FFFFFF"/>
            <w:noWrap/>
            <w:vAlign w:val="center"/>
            <w:hideMark/>
          </w:tcPr>
          <w:p w14:paraId="48A1604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334</w:t>
            </w:r>
          </w:p>
        </w:tc>
        <w:tc>
          <w:tcPr>
            <w:tcW w:w="545" w:type="dxa"/>
            <w:tcBorders>
              <w:top w:val="nil"/>
              <w:left w:val="nil"/>
              <w:bottom w:val="single" w:sz="8" w:space="0" w:color="DCDDDE"/>
              <w:right w:val="nil"/>
            </w:tcBorders>
            <w:shd w:val="clear" w:color="000000" w:fill="FFFFFF"/>
            <w:noWrap/>
            <w:vAlign w:val="center"/>
            <w:hideMark/>
          </w:tcPr>
          <w:p w14:paraId="71F77CA6"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336</w:t>
            </w:r>
          </w:p>
        </w:tc>
        <w:tc>
          <w:tcPr>
            <w:tcW w:w="545" w:type="dxa"/>
            <w:tcBorders>
              <w:top w:val="nil"/>
              <w:left w:val="nil"/>
              <w:bottom w:val="single" w:sz="8" w:space="0" w:color="DCDDDE"/>
              <w:right w:val="nil"/>
            </w:tcBorders>
            <w:shd w:val="clear" w:color="000000" w:fill="FFFFFF"/>
            <w:noWrap/>
            <w:vAlign w:val="center"/>
            <w:hideMark/>
          </w:tcPr>
          <w:p w14:paraId="3E75EBFC"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389</w:t>
            </w:r>
          </w:p>
        </w:tc>
        <w:tc>
          <w:tcPr>
            <w:tcW w:w="545" w:type="dxa"/>
            <w:tcBorders>
              <w:top w:val="nil"/>
              <w:left w:val="nil"/>
              <w:bottom w:val="single" w:sz="8" w:space="0" w:color="DCDDDE"/>
              <w:right w:val="nil"/>
            </w:tcBorders>
            <w:shd w:val="clear" w:color="000000" w:fill="FFFFFF"/>
            <w:noWrap/>
            <w:vAlign w:val="center"/>
            <w:hideMark/>
          </w:tcPr>
          <w:p w14:paraId="4CEAE9CE"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386</w:t>
            </w:r>
          </w:p>
        </w:tc>
        <w:tc>
          <w:tcPr>
            <w:tcW w:w="545" w:type="dxa"/>
            <w:tcBorders>
              <w:top w:val="nil"/>
              <w:left w:val="nil"/>
              <w:bottom w:val="single" w:sz="8" w:space="0" w:color="DCDDDE"/>
              <w:right w:val="nil"/>
            </w:tcBorders>
            <w:shd w:val="clear" w:color="000000" w:fill="FFFFFF"/>
            <w:noWrap/>
            <w:vAlign w:val="center"/>
            <w:hideMark/>
          </w:tcPr>
          <w:p w14:paraId="6B1853B5"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384</w:t>
            </w:r>
          </w:p>
        </w:tc>
        <w:tc>
          <w:tcPr>
            <w:tcW w:w="545" w:type="dxa"/>
            <w:tcBorders>
              <w:top w:val="nil"/>
              <w:left w:val="nil"/>
              <w:bottom w:val="single" w:sz="8" w:space="0" w:color="DCDDDE"/>
              <w:right w:val="nil"/>
            </w:tcBorders>
            <w:shd w:val="clear" w:color="000000" w:fill="FFFFFF"/>
            <w:noWrap/>
            <w:vAlign w:val="center"/>
            <w:hideMark/>
          </w:tcPr>
          <w:p w14:paraId="1F5038B9"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379</w:t>
            </w:r>
          </w:p>
        </w:tc>
        <w:tc>
          <w:tcPr>
            <w:tcW w:w="545" w:type="dxa"/>
            <w:tcBorders>
              <w:top w:val="nil"/>
              <w:left w:val="nil"/>
              <w:bottom w:val="single" w:sz="8" w:space="0" w:color="DCDDDE"/>
              <w:right w:val="nil"/>
            </w:tcBorders>
            <w:shd w:val="clear" w:color="000000" w:fill="FFFFFF"/>
            <w:noWrap/>
            <w:vAlign w:val="center"/>
            <w:hideMark/>
          </w:tcPr>
          <w:p w14:paraId="639CCF5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380</w:t>
            </w:r>
          </w:p>
        </w:tc>
        <w:tc>
          <w:tcPr>
            <w:tcW w:w="545" w:type="dxa"/>
            <w:tcBorders>
              <w:top w:val="nil"/>
              <w:left w:val="nil"/>
              <w:bottom w:val="single" w:sz="8" w:space="0" w:color="DCDDDE"/>
              <w:right w:val="nil"/>
            </w:tcBorders>
            <w:shd w:val="clear" w:color="000000" w:fill="FFFFFF"/>
            <w:noWrap/>
            <w:vAlign w:val="center"/>
            <w:hideMark/>
          </w:tcPr>
          <w:p w14:paraId="11CA6CE3"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376</w:t>
            </w:r>
          </w:p>
        </w:tc>
        <w:tc>
          <w:tcPr>
            <w:tcW w:w="545" w:type="dxa"/>
            <w:tcBorders>
              <w:top w:val="nil"/>
              <w:left w:val="nil"/>
              <w:bottom w:val="single" w:sz="8" w:space="0" w:color="DCDDDE"/>
              <w:right w:val="nil"/>
            </w:tcBorders>
            <w:shd w:val="clear" w:color="000000" w:fill="FFFFFF"/>
            <w:noWrap/>
            <w:vAlign w:val="center"/>
            <w:hideMark/>
          </w:tcPr>
          <w:p w14:paraId="1DBFE9C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374</w:t>
            </w:r>
          </w:p>
        </w:tc>
        <w:tc>
          <w:tcPr>
            <w:tcW w:w="545" w:type="dxa"/>
            <w:tcBorders>
              <w:top w:val="nil"/>
              <w:left w:val="nil"/>
              <w:bottom w:val="single" w:sz="8" w:space="0" w:color="DCDDDE"/>
              <w:right w:val="nil"/>
            </w:tcBorders>
            <w:shd w:val="clear" w:color="000000" w:fill="FFFFFF"/>
            <w:noWrap/>
            <w:vAlign w:val="center"/>
            <w:hideMark/>
          </w:tcPr>
          <w:p w14:paraId="667747C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372</w:t>
            </w:r>
          </w:p>
        </w:tc>
      </w:tr>
    </w:tbl>
    <w:p w14:paraId="7C99ABBA" w14:textId="77777777" w:rsidR="002A760B" w:rsidRPr="00D823AE" w:rsidRDefault="002A760B" w:rsidP="002A760B">
      <w:pPr>
        <w:jc w:val="center"/>
      </w:pPr>
      <w:r>
        <w:t>* Includes interactive effects</w:t>
      </w:r>
    </w:p>
    <w:p w14:paraId="2E5E0345" w14:textId="77777777" w:rsidR="00181744" w:rsidRDefault="00181744" w:rsidP="00D823AE"/>
    <w:p w14:paraId="67B03BEA" w14:textId="77777777" w:rsidR="00181744" w:rsidRDefault="00181744">
      <w:pPr>
        <w:spacing w:line="240" w:lineRule="auto"/>
      </w:pPr>
      <w:r>
        <w:br w:type="page"/>
      </w:r>
    </w:p>
    <w:p w14:paraId="6EF775A5" w14:textId="77777777" w:rsidR="00D823AE" w:rsidRDefault="00D823AE" w:rsidP="00D823AE">
      <w:pPr>
        <w:pStyle w:val="Heading6"/>
      </w:pPr>
      <w:bookmarkStart w:id="1212" w:name="_Toc490225857"/>
      <w:r>
        <w:lastRenderedPageBreak/>
        <w:t>SCG</w:t>
      </w:r>
      <w:bookmarkEnd w:id="1212"/>
    </w:p>
    <w:p w14:paraId="26691B87" w14:textId="49D2A971" w:rsidR="00D823AE" w:rsidRDefault="00D823AE" w:rsidP="00D823AE">
      <w:pPr>
        <w:pStyle w:val="Caption"/>
      </w:pPr>
      <w:bookmarkStart w:id="1213" w:name="_Toc490226061"/>
      <w:r w:rsidRPr="00122CD3">
        <w:t xml:space="preserve">Table </w:t>
      </w:r>
      <w:fldSimple w:instr=" STYLEREF 5 \s ">
        <w:r w:rsidR="007566B9">
          <w:rPr>
            <w:noProof/>
          </w:rPr>
          <w:t>H</w:t>
        </w:r>
      </w:fldSimple>
      <w:r w:rsidRPr="00323BFA">
        <w:noBreakHyphen/>
      </w:r>
      <w:fldSimple w:instr=" SEQ Table_Apx \* ARABIC \s 5 ">
        <w:r w:rsidR="007566B9">
          <w:rPr>
            <w:noProof/>
          </w:rPr>
          <w:t>6</w:t>
        </w:r>
      </w:fldSimple>
      <w:r w:rsidRPr="006F2DA9">
        <w:t xml:space="preserve">. </w:t>
      </w:r>
      <w:r>
        <w:t>SCG Gas Savings</w:t>
      </w:r>
      <w:bookmarkEnd w:id="1213"/>
    </w:p>
    <w:tbl>
      <w:tblPr>
        <w:tblW w:w="8262" w:type="dxa"/>
        <w:jc w:val="center"/>
        <w:tblLook w:val="04A0" w:firstRow="1" w:lastRow="0" w:firstColumn="1" w:lastColumn="0" w:noHBand="0" w:noVBand="1"/>
      </w:tblPr>
      <w:tblGrid>
        <w:gridCol w:w="1177"/>
        <w:gridCol w:w="545"/>
        <w:gridCol w:w="545"/>
        <w:gridCol w:w="545"/>
        <w:gridCol w:w="545"/>
        <w:gridCol w:w="545"/>
        <w:gridCol w:w="545"/>
        <w:gridCol w:w="545"/>
        <w:gridCol w:w="545"/>
        <w:gridCol w:w="545"/>
        <w:gridCol w:w="545"/>
        <w:gridCol w:w="545"/>
        <w:gridCol w:w="545"/>
        <w:gridCol w:w="545"/>
      </w:tblGrid>
      <w:tr w:rsidR="00DE34FB" w:rsidRPr="009B0E7D" w14:paraId="37B02414" w14:textId="77777777" w:rsidTr="00DE34FB">
        <w:trPr>
          <w:trHeight w:val="315"/>
          <w:jc w:val="center"/>
        </w:trPr>
        <w:tc>
          <w:tcPr>
            <w:tcW w:w="8262" w:type="dxa"/>
            <w:gridSpan w:val="14"/>
            <w:tcBorders>
              <w:top w:val="nil"/>
              <w:left w:val="nil"/>
              <w:bottom w:val="single" w:sz="12" w:space="0" w:color="95D600"/>
              <w:right w:val="nil"/>
            </w:tcBorders>
            <w:shd w:val="clear" w:color="000000" w:fill="555759"/>
            <w:noWrap/>
            <w:vAlign w:val="center"/>
            <w:hideMark/>
          </w:tcPr>
          <w:p w14:paraId="323F0BB0" w14:textId="77777777" w:rsidR="00DE34FB" w:rsidRPr="009B0E7D" w:rsidRDefault="00DE34FB" w:rsidP="00DE34FB">
            <w:pPr>
              <w:spacing w:line="240" w:lineRule="auto"/>
              <w:jc w:val="center"/>
              <w:rPr>
                <w:rFonts w:ascii="Arial Narrow" w:hAnsi="Arial Narrow" w:cs="Calibri"/>
                <w:b/>
                <w:bCs/>
                <w:color w:val="FFFFFF"/>
                <w:sz w:val="18"/>
                <w:szCs w:val="18"/>
              </w:rPr>
            </w:pPr>
            <w:r w:rsidRPr="009B0E7D">
              <w:rPr>
                <w:rFonts w:ascii="Arial Narrow" w:hAnsi="Arial Narrow" w:cs="Calibri"/>
                <w:b/>
                <w:bCs/>
                <w:color w:val="FFFFFF"/>
                <w:sz w:val="18"/>
                <w:szCs w:val="18"/>
              </w:rPr>
              <w:t>Gas Energy (MMTherm/year)</w:t>
            </w:r>
          </w:p>
        </w:tc>
      </w:tr>
      <w:tr w:rsidR="00DE34FB" w:rsidRPr="009B0E7D" w14:paraId="2AFF0881" w14:textId="77777777" w:rsidTr="00DE34FB">
        <w:trPr>
          <w:trHeight w:val="330"/>
          <w:jc w:val="center"/>
        </w:trPr>
        <w:tc>
          <w:tcPr>
            <w:tcW w:w="1177" w:type="dxa"/>
            <w:tcBorders>
              <w:top w:val="nil"/>
              <w:left w:val="nil"/>
              <w:bottom w:val="single" w:sz="8" w:space="0" w:color="DCDDDE"/>
              <w:right w:val="nil"/>
            </w:tcBorders>
            <w:shd w:val="clear" w:color="auto" w:fill="auto"/>
            <w:vAlign w:val="center"/>
            <w:hideMark/>
          </w:tcPr>
          <w:p w14:paraId="7B64E7B5"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Year</w:t>
            </w:r>
          </w:p>
        </w:tc>
        <w:tc>
          <w:tcPr>
            <w:tcW w:w="545" w:type="dxa"/>
            <w:tcBorders>
              <w:top w:val="nil"/>
              <w:left w:val="nil"/>
              <w:bottom w:val="single" w:sz="8" w:space="0" w:color="DCDDDE"/>
              <w:right w:val="nil"/>
            </w:tcBorders>
            <w:shd w:val="clear" w:color="auto" w:fill="auto"/>
            <w:noWrap/>
            <w:vAlign w:val="center"/>
            <w:hideMark/>
          </w:tcPr>
          <w:p w14:paraId="6919FFCA"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2018</w:t>
            </w:r>
          </w:p>
        </w:tc>
        <w:tc>
          <w:tcPr>
            <w:tcW w:w="545" w:type="dxa"/>
            <w:tcBorders>
              <w:top w:val="nil"/>
              <w:left w:val="nil"/>
              <w:bottom w:val="single" w:sz="8" w:space="0" w:color="DCDDDE"/>
              <w:right w:val="nil"/>
            </w:tcBorders>
            <w:shd w:val="clear" w:color="auto" w:fill="auto"/>
            <w:noWrap/>
            <w:vAlign w:val="center"/>
            <w:hideMark/>
          </w:tcPr>
          <w:p w14:paraId="2576DE19"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2019</w:t>
            </w:r>
          </w:p>
        </w:tc>
        <w:tc>
          <w:tcPr>
            <w:tcW w:w="545" w:type="dxa"/>
            <w:tcBorders>
              <w:top w:val="nil"/>
              <w:left w:val="nil"/>
              <w:bottom w:val="single" w:sz="8" w:space="0" w:color="DCDDDE"/>
              <w:right w:val="nil"/>
            </w:tcBorders>
            <w:shd w:val="clear" w:color="auto" w:fill="auto"/>
            <w:noWrap/>
            <w:vAlign w:val="center"/>
            <w:hideMark/>
          </w:tcPr>
          <w:p w14:paraId="5C332645"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2020</w:t>
            </w:r>
          </w:p>
        </w:tc>
        <w:tc>
          <w:tcPr>
            <w:tcW w:w="545" w:type="dxa"/>
            <w:tcBorders>
              <w:top w:val="nil"/>
              <w:left w:val="nil"/>
              <w:bottom w:val="single" w:sz="8" w:space="0" w:color="DCDDDE"/>
              <w:right w:val="nil"/>
            </w:tcBorders>
            <w:shd w:val="clear" w:color="auto" w:fill="auto"/>
            <w:noWrap/>
            <w:vAlign w:val="center"/>
            <w:hideMark/>
          </w:tcPr>
          <w:p w14:paraId="314FFFF5"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2021</w:t>
            </w:r>
          </w:p>
        </w:tc>
        <w:tc>
          <w:tcPr>
            <w:tcW w:w="545" w:type="dxa"/>
            <w:tcBorders>
              <w:top w:val="nil"/>
              <w:left w:val="nil"/>
              <w:bottom w:val="single" w:sz="8" w:space="0" w:color="DCDDDE"/>
              <w:right w:val="nil"/>
            </w:tcBorders>
            <w:shd w:val="clear" w:color="auto" w:fill="auto"/>
            <w:noWrap/>
            <w:vAlign w:val="center"/>
            <w:hideMark/>
          </w:tcPr>
          <w:p w14:paraId="651B1A24"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2022</w:t>
            </w:r>
          </w:p>
        </w:tc>
        <w:tc>
          <w:tcPr>
            <w:tcW w:w="545" w:type="dxa"/>
            <w:tcBorders>
              <w:top w:val="nil"/>
              <w:left w:val="nil"/>
              <w:bottom w:val="single" w:sz="8" w:space="0" w:color="DCDDDE"/>
              <w:right w:val="nil"/>
            </w:tcBorders>
            <w:shd w:val="clear" w:color="auto" w:fill="auto"/>
            <w:noWrap/>
            <w:vAlign w:val="center"/>
            <w:hideMark/>
          </w:tcPr>
          <w:p w14:paraId="5BC6C37F"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2023</w:t>
            </w:r>
          </w:p>
        </w:tc>
        <w:tc>
          <w:tcPr>
            <w:tcW w:w="545" w:type="dxa"/>
            <w:tcBorders>
              <w:top w:val="nil"/>
              <w:left w:val="nil"/>
              <w:bottom w:val="single" w:sz="8" w:space="0" w:color="DCDDDE"/>
              <w:right w:val="nil"/>
            </w:tcBorders>
            <w:shd w:val="clear" w:color="auto" w:fill="auto"/>
            <w:noWrap/>
            <w:vAlign w:val="center"/>
            <w:hideMark/>
          </w:tcPr>
          <w:p w14:paraId="7346D8F8"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2024</w:t>
            </w:r>
          </w:p>
        </w:tc>
        <w:tc>
          <w:tcPr>
            <w:tcW w:w="545" w:type="dxa"/>
            <w:tcBorders>
              <w:top w:val="nil"/>
              <w:left w:val="nil"/>
              <w:bottom w:val="single" w:sz="8" w:space="0" w:color="DCDDDE"/>
              <w:right w:val="nil"/>
            </w:tcBorders>
            <w:shd w:val="clear" w:color="auto" w:fill="auto"/>
            <w:noWrap/>
            <w:vAlign w:val="center"/>
            <w:hideMark/>
          </w:tcPr>
          <w:p w14:paraId="7FFE8944"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2025</w:t>
            </w:r>
          </w:p>
        </w:tc>
        <w:tc>
          <w:tcPr>
            <w:tcW w:w="545" w:type="dxa"/>
            <w:tcBorders>
              <w:top w:val="nil"/>
              <w:left w:val="nil"/>
              <w:bottom w:val="single" w:sz="8" w:space="0" w:color="DCDDDE"/>
              <w:right w:val="nil"/>
            </w:tcBorders>
            <w:shd w:val="clear" w:color="auto" w:fill="auto"/>
            <w:noWrap/>
            <w:vAlign w:val="center"/>
            <w:hideMark/>
          </w:tcPr>
          <w:p w14:paraId="62E4FA8D"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2026</w:t>
            </w:r>
          </w:p>
        </w:tc>
        <w:tc>
          <w:tcPr>
            <w:tcW w:w="545" w:type="dxa"/>
            <w:tcBorders>
              <w:top w:val="nil"/>
              <w:left w:val="nil"/>
              <w:bottom w:val="single" w:sz="8" w:space="0" w:color="DCDDDE"/>
              <w:right w:val="nil"/>
            </w:tcBorders>
            <w:shd w:val="clear" w:color="auto" w:fill="auto"/>
            <w:noWrap/>
            <w:vAlign w:val="center"/>
            <w:hideMark/>
          </w:tcPr>
          <w:p w14:paraId="056CCF04"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2027</w:t>
            </w:r>
          </w:p>
        </w:tc>
        <w:tc>
          <w:tcPr>
            <w:tcW w:w="545" w:type="dxa"/>
            <w:tcBorders>
              <w:top w:val="nil"/>
              <w:left w:val="nil"/>
              <w:bottom w:val="single" w:sz="8" w:space="0" w:color="DCDDDE"/>
              <w:right w:val="nil"/>
            </w:tcBorders>
            <w:shd w:val="clear" w:color="auto" w:fill="auto"/>
            <w:noWrap/>
            <w:vAlign w:val="center"/>
            <w:hideMark/>
          </w:tcPr>
          <w:p w14:paraId="3A4E6D1F"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2028</w:t>
            </w:r>
          </w:p>
        </w:tc>
        <w:tc>
          <w:tcPr>
            <w:tcW w:w="545" w:type="dxa"/>
            <w:tcBorders>
              <w:top w:val="nil"/>
              <w:left w:val="nil"/>
              <w:bottom w:val="single" w:sz="8" w:space="0" w:color="DCDDDE"/>
              <w:right w:val="nil"/>
            </w:tcBorders>
            <w:shd w:val="clear" w:color="auto" w:fill="auto"/>
            <w:noWrap/>
            <w:vAlign w:val="center"/>
            <w:hideMark/>
          </w:tcPr>
          <w:p w14:paraId="6DBD1F97"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2029</w:t>
            </w:r>
          </w:p>
        </w:tc>
        <w:tc>
          <w:tcPr>
            <w:tcW w:w="545" w:type="dxa"/>
            <w:tcBorders>
              <w:top w:val="nil"/>
              <w:left w:val="nil"/>
              <w:bottom w:val="single" w:sz="8" w:space="0" w:color="DCDDDE"/>
              <w:right w:val="nil"/>
            </w:tcBorders>
            <w:shd w:val="clear" w:color="auto" w:fill="auto"/>
            <w:noWrap/>
            <w:vAlign w:val="center"/>
            <w:hideMark/>
          </w:tcPr>
          <w:p w14:paraId="0B71E230"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2030</w:t>
            </w:r>
          </w:p>
        </w:tc>
      </w:tr>
      <w:tr w:rsidR="00DE34FB" w:rsidRPr="009B0E7D" w14:paraId="4008669B" w14:textId="77777777" w:rsidTr="00DE34FB">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14F61821"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TRC | Reference</w:t>
            </w:r>
          </w:p>
        </w:tc>
      </w:tr>
      <w:tr w:rsidR="00DE34FB" w:rsidRPr="009B0E7D" w14:paraId="132E5CC2" w14:textId="77777777" w:rsidTr="00DE34FB">
        <w:trPr>
          <w:trHeight w:val="555"/>
          <w:jc w:val="center"/>
        </w:trPr>
        <w:tc>
          <w:tcPr>
            <w:tcW w:w="1177" w:type="dxa"/>
            <w:tcBorders>
              <w:top w:val="nil"/>
              <w:left w:val="nil"/>
              <w:bottom w:val="single" w:sz="8" w:space="0" w:color="DCDDDE"/>
              <w:right w:val="nil"/>
            </w:tcBorders>
            <w:shd w:val="clear" w:color="000000" w:fill="FFFFFF"/>
            <w:vAlign w:val="center"/>
            <w:hideMark/>
          </w:tcPr>
          <w:p w14:paraId="1D552021"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65BE40F7"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4ECF3FA9"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7FCA20DD"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085BC2C3"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434B6BB6"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3F6FF9C9"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45CE7799"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1CCF11C9"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4EEA006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021DFB43"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533CE147"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619B338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1A142DD1"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12</w:t>
            </w:r>
          </w:p>
        </w:tc>
      </w:tr>
      <w:tr w:rsidR="00DE34FB" w:rsidRPr="009B0E7D" w14:paraId="319CCB84" w14:textId="77777777" w:rsidTr="00DE34FB">
        <w:trPr>
          <w:trHeight w:val="315"/>
          <w:jc w:val="center"/>
        </w:trPr>
        <w:tc>
          <w:tcPr>
            <w:tcW w:w="1177" w:type="dxa"/>
            <w:tcBorders>
              <w:top w:val="nil"/>
              <w:left w:val="nil"/>
              <w:bottom w:val="single" w:sz="8" w:space="0" w:color="DCDDDE"/>
              <w:right w:val="nil"/>
            </w:tcBorders>
            <w:shd w:val="clear" w:color="000000" w:fill="FFFFFF"/>
            <w:vAlign w:val="center"/>
            <w:hideMark/>
          </w:tcPr>
          <w:p w14:paraId="74A929EF"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18BA9D27"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4A2BA73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07BB2F8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331BA84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4714BD1C"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01A7AFE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19148E8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44ADC2A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5911DA5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1CF3522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3DA4056D"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5870FD37"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01AEFFED"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11</w:t>
            </w:r>
          </w:p>
        </w:tc>
      </w:tr>
      <w:tr w:rsidR="00DE34FB" w:rsidRPr="009B0E7D" w14:paraId="0E9F720E" w14:textId="77777777" w:rsidTr="00DE34FB">
        <w:trPr>
          <w:trHeight w:val="315"/>
          <w:jc w:val="center"/>
        </w:trPr>
        <w:tc>
          <w:tcPr>
            <w:tcW w:w="1177" w:type="dxa"/>
            <w:tcBorders>
              <w:top w:val="nil"/>
              <w:left w:val="nil"/>
              <w:bottom w:val="single" w:sz="8" w:space="0" w:color="DCDDDE"/>
              <w:right w:val="nil"/>
            </w:tcBorders>
            <w:shd w:val="clear" w:color="000000" w:fill="FFFFFF"/>
            <w:vAlign w:val="center"/>
            <w:hideMark/>
          </w:tcPr>
          <w:p w14:paraId="67384512"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74BEA44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50B0D803"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2B5BC920"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7B3FA8E3"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543F0B9E"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11AD8FAE"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4A6DD389"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725919FD"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5F46FC57"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414B722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0666B56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2D4B1B72"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3568C021"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r>
      <w:tr w:rsidR="00DE34FB" w:rsidRPr="009B0E7D" w14:paraId="6FEA53BB" w14:textId="77777777" w:rsidTr="00DE34FB">
        <w:trPr>
          <w:trHeight w:val="825"/>
          <w:jc w:val="center"/>
        </w:trPr>
        <w:tc>
          <w:tcPr>
            <w:tcW w:w="1177" w:type="dxa"/>
            <w:tcBorders>
              <w:top w:val="nil"/>
              <w:left w:val="nil"/>
              <w:bottom w:val="single" w:sz="8" w:space="0" w:color="DCDDDE"/>
              <w:right w:val="nil"/>
            </w:tcBorders>
            <w:shd w:val="clear" w:color="000000" w:fill="FFFFFF"/>
            <w:vAlign w:val="center"/>
            <w:hideMark/>
          </w:tcPr>
          <w:p w14:paraId="15E7422E"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63E28FF0"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05B8D0FE"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1E365BD8"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266E307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24</w:t>
            </w:r>
          </w:p>
        </w:tc>
        <w:tc>
          <w:tcPr>
            <w:tcW w:w="545" w:type="dxa"/>
            <w:tcBorders>
              <w:top w:val="nil"/>
              <w:left w:val="nil"/>
              <w:bottom w:val="single" w:sz="8" w:space="0" w:color="DCDDDE"/>
              <w:right w:val="nil"/>
            </w:tcBorders>
            <w:shd w:val="clear" w:color="000000" w:fill="FFFFFF"/>
            <w:noWrap/>
            <w:vAlign w:val="center"/>
            <w:hideMark/>
          </w:tcPr>
          <w:p w14:paraId="6C45BAD0"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24</w:t>
            </w:r>
          </w:p>
        </w:tc>
        <w:tc>
          <w:tcPr>
            <w:tcW w:w="545" w:type="dxa"/>
            <w:tcBorders>
              <w:top w:val="nil"/>
              <w:left w:val="nil"/>
              <w:bottom w:val="single" w:sz="8" w:space="0" w:color="DCDDDE"/>
              <w:right w:val="nil"/>
            </w:tcBorders>
            <w:shd w:val="clear" w:color="000000" w:fill="FFFFFF"/>
            <w:noWrap/>
            <w:vAlign w:val="center"/>
            <w:hideMark/>
          </w:tcPr>
          <w:p w14:paraId="4A1CB440"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4A3BCA4D"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24</w:t>
            </w:r>
          </w:p>
        </w:tc>
        <w:tc>
          <w:tcPr>
            <w:tcW w:w="545" w:type="dxa"/>
            <w:tcBorders>
              <w:top w:val="nil"/>
              <w:left w:val="nil"/>
              <w:bottom w:val="single" w:sz="8" w:space="0" w:color="DCDDDE"/>
              <w:right w:val="nil"/>
            </w:tcBorders>
            <w:shd w:val="clear" w:color="000000" w:fill="FFFFFF"/>
            <w:noWrap/>
            <w:vAlign w:val="center"/>
            <w:hideMark/>
          </w:tcPr>
          <w:p w14:paraId="72CCB7A6"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32AE46AE"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62DA3FED"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69D3423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689FE6A9"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5960C17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26</w:t>
            </w:r>
          </w:p>
        </w:tc>
      </w:tr>
      <w:tr w:rsidR="00DE34FB" w:rsidRPr="009B0E7D" w14:paraId="6F4DB864" w14:textId="77777777" w:rsidTr="00DE34FB">
        <w:trPr>
          <w:trHeight w:val="315"/>
          <w:jc w:val="center"/>
        </w:trPr>
        <w:tc>
          <w:tcPr>
            <w:tcW w:w="1177" w:type="dxa"/>
            <w:tcBorders>
              <w:top w:val="nil"/>
              <w:left w:val="nil"/>
              <w:bottom w:val="single" w:sz="8" w:space="0" w:color="DCDDDE"/>
              <w:right w:val="nil"/>
            </w:tcBorders>
            <w:shd w:val="clear" w:color="000000" w:fill="FFFFFF"/>
            <w:vAlign w:val="center"/>
            <w:hideMark/>
          </w:tcPr>
          <w:p w14:paraId="0B9B2FE9"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5B89C49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4F48224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1D590CC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7C4C5DEC"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34</w:t>
            </w:r>
          </w:p>
        </w:tc>
        <w:tc>
          <w:tcPr>
            <w:tcW w:w="545" w:type="dxa"/>
            <w:tcBorders>
              <w:top w:val="nil"/>
              <w:left w:val="nil"/>
              <w:bottom w:val="single" w:sz="8" w:space="0" w:color="DCDDDE"/>
              <w:right w:val="nil"/>
            </w:tcBorders>
            <w:shd w:val="clear" w:color="000000" w:fill="FFFFFF"/>
            <w:noWrap/>
            <w:vAlign w:val="center"/>
            <w:hideMark/>
          </w:tcPr>
          <w:p w14:paraId="18BC1DF3"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03D5A67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365F8C4E"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0A964FD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4382048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6DF5BBC9"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0732060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251F20A1"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3633764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21</w:t>
            </w:r>
          </w:p>
        </w:tc>
      </w:tr>
      <w:tr w:rsidR="00DE34FB" w:rsidRPr="009B0E7D" w14:paraId="35EE09B0" w14:textId="77777777" w:rsidTr="00DE34FB">
        <w:trPr>
          <w:trHeight w:val="315"/>
          <w:jc w:val="center"/>
        </w:trPr>
        <w:tc>
          <w:tcPr>
            <w:tcW w:w="1177" w:type="dxa"/>
            <w:tcBorders>
              <w:top w:val="nil"/>
              <w:left w:val="nil"/>
              <w:bottom w:val="single" w:sz="8" w:space="0" w:color="DCDDDE"/>
              <w:right w:val="nil"/>
            </w:tcBorders>
            <w:shd w:val="clear" w:color="000000" w:fill="FFFFFF"/>
            <w:vAlign w:val="center"/>
            <w:hideMark/>
          </w:tcPr>
          <w:p w14:paraId="13A7C76C"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269A2DB6"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49</w:t>
            </w:r>
          </w:p>
        </w:tc>
        <w:tc>
          <w:tcPr>
            <w:tcW w:w="545" w:type="dxa"/>
            <w:tcBorders>
              <w:top w:val="nil"/>
              <w:left w:val="nil"/>
              <w:bottom w:val="single" w:sz="8" w:space="0" w:color="DCDDDE"/>
              <w:right w:val="nil"/>
            </w:tcBorders>
            <w:shd w:val="clear" w:color="000000" w:fill="FFFFFF"/>
            <w:noWrap/>
            <w:vAlign w:val="center"/>
            <w:hideMark/>
          </w:tcPr>
          <w:p w14:paraId="03D870CB"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48</w:t>
            </w:r>
          </w:p>
        </w:tc>
        <w:tc>
          <w:tcPr>
            <w:tcW w:w="545" w:type="dxa"/>
            <w:tcBorders>
              <w:top w:val="nil"/>
              <w:left w:val="nil"/>
              <w:bottom w:val="single" w:sz="8" w:space="0" w:color="DCDDDE"/>
              <w:right w:val="nil"/>
            </w:tcBorders>
            <w:shd w:val="clear" w:color="000000" w:fill="FFFFFF"/>
            <w:noWrap/>
            <w:vAlign w:val="center"/>
            <w:hideMark/>
          </w:tcPr>
          <w:p w14:paraId="216BCEC6"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52</w:t>
            </w:r>
          </w:p>
        </w:tc>
        <w:tc>
          <w:tcPr>
            <w:tcW w:w="545" w:type="dxa"/>
            <w:tcBorders>
              <w:top w:val="nil"/>
              <w:left w:val="nil"/>
              <w:bottom w:val="single" w:sz="8" w:space="0" w:color="DCDDDE"/>
              <w:right w:val="nil"/>
            </w:tcBorders>
            <w:shd w:val="clear" w:color="000000" w:fill="FFFFFF"/>
            <w:noWrap/>
            <w:vAlign w:val="center"/>
            <w:hideMark/>
          </w:tcPr>
          <w:p w14:paraId="3FE85028"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58</w:t>
            </w:r>
          </w:p>
        </w:tc>
        <w:tc>
          <w:tcPr>
            <w:tcW w:w="545" w:type="dxa"/>
            <w:tcBorders>
              <w:top w:val="nil"/>
              <w:left w:val="nil"/>
              <w:bottom w:val="single" w:sz="8" w:space="0" w:color="DCDDDE"/>
              <w:right w:val="nil"/>
            </w:tcBorders>
            <w:shd w:val="clear" w:color="000000" w:fill="FFFFFF"/>
            <w:noWrap/>
            <w:vAlign w:val="center"/>
            <w:hideMark/>
          </w:tcPr>
          <w:p w14:paraId="4E57DA49"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58</w:t>
            </w:r>
          </w:p>
        </w:tc>
        <w:tc>
          <w:tcPr>
            <w:tcW w:w="545" w:type="dxa"/>
            <w:tcBorders>
              <w:top w:val="nil"/>
              <w:left w:val="nil"/>
              <w:bottom w:val="single" w:sz="8" w:space="0" w:color="DCDDDE"/>
              <w:right w:val="nil"/>
            </w:tcBorders>
            <w:shd w:val="clear" w:color="000000" w:fill="FFFFFF"/>
            <w:noWrap/>
            <w:vAlign w:val="center"/>
            <w:hideMark/>
          </w:tcPr>
          <w:p w14:paraId="1B5DEE80"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58</w:t>
            </w:r>
          </w:p>
        </w:tc>
        <w:tc>
          <w:tcPr>
            <w:tcW w:w="545" w:type="dxa"/>
            <w:tcBorders>
              <w:top w:val="nil"/>
              <w:left w:val="nil"/>
              <w:bottom w:val="single" w:sz="8" w:space="0" w:color="DCDDDE"/>
              <w:right w:val="nil"/>
            </w:tcBorders>
            <w:shd w:val="clear" w:color="000000" w:fill="FFFFFF"/>
            <w:noWrap/>
            <w:vAlign w:val="center"/>
            <w:hideMark/>
          </w:tcPr>
          <w:p w14:paraId="7D935F04"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57</w:t>
            </w:r>
          </w:p>
        </w:tc>
        <w:tc>
          <w:tcPr>
            <w:tcW w:w="545" w:type="dxa"/>
            <w:tcBorders>
              <w:top w:val="nil"/>
              <w:left w:val="nil"/>
              <w:bottom w:val="single" w:sz="8" w:space="0" w:color="DCDDDE"/>
              <w:right w:val="nil"/>
            </w:tcBorders>
            <w:shd w:val="clear" w:color="000000" w:fill="FFFFFF"/>
            <w:noWrap/>
            <w:vAlign w:val="center"/>
            <w:hideMark/>
          </w:tcPr>
          <w:p w14:paraId="19B11757"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57</w:t>
            </w:r>
          </w:p>
        </w:tc>
        <w:tc>
          <w:tcPr>
            <w:tcW w:w="545" w:type="dxa"/>
            <w:tcBorders>
              <w:top w:val="nil"/>
              <w:left w:val="nil"/>
              <w:bottom w:val="single" w:sz="8" w:space="0" w:color="DCDDDE"/>
              <w:right w:val="nil"/>
            </w:tcBorders>
            <w:shd w:val="clear" w:color="000000" w:fill="FFFFFF"/>
            <w:noWrap/>
            <w:vAlign w:val="center"/>
            <w:hideMark/>
          </w:tcPr>
          <w:p w14:paraId="39D913E3"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50</w:t>
            </w:r>
          </w:p>
        </w:tc>
        <w:tc>
          <w:tcPr>
            <w:tcW w:w="545" w:type="dxa"/>
            <w:tcBorders>
              <w:top w:val="nil"/>
              <w:left w:val="nil"/>
              <w:bottom w:val="single" w:sz="8" w:space="0" w:color="DCDDDE"/>
              <w:right w:val="nil"/>
            </w:tcBorders>
            <w:shd w:val="clear" w:color="000000" w:fill="FFFFFF"/>
            <w:noWrap/>
            <w:vAlign w:val="center"/>
            <w:hideMark/>
          </w:tcPr>
          <w:p w14:paraId="57DCB68B"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47</w:t>
            </w:r>
          </w:p>
        </w:tc>
        <w:tc>
          <w:tcPr>
            <w:tcW w:w="545" w:type="dxa"/>
            <w:tcBorders>
              <w:top w:val="nil"/>
              <w:left w:val="nil"/>
              <w:bottom w:val="single" w:sz="8" w:space="0" w:color="DCDDDE"/>
              <w:right w:val="nil"/>
            </w:tcBorders>
            <w:shd w:val="clear" w:color="000000" w:fill="FFFFFF"/>
            <w:noWrap/>
            <w:vAlign w:val="center"/>
            <w:hideMark/>
          </w:tcPr>
          <w:p w14:paraId="4953CC7C"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47</w:t>
            </w:r>
          </w:p>
        </w:tc>
        <w:tc>
          <w:tcPr>
            <w:tcW w:w="545" w:type="dxa"/>
            <w:tcBorders>
              <w:top w:val="nil"/>
              <w:left w:val="nil"/>
              <w:bottom w:val="single" w:sz="8" w:space="0" w:color="DCDDDE"/>
              <w:right w:val="nil"/>
            </w:tcBorders>
            <w:shd w:val="clear" w:color="000000" w:fill="FFFFFF"/>
            <w:noWrap/>
            <w:vAlign w:val="center"/>
            <w:hideMark/>
          </w:tcPr>
          <w:p w14:paraId="2ED890A8"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47</w:t>
            </w:r>
          </w:p>
        </w:tc>
        <w:tc>
          <w:tcPr>
            <w:tcW w:w="545" w:type="dxa"/>
            <w:tcBorders>
              <w:top w:val="nil"/>
              <w:left w:val="nil"/>
              <w:bottom w:val="single" w:sz="8" w:space="0" w:color="DCDDDE"/>
              <w:right w:val="nil"/>
            </w:tcBorders>
            <w:shd w:val="clear" w:color="000000" w:fill="FFFFFF"/>
            <w:noWrap/>
            <w:vAlign w:val="center"/>
            <w:hideMark/>
          </w:tcPr>
          <w:p w14:paraId="45324E2E"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47</w:t>
            </w:r>
          </w:p>
        </w:tc>
      </w:tr>
      <w:tr w:rsidR="00DE34FB" w:rsidRPr="009B0E7D" w14:paraId="133FCE70" w14:textId="77777777" w:rsidTr="00DE34FB">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07F669A7"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mTRC (GHG adder 1) | Reference</w:t>
            </w:r>
          </w:p>
        </w:tc>
      </w:tr>
      <w:tr w:rsidR="00DE34FB" w:rsidRPr="009B0E7D" w14:paraId="665B3CE5" w14:textId="77777777" w:rsidTr="00DE34FB">
        <w:trPr>
          <w:trHeight w:val="555"/>
          <w:jc w:val="center"/>
        </w:trPr>
        <w:tc>
          <w:tcPr>
            <w:tcW w:w="1177" w:type="dxa"/>
            <w:tcBorders>
              <w:top w:val="nil"/>
              <w:left w:val="nil"/>
              <w:bottom w:val="single" w:sz="8" w:space="0" w:color="DCDDDE"/>
              <w:right w:val="nil"/>
            </w:tcBorders>
            <w:shd w:val="clear" w:color="000000" w:fill="FFFFFF"/>
            <w:vAlign w:val="center"/>
            <w:hideMark/>
          </w:tcPr>
          <w:p w14:paraId="11DF5CF5"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40FDD44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64C6A21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3345C39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166E6E20"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2583806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40E24497"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436E25C7"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73AC23B9"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2DE367A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080BED1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4C93AED9"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58A7A1B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31F385A8"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14</w:t>
            </w:r>
          </w:p>
        </w:tc>
      </w:tr>
      <w:tr w:rsidR="00DE34FB" w:rsidRPr="009B0E7D" w14:paraId="16018B9E" w14:textId="77777777" w:rsidTr="00DE34FB">
        <w:trPr>
          <w:trHeight w:val="315"/>
          <w:jc w:val="center"/>
        </w:trPr>
        <w:tc>
          <w:tcPr>
            <w:tcW w:w="1177" w:type="dxa"/>
            <w:tcBorders>
              <w:top w:val="nil"/>
              <w:left w:val="nil"/>
              <w:bottom w:val="single" w:sz="8" w:space="0" w:color="DCDDDE"/>
              <w:right w:val="nil"/>
            </w:tcBorders>
            <w:shd w:val="clear" w:color="000000" w:fill="FFFFFF"/>
            <w:vAlign w:val="center"/>
            <w:hideMark/>
          </w:tcPr>
          <w:p w14:paraId="553C063D"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7AC84552"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701861F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7272E7E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3D37FC36"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27D3755E"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764A512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1C17C28C"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568F410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50BFD23C"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69F13650"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65BD9831"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358476AE"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35C9B3C0"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11</w:t>
            </w:r>
          </w:p>
        </w:tc>
      </w:tr>
      <w:tr w:rsidR="00DE34FB" w:rsidRPr="009B0E7D" w14:paraId="35375226" w14:textId="77777777" w:rsidTr="00DE34FB">
        <w:trPr>
          <w:trHeight w:val="315"/>
          <w:jc w:val="center"/>
        </w:trPr>
        <w:tc>
          <w:tcPr>
            <w:tcW w:w="1177" w:type="dxa"/>
            <w:tcBorders>
              <w:top w:val="nil"/>
              <w:left w:val="nil"/>
              <w:bottom w:val="single" w:sz="8" w:space="0" w:color="DCDDDE"/>
              <w:right w:val="nil"/>
            </w:tcBorders>
            <w:shd w:val="clear" w:color="000000" w:fill="FFFFFF"/>
            <w:vAlign w:val="center"/>
            <w:hideMark/>
          </w:tcPr>
          <w:p w14:paraId="5455EF15"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7FC1EBC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4D7FAB8E"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35E53423"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350DFC7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749BC562"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16F0447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1A7FCA2C"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337BC942"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2EE4C98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1A1551F6"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3EF60A22"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7FEF83ED"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22A5298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r>
      <w:tr w:rsidR="00DE34FB" w:rsidRPr="009B0E7D" w14:paraId="2EC3F0D2" w14:textId="77777777" w:rsidTr="00DE34FB">
        <w:trPr>
          <w:trHeight w:val="825"/>
          <w:jc w:val="center"/>
        </w:trPr>
        <w:tc>
          <w:tcPr>
            <w:tcW w:w="1177" w:type="dxa"/>
            <w:tcBorders>
              <w:top w:val="nil"/>
              <w:left w:val="nil"/>
              <w:bottom w:val="single" w:sz="8" w:space="0" w:color="DCDDDE"/>
              <w:right w:val="nil"/>
            </w:tcBorders>
            <w:shd w:val="clear" w:color="000000" w:fill="FFFFFF"/>
            <w:vAlign w:val="center"/>
            <w:hideMark/>
          </w:tcPr>
          <w:p w14:paraId="26574C6E"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7E1BDC8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0DE7BBE0"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0E1F4709"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24</w:t>
            </w:r>
          </w:p>
        </w:tc>
        <w:tc>
          <w:tcPr>
            <w:tcW w:w="545" w:type="dxa"/>
            <w:tcBorders>
              <w:top w:val="nil"/>
              <w:left w:val="nil"/>
              <w:bottom w:val="single" w:sz="8" w:space="0" w:color="DCDDDE"/>
              <w:right w:val="nil"/>
            </w:tcBorders>
            <w:shd w:val="clear" w:color="000000" w:fill="FFFFFF"/>
            <w:noWrap/>
            <w:vAlign w:val="center"/>
            <w:hideMark/>
          </w:tcPr>
          <w:p w14:paraId="60F4E2C2"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2DAC190D"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3E49C2C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2EC1B823"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58C1F5D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2402601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0A2CA09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27</w:t>
            </w:r>
          </w:p>
        </w:tc>
        <w:tc>
          <w:tcPr>
            <w:tcW w:w="545" w:type="dxa"/>
            <w:tcBorders>
              <w:top w:val="nil"/>
              <w:left w:val="nil"/>
              <w:bottom w:val="single" w:sz="8" w:space="0" w:color="DCDDDE"/>
              <w:right w:val="nil"/>
            </w:tcBorders>
            <w:shd w:val="clear" w:color="000000" w:fill="FFFFFF"/>
            <w:noWrap/>
            <w:vAlign w:val="center"/>
            <w:hideMark/>
          </w:tcPr>
          <w:p w14:paraId="6D1A1CC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27</w:t>
            </w:r>
          </w:p>
        </w:tc>
        <w:tc>
          <w:tcPr>
            <w:tcW w:w="545" w:type="dxa"/>
            <w:tcBorders>
              <w:top w:val="nil"/>
              <w:left w:val="nil"/>
              <w:bottom w:val="single" w:sz="8" w:space="0" w:color="DCDDDE"/>
              <w:right w:val="nil"/>
            </w:tcBorders>
            <w:shd w:val="clear" w:color="000000" w:fill="FFFFFF"/>
            <w:noWrap/>
            <w:vAlign w:val="center"/>
            <w:hideMark/>
          </w:tcPr>
          <w:p w14:paraId="1DCE8FD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27</w:t>
            </w:r>
          </w:p>
        </w:tc>
        <w:tc>
          <w:tcPr>
            <w:tcW w:w="545" w:type="dxa"/>
            <w:tcBorders>
              <w:top w:val="nil"/>
              <w:left w:val="nil"/>
              <w:bottom w:val="single" w:sz="8" w:space="0" w:color="DCDDDE"/>
              <w:right w:val="nil"/>
            </w:tcBorders>
            <w:shd w:val="clear" w:color="000000" w:fill="FFFFFF"/>
            <w:noWrap/>
            <w:vAlign w:val="center"/>
            <w:hideMark/>
          </w:tcPr>
          <w:p w14:paraId="18707EF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28</w:t>
            </w:r>
          </w:p>
        </w:tc>
      </w:tr>
      <w:tr w:rsidR="00DE34FB" w:rsidRPr="009B0E7D" w14:paraId="6E690818" w14:textId="77777777" w:rsidTr="00DE34FB">
        <w:trPr>
          <w:trHeight w:val="315"/>
          <w:jc w:val="center"/>
        </w:trPr>
        <w:tc>
          <w:tcPr>
            <w:tcW w:w="1177" w:type="dxa"/>
            <w:tcBorders>
              <w:top w:val="nil"/>
              <w:left w:val="nil"/>
              <w:bottom w:val="single" w:sz="8" w:space="0" w:color="DCDDDE"/>
              <w:right w:val="nil"/>
            </w:tcBorders>
            <w:shd w:val="clear" w:color="000000" w:fill="FFFFFF"/>
            <w:vAlign w:val="center"/>
            <w:hideMark/>
          </w:tcPr>
          <w:p w14:paraId="2DFA8461"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7EB539C7"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09767E82"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21DFF468"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27AFEF9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34</w:t>
            </w:r>
          </w:p>
        </w:tc>
        <w:tc>
          <w:tcPr>
            <w:tcW w:w="545" w:type="dxa"/>
            <w:tcBorders>
              <w:top w:val="nil"/>
              <w:left w:val="nil"/>
              <w:bottom w:val="single" w:sz="8" w:space="0" w:color="DCDDDE"/>
              <w:right w:val="nil"/>
            </w:tcBorders>
            <w:shd w:val="clear" w:color="000000" w:fill="FFFFFF"/>
            <w:noWrap/>
            <w:vAlign w:val="center"/>
            <w:hideMark/>
          </w:tcPr>
          <w:p w14:paraId="2386EAA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09E4624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199C242D"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1624A406"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16B52D3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3F94187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2F7BF270"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41107EA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30D820A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21</w:t>
            </w:r>
          </w:p>
        </w:tc>
      </w:tr>
      <w:tr w:rsidR="00DE34FB" w:rsidRPr="009B0E7D" w14:paraId="0297C2AB" w14:textId="77777777" w:rsidTr="00DE34FB">
        <w:trPr>
          <w:trHeight w:val="315"/>
          <w:jc w:val="center"/>
        </w:trPr>
        <w:tc>
          <w:tcPr>
            <w:tcW w:w="1177" w:type="dxa"/>
            <w:tcBorders>
              <w:top w:val="nil"/>
              <w:left w:val="nil"/>
              <w:bottom w:val="single" w:sz="8" w:space="0" w:color="DCDDDE"/>
              <w:right w:val="nil"/>
            </w:tcBorders>
            <w:shd w:val="clear" w:color="000000" w:fill="FFFFFF"/>
            <w:vAlign w:val="center"/>
            <w:hideMark/>
          </w:tcPr>
          <w:p w14:paraId="4E687CB9"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1985B6BA"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51</w:t>
            </w:r>
          </w:p>
        </w:tc>
        <w:tc>
          <w:tcPr>
            <w:tcW w:w="545" w:type="dxa"/>
            <w:tcBorders>
              <w:top w:val="nil"/>
              <w:left w:val="nil"/>
              <w:bottom w:val="single" w:sz="8" w:space="0" w:color="DCDDDE"/>
              <w:right w:val="nil"/>
            </w:tcBorders>
            <w:shd w:val="clear" w:color="000000" w:fill="FFFFFF"/>
            <w:noWrap/>
            <w:vAlign w:val="center"/>
            <w:hideMark/>
          </w:tcPr>
          <w:p w14:paraId="39BFB82A"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51</w:t>
            </w:r>
          </w:p>
        </w:tc>
        <w:tc>
          <w:tcPr>
            <w:tcW w:w="545" w:type="dxa"/>
            <w:tcBorders>
              <w:top w:val="nil"/>
              <w:left w:val="nil"/>
              <w:bottom w:val="single" w:sz="8" w:space="0" w:color="DCDDDE"/>
              <w:right w:val="nil"/>
            </w:tcBorders>
            <w:shd w:val="clear" w:color="000000" w:fill="FFFFFF"/>
            <w:noWrap/>
            <w:vAlign w:val="center"/>
            <w:hideMark/>
          </w:tcPr>
          <w:p w14:paraId="0B08FEC0"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54</w:t>
            </w:r>
          </w:p>
        </w:tc>
        <w:tc>
          <w:tcPr>
            <w:tcW w:w="545" w:type="dxa"/>
            <w:tcBorders>
              <w:top w:val="nil"/>
              <w:left w:val="nil"/>
              <w:bottom w:val="single" w:sz="8" w:space="0" w:color="DCDDDE"/>
              <w:right w:val="nil"/>
            </w:tcBorders>
            <w:shd w:val="clear" w:color="000000" w:fill="FFFFFF"/>
            <w:noWrap/>
            <w:vAlign w:val="center"/>
            <w:hideMark/>
          </w:tcPr>
          <w:p w14:paraId="7321B6E8"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59</w:t>
            </w:r>
          </w:p>
        </w:tc>
        <w:tc>
          <w:tcPr>
            <w:tcW w:w="545" w:type="dxa"/>
            <w:tcBorders>
              <w:top w:val="nil"/>
              <w:left w:val="nil"/>
              <w:bottom w:val="single" w:sz="8" w:space="0" w:color="DCDDDE"/>
              <w:right w:val="nil"/>
            </w:tcBorders>
            <w:shd w:val="clear" w:color="000000" w:fill="FFFFFF"/>
            <w:noWrap/>
            <w:vAlign w:val="center"/>
            <w:hideMark/>
          </w:tcPr>
          <w:p w14:paraId="6F72D418"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59</w:t>
            </w:r>
          </w:p>
        </w:tc>
        <w:tc>
          <w:tcPr>
            <w:tcW w:w="545" w:type="dxa"/>
            <w:tcBorders>
              <w:top w:val="nil"/>
              <w:left w:val="nil"/>
              <w:bottom w:val="single" w:sz="8" w:space="0" w:color="DCDDDE"/>
              <w:right w:val="nil"/>
            </w:tcBorders>
            <w:shd w:val="clear" w:color="000000" w:fill="FFFFFF"/>
            <w:noWrap/>
            <w:vAlign w:val="center"/>
            <w:hideMark/>
          </w:tcPr>
          <w:p w14:paraId="233F99A0"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63</w:t>
            </w:r>
          </w:p>
        </w:tc>
        <w:tc>
          <w:tcPr>
            <w:tcW w:w="545" w:type="dxa"/>
            <w:tcBorders>
              <w:top w:val="nil"/>
              <w:left w:val="nil"/>
              <w:bottom w:val="single" w:sz="8" w:space="0" w:color="DCDDDE"/>
              <w:right w:val="nil"/>
            </w:tcBorders>
            <w:shd w:val="clear" w:color="000000" w:fill="FFFFFF"/>
            <w:noWrap/>
            <w:vAlign w:val="center"/>
            <w:hideMark/>
          </w:tcPr>
          <w:p w14:paraId="59F5612C"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62</w:t>
            </w:r>
          </w:p>
        </w:tc>
        <w:tc>
          <w:tcPr>
            <w:tcW w:w="545" w:type="dxa"/>
            <w:tcBorders>
              <w:top w:val="nil"/>
              <w:left w:val="nil"/>
              <w:bottom w:val="single" w:sz="8" w:space="0" w:color="DCDDDE"/>
              <w:right w:val="nil"/>
            </w:tcBorders>
            <w:shd w:val="clear" w:color="000000" w:fill="FFFFFF"/>
            <w:noWrap/>
            <w:vAlign w:val="center"/>
            <w:hideMark/>
          </w:tcPr>
          <w:p w14:paraId="359DAADA"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61</w:t>
            </w:r>
          </w:p>
        </w:tc>
        <w:tc>
          <w:tcPr>
            <w:tcW w:w="545" w:type="dxa"/>
            <w:tcBorders>
              <w:top w:val="nil"/>
              <w:left w:val="nil"/>
              <w:bottom w:val="single" w:sz="8" w:space="0" w:color="DCDDDE"/>
              <w:right w:val="nil"/>
            </w:tcBorders>
            <w:shd w:val="clear" w:color="000000" w:fill="FFFFFF"/>
            <w:noWrap/>
            <w:vAlign w:val="center"/>
            <w:hideMark/>
          </w:tcPr>
          <w:p w14:paraId="7CB04D2D"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53</w:t>
            </w:r>
          </w:p>
        </w:tc>
        <w:tc>
          <w:tcPr>
            <w:tcW w:w="545" w:type="dxa"/>
            <w:tcBorders>
              <w:top w:val="nil"/>
              <w:left w:val="nil"/>
              <w:bottom w:val="single" w:sz="8" w:space="0" w:color="DCDDDE"/>
              <w:right w:val="nil"/>
            </w:tcBorders>
            <w:shd w:val="clear" w:color="000000" w:fill="FFFFFF"/>
            <w:noWrap/>
            <w:vAlign w:val="center"/>
            <w:hideMark/>
          </w:tcPr>
          <w:p w14:paraId="128DAB57"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50</w:t>
            </w:r>
          </w:p>
        </w:tc>
        <w:tc>
          <w:tcPr>
            <w:tcW w:w="545" w:type="dxa"/>
            <w:tcBorders>
              <w:top w:val="nil"/>
              <w:left w:val="nil"/>
              <w:bottom w:val="single" w:sz="8" w:space="0" w:color="DCDDDE"/>
              <w:right w:val="nil"/>
            </w:tcBorders>
            <w:shd w:val="clear" w:color="000000" w:fill="FFFFFF"/>
            <w:noWrap/>
            <w:vAlign w:val="center"/>
            <w:hideMark/>
          </w:tcPr>
          <w:p w14:paraId="5FF2E2F9"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49</w:t>
            </w:r>
          </w:p>
        </w:tc>
        <w:tc>
          <w:tcPr>
            <w:tcW w:w="545" w:type="dxa"/>
            <w:tcBorders>
              <w:top w:val="nil"/>
              <w:left w:val="nil"/>
              <w:bottom w:val="single" w:sz="8" w:space="0" w:color="DCDDDE"/>
              <w:right w:val="nil"/>
            </w:tcBorders>
            <w:shd w:val="clear" w:color="000000" w:fill="FFFFFF"/>
            <w:noWrap/>
            <w:vAlign w:val="center"/>
            <w:hideMark/>
          </w:tcPr>
          <w:p w14:paraId="03FA5768"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48</w:t>
            </w:r>
          </w:p>
        </w:tc>
        <w:tc>
          <w:tcPr>
            <w:tcW w:w="545" w:type="dxa"/>
            <w:tcBorders>
              <w:top w:val="nil"/>
              <w:left w:val="nil"/>
              <w:bottom w:val="single" w:sz="8" w:space="0" w:color="DCDDDE"/>
              <w:right w:val="nil"/>
            </w:tcBorders>
            <w:shd w:val="clear" w:color="000000" w:fill="FFFFFF"/>
            <w:noWrap/>
            <w:vAlign w:val="center"/>
            <w:hideMark/>
          </w:tcPr>
          <w:p w14:paraId="35F7E84E"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49</w:t>
            </w:r>
          </w:p>
        </w:tc>
      </w:tr>
      <w:tr w:rsidR="00DE34FB" w:rsidRPr="009B0E7D" w14:paraId="7AD72BD6" w14:textId="77777777" w:rsidTr="00DE34FB">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1313D4CB"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mTRC (GHG adder 2) | Reference</w:t>
            </w:r>
          </w:p>
        </w:tc>
      </w:tr>
      <w:tr w:rsidR="00DE34FB" w:rsidRPr="009B0E7D" w14:paraId="2AC755CF" w14:textId="77777777" w:rsidTr="00DE34FB">
        <w:trPr>
          <w:trHeight w:val="555"/>
          <w:jc w:val="center"/>
        </w:trPr>
        <w:tc>
          <w:tcPr>
            <w:tcW w:w="1177" w:type="dxa"/>
            <w:tcBorders>
              <w:top w:val="nil"/>
              <w:left w:val="nil"/>
              <w:bottom w:val="single" w:sz="8" w:space="0" w:color="DCDDDE"/>
              <w:right w:val="nil"/>
            </w:tcBorders>
            <w:shd w:val="clear" w:color="000000" w:fill="FFFFFF"/>
            <w:vAlign w:val="center"/>
            <w:hideMark/>
          </w:tcPr>
          <w:p w14:paraId="2BB9BB83"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0F5B535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3D997777"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4388ECE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76F5C14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4D0556D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60E1C5B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506B7D49"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46B23801"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3E1B5A13"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3A5B715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611788F8"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5EEE69A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7B59455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17</w:t>
            </w:r>
          </w:p>
        </w:tc>
      </w:tr>
      <w:tr w:rsidR="00DE34FB" w:rsidRPr="009B0E7D" w14:paraId="22C05E18" w14:textId="77777777" w:rsidTr="00DE34FB">
        <w:trPr>
          <w:trHeight w:val="315"/>
          <w:jc w:val="center"/>
        </w:trPr>
        <w:tc>
          <w:tcPr>
            <w:tcW w:w="1177" w:type="dxa"/>
            <w:tcBorders>
              <w:top w:val="nil"/>
              <w:left w:val="nil"/>
              <w:bottom w:val="single" w:sz="8" w:space="0" w:color="DCDDDE"/>
              <w:right w:val="nil"/>
            </w:tcBorders>
            <w:shd w:val="clear" w:color="000000" w:fill="FFFFFF"/>
            <w:vAlign w:val="center"/>
            <w:hideMark/>
          </w:tcPr>
          <w:p w14:paraId="3C33A943"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24F1389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5515F7F6"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46D68E28"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30185CB0"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31A8A2B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2D76BA4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3ED4AB9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7FC8182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3A543909"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4C1CDB38"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0A12E217"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117851A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4FE1C14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11</w:t>
            </w:r>
          </w:p>
        </w:tc>
      </w:tr>
      <w:tr w:rsidR="00DE34FB" w:rsidRPr="009B0E7D" w14:paraId="2A125075" w14:textId="77777777" w:rsidTr="00DE34FB">
        <w:trPr>
          <w:trHeight w:val="315"/>
          <w:jc w:val="center"/>
        </w:trPr>
        <w:tc>
          <w:tcPr>
            <w:tcW w:w="1177" w:type="dxa"/>
            <w:tcBorders>
              <w:top w:val="nil"/>
              <w:left w:val="nil"/>
              <w:bottom w:val="single" w:sz="8" w:space="0" w:color="DCDDDE"/>
              <w:right w:val="nil"/>
            </w:tcBorders>
            <w:shd w:val="clear" w:color="000000" w:fill="FFFFFF"/>
            <w:vAlign w:val="center"/>
            <w:hideMark/>
          </w:tcPr>
          <w:p w14:paraId="48E67305"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4BD7586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1F67ACEE"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6761F8CE"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3492E89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02F1454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7CFB10D3"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46C167A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04B2BCA7"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57FC089D"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7AE366D8"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00ED5752"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2C3B992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056FB8D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r>
      <w:tr w:rsidR="00DE34FB" w:rsidRPr="009B0E7D" w14:paraId="5675234E" w14:textId="77777777" w:rsidTr="00DE34FB">
        <w:trPr>
          <w:trHeight w:val="825"/>
          <w:jc w:val="center"/>
        </w:trPr>
        <w:tc>
          <w:tcPr>
            <w:tcW w:w="1177" w:type="dxa"/>
            <w:tcBorders>
              <w:top w:val="nil"/>
              <w:left w:val="nil"/>
              <w:bottom w:val="single" w:sz="8" w:space="0" w:color="DCDDDE"/>
              <w:right w:val="nil"/>
            </w:tcBorders>
            <w:shd w:val="clear" w:color="000000" w:fill="FFFFFF"/>
            <w:vAlign w:val="center"/>
            <w:hideMark/>
          </w:tcPr>
          <w:p w14:paraId="1BA55383"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308190DC"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759F15F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731A4BE1"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31</w:t>
            </w:r>
          </w:p>
        </w:tc>
        <w:tc>
          <w:tcPr>
            <w:tcW w:w="545" w:type="dxa"/>
            <w:tcBorders>
              <w:top w:val="nil"/>
              <w:left w:val="nil"/>
              <w:bottom w:val="single" w:sz="8" w:space="0" w:color="DCDDDE"/>
              <w:right w:val="nil"/>
            </w:tcBorders>
            <w:shd w:val="clear" w:color="000000" w:fill="FFFFFF"/>
            <w:noWrap/>
            <w:vAlign w:val="center"/>
            <w:hideMark/>
          </w:tcPr>
          <w:p w14:paraId="52DDE050"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24F3345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212C51FD"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3C5222F7"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36141F38"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3CFE77BE"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09448A0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31</w:t>
            </w:r>
          </w:p>
        </w:tc>
        <w:tc>
          <w:tcPr>
            <w:tcW w:w="545" w:type="dxa"/>
            <w:tcBorders>
              <w:top w:val="nil"/>
              <w:left w:val="nil"/>
              <w:bottom w:val="single" w:sz="8" w:space="0" w:color="DCDDDE"/>
              <w:right w:val="nil"/>
            </w:tcBorders>
            <w:shd w:val="clear" w:color="000000" w:fill="FFFFFF"/>
            <w:noWrap/>
            <w:vAlign w:val="center"/>
            <w:hideMark/>
          </w:tcPr>
          <w:p w14:paraId="25708F8E"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31</w:t>
            </w:r>
          </w:p>
        </w:tc>
        <w:tc>
          <w:tcPr>
            <w:tcW w:w="545" w:type="dxa"/>
            <w:tcBorders>
              <w:top w:val="nil"/>
              <w:left w:val="nil"/>
              <w:bottom w:val="single" w:sz="8" w:space="0" w:color="DCDDDE"/>
              <w:right w:val="nil"/>
            </w:tcBorders>
            <w:shd w:val="clear" w:color="000000" w:fill="FFFFFF"/>
            <w:noWrap/>
            <w:vAlign w:val="center"/>
            <w:hideMark/>
          </w:tcPr>
          <w:p w14:paraId="6A3FFFF8"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31</w:t>
            </w:r>
          </w:p>
        </w:tc>
        <w:tc>
          <w:tcPr>
            <w:tcW w:w="545" w:type="dxa"/>
            <w:tcBorders>
              <w:top w:val="nil"/>
              <w:left w:val="nil"/>
              <w:bottom w:val="single" w:sz="8" w:space="0" w:color="DCDDDE"/>
              <w:right w:val="nil"/>
            </w:tcBorders>
            <w:shd w:val="clear" w:color="000000" w:fill="FFFFFF"/>
            <w:noWrap/>
            <w:vAlign w:val="center"/>
            <w:hideMark/>
          </w:tcPr>
          <w:p w14:paraId="344BAE9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31</w:t>
            </w:r>
          </w:p>
        </w:tc>
      </w:tr>
      <w:tr w:rsidR="00DE34FB" w:rsidRPr="009B0E7D" w14:paraId="330F2127" w14:textId="77777777" w:rsidTr="00DE34FB">
        <w:trPr>
          <w:trHeight w:val="315"/>
          <w:jc w:val="center"/>
        </w:trPr>
        <w:tc>
          <w:tcPr>
            <w:tcW w:w="1177" w:type="dxa"/>
            <w:tcBorders>
              <w:top w:val="nil"/>
              <w:left w:val="nil"/>
              <w:bottom w:val="single" w:sz="8" w:space="0" w:color="DCDDDE"/>
              <w:right w:val="nil"/>
            </w:tcBorders>
            <w:shd w:val="clear" w:color="000000" w:fill="FFFFFF"/>
            <w:vAlign w:val="center"/>
            <w:hideMark/>
          </w:tcPr>
          <w:p w14:paraId="66D8425F"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11772AF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23B7907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542DACB9"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77481556"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34</w:t>
            </w:r>
          </w:p>
        </w:tc>
        <w:tc>
          <w:tcPr>
            <w:tcW w:w="545" w:type="dxa"/>
            <w:tcBorders>
              <w:top w:val="nil"/>
              <w:left w:val="nil"/>
              <w:bottom w:val="single" w:sz="8" w:space="0" w:color="DCDDDE"/>
              <w:right w:val="nil"/>
            </w:tcBorders>
            <w:shd w:val="clear" w:color="000000" w:fill="FFFFFF"/>
            <w:noWrap/>
            <w:vAlign w:val="center"/>
            <w:hideMark/>
          </w:tcPr>
          <w:p w14:paraId="2367862C"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5592F843"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024AF79D"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1109EA46"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446D47A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2F631322"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06E1D90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21503EBC"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1E836D91"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21</w:t>
            </w:r>
          </w:p>
        </w:tc>
      </w:tr>
      <w:tr w:rsidR="00DE34FB" w:rsidRPr="009B0E7D" w14:paraId="2ED84AF6" w14:textId="77777777" w:rsidTr="00DE34FB">
        <w:trPr>
          <w:trHeight w:val="315"/>
          <w:jc w:val="center"/>
        </w:trPr>
        <w:tc>
          <w:tcPr>
            <w:tcW w:w="1177" w:type="dxa"/>
            <w:tcBorders>
              <w:top w:val="nil"/>
              <w:left w:val="nil"/>
              <w:bottom w:val="single" w:sz="8" w:space="0" w:color="DCDDDE"/>
              <w:right w:val="nil"/>
            </w:tcBorders>
            <w:shd w:val="clear" w:color="000000" w:fill="FFFFFF"/>
            <w:vAlign w:val="center"/>
            <w:hideMark/>
          </w:tcPr>
          <w:p w14:paraId="6677A7F6"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17737D8F"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52</w:t>
            </w:r>
          </w:p>
        </w:tc>
        <w:tc>
          <w:tcPr>
            <w:tcW w:w="545" w:type="dxa"/>
            <w:tcBorders>
              <w:top w:val="nil"/>
              <w:left w:val="nil"/>
              <w:bottom w:val="single" w:sz="8" w:space="0" w:color="DCDDDE"/>
              <w:right w:val="nil"/>
            </w:tcBorders>
            <w:shd w:val="clear" w:color="000000" w:fill="FFFFFF"/>
            <w:noWrap/>
            <w:vAlign w:val="center"/>
            <w:hideMark/>
          </w:tcPr>
          <w:p w14:paraId="44A48DB9"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54</w:t>
            </w:r>
          </w:p>
        </w:tc>
        <w:tc>
          <w:tcPr>
            <w:tcW w:w="545" w:type="dxa"/>
            <w:tcBorders>
              <w:top w:val="nil"/>
              <w:left w:val="nil"/>
              <w:bottom w:val="single" w:sz="8" w:space="0" w:color="DCDDDE"/>
              <w:right w:val="nil"/>
            </w:tcBorders>
            <w:shd w:val="clear" w:color="000000" w:fill="FFFFFF"/>
            <w:noWrap/>
            <w:vAlign w:val="center"/>
            <w:hideMark/>
          </w:tcPr>
          <w:p w14:paraId="77DDC393"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61</w:t>
            </w:r>
          </w:p>
        </w:tc>
        <w:tc>
          <w:tcPr>
            <w:tcW w:w="545" w:type="dxa"/>
            <w:tcBorders>
              <w:top w:val="nil"/>
              <w:left w:val="nil"/>
              <w:bottom w:val="single" w:sz="8" w:space="0" w:color="DCDDDE"/>
              <w:right w:val="nil"/>
            </w:tcBorders>
            <w:shd w:val="clear" w:color="000000" w:fill="FFFFFF"/>
            <w:noWrap/>
            <w:vAlign w:val="center"/>
            <w:hideMark/>
          </w:tcPr>
          <w:p w14:paraId="11A4E8A6"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66</w:t>
            </w:r>
          </w:p>
        </w:tc>
        <w:tc>
          <w:tcPr>
            <w:tcW w:w="545" w:type="dxa"/>
            <w:tcBorders>
              <w:top w:val="nil"/>
              <w:left w:val="nil"/>
              <w:bottom w:val="single" w:sz="8" w:space="0" w:color="DCDDDE"/>
              <w:right w:val="nil"/>
            </w:tcBorders>
            <w:shd w:val="clear" w:color="000000" w:fill="FFFFFF"/>
            <w:noWrap/>
            <w:vAlign w:val="center"/>
            <w:hideMark/>
          </w:tcPr>
          <w:p w14:paraId="7E7DE0B9"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66</w:t>
            </w:r>
          </w:p>
        </w:tc>
        <w:tc>
          <w:tcPr>
            <w:tcW w:w="545" w:type="dxa"/>
            <w:tcBorders>
              <w:top w:val="nil"/>
              <w:left w:val="nil"/>
              <w:bottom w:val="single" w:sz="8" w:space="0" w:color="DCDDDE"/>
              <w:right w:val="nil"/>
            </w:tcBorders>
            <w:shd w:val="clear" w:color="000000" w:fill="FFFFFF"/>
            <w:noWrap/>
            <w:vAlign w:val="center"/>
            <w:hideMark/>
          </w:tcPr>
          <w:p w14:paraId="3E2310CB"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67</w:t>
            </w:r>
          </w:p>
        </w:tc>
        <w:tc>
          <w:tcPr>
            <w:tcW w:w="545" w:type="dxa"/>
            <w:tcBorders>
              <w:top w:val="nil"/>
              <w:left w:val="nil"/>
              <w:bottom w:val="single" w:sz="8" w:space="0" w:color="DCDDDE"/>
              <w:right w:val="nil"/>
            </w:tcBorders>
            <w:shd w:val="clear" w:color="000000" w:fill="FFFFFF"/>
            <w:noWrap/>
            <w:vAlign w:val="center"/>
            <w:hideMark/>
          </w:tcPr>
          <w:p w14:paraId="624811B0"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66</w:t>
            </w:r>
          </w:p>
        </w:tc>
        <w:tc>
          <w:tcPr>
            <w:tcW w:w="545" w:type="dxa"/>
            <w:tcBorders>
              <w:top w:val="nil"/>
              <w:left w:val="nil"/>
              <w:bottom w:val="single" w:sz="8" w:space="0" w:color="DCDDDE"/>
              <w:right w:val="nil"/>
            </w:tcBorders>
            <w:shd w:val="clear" w:color="000000" w:fill="FFFFFF"/>
            <w:noWrap/>
            <w:vAlign w:val="center"/>
            <w:hideMark/>
          </w:tcPr>
          <w:p w14:paraId="01DB73E5"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65</w:t>
            </w:r>
          </w:p>
        </w:tc>
        <w:tc>
          <w:tcPr>
            <w:tcW w:w="545" w:type="dxa"/>
            <w:tcBorders>
              <w:top w:val="nil"/>
              <w:left w:val="nil"/>
              <w:bottom w:val="single" w:sz="8" w:space="0" w:color="DCDDDE"/>
              <w:right w:val="nil"/>
            </w:tcBorders>
            <w:shd w:val="clear" w:color="000000" w:fill="FFFFFF"/>
            <w:noWrap/>
            <w:vAlign w:val="center"/>
            <w:hideMark/>
          </w:tcPr>
          <w:p w14:paraId="5AF9BB55"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56</w:t>
            </w:r>
          </w:p>
        </w:tc>
        <w:tc>
          <w:tcPr>
            <w:tcW w:w="545" w:type="dxa"/>
            <w:tcBorders>
              <w:top w:val="nil"/>
              <w:left w:val="nil"/>
              <w:bottom w:val="single" w:sz="8" w:space="0" w:color="DCDDDE"/>
              <w:right w:val="nil"/>
            </w:tcBorders>
            <w:shd w:val="clear" w:color="000000" w:fill="FFFFFF"/>
            <w:noWrap/>
            <w:vAlign w:val="center"/>
            <w:hideMark/>
          </w:tcPr>
          <w:p w14:paraId="39948CFD"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54</w:t>
            </w:r>
          </w:p>
        </w:tc>
        <w:tc>
          <w:tcPr>
            <w:tcW w:w="545" w:type="dxa"/>
            <w:tcBorders>
              <w:top w:val="nil"/>
              <w:left w:val="nil"/>
              <w:bottom w:val="single" w:sz="8" w:space="0" w:color="DCDDDE"/>
              <w:right w:val="nil"/>
            </w:tcBorders>
            <w:shd w:val="clear" w:color="000000" w:fill="FFFFFF"/>
            <w:noWrap/>
            <w:vAlign w:val="center"/>
            <w:hideMark/>
          </w:tcPr>
          <w:p w14:paraId="12F19FFA"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52</w:t>
            </w:r>
          </w:p>
        </w:tc>
        <w:tc>
          <w:tcPr>
            <w:tcW w:w="545" w:type="dxa"/>
            <w:tcBorders>
              <w:top w:val="nil"/>
              <w:left w:val="nil"/>
              <w:bottom w:val="single" w:sz="8" w:space="0" w:color="DCDDDE"/>
              <w:right w:val="nil"/>
            </w:tcBorders>
            <w:shd w:val="clear" w:color="000000" w:fill="FFFFFF"/>
            <w:noWrap/>
            <w:vAlign w:val="center"/>
            <w:hideMark/>
          </w:tcPr>
          <w:p w14:paraId="5A92FA08"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52</w:t>
            </w:r>
          </w:p>
        </w:tc>
        <w:tc>
          <w:tcPr>
            <w:tcW w:w="545" w:type="dxa"/>
            <w:tcBorders>
              <w:top w:val="nil"/>
              <w:left w:val="nil"/>
              <w:bottom w:val="single" w:sz="8" w:space="0" w:color="DCDDDE"/>
              <w:right w:val="nil"/>
            </w:tcBorders>
            <w:shd w:val="clear" w:color="000000" w:fill="FFFFFF"/>
            <w:noWrap/>
            <w:vAlign w:val="center"/>
            <w:hideMark/>
          </w:tcPr>
          <w:p w14:paraId="538EF84C"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52</w:t>
            </w:r>
          </w:p>
        </w:tc>
      </w:tr>
      <w:tr w:rsidR="00DE34FB" w:rsidRPr="009B0E7D" w14:paraId="0610A27A" w14:textId="77777777" w:rsidTr="00DE34FB">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3AC0808E"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PAC | Reference</w:t>
            </w:r>
          </w:p>
        </w:tc>
      </w:tr>
      <w:tr w:rsidR="00DE34FB" w:rsidRPr="009B0E7D" w14:paraId="43AE6F9F" w14:textId="77777777" w:rsidTr="00DE34FB">
        <w:trPr>
          <w:trHeight w:val="555"/>
          <w:jc w:val="center"/>
        </w:trPr>
        <w:tc>
          <w:tcPr>
            <w:tcW w:w="1177" w:type="dxa"/>
            <w:tcBorders>
              <w:top w:val="nil"/>
              <w:left w:val="nil"/>
              <w:bottom w:val="single" w:sz="8" w:space="0" w:color="DCDDDE"/>
              <w:right w:val="nil"/>
            </w:tcBorders>
            <w:shd w:val="clear" w:color="000000" w:fill="FFFFFF"/>
            <w:vAlign w:val="center"/>
            <w:hideMark/>
          </w:tcPr>
          <w:p w14:paraId="4735E275"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793D8EEC"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49A0ED91"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3DC6BB01"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0C00DB5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17EBB1D6"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481223AD"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7AEF81E1"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5156935E"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01605618"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67D37B22"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3727ABD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07F7DF93"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4B48D209"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17</w:t>
            </w:r>
          </w:p>
        </w:tc>
      </w:tr>
      <w:tr w:rsidR="00DE34FB" w:rsidRPr="009B0E7D" w14:paraId="7ACDBA43" w14:textId="77777777" w:rsidTr="00DE34FB">
        <w:trPr>
          <w:trHeight w:val="315"/>
          <w:jc w:val="center"/>
        </w:trPr>
        <w:tc>
          <w:tcPr>
            <w:tcW w:w="1177" w:type="dxa"/>
            <w:tcBorders>
              <w:top w:val="nil"/>
              <w:left w:val="nil"/>
              <w:bottom w:val="single" w:sz="8" w:space="0" w:color="DCDDDE"/>
              <w:right w:val="nil"/>
            </w:tcBorders>
            <w:shd w:val="clear" w:color="000000" w:fill="FFFFFF"/>
            <w:vAlign w:val="center"/>
            <w:hideMark/>
          </w:tcPr>
          <w:p w14:paraId="15FD0420"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2693FF8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16BF28A7"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3E874823"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66E74CC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5278E42D"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02D67E8C"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79C17F6C"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0F4245C8"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7C7BB14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304D677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2486CBD9"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6246FD3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586D7927"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11</w:t>
            </w:r>
          </w:p>
        </w:tc>
      </w:tr>
      <w:tr w:rsidR="00DE34FB" w:rsidRPr="009B0E7D" w14:paraId="210922EB" w14:textId="77777777" w:rsidTr="00DE34FB">
        <w:trPr>
          <w:trHeight w:val="315"/>
          <w:jc w:val="center"/>
        </w:trPr>
        <w:tc>
          <w:tcPr>
            <w:tcW w:w="1177" w:type="dxa"/>
            <w:tcBorders>
              <w:top w:val="nil"/>
              <w:left w:val="nil"/>
              <w:bottom w:val="single" w:sz="8" w:space="0" w:color="DCDDDE"/>
              <w:right w:val="nil"/>
            </w:tcBorders>
            <w:shd w:val="clear" w:color="000000" w:fill="FFFFFF"/>
            <w:vAlign w:val="center"/>
            <w:hideMark/>
          </w:tcPr>
          <w:p w14:paraId="416F8829"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lastRenderedPageBreak/>
              <w:t>Low Income</w:t>
            </w:r>
          </w:p>
        </w:tc>
        <w:tc>
          <w:tcPr>
            <w:tcW w:w="545" w:type="dxa"/>
            <w:tcBorders>
              <w:top w:val="nil"/>
              <w:left w:val="nil"/>
              <w:bottom w:val="single" w:sz="8" w:space="0" w:color="DCDDDE"/>
              <w:right w:val="nil"/>
            </w:tcBorders>
            <w:shd w:val="clear" w:color="000000" w:fill="FFFFFF"/>
            <w:noWrap/>
            <w:vAlign w:val="center"/>
            <w:hideMark/>
          </w:tcPr>
          <w:p w14:paraId="6EC7756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74F0729E"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476A153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4BBC44D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10A96A29"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4E5A6502"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7CE1EDD1"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026D60F1"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392CB453"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030EA588"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63F1008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2FAF69F6"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7780BE1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r>
      <w:tr w:rsidR="00DE34FB" w:rsidRPr="009B0E7D" w14:paraId="06774CB4" w14:textId="77777777" w:rsidTr="00DE34FB">
        <w:trPr>
          <w:trHeight w:val="825"/>
          <w:jc w:val="center"/>
        </w:trPr>
        <w:tc>
          <w:tcPr>
            <w:tcW w:w="1177" w:type="dxa"/>
            <w:tcBorders>
              <w:top w:val="nil"/>
              <w:left w:val="nil"/>
              <w:bottom w:val="single" w:sz="8" w:space="0" w:color="DCDDDE"/>
              <w:right w:val="nil"/>
            </w:tcBorders>
            <w:shd w:val="clear" w:color="000000" w:fill="FFFFFF"/>
            <w:vAlign w:val="center"/>
            <w:hideMark/>
          </w:tcPr>
          <w:p w14:paraId="768D4B70"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2593FF20"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27</w:t>
            </w:r>
          </w:p>
        </w:tc>
        <w:tc>
          <w:tcPr>
            <w:tcW w:w="545" w:type="dxa"/>
            <w:tcBorders>
              <w:top w:val="nil"/>
              <w:left w:val="nil"/>
              <w:bottom w:val="single" w:sz="8" w:space="0" w:color="DCDDDE"/>
              <w:right w:val="nil"/>
            </w:tcBorders>
            <w:shd w:val="clear" w:color="000000" w:fill="FFFFFF"/>
            <w:noWrap/>
            <w:vAlign w:val="center"/>
            <w:hideMark/>
          </w:tcPr>
          <w:p w14:paraId="39AF36C8"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27</w:t>
            </w:r>
          </w:p>
        </w:tc>
        <w:tc>
          <w:tcPr>
            <w:tcW w:w="545" w:type="dxa"/>
            <w:tcBorders>
              <w:top w:val="nil"/>
              <w:left w:val="nil"/>
              <w:bottom w:val="single" w:sz="8" w:space="0" w:color="DCDDDE"/>
              <w:right w:val="nil"/>
            </w:tcBorders>
            <w:shd w:val="clear" w:color="000000" w:fill="FFFFFF"/>
            <w:noWrap/>
            <w:vAlign w:val="center"/>
            <w:hideMark/>
          </w:tcPr>
          <w:p w14:paraId="11D56D6D"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43D3AF1C"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2AF1AE13"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14AFCDC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3775C141"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3B83A76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44BA6E51"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31</w:t>
            </w:r>
          </w:p>
        </w:tc>
        <w:tc>
          <w:tcPr>
            <w:tcW w:w="545" w:type="dxa"/>
            <w:tcBorders>
              <w:top w:val="nil"/>
              <w:left w:val="nil"/>
              <w:bottom w:val="single" w:sz="8" w:space="0" w:color="DCDDDE"/>
              <w:right w:val="nil"/>
            </w:tcBorders>
            <w:shd w:val="clear" w:color="000000" w:fill="FFFFFF"/>
            <w:noWrap/>
            <w:vAlign w:val="center"/>
            <w:hideMark/>
          </w:tcPr>
          <w:p w14:paraId="3F26E6F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5277DE9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5BA2EB32"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1425BAAD"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31</w:t>
            </w:r>
          </w:p>
        </w:tc>
      </w:tr>
      <w:tr w:rsidR="00DE34FB" w:rsidRPr="009B0E7D" w14:paraId="45C1AE8F" w14:textId="77777777" w:rsidTr="00DE34FB">
        <w:trPr>
          <w:trHeight w:val="315"/>
          <w:jc w:val="center"/>
        </w:trPr>
        <w:tc>
          <w:tcPr>
            <w:tcW w:w="1177" w:type="dxa"/>
            <w:tcBorders>
              <w:top w:val="nil"/>
              <w:left w:val="nil"/>
              <w:bottom w:val="single" w:sz="8" w:space="0" w:color="DCDDDE"/>
              <w:right w:val="nil"/>
            </w:tcBorders>
            <w:shd w:val="clear" w:color="000000" w:fill="FFFFFF"/>
            <w:vAlign w:val="center"/>
            <w:hideMark/>
          </w:tcPr>
          <w:p w14:paraId="29C63E4E"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3550F08E"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7D295697"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35EBEB59"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36B07EFD"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34</w:t>
            </w:r>
          </w:p>
        </w:tc>
        <w:tc>
          <w:tcPr>
            <w:tcW w:w="545" w:type="dxa"/>
            <w:tcBorders>
              <w:top w:val="nil"/>
              <w:left w:val="nil"/>
              <w:bottom w:val="single" w:sz="8" w:space="0" w:color="DCDDDE"/>
              <w:right w:val="nil"/>
            </w:tcBorders>
            <w:shd w:val="clear" w:color="000000" w:fill="FFFFFF"/>
            <w:noWrap/>
            <w:vAlign w:val="center"/>
            <w:hideMark/>
          </w:tcPr>
          <w:p w14:paraId="2C047898"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42931A0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205ABBA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53DE2DE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0D945CF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0FBEA22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1F6098A1"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57CC0AC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49C5D679"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21</w:t>
            </w:r>
          </w:p>
        </w:tc>
      </w:tr>
      <w:tr w:rsidR="00DE34FB" w:rsidRPr="009B0E7D" w14:paraId="13946783" w14:textId="77777777" w:rsidTr="00DE34FB">
        <w:trPr>
          <w:trHeight w:val="315"/>
          <w:jc w:val="center"/>
        </w:trPr>
        <w:tc>
          <w:tcPr>
            <w:tcW w:w="1177" w:type="dxa"/>
            <w:tcBorders>
              <w:top w:val="nil"/>
              <w:left w:val="nil"/>
              <w:bottom w:val="single" w:sz="8" w:space="0" w:color="DCDDDE"/>
              <w:right w:val="nil"/>
            </w:tcBorders>
            <w:shd w:val="clear" w:color="000000" w:fill="FFFFFF"/>
            <w:vAlign w:val="center"/>
            <w:hideMark/>
          </w:tcPr>
          <w:p w14:paraId="32526C2E"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1F0CFE73"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53</w:t>
            </w:r>
          </w:p>
        </w:tc>
        <w:tc>
          <w:tcPr>
            <w:tcW w:w="545" w:type="dxa"/>
            <w:tcBorders>
              <w:top w:val="nil"/>
              <w:left w:val="nil"/>
              <w:bottom w:val="single" w:sz="8" w:space="0" w:color="DCDDDE"/>
              <w:right w:val="nil"/>
            </w:tcBorders>
            <w:shd w:val="clear" w:color="000000" w:fill="FFFFFF"/>
            <w:noWrap/>
            <w:vAlign w:val="center"/>
            <w:hideMark/>
          </w:tcPr>
          <w:p w14:paraId="508A3E2B"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53</w:t>
            </w:r>
          </w:p>
        </w:tc>
        <w:tc>
          <w:tcPr>
            <w:tcW w:w="545" w:type="dxa"/>
            <w:tcBorders>
              <w:top w:val="nil"/>
              <w:left w:val="nil"/>
              <w:bottom w:val="single" w:sz="8" w:space="0" w:color="DCDDDE"/>
              <w:right w:val="nil"/>
            </w:tcBorders>
            <w:shd w:val="clear" w:color="000000" w:fill="FFFFFF"/>
            <w:noWrap/>
            <w:vAlign w:val="center"/>
            <w:hideMark/>
          </w:tcPr>
          <w:p w14:paraId="627FE0E5"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58</w:t>
            </w:r>
          </w:p>
        </w:tc>
        <w:tc>
          <w:tcPr>
            <w:tcW w:w="545" w:type="dxa"/>
            <w:tcBorders>
              <w:top w:val="nil"/>
              <w:left w:val="nil"/>
              <w:bottom w:val="single" w:sz="8" w:space="0" w:color="DCDDDE"/>
              <w:right w:val="nil"/>
            </w:tcBorders>
            <w:shd w:val="clear" w:color="000000" w:fill="FFFFFF"/>
            <w:noWrap/>
            <w:vAlign w:val="center"/>
            <w:hideMark/>
          </w:tcPr>
          <w:p w14:paraId="5EE392E5"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62</w:t>
            </w:r>
          </w:p>
        </w:tc>
        <w:tc>
          <w:tcPr>
            <w:tcW w:w="545" w:type="dxa"/>
            <w:tcBorders>
              <w:top w:val="nil"/>
              <w:left w:val="nil"/>
              <w:bottom w:val="single" w:sz="8" w:space="0" w:color="DCDDDE"/>
              <w:right w:val="nil"/>
            </w:tcBorders>
            <w:shd w:val="clear" w:color="000000" w:fill="FFFFFF"/>
            <w:noWrap/>
            <w:vAlign w:val="center"/>
            <w:hideMark/>
          </w:tcPr>
          <w:p w14:paraId="5B8755FF"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66</w:t>
            </w:r>
          </w:p>
        </w:tc>
        <w:tc>
          <w:tcPr>
            <w:tcW w:w="545" w:type="dxa"/>
            <w:tcBorders>
              <w:top w:val="nil"/>
              <w:left w:val="nil"/>
              <w:bottom w:val="single" w:sz="8" w:space="0" w:color="DCDDDE"/>
              <w:right w:val="nil"/>
            </w:tcBorders>
            <w:shd w:val="clear" w:color="000000" w:fill="FFFFFF"/>
            <w:noWrap/>
            <w:vAlign w:val="center"/>
            <w:hideMark/>
          </w:tcPr>
          <w:p w14:paraId="71FB0CAC"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66</w:t>
            </w:r>
          </w:p>
        </w:tc>
        <w:tc>
          <w:tcPr>
            <w:tcW w:w="545" w:type="dxa"/>
            <w:tcBorders>
              <w:top w:val="nil"/>
              <w:left w:val="nil"/>
              <w:bottom w:val="single" w:sz="8" w:space="0" w:color="DCDDDE"/>
              <w:right w:val="nil"/>
            </w:tcBorders>
            <w:shd w:val="clear" w:color="000000" w:fill="FFFFFF"/>
            <w:noWrap/>
            <w:vAlign w:val="center"/>
            <w:hideMark/>
          </w:tcPr>
          <w:p w14:paraId="4722180C"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65</w:t>
            </w:r>
          </w:p>
        </w:tc>
        <w:tc>
          <w:tcPr>
            <w:tcW w:w="545" w:type="dxa"/>
            <w:tcBorders>
              <w:top w:val="nil"/>
              <w:left w:val="nil"/>
              <w:bottom w:val="single" w:sz="8" w:space="0" w:color="DCDDDE"/>
              <w:right w:val="nil"/>
            </w:tcBorders>
            <w:shd w:val="clear" w:color="000000" w:fill="FFFFFF"/>
            <w:noWrap/>
            <w:vAlign w:val="center"/>
            <w:hideMark/>
          </w:tcPr>
          <w:p w14:paraId="02015E0D"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64</w:t>
            </w:r>
          </w:p>
        </w:tc>
        <w:tc>
          <w:tcPr>
            <w:tcW w:w="545" w:type="dxa"/>
            <w:tcBorders>
              <w:top w:val="nil"/>
              <w:left w:val="nil"/>
              <w:bottom w:val="single" w:sz="8" w:space="0" w:color="DCDDDE"/>
              <w:right w:val="nil"/>
            </w:tcBorders>
            <w:shd w:val="clear" w:color="000000" w:fill="FFFFFF"/>
            <w:noWrap/>
            <w:vAlign w:val="center"/>
            <w:hideMark/>
          </w:tcPr>
          <w:p w14:paraId="0981DC76"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56</w:t>
            </w:r>
          </w:p>
        </w:tc>
        <w:tc>
          <w:tcPr>
            <w:tcW w:w="545" w:type="dxa"/>
            <w:tcBorders>
              <w:top w:val="nil"/>
              <w:left w:val="nil"/>
              <w:bottom w:val="single" w:sz="8" w:space="0" w:color="DCDDDE"/>
              <w:right w:val="nil"/>
            </w:tcBorders>
            <w:shd w:val="clear" w:color="000000" w:fill="FFFFFF"/>
            <w:noWrap/>
            <w:vAlign w:val="center"/>
            <w:hideMark/>
          </w:tcPr>
          <w:p w14:paraId="55F35623"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53</w:t>
            </w:r>
          </w:p>
        </w:tc>
        <w:tc>
          <w:tcPr>
            <w:tcW w:w="545" w:type="dxa"/>
            <w:tcBorders>
              <w:top w:val="nil"/>
              <w:left w:val="nil"/>
              <w:bottom w:val="single" w:sz="8" w:space="0" w:color="DCDDDE"/>
              <w:right w:val="nil"/>
            </w:tcBorders>
            <w:shd w:val="clear" w:color="000000" w:fill="FFFFFF"/>
            <w:noWrap/>
            <w:vAlign w:val="center"/>
            <w:hideMark/>
          </w:tcPr>
          <w:p w14:paraId="733C612E"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52</w:t>
            </w:r>
          </w:p>
        </w:tc>
        <w:tc>
          <w:tcPr>
            <w:tcW w:w="545" w:type="dxa"/>
            <w:tcBorders>
              <w:top w:val="nil"/>
              <w:left w:val="nil"/>
              <w:bottom w:val="single" w:sz="8" w:space="0" w:color="DCDDDE"/>
              <w:right w:val="nil"/>
            </w:tcBorders>
            <w:shd w:val="clear" w:color="000000" w:fill="FFFFFF"/>
            <w:noWrap/>
            <w:vAlign w:val="center"/>
            <w:hideMark/>
          </w:tcPr>
          <w:p w14:paraId="6E6928E1"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51</w:t>
            </w:r>
          </w:p>
        </w:tc>
        <w:tc>
          <w:tcPr>
            <w:tcW w:w="545" w:type="dxa"/>
            <w:tcBorders>
              <w:top w:val="nil"/>
              <w:left w:val="nil"/>
              <w:bottom w:val="single" w:sz="8" w:space="0" w:color="DCDDDE"/>
              <w:right w:val="nil"/>
            </w:tcBorders>
            <w:shd w:val="clear" w:color="000000" w:fill="FFFFFF"/>
            <w:noWrap/>
            <w:vAlign w:val="center"/>
            <w:hideMark/>
          </w:tcPr>
          <w:p w14:paraId="535233A7"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52</w:t>
            </w:r>
          </w:p>
        </w:tc>
      </w:tr>
      <w:tr w:rsidR="00DE34FB" w:rsidRPr="009B0E7D" w14:paraId="09C2CBF3" w14:textId="77777777" w:rsidTr="00DE34FB">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3F53B7E6"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PAC | Aggressive</w:t>
            </w:r>
          </w:p>
        </w:tc>
      </w:tr>
      <w:tr w:rsidR="00DE34FB" w:rsidRPr="009B0E7D" w14:paraId="19582E6B" w14:textId="77777777" w:rsidTr="00DE34FB">
        <w:trPr>
          <w:trHeight w:val="555"/>
          <w:jc w:val="center"/>
        </w:trPr>
        <w:tc>
          <w:tcPr>
            <w:tcW w:w="1177" w:type="dxa"/>
            <w:tcBorders>
              <w:top w:val="nil"/>
              <w:left w:val="nil"/>
              <w:bottom w:val="single" w:sz="8" w:space="0" w:color="DCDDDE"/>
              <w:right w:val="nil"/>
            </w:tcBorders>
            <w:shd w:val="clear" w:color="000000" w:fill="FFFFFF"/>
            <w:vAlign w:val="center"/>
            <w:hideMark/>
          </w:tcPr>
          <w:p w14:paraId="1116D124"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33621DD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561F405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07F4C3F2"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540DC912"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2FE78D2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61200F27"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25F22529"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55884F2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6950E939"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6010250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666A0211"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0BDE35AC"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66BDC5B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20</w:t>
            </w:r>
          </w:p>
        </w:tc>
      </w:tr>
      <w:tr w:rsidR="00DE34FB" w:rsidRPr="009B0E7D" w14:paraId="24D33BE8" w14:textId="77777777" w:rsidTr="00DE34FB">
        <w:trPr>
          <w:trHeight w:val="315"/>
          <w:jc w:val="center"/>
        </w:trPr>
        <w:tc>
          <w:tcPr>
            <w:tcW w:w="1177" w:type="dxa"/>
            <w:tcBorders>
              <w:top w:val="nil"/>
              <w:left w:val="nil"/>
              <w:bottom w:val="single" w:sz="8" w:space="0" w:color="DCDDDE"/>
              <w:right w:val="nil"/>
            </w:tcBorders>
            <w:shd w:val="clear" w:color="000000" w:fill="FFFFFF"/>
            <w:vAlign w:val="center"/>
            <w:hideMark/>
          </w:tcPr>
          <w:p w14:paraId="66F98647"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0DA12F9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7BAC10A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13085547"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41BC40A9"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6E097240"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7B70FFCD"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391253BC"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0F231B4E"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50DB482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076C6261"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6406E506"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778D0373"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77CA3EAC"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18</w:t>
            </w:r>
          </w:p>
        </w:tc>
      </w:tr>
      <w:tr w:rsidR="00DE34FB" w:rsidRPr="009B0E7D" w14:paraId="3032731F" w14:textId="77777777" w:rsidTr="00DE34FB">
        <w:trPr>
          <w:trHeight w:val="315"/>
          <w:jc w:val="center"/>
        </w:trPr>
        <w:tc>
          <w:tcPr>
            <w:tcW w:w="1177" w:type="dxa"/>
            <w:tcBorders>
              <w:top w:val="nil"/>
              <w:left w:val="nil"/>
              <w:bottom w:val="single" w:sz="8" w:space="0" w:color="DCDDDE"/>
              <w:right w:val="nil"/>
            </w:tcBorders>
            <w:shd w:val="clear" w:color="000000" w:fill="FFFFFF"/>
            <w:vAlign w:val="center"/>
            <w:hideMark/>
          </w:tcPr>
          <w:p w14:paraId="56ADEAA7"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690FEB6C"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22C77783"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594097E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1E11804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2072A5BE"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694D3938"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52991952"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566D41E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3886BA20"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239F2AB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2C36F7E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53D0A2E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0606067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w:t>
            </w:r>
          </w:p>
        </w:tc>
      </w:tr>
      <w:tr w:rsidR="00DE34FB" w:rsidRPr="009B0E7D" w14:paraId="22B76E6C" w14:textId="77777777" w:rsidTr="00DE34FB">
        <w:trPr>
          <w:trHeight w:val="825"/>
          <w:jc w:val="center"/>
        </w:trPr>
        <w:tc>
          <w:tcPr>
            <w:tcW w:w="1177" w:type="dxa"/>
            <w:tcBorders>
              <w:top w:val="nil"/>
              <w:left w:val="nil"/>
              <w:bottom w:val="single" w:sz="8" w:space="0" w:color="DCDDDE"/>
              <w:right w:val="nil"/>
            </w:tcBorders>
            <w:shd w:val="clear" w:color="000000" w:fill="FFFFFF"/>
            <w:vAlign w:val="center"/>
            <w:hideMark/>
          </w:tcPr>
          <w:p w14:paraId="1A774415"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6C7B889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5A349E3D"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2FA774C9"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463808B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31</w:t>
            </w:r>
          </w:p>
        </w:tc>
        <w:tc>
          <w:tcPr>
            <w:tcW w:w="545" w:type="dxa"/>
            <w:tcBorders>
              <w:top w:val="nil"/>
              <w:left w:val="nil"/>
              <w:bottom w:val="single" w:sz="8" w:space="0" w:color="DCDDDE"/>
              <w:right w:val="nil"/>
            </w:tcBorders>
            <w:shd w:val="clear" w:color="000000" w:fill="FFFFFF"/>
            <w:noWrap/>
            <w:vAlign w:val="center"/>
            <w:hideMark/>
          </w:tcPr>
          <w:p w14:paraId="6EB2B861"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35</w:t>
            </w:r>
          </w:p>
        </w:tc>
        <w:tc>
          <w:tcPr>
            <w:tcW w:w="545" w:type="dxa"/>
            <w:tcBorders>
              <w:top w:val="nil"/>
              <w:left w:val="nil"/>
              <w:bottom w:val="single" w:sz="8" w:space="0" w:color="DCDDDE"/>
              <w:right w:val="nil"/>
            </w:tcBorders>
            <w:shd w:val="clear" w:color="000000" w:fill="FFFFFF"/>
            <w:noWrap/>
            <w:vAlign w:val="center"/>
            <w:hideMark/>
          </w:tcPr>
          <w:p w14:paraId="59585D0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36</w:t>
            </w:r>
          </w:p>
        </w:tc>
        <w:tc>
          <w:tcPr>
            <w:tcW w:w="545" w:type="dxa"/>
            <w:tcBorders>
              <w:top w:val="nil"/>
              <w:left w:val="nil"/>
              <w:bottom w:val="single" w:sz="8" w:space="0" w:color="DCDDDE"/>
              <w:right w:val="nil"/>
            </w:tcBorders>
            <w:shd w:val="clear" w:color="000000" w:fill="FFFFFF"/>
            <w:noWrap/>
            <w:vAlign w:val="center"/>
            <w:hideMark/>
          </w:tcPr>
          <w:p w14:paraId="2DF5655B"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36</w:t>
            </w:r>
          </w:p>
        </w:tc>
        <w:tc>
          <w:tcPr>
            <w:tcW w:w="545" w:type="dxa"/>
            <w:tcBorders>
              <w:top w:val="nil"/>
              <w:left w:val="nil"/>
              <w:bottom w:val="single" w:sz="8" w:space="0" w:color="DCDDDE"/>
              <w:right w:val="nil"/>
            </w:tcBorders>
            <w:shd w:val="clear" w:color="000000" w:fill="FFFFFF"/>
            <w:noWrap/>
            <w:vAlign w:val="center"/>
            <w:hideMark/>
          </w:tcPr>
          <w:p w14:paraId="3A3E140C"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36</w:t>
            </w:r>
          </w:p>
        </w:tc>
        <w:tc>
          <w:tcPr>
            <w:tcW w:w="545" w:type="dxa"/>
            <w:tcBorders>
              <w:top w:val="nil"/>
              <w:left w:val="nil"/>
              <w:bottom w:val="single" w:sz="8" w:space="0" w:color="DCDDDE"/>
              <w:right w:val="nil"/>
            </w:tcBorders>
            <w:shd w:val="clear" w:color="000000" w:fill="FFFFFF"/>
            <w:noWrap/>
            <w:vAlign w:val="center"/>
            <w:hideMark/>
          </w:tcPr>
          <w:p w14:paraId="7A93EED7"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36</w:t>
            </w:r>
          </w:p>
        </w:tc>
        <w:tc>
          <w:tcPr>
            <w:tcW w:w="545" w:type="dxa"/>
            <w:tcBorders>
              <w:top w:val="nil"/>
              <w:left w:val="nil"/>
              <w:bottom w:val="single" w:sz="8" w:space="0" w:color="DCDDDE"/>
              <w:right w:val="nil"/>
            </w:tcBorders>
            <w:shd w:val="clear" w:color="000000" w:fill="FFFFFF"/>
            <w:noWrap/>
            <w:vAlign w:val="center"/>
            <w:hideMark/>
          </w:tcPr>
          <w:p w14:paraId="183EB02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36</w:t>
            </w:r>
          </w:p>
        </w:tc>
        <w:tc>
          <w:tcPr>
            <w:tcW w:w="545" w:type="dxa"/>
            <w:tcBorders>
              <w:top w:val="nil"/>
              <w:left w:val="nil"/>
              <w:bottom w:val="single" w:sz="8" w:space="0" w:color="DCDDDE"/>
              <w:right w:val="nil"/>
            </w:tcBorders>
            <w:shd w:val="clear" w:color="000000" w:fill="FFFFFF"/>
            <w:noWrap/>
            <w:vAlign w:val="center"/>
            <w:hideMark/>
          </w:tcPr>
          <w:p w14:paraId="37F9BB24"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028D132C"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38</w:t>
            </w:r>
          </w:p>
        </w:tc>
        <w:tc>
          <w:tcPr>
            <w:tcW w:w="545" w:type="dxa"/>
            <w:tcBorders>
              <w:top w:val="nil"/>
              <w:left w:val="nil"/>
              <w:bottom w:val="single" w:sz="8" w:space="0" w:color="DCDDDE"/>
              <w:right w:val="nil"/>
            </w:tcBorders>
            <w:shd w:val="clear" w:color="000000" w:fill="FFFFFF"/>
            <w:noWrap/>
            <w:vAlign w:val="center"/>
            <w:hideMark/>
          </w:tcPr>
          <w:p w14:paraId="79253036"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41</w:t>
            </w:r>
          </w:p>
        </w:tc>
      </w:tr>
      <w:tr w:rsidR="00DE34FB" w:rsidRPr="009B0E7D" w14:paraId="55B8F2F2" w14:textId="77777777" w:rsidTr="00DE34FB">
        <w:trPr>
          <w:trHeight w:val="315"/>
          <w:jc w:val="center"/>
        </w:trPr>
        <w:tc>
          <w:tcPr>
            <w:tcW w:w="1177" w:type="dxa"/>
            <w:tcBorders>
              <w:top w:val="nil"/>
              <w:left w:val="nil"/>
              <w:bottom w:val="single" w:sz="8" w:space="0" w:color="DCDDDE"/>
              <w:right w:val="nil"/>
            </w:tcBorders>
            <w:shd w:val="clear" w:color="000000" w:fill="FFFFFF"/>
            <w:vAlign w:val="center"/>
            <w:hideMark/>
          </w:tcPr>
          <w:p w14:paraId="7213F7E1"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031959FE"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7E9E246F"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13E8BB41"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626459A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34</w:t>
            </w:r>
          </w:p>
        </w:tc>
        <w:tc>
          <w:tcPr>
            <w:tcW w:w="545" w:type="dxa"/>
            <w:tcBorders>
              <w:top w:val="nil"/>
              <w:left w:val="nil"/>
              <w:bottom w:val="single" w:sz="8" w:space="0" w:color="DCDDDE"/>
              <w:right w:val="nil"/>
            </w:tcBorders>
            <w:shd w:val="clear" w:color="000000" w:fill="FFFFFF"/>
            <w:noWrap/>
            <w:vAlign w:val="center"/>
            <w:hideMark/>
          </w:tcPr>
          <w:p w14:paraId="3ECFEF26"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4A166756"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5887229C"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5347A8BE"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7F215457"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3CAD8D35"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690F10F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020B4827"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05DBA0EA" w14:textId="77777777" w:rsidR="00DE34FB" w:rsidRPr="009B0E7D" w:rsidRDefault="00DE34FB" w:rsidP="00DE34FB">
            <w:pPr>
              <w:spacing w:line="240" w:lineRule="auto"/>
              <w:jc w:val="right"/>
              <w:rPr>
                <w:rFonts w:ascii="Arial Narrow" w:hAnsi="Arial Narrow" w:cs="Calibri"/>
                <w:sz w:val="18"/>
                <w:szCs w:val="18"/>
              </w:rPr>
            </w:pPr>
            <w:r w:rsidRPr="009B0E7D">
              <w:rPr>
                <w:rFonts w:ascii="Arial Narrow" w:hAnsi="Arial Narrow" w:cs="Calibri"/>
                <w:sz w:val="18"/>
                <w:szCs w:val="18"/>
              </w:rPr>
              <w:t>21</w:t>
            </w:r>
          </w:p>
        </w:tc>
      </w:tr>
      <w:tr w:rsidR="00DE34FB" w:rsidRPr="009B0E7D" w14:paraId="732A05EA" w14:textId="77777777" w:rsidTr="00DE34FB">
        <w:trPr>
          <w:trHeight w:val="315"/>
          <w:jc w:val="center"/>
        </w:trPr>
        <w:tc>
          <w:tcPr>
            <w:tcW w:w="1177" w:type="dxa"/>
            <w:tcBorders>
              <w:top w:val="nil"/>
              <w:left w:val="nil"/>
              <w:bottom w:val="single" w:sz="8" w:space="0" w:color="DCDDDE"/>
              <w:right w:val="nil"/>
            </w:tcBorders>
            <w:shd w:val="clear" w:color="000000" w:fill="FFFFFF"/>
            <w:vAlign w:val="center"/>
            <w:hideMark/>
          </w:tcPr>
          <w:p w14:paraId="334D18C1" w14:textId="77777777" w:rsidR="00DE34FB" w:rsidRPr="009B0E7D" w:rsidRDefault="00DE34FB" w:rsidP="00DE34FB">
            <w:pPr>
              <w:spacing w:line="240" w:lineRule="auto"/>
              <w:jc w:val="center"/>
              <w:rPr>
                <w:rFonts w:ascii="Arial Narrow" w:hAnsi="Arial Narrow" w:cs="Calibri"/>
                <w:b/>
                <w:bCs/>
                <w:sz w:val="18"/>
                <w:szCs w:val="18"/>
              </w:rPr>
            </w:pPr>
            <w:r w:rsidRPr="009B0E7D">
              <w:rPr>
                <w:rFonts w:ascii="Arial Narrow" w:hAnsi="Arial Narrow" w:cs="Calibri"/>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2FBB6F6B"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54</w:t>
            </w:r>
          </w:p>
        </w:tc>
        <w:tc>
          <w:tcPr>
            <w:tcW w:w="545" w:type="dxa"/>
            <w:tcBorders>
              <w:top w:val="nil"/>
              <w:left w:val="nil"/>
              <w:bottom w:val="single" w:sz="8" w:space="0" w:color="DCDDDE"/>
              <w:right w:val="nil"/>
            </w:tcBorders>
            <w:shd w:val="clear" w:color="000000" w:fill="FFFFFF"/>
            <w:noWrap/>
            <w:vAlign w:val="center"/>
            <w:hideMark/>
          </w:tcPr>
          <w:p w14:paraId="44AE2467"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54</w:t>
            </w:r>
          </w:p>
        </w:tc>
        <w:tc>
          <w:tcPr>
            <w:tcW w:w="545" w:type="dxa"/>
            <w:tcBorders>
              <w:top w:val="nil"/>
              <w:left w:val="nil"/>
              <w:bottom w:val="single" w:sz="8" w:space="0" w:color="DCDDDE"/>
              <w:right w:val="nil"/>
            </w:tcBorders>
            <w:shd w:val="clear" w:color="000000" w:fill="FFFFFF"/>
            <w:noWrap/>
            <w:vAlign w:val="center"/>
            <w:hideMark/>
          </w:tcPr>
          <w:p w14:paraId="67B756A9"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60</w:t>
            </w:r>
          </w:p>
        </w:tc>
        <w:tc>
          <w:tcPr>
            <w:tcW w:w="545" w:type="dxa"/>
            <w:tcBorders>
              <w:top w:val="nil"/>
              <w:left w:val="nil"/>
              <w:bottom w:val="single" w:sz="8" w:space="0" w:color="DCDDDE"/>
              <w:right w:val="nil"/>
            </w:tcBorders>
            <w:shd w:val="clear" w:color="000000" w:fill="FFFFFF"/>
            <w:noWrap/>
            <w:vAlign w:val="center"/>
            <w:hideMark/>
          </w:tcPr>
          <w:p w14:paraId="7F848A07"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65</w:t>
            </w:r>
          </w:p>
        </w:tc>
        <w:tc>
          <w:tcPr>
            <w:tcW w:w="545" w:type="dxa"/>
            <w:tcBorders>
              <w:top w:val="nil"/>
              <w:left w:val="nil"/>
              <w:bottom w:val="single" w:sz="8" w:space="0" w:color="DCDDDE"/>
              <w:right w:val="nil"/>
            </w:tcBorders>
            <w:shd w:val="clear" w:color="000000" w:fill="FFFFFF"/>
            <w:noWrap/>
            <w:vAlign w:val="center"/>
            <w:hideMark/>
          </w:tcPr>
          <w:p w14:paraId="1AB01952"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69</w:t>
            </w:r>
          </w:p>
        </w:tc>
        <w:tc>
          <w:tcPr>
            <w:tcW w:w="545" w:type="dxa"/>
            <w:tcBorders>
              <w:top w:val="nil"/>
              <w:left w:val="nil"/>
              <w:bottom w:val="single" w:sz="8" w:space="0" w:color="DCDDDE"/>
              <w:right w:val="nil"/>
            </w:tcBorders>
            <w:shd w:val="clear" w:color="000000" w:fill="FFFFFF"/>
            <w:noWrap/>
            <w:vAlign w:val="center"/>
            <w:hideMark/>
          </w:tcPr>
          <w:p w14:paraId="70C80C1E"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69</w:t>
            </w:r>
          </w:p>
        </w:tc>
        <w:tc>
          <w:tcPr>
            <w:tcW w:w="545" w:type="dxa"/>
            <w:tcBorders>
              <w:top w:val="nil"/>
              <w:left w:val="nil"/>
              <w:bottom w:val="single" w:sz="8" w:space="0" w:color="DCDDDE"/>
              <w:right w:val="nil"/>
            </w:tcBorders>
            <w:shd w:val="clear" w:color="000000" w:fill="FFFFFF"/>
            <w:noWrap/>
            <w:vAlign w:val="center"/>
            <w:hideMark/>
          </w:tcPr>
          <w:p w14:paraId="4585D6FB"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69</w:t>
            </w:r>
          </w:p>
        </w:tc>
        <w:tc>
          <w:tcPr>
            <w:tcW w:w="545" w:type="dxa"/>
            <w:tcBorders>
              <w:top w:val="nil"/>
              <w:left w:val="nil"/>
              <w:bottom w:val="single" w:sz="8" w:space="0" w:color="DCDDDE"/>
              <w:right w:val="nil"/>
            </w:tcBorders>
            <w:shd w:val="clear" w:color="000000" w:fill="FFFFFF"/>
            <w:noWrap/>
            <w:vAlign w:val="center"/>
            <w:hideMark/>
          </w:tcPr>
          <w:p w14:paraId="3A952D3B"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69</w:t>
            </w:r>
          </w:p>
        </w:tc>
        <w:tc>
          <w:tcPr>
            <w:tcW w:w="545" w:type="dxa"/>
            <w:tcBorders>
              <w:top w:val="nil"/>
              <w:left w:val="nil"/>
              <w:bottom w:val="single" w:sz="8" w:space="0" w:color="DCDDDE"/>
              <w:right w:val="nil"/>
            </w:tcBorders>
            <w:shd w:val="clear" w:color="000000" w:fill="FFFFFF"/>
            <w:noWrap/>
            <w:vAlign w:val="center"/>
            <w:hideMark/>
          </w:tcPr>
          <w:p w14:paraId="07F5064E"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61</w:t>
            </w:r>
          </w:p>
        </w:tc>
        <w:tc>
          <w:tcPr>
            <w:tcW w:w="545" w:type="dxa"/>
            <w:tcBorders>
              <w:top w:val="nil"/>
              <w:left w:val="nil"/>
              <w:bottom w:val="single" w:sz="8" w:space="0" w:color="DCDDDE"/>
              <w:right w:val="nil"/>
            </w:tcBorders>
            <w:shd w:val="clear" w:color="000000" w:fill="FFFFFF"/>
            <w:noWrap/>
            <w:vAlign w:val="center"/>
            <w:hideMark/>
          </w:tcPr>
          <w:p w14:paraId="5DFF97F4"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59</w:t>
            </w:r>
          </w:p>
        </w:tc>
        <w:tc>
          <w:tcPr>
            <w:tcW w:w="545" w:type="dxa"/>
            <w:tcBorders>
              <w:top w:val="nil"/>
              <w:left w:val="nil"/>
              <w:bottom w:val="single" w:sz="8" w:space="0" w:color="DCDDDE"/>
              <w:right w:val="nil"/>
            </w:tcBorders>
            <w:shd w:val="clear" w:color="000000" w:fill="FFFFFF"/>
            <w:noWrap/>
            <w:vAlign w:val="center"/>
            <w:hideMark/>
          </w:tcPr>
          <w:p w14:paraId="31755FA1"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58</w:t>
            </w:r>
          </w:p>
        </w:tc>
        <w:tc>
          <w:tcPr>
            <w:tcW w:w="545" w:type="dxa"/>
            <w:tcBorders>
              <w:top w:val="nil"/>
              <w:left w:val="nil"/>
              <w:bottom w:val="single" w:sz="8" w:space="0" w:color="DCDDDE"/>
              <w:right w:val="nil"/>
            </w:tcBorders>
            <w:shd w:val="clear" w:color="000000" w:fill="FFFFFF"/>
            <w:noWrap/>
            <w:vAlign w:val="center"/>
            <w:hideMark/>
          </w:tcPr>
          <w:p w14:paraId="7EE28438"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59</w:t>
            </w:r>
          </w:p>
        </w:tc>
        <w:tc>
          <w:tcPr>
            <w:tcW w:w="545" w:type="dxa"/>
            <w:tcBorders>
              <w:top w:val="nil"/>
              <w:left w:val="nil"/>
              <w:bottom w:val="single" w:sz="8" w:space="0" w:color="DCDDDE"/>
              <w:right w:val="nil"/>
            </w:tcBorders>
            <w:shd w:val="clear" w:color="000000" w:fill="FFFFFF"/>
            <w:noWrap/>
            <w:vAlign w:val="center"/>
            <w:hideMark/>
          </w:tcPr>
          <w:p w14:paraId="52F7454A" w14:textId="77777777" w:rsidR="00DE34FB" w:rsidRPr="009B0E7D" w:rsidRDefault="00DE34FB" w:rsidP="00DE34FB">
            <w:pPr>
              <w:spacing w:line="240" w:lineRule="auto"/>
              <w:jc w:val="right"/>
              <w:rPr>
                <w:rFonts w:ascii="Arial Narrow" w:hAnsi="Arial Narrow" w:cs="Calibri"/>
                <w:b/>
                <w:bCs/>
                <w:sz w:val="18"/>
                <w:szCs w:val="18"/>
              </w:rPr>
            </w:pPr>
            <w:r w:rsidRPr="009B0E7D">
              <w:rPr>
                <w:rFonts w:ascii="Arial Narrow" w:hAnsi="Arial Narrow" w:cs="Calibri"/>
                <w:b/>
                <w:bCs/>
                <w:sz w:val="18"/>
                <w:szCs w:val="18"/>
              </w:rPr>
              <w:t>62</w:t>
            </w:r>
          </w:p>
        </w:tc>
      </w:tr>
    </w:tbl>
    <w:p w14:paraId="690F96E3" w14:textId="77777777" w:rsidR="00DE34FB" w:rsidRPr="00DE34FB" w:rsidRDefault="00DE34FB" w:rsidP="007E10DC"/>
    <w:p w14:paraId="184FBDFE" w14:textId="46FD090A" w:rsidR="00D823AE" w:rsidRPr="00D823AE" w:rsidRDefault="00181744" w:rsidP="00181744">
      <w:pPr>
        <w:jc w:val="center"/>
      </w:pPr>
      <w:r>
        <w:t xml:space="preserve">* </w:t>
      </w:r>
      <w:r w:rsidR="006406EC">
        <w:t xml:space="preserve">Excludes </w:t>
      </w:r>
      <w:r>
        <w:t>interactive effects</w:t>
      </w:r>
    </w:p>
    <w:p w14:paraId="46387477" w14:textId="77777777" w:rsidR="00D823AE" w:rsidRDefault="00D823AE" w:rsidP="00D823AE"/>
    <w:p w14:paraId="7ED8E619" w14:textId="77777777" w:rsidR="002A760B" w:rsidRDefault="002A760B" w:rsidP="00D823AE"/>
    <w:p w14:paraId="62004A5C" w14:textId="77777777" w:rsidR="002A760B" w:rsidRDefault="002A760B" w:rsidP="00D823AE"/>
    <w:p w14:paraId="4031A03C" w14:textId="77777777" w:rsidR="002A760B" w:rsidRDefault="002A760B" w:rsidP="00D823AE"/>
    <w:p w14:paraId="4ADCFE74" w14:textId="77777777" w:rsidR="002A760B" w:rsidRDefault="002A760B" w:rsidP="00D823AE"/>
    <w:p w14:paraId="1B1A8E1F" w14:textId="77777777" w:rsidR="002A760B" w:rsidRDefault="002A760B" w:rsidP="00D823AE"/>
    <w:p w14:paraId="64CAF6E7" w14:textId="77777777" w:rsidR="002A760B" w:rsidRDefault="002A760B" w:rsidP="00D823AE"/>
    <w:p w14:paraId="596EEC3C" w14:textId="77777777" w:rsidR="002A760B" w:rsidRDefault="002A760B" w:rsidP="00D823AE"/>
    <w:p w14:paraId="0F699E5B" w14:textId="77777777" w:rsidR="002A760B" w:rsidRDefault="002A760B" w:rsidP="00D823AE"/>
    <w:p w14:paraId="61ECB364" w14:textId="77777777" w:rsidR="002A760B" w:rsidRDefault="002A760B" w:rsidP="00D823AE"/>
    <w:p w14:paraId="50AAF538" w14:textId="77777777" w:rsidR="002A760B" w:rsidRDefault="002A760B" w:rsidP="00D823AE"/>
    <w:p w14:paraId="498E42C7" w14:textId="77777777" w:rsidR="002A760B" w:rsidRDefault="002A760B" w:rsidP="00D823AE"/>
    <w:p w14:paraId="71A4B989" w14:textId="77777777" w:rsidR="002A760B" w:rsidRDefault="002A760B" w:rsidP="00D823AE"/>
    <w:p w14:paraId="576EB687" w14:textId="77777777" w:rsidR="002A760B" w:rsidRDefault="002A760B" w:rsidP="00D823AE"/>
    <w:p w14:paraId="4D5D3953" w14:textId="77777777" w:rsidR="002A760B" w:rsidRDefault="002A760B" w:rsidP="00D823AE"/>
    <w:p w14:paraId="0C6D0EA8" w14:textId="77777777" w:rsidR="002A760B" w:rsidRDefault="002A760B" w:rsidP="00D823AE"/>
    <w:p w14:paraId="4ED7ECEA" w14:textId="77777777" w:rsidR="002A760B" w:rsidRDefault="002A760B" w:rsidP="00D823AE"/>
    <w:p w14:paraId="4CA8BB74" w14:textId="77777777" w:rsidR="002A760B" w:rsidRDefault="002A760B" w:rsidP="00D823AE"/>
    <w:p w14:paraId="002C20F2" w14:textId="77777777" w:rsidR="002A760B" w:rsidRDefault="002A760B" w:rsidP="00D823AE"/>
    <w:p w14:paraId="37F88230" w14:textId="77777777" w:rsidR="002A760B" w:rsidRDefault="002A760B" w:rsidP="00D823AE"/>
    <w:p w14:paraId="53A72D9A" w14:textId="77777777" w:rsidR="002A760B" w:rsidRDefault="002A760B" w:rsidP="00D823AE"/>
    <w:p w14:paraId="4F8D3DB8" w14:textId="77777777" w:rsidR="002A760B" w:rsidRDefault="002A760B" w:rsidP="00D823AE"/>
    <w:p w14:paraId="78858E56" w14:textId="77777777" w:rsidR="002A760B" w:rsidRDefault="002A760B" w:rsidP="00D823AE"/>
    <w:p w14:paraId="36B278EC" w14:textId="77777777" w:rsidR="002A760B" w:rsidRDefault="002A760B" w:rsidP="00D823AE"/>
    <w:p w14:paraId="77D5BCFD" w14:textId="77777777" w:rsidR="00D823AE" w:rsidRPr="00D823AE" w:rsidRDefault="00D823AE" w:rsidP="00D823AE">
      <w:pPr>
        <w:pStyle w:val="Heading6"/>
      </w:pPr>
      <w:bookmarkStart w:id="1214" w:name="_Toc490225858"/>
      <w:r>
        <w:lastRenderedPageBreak/>
        <w:t>SDG&amp;E</w:t>
      </w:r>
      <w:bookmarkEnd w:id="1214"/>
    </w:p>
    <w:p w14:paraId="5DC02C25" w14:textId="77777777" w:rsidR="00D823AE" w:rsidRDefault="00D823AE" w:rsidP="00D823AE">
      <w:pPr>
        <w:pStyle w:val="Caption"/>
      </w:pPr>
      <w:bookmarkStart w:id="1215" w:name="_Toc490226062"/>
      <w:r w:rsidRPr="00122CD3">
        <w:t xml:space="preserve">Table </w:t>
      </w:r>
      <w:fldSimple w:instr=" STYLEREF 5 \s ">
        <w:r w:rsidR="007566B9">
          <w:rPr>
            <w:noProof/>
          </w:rPr>
          <w:t>H</w:t>
        </w:r>
      </w:fldSimple>
      <w:r w:rsidRPr="00323BFA">
        <w:noBreakHyphen/>
      </w:r>
      <w:fldSimple w:instr=" SEQ Table_Apx \* ARABIC \s 5 ">
        <w:r w:rsidR="007566B9">
          <w:rPr>
            <w:noProof/>
          </w:rPr>
          <w:t>7</w:t>
        </w:r>
      </w:fldSimple>
      <w:r w:rsidRPr="006F2DA9">
        <w:t xml:space="preserve">. </w:t>
      </w:r>
      <w:r>
        <w:t>SDG&amp;E Electric Savings</w:t>
      </w:r>
      <w:bookmarkEnd w:id="1215"/>
    </w:p>
    <w:tbl>
      <w:tblPr>
        <w:tblW w:w="8262" w:type="dxa"/>
        <w:jc w:val="center"/>
        <w:tblLook w:val="04A0" w:firstRow="1" w:lastRow="0" w:firstColumn="1" w:lastColumn="0" w:noHBand="0" w:noVBand="1"/>
      </w:tblPr>
      <w:tblGrid>
        <w:gridCol w:w="1177"/>
        <w:gridCol w:w="545"/>
        <w:gridCol w:w="545"/>
        <w:gridCol w:w="545"/>
        <w:gridCol w:w="545"/>
        <w:gridCol w:w="545"/>
        <w:gridCol w:w="545"/>
        <w:gridCol w:w="545"/>
        <w:gridCol w:w="545"/>
        <w:gridCol w:w="545"/>
        <w:gridCol w:w="545"/>
        <w:gridCol w:w="545"/>
        <w:gridCol w:w="545"/>
        <w:gridCol w:w="545"/>
      </w:tblGrid>
      <w:tr w:rsidR="00490035" w:rsidRPr="00490035" w14:paraId="7FC62EEC" w14:textId="77777777" w:rsidTr="00490035">
        <w:trPr>
          <w:trHeight w:val="315"/>
          <w:jc w:val="center"/>
        </w:trPr>
        <w:tc>
          <w:tcPr>
            <w:tcW w:w="8262" w:type="dxa"/>
            <w:gridSpan w:val="14"/>
            <w:tcBorders>
              <w:top w:val="nil"/>
              <w:left w:val="nil"/>
              <w:bottom w:val="single" w:sz="12" w:space="0" w:color="95D600"/>
              <w:right w:val="nil"/>
            </w:tcBorders>
            <w:shd w:val="clear" w:color="000000" w:fill="555759"/>
            <w:noWrap/>
            <w:vAlign w:val="center"/>
            <w:hideMark/>
          </w:tcPr>
          <w:p w14:paraId="306A798F" w14:textId="77777777" w:rsidR="00490035" w:rsidRPr="00490035" w:rsidRDefault="00490035" w:rsidP="00490035">
            <w:pPr>
              <w:spacing w:line="240" w:lineRule="auto"/>
              <w:jc w:val="center"/>
              <w:rPr>
                <w:rFonts w:ascii="Arial Narrow" w:hAnsi="Arial Narrow"/>
                <w:b/>
                <w:bCs/>
                <w:color w:val="FFFFFF"/>
                <w:sz w:val="18"/>
                <w:szCs w:val="18"/>
              </w:rPr>
            </w:pPr>
            <w:r w:rsidRPr="00490035">
              <w:rPr>
                <w:rFonts w:ascii="Arial Narrow" w:hAnsi="Arial Narrow"/>
                <w:b/>
                <w:bCs/>
                <w:color w:val="FFFFFF"/>
                <w:sz w:val="18"/>
                <w:szCs w:val="18"/>
              </w:rPr>
              <w:t>Electric Energy (GWh/year)</w:t>
            </w:r>
          </w:p>
        </w:tc>
      </w:tr>
      <w:tr w:rsidR="00490035" w:rsidRPr="00490035" w14:paraId="2302F85F" w14:textId="77777777" w:rsidTr="002A760B">
        <w:trPr>
          <w:trHeight w:val="330"/>
          <w:jc w:val="center"/>
        </w:trPr>
        <w:tc>
          <w:tcPr>
            <w:tcW w:w="1177" w:type="dxa"/>
            <w:tcBorders>
              <w:top w:val="nil"/>
              <w:left w:val="nil"/>
              <w:bottom w:val="single" w:sz="8" w:space="0" w:color="DCDDDE"/>
              <w:right w:val="nil"/>
            </w:tcBorders>
            <w:shd w:val="clear" w:color="auto" w:fill="auto"/>
            <w:vAlign w:val="center"/>
            <w:hideMark/>
          </w:tcPr>
          <w:p w14:paraId="71031AFA"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Year</w:t>
            </w:r>
          </w:p>
        </w:tc>
        <w:tc>
          <w:tcPr>
            <w:tcW w:w="545" w:type="dxa"/>
            <w:tcBorders>
              <w:top w:val="nil"/>
              <w:left w:val="nil"/>
              <w:bottom w:val="single" w:sz="8" w:space="0" w:color="DCDDDE"/>
              <w:right w:val="nil"/>
            </w:tcBorders>
            <w:shd w:val="clear" w:color="auto" w:fill="auto"/>
            <w:noWrap/>
            <w:vAlign w:val="center"/>
            <w:hideMark/>
          </w:tcPr>
          <w:p w14:paraId="1F2EE3C8"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2018</w:t>
            </w:r>
          </w:p>
        </w:tc>
        <w:tc>
          <w:tcPr>
            <w:tcW w:w="545" w:type="dxa"/>
            <w:tcBorders>
              <w:top w:val="nil"/>
              <w:left w:val="nil"/>
              <w:bottom w:val="single" w:sz="8" w:space="0" w:color="DCDDDE"/>
              <w:right w:val="nil"/>
            </w:tcBorders>
            <w:shd w:val="clear" w:color="auto" w:fill="auto"/>
            <w:noWrap/>
            <w:vAlign w:val="center"/>
            <w:hideMark/>
          </w:tcPr>
          <w:p w14:paraId="64E525FA"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2019</w:t>
            </w:r>
          </w:p>
        </w:tc>
        <w:tc>
          <w:tcPr>
            <w:tcW w:w="545" w:type="dxa"/>
            <w:tcBorders>
              <w:top w:val="nil"/>
              <w:left w:val="nil"/>
              <w:bottom w:val="single" w:sz="8" w:space="0" w:color="DCDDDE"/>
              <w:right w:val="nil"/>
            </w:tcBorders>
            <w:shd w:val="clear" w:color="auto" w:fill="auto"/>
            <w:noWrap/>
            <w:vAlign w:val="center"/>
            <w:hideMark/>
          </w:tcPr>
          <w:p w14:paraId="45EEDC1C"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2020</w:t>
            </w:r>
          </w:p>
        </w:tc>
        <w:tc>
          <w:tcPr>
            <w:tcW w:w="545" w:type="dxa"/>
            <w:tcBorders>
              <w:top w:val="nil"/>
              <w:left w:val="nil"/>
              <w:bottom w:val="single" w:sz="8" w:space="0" w:color="DCDDDE"/>
              <w:right w:val="nil"/>
            </w:tcBorders>
            <w:shd w:val="clear" w:color="auto" w:fill="auto"/>
            <w:noWrap/>
            <w:vAlign w:val="center"/>
            <w:hideMark/>
          </w:tcPr>
          <w:p w14:paraId="777EF469"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2021</w:t>
            </w:r>
          </w:p>
        </w:tc>
        <w:tc>
          <w:tcPr>
            <w:tcW w:w="545" w:type="dxa"/>
            <w:tcBorders>
              <w:top w:val="nil"/>
              <w:left w:val="nil"/>
              <w:bottom w:val="single" w:sz="8" w:space="0" w:color="DCDDDE"/>
              <w:right w:val="nil"/>
            </w:tcBorders>
            <w:shd w:val="clear" w:color="auto" w:fill="auto"/>
            <w:noWrap/>
            <w:vAlign w:val="center"/>
            <w:hideMark/>
          </w:tcPr>
          <w:p w14:paraId="5C7362F8"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2022</w:t>
            </w:r>
          </w:p>
        </w:tc>
        <w:tc>
          <w:tcPr>
            <w:tcW w:w="545" w:type="dxa"/>
            <w:tcBorders>
              <w:top w:val="nil"/>
              <w:left w:val="nil"/>
              <w:bottom w:val="single" w:sz="8" w:space="0" w:color="DCDDDE"/>
              <w:right w:val="nil"/>
            </w:tcBorders>
            <w:shd w:val="clear" w:color="auto" w:fill="auto"/>
            <w:noWrap/>
            <w:vAlign w:val="center"/>
            <w:hideMark/>
          </w:tcPr>
          <w:p w14:paraId="51A8A3A0"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2023</w:t>
            </w:r>
          </w:p>
        </w:tc>
        <w:tc>
          <w:tcPr>
            <w:tcW w:w="545" w:type="dxa"/>
            <w:tcBorders>
              <w:top w:val="nil"/>
              <w:left w:val="nil"/>
              <w:bottom w:val="single" w:sz="8" w:space="0" w:color="DCDDDE"/>
              <w:right w:val="nil"/>
            </w:tcBorders>
            <w:shd w:val="clear" w:color="auto" w:fill="auto"/>
            <w:noWrap/>
            <w:vAlign w:val="center"/>
            <w:hideMark/>
          </w:tcPr>
          <w:p w14:paraId="4D9A21AB"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2024</w:t>
            </w:r>
          </w:p>
        </w:tc>
        <w:tc>
          <w:tcPr>
            <w:tcW w:w="545" w:type="dxa"/>
            <w:tcBorders>
              <w:top w:val="nil"/>
              <w:left w:val="nil"/>
              <w:bottom w:val="single" w:sz="8" w:space="0" w:color="DCDDDE"/>
              <w:right w:val="nil"/>
            </w:tcBorders>
            <w:shd w:val="clear" w:color="auto" w:fill="auto"/>
            <w:noWrap/>
            <w:vAlign w:val="center"/>
            <w:hideMark/>
          </w:tcPr>
          <w:p w14:paraId="2D0A7038"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2025</w:t>
            </w:r>
          </w:p>
        </w:tc>
        <w:tc>
          <w:tcPr>
            <w:tcW w:w="545" w:type="dxa"/>
            <w:tcBorders>
              <w:top w:val="nil"/>
              <w:left w:val="nil"/>
              <w:bottom w:val="single" w:sz="8" w:space="0" w:color="DCDDDE"/>
              <w:right w:val="nil"/>
            </w:tcBorders>
            <w:shd w:val="clear" w:color="auto" w:fill="auto"/>
            <w:noWrap/>
            <w:vAlign w:val="center"/>
            <w:hideMark/>
          </w:tcPr>
          <w:p w14:paraId="047FD8AF"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2026</w:t>
            </w:r>
          </w:p>
        </w:tc>
        <w:tc>
          <w:tcPr>
            <w:tcW w:w="545" w:type="dxa"/>
            <w:tcBorders>
              <w:top w:val="nil"/>
              <w:left w:val="nil"/>
              <w:bottom w:val="single" w:sz="8" w:space="0" w:color="DCDDDE"/>
              <w:right w:val="nil"/>
            </w:tcBorders>
            <w:shd w:val="clear" w:color="auto" w:fill="auto"/>
            <w:noWrap/>
            <w:vAlign w:val="center"/>
            <w:hideMark/>
          </w:tcPr>
          <w:p w14:paraId="37A857DD"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2027</w:t>
            </w:r>
          </w:p>
        </w:tc>
        <w:tc>
          <w:tcPr>
            <w:tcW w:w="545" w:type="dxa"/>
            <w:tcBorders>
              <w:top w:val="nil"/>
              <w:left w:val="nil"/>
              <w:bottom w:val="single" w:sz="8" w:space="0" w:color="DCDDDE"/>
              <w:right w:val="nil"/>
            </w:tcBorders>
            <w:shd w:val="clear" w:color="auto" w:fill="auto"/>
            <w:noWrap/>
            <w:vAlign w:val="center"/>
            <w:hideMark/>
          </w:tcPr>
          <w:p w14:paraId="503F8C28"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2028</w:t>
            </w:r>
          </w:p>
        </w:tc>
        <w:tc>
          <w:tcPr>
            <w:tcW w:w="545" w:type="dxa"/>
            <w:tcBorders>
              <w:top w:val="nil"/>
              <w:left w:val="nil"/>
              <w:bottom w:val="single" w:sz="8" w:space="0" w:color="DCDDDE"/>
              <w:right w:val="nil"/>
            </w:tcBorders>
            <w:shd w:val="clear" w:color="auto" w:fill="auto"/>
            <w:noWrap/>
            <w:vAlign w:val="center"/>
            <w:hideMark/>
          </w:tcPr>
          <w:p w14:paraId="30F0B053"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2029</w:t>
            </w:r>
          </w:p>
        </w:tc>
        <w:tc>
          <w:tcPr>
            <w:tcW w:w="545" w:type="dxa"/>
            <w:tcBorders>
              <w:top w:val="nil"/>
              <w:left w:val="nil"/>
              <w:bottom w:val="single" w:sz="8" w:space="0" w:color="DCDDDE"/>
              <w:right w:val="nil"/>
            </w:tcBorders>
            <w:shd w:val="clear" w:color="auto" w:fill="auto"/>
            <w:noWrap/>
            <w:vAlign w:val="center"/>
            <w:hideMark/>
          </w:tcPr>
          <w:p w14:paraId="1CA9392B"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2030</w:t>
            </w:r>
          </w:p>
        </w:tc>
      </w:tr>
      <w:tr w:rsidR="00490035" w:rsidRPr="00490035" w14:paraId="2ADC5B55" w14:textId="77777777" w:rsidTr="00490035">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43FF0E82"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TRC | Reference</w:t>
            </w:r>
          </w:p>
        </w:tc>
      </w:tr>
      <w:tr w:rsidR="00490035" w:rsidRPr="00490035" w14:paraId="6CEEC630"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62A89801"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78DC4D2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42</w:t>
            </w:r>
          </w:p>
        </w:tc>
        <w:tc>
          <w:tcPr>
            <w:tcW w:w="545" w:type="dxa"/>
            <w:tcBorders>
              <w:top w:val="nil"/>
              <w:left w:val="nil"/>
              <w:bottom w:val="single" w:sz="8" w:space="0" w:color="DCDDDE"/>
              <w:right w:val="nil"/>
            </w:tcBorders>
            <w:shd w:val="clear" w:color="000000" w:fill="FFFFFF"/>
            <w:noWrap/>
            <w:vAlign w:val="center"/>
            <w:hideMark/>
          </w:tcPr>
          <w:p w14:paraId="3689D05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45</w:t>
            </w:r>
          </w:p>
        </w:tc>
        <w:tc>
          <w:tcPr>
            <w:tcW w:w="545" w:type="dxa"/>
            <w:tcBorders>
              <w:top w:val="nil"/>
              <w:left w:val="nil"/>
              <w:bottom w:val="single" w:sz="8" w:space="0" w:color="DCDDDE"/>
              <w:right w:val="nil"/>
            </w:tcBorders>
            <w:shd w:val="clear" w:color="000000" w:fill="FFFFFF"/>
            <w:noWrap/>
            <w:vAlign w:val="center"/>
            <w:hideMark/>
          </w:tcPr>
          <w:p w14:paraId="600AE33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45</w:t>
            </w:r>
          </w:p>
        </w:tc>
        <w:tc>
          <w:tcPr>
            <w:tcW w:w="545" w:type="dxa"/>
            <w:tcBorders>
              <w:top w:val="nil"/>
              <w:left w:val="nil"/>
              <w:bottom w:val="single" w:sz="8" w:space="0" w:color="DCDDDE"/>
              <w:right w:val="nil"/>
            </w:tcBorders>
            <w:shd w:val="clear" w:color="000000" w:fill="FFFFFF"/>
            <w:noWrap/>
            <w:vAlign w:val="center"/>
            <w:hideMark/>
          </w:tcPr>
          <w:p w14:paraId="1CBC6D2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51</w:t>
            </w:r>
          </w:p>
        </w:tc>
        <w:tc>
          <w:tcPr>
            <w:tcW w:w="545" w:type="dxa"/>
            <w:tcBorders>
              <w:top w:val="nil"/>
              <w:left w:val="nil"/>
              <w:bottom w:val="single" w:sz="8" w:space="0" w:color="DCDDDE"/>
              <w:right w:val="nil"/>
            </w:tcBorders>
            <w:shd w:val="clear" w:color="000000" w:fill="FFFFFF"/>
            <w:noWrap/>
            <w:vAlign w:val="center"/>
            <w:hideMark/>
          </w:tcPr>
          <w:p w14:paraId="03B3804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w:t>
            </w:r>
          </w:p>
        </w:tc>
        <w:tc>
          <w:tcPr>
            <w:tcW w:w="545" w:type="dxa"/>
            <w:tcBorders>
              <w:top w:val="nil"/>
              <w:left w:val="nil"/>
              <w:bottom w:val="single" w:sz="8" w:space="0" w:color="DCDDDE"/>
              <w:right w:val="nil"/>
            </w:tcBorders>
            <w:shd w:val="clear" w:color="000000" w:fill="FFFFFF"/>
            <w:noWrap/>
            <w:vAlign w:val="center"/>
            <w:hideMark/>
          </w:tcPr>
          <w:p w14:paraId="184BFB5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60</w:t>
            </w:r>
          </w:p>
        </w:tc>
        <w:tc>
          <w:tcPr>
            <w:tcW w:w="545" w:type="dxa"/>
            <w:tcBorders>
              <w:top w:val="nil"/>
              <w:left w:val="nil"/>
              <w:bottom w:val="single" w:sz="8" w:space="0" w:color="DCDDDE"/>
              <w:right w:val="nil"/>
            </w:tcBorders>
            <w:shd w:val="clear" w:color="000000" w:fill="FFFFFF"/>
            <w:noWrap/>
            <w:vAlign w:val="center"/>
            <w:hideMark/>
          </w:tcPr>
          <w:p w14:paraId="35F69F5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65</w:t>
            </w:r>
          </w:p>
        </w:tc>
        <w:tc>
          <w:tcPr>
            <w:tcW w:w="545" w:type="dxa"/>
            <w:tcBorders>
              <w:top w:val="nil"/>
              <w:left w:val="nil"/>
              <w:bottom w:val="single" w:sz="8" w:space="0" w:color="DCDDDE"/>
              <w:right w:val="nil"/>
            </w:tcBorders>
            <w:shd w:val="clear" w:color="000000" w:fill="FFFFFF"/>
            <w:noWrap/>
            <w:vAlign w:val="center"/>
            <w:hideMark/>
          </w:tcPr>
          <w:p w14:paraId="514A7DF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71</w:t>
            </w:r>
          </w:p>
        </w:tc>
        <w:tc>
          <w:tcPr>
            <w:tcW w:w="545" w:type="dxa"/>
            <w:tcBorders>
              <w:top w:val="nil"/>
              <w:left w:val="nil"/>
              <w:bottom w:val="single" w:sz="8" w:space="0" w:color="DCDDDE"/>
              <w:right w:val="nil"/>
            </w:tcBorders>
            <w:shd w:val="clear" w:color="000000" w:fill="FFFFFF"/>
            <w:noWrap/>
            <w:vAlign w:val="center"/>
            <w:hideMark/>
          </w:tcPr>
          <w:p w14:paraId="31CED4D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75</w:t>
            </w:r>
          </w:p>
        </w:tc>
        <w:tc>
          <w:tcPr>
            <w:tcW w:w="545" w:type="dxa"/>
            <w:tcBorders>
              <w:top w:val="nil"/>
              <w:left w:val="nil"/>
              <w:bottom w:val="single" w:sz="8" w:space="0" w:color="DCDDDE"/>
              <w:right w:val="nil"/>
            </w:tcBorders>
            <w:shd w:val="clear" w:color="000000" w:fill="FFFFFF"/>
            <w:noWrap/>
            <w:vAlign w:val="center"/>
            <w:hideMark/>
          </w:tcPr>
          <w:p w14:paraId="66C7A50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76</w:t>
            </w:r>
          </w:p>
        </w:tc>
        <w:tc>
          <w:tcPr>
            <w:tcW w:w="545" w:type="dxa"/>
            <w:tcBorders>
              <w:top w:val="nil"/>
              <w:left w:val="nil"/>
              <w:bottom w:val="single" w:sz="8" w:space="0" w:color="DCDDDE"/>
              <w:right w:val="nil"/>
            </w:tcBorders>
            <w:shd w:val="clear" w:color="000000" w:fill="FFFFFF"/>
            <w:noWrap/>
            <w:vAlign w:val="center"/>
            <w:hideMark/>
          </w:tcPr>
          <w:p w14:paraId="1412D97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78</w:t>
            </w:r>
          </w:p>
        </w:tc>
        <w:tc>
          <w:tcPr>
            <w:tcW w:w="545" w:type="dxa"/>
            <w:tcBorders>
              <w:top w:val="nil"/>
              <w:left w:val="nil"/>
              <w:bottom w:val="single" w:sz="8" w:space="0" w:color="DCDDDE"/>
              <w:right w:val="nil"/>
            </w:tcBorders>
            <w:shd w:val="clear" w:color="000000" w:fill="FFFFFF"/>
            <w:noWrap/>
            <w:vAlign w:val="center"/>
            <w:hideMark/>
          </w:tcPr>
          <w:p w14:paraId="322E18A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78</w:t>
            </w:r>
          </w:p>
        </w:tc>
        <w:tc>
          <w:tcPr>
            <w:tcW w:w="545" w:type="dxa"/>
            <w:tcBorders>
              <w:top w:val="nil"/>
              <w:left w:val="nil"/>
              <w:bottom w:val="single" w:sz="8" w:space="0" w:color="DCDDDE"/>
              <w:right w:val="nil"/>
            </w:tcBorders>
            <w:shd w:val="clear" w:color="000000" w:fill="FFFFFF"/>
            <w:noWrap/>
            <w:vAlign w:val="center"/>
            <w:hideMark/>
          </w:tcPr>
          <w:p w14:paraId="2D7497C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77</w:t>
            </w:r>
          </w:p>
        </w:tc>
      </w:tr>
      <w:tr w:rsidR="00490035" w:rsidRPr="00490035" w14:paraId="4218F8C3"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1F36220A"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7AC4A42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64DB950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56F06A5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602C1B5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1721B7F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039C478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1D706E4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45</w:t>
            </w:r>
          </w:p>
        </w:tc>
        <w:tc>
          <w:tcPr>
            <w:tcW w:w="545" w:type="dxa"/>
            <w:tcBorders>
              <w:top w:val="nil"/>
              <w:left w:val="nil"/>
              <w:bottom w:val="single" w:sz="8" w:space="0" w:color="DCDDDE"/>
              <w:right w:val="nil"/>
            </w:tcBorders>
            <w:shd w:val="clear" w:color="000000" w:fill="FFFFFF"/>
            <w:noWrap/>
            <w:vAlign w:val="center"/>
            <w:hideMark/>
          </w:tcPr>
          <w:p w14:paraId="7D43F6D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50</w:t>
            </w:r>
          </w:p>
        </w:tc>
        <w:tc>
          <w:tcPr>
            <w:tcW w:w="545" w:type="dxa"/>
            <w:tcBorders>
              <w:top w:val="nil"/>
              <w:left w:val="nil"/>
              <w:bottom w:val="single" w:sz="8" w:space="0" w:color="DCDDDE"/>
              <w:right w:val="nil"/>
            </w:tcBorders>
            <w:shd w:val="clear" w:color="000000" w:fill="FFFFFF"/>
            <w:noWrap/>
            <w:vAlign w:val="center"/>
            <w:hideMark/>
          </w:tcPr>
          <w:p w14:paraId="33611D1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w:t>
            </w:r>
          </w:p>
        </w:tc>
        <w:tc>
          <w:tcPr>
            <w:tcW w:w="545" w:type="dxa"/>
            <w:tcBorders>
              <w:top w:val="nil"/>
              <w:left w:val="nil"/>
              <w:bottom w:val="single" w:sz="8" w:space="0" w:color="DCDDDE"/>
              <w:right w:val="nil"/>
            </w:tcBorders>
            <w:shd w:val="clear" w:color="000000" w:fill="FFFFFF"/>
            <w:noWrap/>
            <w:vAlign w:val="center"/>
            <w:hideMark/>
          </w:tcPr>
          <w:p w14:paraId="2FA537B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60</w:t>
            </w:r>
          </w:p>
        </w:tc>
        <w:tc>
          <w:tcPr>
            <w:tcW w:w="545" w:type="dxa"/>
            <w:tcBorders>
              <w:top w:val="nil"/>
              <w:left w:val="nil"/>
              <w:bottom w:val="single" w:sz="8" w:space="0" w:color="DCDDDE"/>
              <w:right w:val="nil"/>
            </w:tcBorders>
            <w:shd w:val="clear" w:color="000000" w:fill="FFFFFF"/>
            <w:noWrap/>
            <w:vAlign w:val="center"/>
            <w:hideMark/>
          </w:tcPr>
          <w:p w14:paraId="705680A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66</w:t>
            </w:r>
          </w:p>
        </w:tc>
        <w:tc>
          <w:tcPr>
            <w:tcW w:w="545" w:type="dxa"/>
            <w:tcBorders>
              <w:top w:val="nil"/>
              <w:left w:val="nil"/>
              <w:bottom w:val="single" w:sz="8" w:space="0" w:color="DCDDDE"/>
              <w:right w:val="nil"/>
            </w:tcBorders>
            <w:shd w:val="clear" w:color="000000" w:fill="FFFFFF"/>
            <w:noWrap/>
            <w:vAlign w:val="center"/>
            <w:hideMark/>
          </w:tcPr>
          <w:p w14:paraId="419364F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71</w:t>
            </w:r>
          </w:p>
        </w:tc>
        <w:tc>
          <w:tcPr>
            <w:tcW w:w="545" w:type="dxa"/>
            <w:tcBorders>
              <w:top w:val="nil"/>
              <w:left w:val="nil"/>
              <w:bottom w:val="single" w:sz="8" w:space="0" w:color="DCDDDE"/>
              <w:right w:val="nil"/>
            </w:tcBorders>
            <w:shd w:val="clear" w:color="000000" w:fill="FFFFFF"/>
            <w:noWrap/>
            <w:vAlign w:val="center"/>
            <w:hideMark/>
          </w:tcPr>
          <w:p w14:paraId="4E94EB7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77</w:t>
            </w:r>
          </w:p>
        </w:tc>
      </w:tr>
      <w:tr w:rsidR="00490035" w:rsidRPr="00490035" w14:paraId="48B8C2D9"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530C18D8"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122205A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3E40138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3B3970B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25A6EEE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10290C5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11CBEE7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57889BF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2ED4C7F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3408627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40B736B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4FBBEEF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77CC433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723A7C2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r>
      <w:tr w:rsidR="00490035" w:rsidRPr="00490035" w14:paraId="374E9A5A"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7317D5F9"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747894C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65</w:t>
            </w:r>
          </w:p>
        </w:tc>
        <w:tc>
          <w:tcPr>
            <w:tcW w:w="545" w:type="dxa"/>
            <w:tcBorders>
              <w:top w:val="nil"/>
              <w:left w:val="nil"/>
              <w:bottom w:val="single" w:sz="8" w:space="0" w:color="DCDDDE"/>
              <w:right w:val="nil"/>
            </w:tcBorders>
            <w:shd w:val="clear" w:color="000000" w:fill="FFFFFF"/>
            <w:noWrap/>
            <w:vAlign w:val="center"/>
            <w:hideMark/>
          </w:tcPr>
          <w:p w14:paraId="50F1C40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73</w:t>
            </w:r>
          </w:p>
        </w:tc>
        <w:tc>
          <w:tcPr>
            <w:tcW w:w="545" w:type="dxa"/>
            <w:tcBorders>
              <w:top w:val="nil"/>
              <w:left w:val="nil"/>
              <w:bottom w:val="single" w:sz="8" w:space="0" w:color="DCDDDE"/>
              <w:right w:val="nil"/>
            </w:tcBorders>
            <w:shd w:val="clear" w:color="000000" w:fill="FFFFFF"/>
            <w:noWrap/>
            <w:vAlign w:val="center"/>
            <w:hideMark/>
          </w:tcPr>
          <w:p w14:paraId="65F94F7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78</w:t>
            </w:r>
          </w:p>
        </w:tc>
        <w:tc>
          <w:tcPr>
            <w:tcW w:w="545" w:type="dxa"/>
            <w:tcBorders>
              <w:top w:val="nil"/>
              <w:left w:val="nil"/>
              <w:bottom w:val="single" w:sz="8" w:space="0" w:color="DCDDDE"/>
              <w:right w:val="nil"/>
            </w:tcBorders>
            <w:shd w:val="clear" w:color="000000" w:fill="FFFFFF"/>
            <w:noWrap/>
            <w:vAlign w:val="center"/>
            <w:hideMark/>
          </w:tcPr>
          <w:p w14:paraId="286AD17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91</w:t>
            </w:r>
          </w:p>
        </w:tc>
        <w:tc>
          <w:tcPr>
            <w:tcW w:w="545" w:type="dxa"/>
            <w:tcBorders>
              <w:top w:val="nil"/>
              <w:left w:val="nil"/>
              <w:bottom w:val="single" w:sz="8" w:space="0" w:color="DCDDDE"/>
              <w:right w:val="nil"/>
            </w:tcBorders>
            <w:shd w:val="clear" w:color="000000" w:fill="FFFFFF"/>
            <w:noWrap/>
            <w:vAlign w:val="center"/>
            <w:hideMark/>
          </w:tcPr>
          <w:p w14:paraId="24F37DE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99</w:t>
            </w:r>
          </w:p>
        </w:tc>
        <w:tc>
          <w:tcPr>
            <w:tcW w:w="545" w:type="dxa"/>
            <w:tcBorders>
              <w:top w:val="nil"/>
              <w:left w:val="nil"/>
              <w:bottom w:val="single" w:sz="8" w:space="0" w:color="DCDDDE"/>
              <w:right w:val="nil"/>
            </w:tcBorders>
            <w:shd w:val="clear" w:color="000000" w:fill="FFFFFF"/>
            <w:noWrap/>
            <w:vAlign w:val="center"/>
            <w:hideMark/>
          </w:tcPr>
          <w:p w14:paraId="2C31EA6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108</w:t>
            </w:r>
          </w:p>
        </w:tc>
        <w:tc>
          <w:tcPr>
            <w:tcW w:w="545" w:type="dxa"/>
            <w:tcBorders>
              <w:top w:val="nil"/>
              <w:left w:val="nil"/>
              <w:bottom w:val="single" w:sz="8" w:space="0" w:color="DCDDDE"/>
              <w:right w:val="nil"/>
            </w:tcBorders>
            <w:shd w:val="clear" w:color="000000" w:fill="FFFFFF"/>
            <w:noWrap/>
            <w:vAlign w:val="center"/>
            <w:hideMark/>
          </w:tcPr>
          <w:p w14:paraId="11FB137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118</w:t>
            </w:r>
          </w:p>
        </w:tc>
        <w:tc>
          <w:tcPr>
            <w:tcW w:w="545" w:type="dxa"/>
            <w:tcBorders>
              <w:top w:val="nil"/>
              <w:left w:val="nil"/>
              <w:bottom w:val="single" w:sz="8" w:space="0" w:color="DCDDDE"/>
              <w:right w:val="nil"/>
            </w:tcBorders>
            <w:shd w:val="clear" w:color="000000" w:fill="FFFFFF"/>
            <w:noWrap/>
            <w:vAlign w:val="center"/>
            <w:hideMark/>
          </w:tcPr>
          <w:p w14:paraId="68269B1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129</w:t>
            </w:r>
          </w:p>
        </w:tc>
        <w:tc>
          <w:tcPr>
            <w:tcW w:w="545" w:type="dxa"/>
            <w:tcBorders>
              <w:top w:val="nil"/>
              <w:left w:val="nil"/>
              <w:bottom w:val="single" w:sz="8" w:space="0" w:color="DCDDDE"/>
              <w:right w:val="nil"/>
            </w:tcBorders>
            <w:shd w:val="clear" w:color="000000" w:fill="FFFFFF"/>
            <w:noWrap/>
            <w:vAlign w:val="center"/>
            <w:hideMark/>
          </w:tcPr>
          <w:p w14:paraId="2C18998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137</w:t>
            </w:r>
          </w:p>
        </w:tc>
        <w:tc>
          <w:tcPr>
            <w:tcW w:w="545" w:type="dxa"/>
            <w:tcBorders>
              <w:top w:val="nil"/>
              <w:left w:val="nil"/>
              <w:bottom w:val="single" w:sz="8" w:space="0" w:color="DCDDDE"/>
              <w:right w:val="nil"/>
            </w:tcBorders>
            <w:shd w:val="clear" w:color="000000" w:fill="FFFFFF"/>
            <w:noWrap/>
            <w:vAlign w:val="center"/>
            <w:hideMark/>
          </w:tcPr>
          <w:p w14:paraId="46C761A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143</w:t>
            </w:r>
          </w:p>
        </w:tc>
        <w:tc>
          <w:tcPr>
            <w:tcW w:w="545" w:type="dxa"/>
            <w:tcBorders>
              <w:top w:val="nil"/>
              <w:left w:val="nil"/>
              <w:bottom w:val="single" w:sz="8" w:space="0" w:color="DCDDDE"/>
              <w:right w:val="nil"/>
            </w:tcBorders>
            <w:shd w:val="clear" w:color="000000" w:fill="FFFFFF"/>
            <w:noWrap/>
            <w:vAlign w:val="center"/>
            <w:hideMark/>
          </w:tcPr>
          <w:p w14:paraId="69FB378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151</w:t>
            </w:r>
          </w:p>
        </w:tc>
        <w:tc>
          <w:tcPr>
            <w:tcW w:w="545" w:type="dxa"/>
            <w:tcBorders>
              <w:top w:val="nil"/>
              <w:left w:val="nil"/>
              <w:bottom w:val="single" w:sz="8" w:space="0" w:color="DCDDDE"/>
              <w:right w:val="nil"/>
            </w:tcBorders>
            <w:shd w:val="clear" w:color="000000" w:fill="FFFFFF"/>
            <w:noWrap/>
            <w:vAlign w:val="center"/>
            <w:hideMark/>
          </w:tcPr>
          <w:p w14:paraId="658E6F1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156</w:t>
            </w:r>
          </w:p>
        </w:tc>
        <w:tc>
          <w:tcPr>
            <w:tcW w:w="545" w:type="dxa"/>
            <w:tcBorders>
              <w:top w:val="nil"/>
              <w:left w:val="nil"/>
              <w:bottom w:val="single" w:sz="8" w:space="0" w:color="DCDDDE"/>
              <w:right w:val="nil"/>
            </w:tcBorders>
            <w:shd w:val="clear" w:color="000000" w:fill="FFFFFF"/>
            <w:noWrap/>
            <w:vAlign w:val="center"/>
            <w:hideMark/>
          </w:tcPr>
          <w:p w14:paraId="24499E6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162</w:t>
            </w:r>
          </w:p>
        </w:tc>
      </w:tr>
      <w:tr w:rsidR="00490035" w:rsidRPr="00490035" w14:paraId="013EF7FC"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5D844CBB"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37807A3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125</w:t>
            </w:r>
          </w:p>
        </w:tc>
        <w:tc>
          <w:tcPr>
            <w:tcW w:w="545" w:type="dxa"/>
            <w:tcBorders>
              <w:top w:val="nil"/>
              <w:left w:val="nil"/>
              <w:bottom w:val="single" w:sz="8" w:space="0" w:color="DCDDDE"/>
              <w:right w:val="nil"/>
            </w:tcBorders>
            <w:shd w:val="clear" w:color="000000" w:fill="FFFFFF"/>
            <w:noWrap/>
            <w:vAlign w:val="center"/>
            <w:hideMark/>
          </w:tcPr>
          <w:p w14:paraId="56DCCF5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130</w:t>
            </w:r>
          </w:p>
        </w:tc>
        <w:tc>
          <w:tcPr>
            <w:tcW w:w="545" w:type="dxa"/>
            <w:tcBorders>
              <w:top w:val="nil"/>
              <w:left w:val="nil"/>
              <w:bottom w:val="single" w:sz="8" w:space="0" w:color="DCDDDE"/>
              <w:right w:val="nil"/>
            </w:tcBorders>
            <w:shd w:val="clear" w:color="000000" w:fill="FFFFFF"/>
            <w:noWrap/>
            <w:vAlign w:val="center"/>
            <w:hideMark/>
          </w:tcPr>
          <w:p w14:paraId="700A39A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131</w:t>
            </w:r>
          </w:p>
        </w:tc>
        <w:tc>
          <w:tcPr>
            <w:tcW w:w="545" w:type="dxa"/>
            <w:tcBorders>
              <w:top w:val="nil"/>
              <w:left w:val="nil"/>
              <w:bottom w:val="single" w:sz="8" w:space="0" w:color="DCDDDE"/>
              <w:right w:val="nil"/>
            </w:tcBorders>
            <w:shd w:val="clear" w:color="000000" w:fill="FFFFFF"/>
            <w:noWrap/>
            <w:vAlign w:val="center"/>
            <w:hideMark/>
          </w:tcPr>
          <w:p w14:paraId="5351C23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135</w:t>
            </w:r>
          </w:p>
        </w:tc>
        <w:tc>
          <w:tcPr>
            <w:tcW w:w="545" w:type="dxa"/>
            <w:tcBorders>
              <w:top w:val="nil"/>
              <w:left w:val="nil"/>
              <w:bottom w:val="single" w:sz="8" w:space="0" w:color="DCDDDE"/>
              <w:right w:val="nil"/>
            </w:tcBorders>
            <w:shd w:val="clear" w:color="000000" w:fill="FFFFFF"/>
            <w:noWrap/>
            <w:vAlign w:val="center"/>
            <w:hideMark/>
          </w:tcPr>
          <w:p w14:paraId="02945AA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131</w:t>
            </w:r>
          </w:p>
        </w:tc>
        <w:tc>
          <w:tcPr>
            <w:tcW w:w="545" w:type="dxa"/>
            <w:tcBorders>
              <w:top w:val="nil"/>
              <w:left w:val="nil"/>
              <w:bottom w:val="single" w:sz="8" w:space="0" w:color="DCDDDE"/>
              <w:right w:val="nil"/>
            </w:tcBorders>
            <w:shd w:val="clear" w:color="000000" w:fill="FFFFFF"/>
            <w:noWrap/>
            <w:vAlign w:val="center"/>
            <w:hideMark/>
          </w:tcPr>
          <w:p w14:paraId="1067562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145</w:t>
            </w:r>
          </w:p>
        </w:tc>
        <w:tc>
          <w:tcPr>
            <w:tcW w:w="545" w:type="dxa"/>
            <w:tcBorders>
              <w:top w:val="nil"/>
              <w:left w:val="nil"/>
              <w:bottom w:val="single" w:sz="8" w:space="0" w:color="DCDDDE"/>
              <w:right w:val="nil"/>
            </w:tcBorders>
            <w:shd w:val="clear" w:color="000000" w:fill="FFFFFF"/>
            <w:noWrap/>
            <w:vAlign w:val="center"/>
            <w:hideMark/>
          </w:tcPr>
          <w:p w14:paraId="6760A53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139</w:t>
            </w:r>
          </w:p>
        </w:tc>
        <w:tc>
          <w:tcPr>
            <w:tcW w:w="545" w:type="dxa"/>
            <w:tcBorders>
              <w:top w:val="nil"/>
              <w:left w:val="nil"/>
              <w:bottom w:val="single" w:sz="8" w:space="0" w:color="DCDDDE"/>
              <w:right w:val="nil"/>
            </w:tcBorders>
            <w:shd w:val="clear" w:color="000000" w:fill="FFFFFF"/>
            <w:noWrap/>
            <w:vAlign w:val="center"/>
            <w:hideMark/>
          </w:tcPr>
          <w:p w14:paraId="01AFA67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134</w:t>
            </w:r>
          </w:p>
        </w:tc>
        <w:tc>
          <w:tcPr>
            <w:tcW w:w="545" w:type="dxa"/>
            <w:tcBorders>
              <w:top w:val="nil"/>
              <w:left w:val="nil"/>
              <w:bottom w:val="single" w:sz="8" w:space="0" w:color="DCDDDE"/>
              <w:right w:val="nil"/>
            </w:tcBorders>
            <w:shd w:val="clear" w:color="000000" w:fill="FFFFFF"/>
            <w:noWrap/>
            <w:vAlign w:val="center"/>
            <w:hideMark/>
          </w:tcPr>
          <w:p w14:paraId="4A9221D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126</w:t>
            </w:r>
          </w:p>
        </w:tc>
        <w:tc>
          <w:tcPr>
            <w:tcW w:w="545" w:type="dxa"/>
            <w:tcBorders>
              <w:top w:val="nil"/>
              <w:left w:val="nil"/>
              <w:bottom w:val="single" w:sz="8" w:space="0" w:color="DCDDDE"/>
              <w:right w:val="nil"/>
            </w:tcBorders>
            <w:shd w:val="clear" w:color="000000" w:fill="FFFFFF"/>
            <w:noWrap/>
            <w:vAlign w:val="center"/>
            <w:hideMark/>
          </w:tcPr>
          <w:p w14:paraId="6329CDB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121</w:t>
            </w:r>
          </w:p>
        </w:tc>
        <w:tc>
          <w:tcPr>
            <w:tcW w:w="545" w:type="dxa"/>
            <w:tcBorders>
              <w:top w:val="nil"/>
              <w:left w:val="nil"/>
              <w:bottom w:val="single" w:sz="8" w:space="0" w:color="DCDDDE"/>
              <w:right w:val="nil"/>
            </w:tcBorders>
            <w:shd w:val="clear" w:color="000000" w:fill="FFFFFF"/>
            <w:noWrap/>
            <w:vAlign w:val="center"/>
            <w:hideMark/>
          </w:tcPr>
          <w:p w14:paraId="55C5B95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110</w:t>
            </w:r>
          </w:p>
        </w:tc>
        <w:tc>
          <w:tcPr>
            <w:tcW w:w="545" w:type="dxa"/>
            <w:tcBorders>
              <w:top w:val="nil"/>
              <w:left w:val="nil"/>
              <w:bottom w:val="single" w:sz="8" w:space="0" w:color="DCDDDE"/>
              <w:right w:val="nil"/>
            </w:tcBorders>
            <w:shd w:val="clear" w:color="000000" w:fill="FFFFFF"/>
            <w:noWrap/>
            <w:vAlign w:val="center"/>
            <w:hideMark/>
          </w:tcPr>
          <w:p w14:paraId="1D6388C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100</w:t>
            </w:r>
          </w:p>
        </w:tc>
        <w:tc>
          <w:tcPr>
            <w:tcW w:w="545" w:type="dxa"/>
            <w:tcBorders>
              <w:top w:val="nil"/>
              <w:left w:val="nil"/>
              <w:bottom w:val="single" w:sz="8" w:space="0" w:color="DCDDDE"/>
              <w:right w:val="nil"/>
            </w:tcBorders>
            <w:shd w:val="clear" w:color="000000" w:fill="FFFFFF"/>
            <w:noWrap/>
            <w:vAlign w:val="center"/>
            <w:hideMark/>
          </w:tcPr>
          <w:p w14:paraId="0E84370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89</w:t>
            </w:r>
          </w:p>
        </w:tc>
      </w:tr>
      <w:tr w:rsidR="00490035" w:rsidRPr="00490035" w14:paraId="5A0E5E52"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67BC311F"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39B5636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190</w:t>
            </w:r>
          </w:p>
        </w:tc>
        <w:tc>
          <w:tcPr>
            <w:tcW w:w="545" w:type="dxa"/>
            <w:tcBorders>
              <w:top w:val="nil"/>
              <w:left w:val="nil"/>
              <w:bottom w:val="single" w:sz="8" w:space="0" w:color="DCDDDE"/>
              <w:right w:val="nil"/>
            </w:tcBorders>
            <w:shd w:val="clear" w:color="000000" w:fill="FFFFFF"/>
            <w:noWrap/>
            <w:vAlign w:val="center"/>
            <w:hideMark/>
          </w:tcPr>
          <w:p w14:paraId="7EB3565B"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203</w:t>
            </w:r>
          </w:p>
        </w:tc>
        <w:tc>
          <w:tcPr>
            <w:tcW w:w="545" w:type="dxa"/>
            <w:tcBorders>
              <w:top w:val="nil"/>
              <w:left w:val="nil"/>
              <w:bottom w:val="single" w:sz="8" w:space="0" w:color="DCDDDE"/>
              <w:right w:val="nil"/>
            </w:tcBorders>
            <w:shd w:val="clear" w:color="000000" w:fill="FFFFFF"/>
            <w:noWrap/>
            <w:vAlign w:val="center"/>
            <w:hideMark/>
          </w:tcPr>
          <w:p w14:paraId="4104EF7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209</w:t>
            </w:r>
          </w:p>
        </w:tc>
        <w:tc>
          <w:tcPr>
            <w:tcW w:w="545" w:type="dxa"/>
            <w:tcBorders>
              <w:top w:val="nil"/>
              <w:left w:val="nil"/>
              <w:bottom w:val="single" w:sz="8" w:space="0" w:color="DCDDDE"/>
              <w:right w:val="nil"/>
            </w:tcBorders>
            <w:shd w:val="clear" w:color="000000" w:fill="FFFFFF"/>
            <w:noWrap/>
            <w:vAlign w:val="center"/>
            <w:hideMark/>
          </w:tcPr>
          <w:p w14:paraId="7564C083"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226</w:t>
            </w:r>
          </w:p>
        </w:tc>
        <w:tc>
          <w:tcPr>
            <w:tcW w:w="545" w:type="dxa"/>
            <w:tcBorders>
              <w:top w:val="nil"/>
              <w:left w:val="nil"/>
              <w:bottom w:val="single" w:sz="8" w:space="0" w:color="DCDDDE"/>
              <w:right w:val="nil"/>
            </w:tcBorders>
            <w:shd w:val="clear" w:color="000000" w:fill="FFFFFF"/>
            <w:noWrap/>
            <w:vAlign w:val="center"/>
            <w:hideMark/>
          </w:tcPr>
          <w:p w14:paraId="353A589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230</w:t>
            </w:r>
          </w:p>
        </w:tc>
        <w:tc>
          <w:tcPr>
            <w:tcW w:w="545" w:type="dxa"/>
            <w:tcBorders>
              <w:top w:val="nil"/>
              <w:left w:val="nil"/>
              <w:bottom w:val="single" w:sz="8" w:space="0" w:color="DCDDDE"/>
              <w:right w:val="nil"/>
            </w:tcBorders>
            <w:shd w:val="clear" w:color="000000" w:fill="FFFFFF"/>
            <w:noWrap/>
            <w:vAlign w:val="center"/>
            <w:hideMark/>
          </w:tcPr>
          <w:p w14:paraId="1A64EA5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253</w:t>
            </w:r>
          </w:p>
        </w:tc>
        <w:tc>
          <w:tcPr>
            <w:tcW w:w="545" w:type="dxa"/>
            <w:tcBorders>
              <w:top w:val="nil"/>
              <w:left w:val="nil"/>
              <w:bottom w:val="single" w:sz="8" w:space="0" w:color="DCDDDE"/>
              <w:right w:val="nil"/>
            </w:tcBorders>
            <w:shd w:val="clear" w:color="000000" w:fill="FFFFFF"/>
            <w:noWrap/>
            <w:vAlign w:val="center"/>
            <w:hideMark/>
          </w:tcPr>
          <w:p w14:paraId="2C7E53B6"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257</w:t>
            </w:r>
          </w:p>
        </w:tc>
        <w:tc>
          <w:tcPr>
            <w:tcW w:w="545" w:type="dxa"/>
            <w:tcBorders>
              <w:top w:val="nil"/>
              <w:left w:val="nil"/>
              <w:bottom w:val="single" w:sz="8" w:space="0" w:color="DCDDDE"/>
              <w:right w:val="nil"/>
            </w:tcBorders>
            <w:shd w:val="clear" w:color="000000" w:fill="FFFFFF"/>
            <w:noWrap/>
            <w:vAlign w:val="center"/>
            <w:hideMark/>
          </w:tcPr>
          <w:p w14:paraId="055E33A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263</w:t>
            </w:r>
          </w:p>
        </w:tc>
        <w:tc>
          <w:tcPr>
            <w:tcW w:w="545" w:type="dxa"/>
            <w:tcBorders>
              <w:top w:val="nil"/>
              <w:left w:val="nil"/>
              <w:bottom w:val="single" w:sz="8" w:space="0" w:color="DCDDDE"/>
              <w:right w:val="nil"/>
            </w:tcBorders>
            <w:shd w:val="clear" w:color="000000" w:fill="FFFFFF"/>
            <w:noWrap/>
            <w:vAlign w:val="center"/>
            <w:hideMark/>
          </w:tcPr>
          <w:p w14:paraId="09EF580C"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263</w:t>
            </w:r>
          </w:p>
        </w:tc>
        <w:tc>
          <w:tcPr>
            <w:tcW w:w="545" w:type="dxa"/>
            <w:tcBorders>
              <w:top w:val="nil"/>
              <w:left w:val="nil"/>
              <w:bottom w:val="single" w:sz="8" w:space="0" w:color="DCDDDE"/>
              <w:right w:val="nil"/>
            </w:tcBorders>
            <w:shd w:val="clear" w:color="000000" w:fill="FFFFFF"/>
            <w:noWrap/>
            <w:vAlign w:val="center"/>
            <w:hideMark/>
          </w:tcPr>
          <w:p w14:paraId="3E116C7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264</w:t>
            </w:r>
          </w:p>
        </w:tc>
        <w:tc>
          <w:tcPr>
            <w:tcW w:w="545" w:type="dxa"/>
            <w:tcBorders>
              <w:top w:val="nil"/>
              <w:left w:val="nil"/>
              <w:bottom w:val="single" w:sz="8" w:space="0" w:color="DCDDDE"/>
              <w:right w:val="nil"/>
            </w:tcBorders>
            <w:shd w:val="clear" w:color="000000" w:fill="FFFFFF"/>
            <w:noWrap/>
            <w:vAlign w:val="center"/>
            <w:hideMark/>
          </w:tcPr>
          <w:p w14:paraId="3D7A321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261</w:t>
            </w:r>
          </w:p>
        </w:tc>
        <w:tc>
          <w:tcPr>
            <w:tcW w:w="545" w:type="dxa"/>
            <w:tcBorders>
              <w:top w:val="nil"/>
              <w:left w:val="nil"/>
              <w:bottom w:val="single" w:sz="8" w:space="0" w:color="DCDDDE"/>
              <w:right w:val="nil"/>
            </w:tcBorders>
            <w:shd w:val="clear" w:color="000000" w:fill="FFFFFF"/>
            <w:noWrap/>
            <w:vAlign w:val="center"/>
            <w:hideMark/>
          </w:tcPr>
          <w:p w14:paraId="13DFC285"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256</w:t>
            </w:r>
          </w:p>
        </w:tc>
        <w:tc>
          <w:tcPr>
            <w:tcW w:w="545" w:type="dxa"/>
            <w:tcBorders>
              <w:top w:val="nil"/>
              <w:left w:val="nil"/>
              <w:bottom w:val="single" w:sz="8" w:space="0" w:color="DCDDDE"/>
              <w:right w:val="nil"/>
            </w:tcBorders>
            <w:shd w:val="clear" w:color="000000" w:fill="FFFFFF"/>
            <w:noWrap/>
            <w:vAlign w:val="center"/>
            <w:hideMark/>
          </w:tcPr>
          <w:p w14:paraId="0A3623F7"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251</w:t>
            </w:r>
          </w:p>
        </w:tc>
      </w:tr>
      <w:tr w:rsidR="00490035" w:rsidRPr="00490035" w14:paraId="22C184AB" w14:textId="77777777" w:rsidTr="00490035">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74455457"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mTRC (GHG adder 1) | Reference</w:t>
            </w:r>
          </w:p>
        </w:tc>
      </w:tr>
      <w:tr w:rsidR="00490035" w:rsidRPr="00490035" w14:paraId="669874F9"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750B5FB9"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5064209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51</w:t>
            </w:r>
          </w:p>
        </w:tc>
        <w:tc>
          <w:tcPr>
            <w:tcW w:w="545" w:type="dxa"/>
            <w:tcBorders>
              <w:top w:val="nil"/>
              <w:left w:val="nil"/>
              <w:bottom w:val="single" w:sz="8" w:space="0" w:color="DCDDDE"/>
              <w:right w:val="nil"/>
            </w:tcBorders>
            <w:shd w:val="clear" w:color="000000" w:fill="FFFFFF"/>
            <w:noWrap/>
            <w:vAlign w:val="center"/>
            <w:hideMark/>
          </w:tcPr>
          <w:p w14:paraId="2C43E9C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w:t>
            </w:r>
          </w:p>
        </w:tc>
        <w:tc>
          <w:tcPr>
            <w:tcW w:w="545" w:type="dxa"/>
            <w:tcBorders>
              <w:top w:val="nil"/>
              <w:left w:val="nil"/>
              <w:bottom w:val="single" w:sz="8" w:space="0" w:color="DCDDDE"/>
              <w:right w:val="nil"/>
            </w:tcBorders>
            <w:shd w:val="clear" w:color="000000" w:fill="FFFFFF"/>
            <w:noWrap/>
            <w:vAlign w:val="center"/>
            <w:hideMark/>
          </w:tcPr>
          <w:p w14:paraId="446D0AE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56</w:t>
            </w:r>
          </w:p>
        </w:tc>
        <w:tc>
          <w:tcPr>
            <w:tcW w:w="545" w:type="dxa"/>
            <w:tcBorders>
              <w:top w:val="nil"/>
              <w:left w:val="nil"/>
              <w:bottom w:val="single" w:sz="8" w:space="0" w:color="DCDDDE"/>
              <w:right w:val="nil"/>
            </w:tcBorders>
            <w:shd w:val="clear" w:color="000000" w:fill="FFFFFF"/>
            <w:noWrap/>
            <w:vAlign w:val="center"/>
            <w:hideMark/>
          </w:tcPr>
          <w:p w14:paraId="2647366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67</w:t>
            </w:r>
          </w:p>
        </w:tc>
        <w:tc>
          <w:tcPr>
            <w:tcW w:w="545" w:type="dxa"/>
            <w:tcBorders>
              <w:top w:val="nil"/>
              <w:left w:val="nil"/>
              <w:bottom w:val="single" w:sz="8" w:space="0" w:color="DCDDDE"/>
              <w:right w:val="nil"/>
            </w:tcBorders>
            <w:shd w:val="clear" w:color="000000" w:fill="FFFFFF"/>
            <w:noWrap/>
            <w:vAlign w:val="center"/>
            <w:hideMark/>
          </w:tcPr>
          <w:p w14:paraId="14FFC18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71</w:t>
            </w:r>
          </w:p>
        </w:tc>
        <w:tc>
          <w:tcPr>
            <w:tcW w:w="545" w:type="dxa"/>
            <w:tcBorders>
              <w:top w:val="nil"/>
              <w:left w:val="nil"/>
              <w:bottom w:val="single" w:sz="8" w:space="0" w:color="DCDDDE"/>
              <w:right w:val="nil"/>
            </w:tcBorders>
            <w:shd w:val="clear" w:color="000000" w:fill="FFFFFF"/>
            <w:noWrap/>
            <w:vAlign w:val="center"/>
            <w:hideMark/>
          </w:tcPr>
          <w:p w14:paraId="32B007E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75</w:t>
            </w:r>
          </w:p>
        </w:tc>
        <w:tc>
          <w:tcPr>
            <w:tcW w:w="545" w:type="dxa"/>
            <w:tcBorders>
              <w:top w:val="nil"/>
              <w:left w:val="nil"/>
              <w:bottom w:val="single" w:sz="8" w:space="0" w:color="DCDDDE"/>
              <w:right w:val="nil"/>
            </w:tcBorders>
            <w:shd w:val="clear" w:color="000000" w:fill="FFFFFF"/>
            <w:noWrap/>
            <w:vAlign w:val="center"/>
            <w:hideMark/>
          </w:tcPr>
          <w:p w14:paraId="262CC53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80</w:t>
            </w:r>
          </w:p>
        </w:tc>
        <w:tc>
          <w:tcPr>
            <w:tcW w:w="545" w:type="dxa"/>
            <w:tcBorders>
              <w:top w:val="nil"/>
              <w:left w:val="nil"/>
              <w:bottom w:val="single" w:sz="8" w:space="0" w:color="DCDDDE"/>
              <w:right w:val="nil"/>
            </w:tcBorders>
            <w:shd w:val="clear" w:color="000000" w:fill="FFFFFF"/>
            <w:noWrap/>
            <w:vAlign w:val="center"/>
            <w:hideMark/>
          </w:tcPr>
          <w:p w14:paraId="1E95EE8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86</w:t>
            </w:r>
          </w:p>
        </w:tc>
        <w:tc>
          <w:tcPr>
            <w:tcW w:w="545" w:type="dxa"/>
            <w:tcBorders>
              <w:top w:val="nil"/>
              <w:left w:val="nil"/>
              <w:bottom w:val="single" w:sz="8" w:space="0" w:color="DCDDDE"/>
              <w:right w:val="nil"/>
            </w:tcBorders>
            <w:shd w:val="clear" w:color="000000" w:fill="FFFFFF"/>
            <w:noWrap/>
            <w:vAlign w:val="center"/>
            <w:hideMark/>
          </w:tcPr>
          <w:p w14:paraId="78ED537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89</w:t>
            </w:r>
          </w:p>
        </w:tc>
        <w:tc>
          <w:tcPr>
            <w:tcW w:w="545" w:type="dxa"/>
            <w:tcBorders>
              <w:top w:val="nil"/>
              <w:left w:val="nil"/>
              <w:bottom w:val="single" w:sz="8" w:space="0" w:color="DCDDDE"/>
              <w:right w:val="nil"/>
            </w:tcBorders>
            <w:shd w:val="clear" w:color="000000" w:fill="FFFFFF"/>
            <w:noWrap/>
            <w:vAlign w:val="center"/>
            <w:hideMark/>
          </w:tcPr>
          <w:p w14:paraId="43A7D79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92</w:t>
            </w:r>
          </w:p>
        </w:tc>
        <w:tc>
          <w:tcPr>
            <w:tcW w:w="545" w:type="dxa"/>
            <w:tcBorders>
              <w:top w:val="nil"/>
              <w:left w:val="nil"/>
              <w:bottom w:val="single" w:sz="8" w:space="0" w:color="DCDDDE"/>
              <w:right w:val="nil"/>
            </w:tcBorders>
            <w:shd w:val="clear" w:color="000000" w:fill="FFFFFF"/>
            <w:noWrap/>
            <w:vAlign w:val="center"/>
            <w:hideMark/>
          </w:tcPr>
          <w:p w14:paraId="1905BFB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94</w:t>
            </w:r>
          </w:p>
        </w:tc>
        <w:tc>
          <w:tcPr>
            <w:tcW w:w="545" w:type="dxa"/>
            <w:tcBorders>
              <w:top w:val="nil"/>
              <w:left w:val="nil"/>
              <w:bottom w:val="single" w:sz="8" w:space="0" w:color="DCDDDE"/>
              <w:right w:val="nil"/>
            </w:tcBorders>
            <w:shd w:val="clear" w:color="000000" w:fill="FFFFFF"/>
            <w:noWrap/>
            <w:vAlign w:val="center"/>
            <w:hideMark/>
          </w:tcPr>
          <w:p w14:paraId="0C9810B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94</w:t>
            </w:r>
          </w:p>
        </w:tc>
        <w:tc>
          <w:tcPr>
            <w:tcW w:w="545" w:type="dxa"/>
            <w:tcBorders>
              <w:top w:val="nil"/>
              <w:left w:val="nil"/>
              <w:bottom w:val="single" w:sz="8" w:space="0" w:color="DCDDDE"/>
              <w:right w:val="nil"/>
            </w:tcBorders>
            <w:shd w:val="clear" w:color="000000" w:fill="FFFFFF"/>
            <w:noWrap/>
            <w:vAlign w:val="center"/>
            <w:hideMark/>
          </w:tcPr>
          <w:p w14:paraId="40C527E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93</w:t>
            </w:r>
          </w:p>
        </w:tc>
      </w:tr>
      <w:tr w:rsidR="00490035" w:rsidRPr="00490035" w14:paraId="0A1623CC"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01CC6D2C"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1A84D60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75128D8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63CB4DA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096DE32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57AFCB1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0E10457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2144F07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45</w:t>
            </w:r>
          </w:p>
        </w:tc>
        <w:tc>
          <w:tcPr>
            <w:tcW w:w="545" w:type="dxa"/>
            <w:tcBorders>
              <w:top w:val="nil"/>
              <w:left w:val="nil"/>
              <w:bottom w:val="single" w:sz="8" w:space="0" w:color="DCDDDE"/>
              <w:right w:val="nil"/>
            </w:tcBorders>
            <w:shd w:val="clear" w:color="000000" w:fill="FFFFFF"/>
            <w:noWrap/>
            <w:vAlign w:val="center"/>
            <w:hideMark/>
          </w:tcPr>
          <w:p w14:paraId="6CC90A9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50</w:t>
            </w:r>
          </w:p>
        </w:tc>
        <w:tc>
          <w:tcPr>
            <w:tcW w:w="545" w:type="dxa"/>
            <w:tcBorders>
              <w:top w:val="nil"/>
              <w:left w:val="nil"/>
              <w:bottom w:val="single" w:sz="8" w:space="0" w:color="DCDDDE"/>
              <w:right w:val="nil"/>
            </w:tcBorders>
            <w:shd w:val="clear" w:color="000000" w:fill="FFFFFF"/>
            <w:noWrap/>
            <w:vAlign w:val="center"/>
            <w:hideMark/>
          </w:tcPr>
          <w:p w14:paraId="77A775F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w:t>
            </w:r>
          </w:p>
        </w:tc>
        <w:tc>
          <w:tcPr>
            <w:tcW w:w="545" w:type="dxa"/>
            <w:tcBorders>
              <w:top w:val="nil"/>
              <w:left w:val="nil"/>
              <w:bottom w:val="single" w:sz="8" w:space="0" w:color="DCDDDE"/>
              <w:right w:val="nil"/>
            </w:tcBorders>
            <w:shd w:val="clear" w:color="000000" w:fill="FFFFFF"/>
            <w:noWrap/>
            <w:vAlign w:val="center"/>
            <w:hideMark/>
          </w:tcPr>
          <w:p w14:paraId="6E65EA3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60</w:t>
            </w:r>
          </w:p>
        </w:tc>
        <w:tc>
          <w:tcPr>
            <w:tcW w:w="545" w:type="dxa"/>
            <w:tcBorders>
              <w:top w:val="nil"/>
              <w:left w:val="nil"/>
              <w:bottom w:val="single" w:sz="8" w:space="0" w:color="DCDDDE"/>
              <w:right w:val="nil"/>
            </w:tcBorders>
            <w:shd w:val="clear" w:color="000000" w:fill="FFFFFF"/>
            <w:noWrap/>
            <w:vAlign w:val="center"/>
            <w:hideMark/>
          </w:tcPr>
          <w:p w14:paraId="56D7E7B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66</w:t>
            </w:r>
          </w:p>
        </w:tc>
        <w:tc>
          <w:tcPr>
            <w:tcW w:w="545" w:type="dxa"/>
            <w:tcBorders>
              <w:top w:val="nil"/>
              <w:left w:val="nil"/>
              <w:bottom w:val="single" w:sz="8" w:space="0" w:color="DCDDDE"/>
              <w:right w:val="nil"/>
            </w:tcBorders>
            <w:shd w:val="clear" w:color="000000" w:fill="FFFFFF"/>
            <w:noWrap/>
            <w:vAlign w:val="center"/>
            <w:hideMark/>
          </w:tcPr>
          <w:p w14:paraId="33E17BA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71</w:t>
            </w:r>
          </w:p>
        </w:tc>
        <w:tc>
          <w:tcPr>
            <w:tcW w:w="545" w:type="dxa"/>
            <w:tcBorders>
              <w:top w:val="nil"/>
              <w:left w:val="nil"/>
              <w:bottom w:val="single" w:sz="8" w:space="0" w:color="DCDDDE"/>
              <w:right w:val="nil"/>
            </w:tcBorders>
            <w:shd w:val="clear" w:color="000000" w:fill="FFFFFF"/>
            <w:noWrap/>
            <w:vAlign w:val="center"/>
            <w:hideMark/>
          </w:tcPr>
          <w:p w14:paraId="6C51682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77</w:t>
            </w:r>
          </w:p>
        </w:tc>
      </w:tr>
      <w:tr w:rsidR="00490035" w:rsidRPr="00490035" w14:paraId="04B0EB22"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0E680B6D"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488AFE8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1754830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203262A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4800723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542AB35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052F317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7E89EE7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0C8EEAB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61CFE01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7ED5FD7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7268E5B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3D42701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38D2A92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r>
      <w:tr w:rsidR="00490035" w:rsidRPr="00490035" w14:paraId="7633EFFF"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12392B48"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363E17E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75</w:t>
            </w:r>
          </w:p>
        </w:tc>
        <w:tc>
          <w:tcPr>
            <w:tcW w:w="545" w:type="dxa"/>
            <w:tcBorders>
              <w:top w:val="nil"/>
              <w:left w:val="nil"/>
              <w:bottom w:val="single" w:sz="8" w:space="0" w:color="DCDDDE"/>
              <w:right w:val="nil"/>
            </w:tcBorders>
            <w:shd w:val="clear" w:color="000000" w:fill="FFFFFF"/>
            <w:noWrap/>
            <w:vAlign w:val="center"/>
            <w:hideMark/>
          </w:tcPr>
          <w:p w14:paraId="07282CA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84</w:t>
            </w:r>
          </w:p>
        </w:tc>
        <w:tc>
          <w:tcPr>
            <w:tcW w:w="545" w:type="dxa"/>
            <w:tcBorders>
              <w:top w:val="nil"/>
              <w:left w:val="nil"/>
              <w:bottom w:val="single" w:sz="8" w:space="0" w:color="DCDDDE"/>
              <w:right w:val="nil"/>
            </w:tcBorders>
            <w:shd w:val="clear" w:color="000000" w:fill="FFFFFF"/>
            <w:noWrap/>
            <w:vAlign w:val="center"/>
            <w:hideMark/>
          </w:tcPr>
          <w:p w14:paraId="2B4692F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88</w:t>
            </w:r>
          </w:p>
        </w:tc>
        <w:tc>
          <w:tcPr>
            <w:tcW w:w="545" w:type="dxa"/>
            <w:tcBorders>
              <w:top w:val="nil"/>
              <w:left w:val="nil"/>
              <w:bottom w:val="single" w:sz="8" w:space="0" w:color="DCDDDE"/>
              <w:right w:val="nil"/>
            </w:tcBorders>
            <w:shd w:val="clear" w:color="000000" w:fill="FFFFFF"/>
            <w:noWrap/>
            <w:vAlign w:val="center"/>
            <w:hideMark/>
          </w:tcPr>
          <w:p w14:paraId="4D809DF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107</w:t>
            </w:r>
          </w:p>
        </w:tc>
        <w:tc>
          <w:tcPr>
            <w:tcW w:w="545" w:type="dxa"/>
            <w:tcBorders>
              <w:top w:val="nil"/>
              <w:left w:val="nil"/>
              <w:bottom w:val="single" w:sz="8" w:space="0" w:color="DCDDDE"/>
              <w:right w:val="nil"/>
            </w:tcBorders>
            <w:shd w:val="clear" w:color="000000" w:fill="FFFFFF"/>
            <w:noWrap/>
            <w:vAlign w:val="center"/>
            <w:hideMark/>
          </w:tcPr>
          <w:p w14:paraId="5A39DCB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115</w:t>
            </w:r>
          </w:p>
        </w:tc>
        <w:tc>
          <w:tcPr>
            <w:tcW w:w="545" w:type="dxa"/>
            <w:tcBorders>
              <w:top w:val="nil"/>
              <w:left w:val="nil"/>
              <w:bottom w:val="single" w:sz="8" w:space="0" w:color="DCDDDE"/>
              <w:right w:val="nil"/>
            </w:tcBorders>
            <w:shd w:val="clear" w:color="000000" w:fill="FFFFFF"/>
            <w:noWrap/>
            <w:vAlign w:val="center"/>
            <w:hideMark/>
          </w:tcPr>
          <w:p w14:paraId="78D4F7D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123</w:t>
            </w:r>
          </w:p>
        </w:tc>
        <w:tc>
          <w:tcPr>
            <w:tcW w:w="545" w:type="dxa"/>
            <w:tcBorders>
              <w:top w:val="nil"/>
              <w:left w:val="nil"/>
              <w:bottom w:val="single" w:sz="8" w:space="0" w:color="DCDDDE"/>
              <w:right w:val="nil"/>
            </w:tcBorders>
            <w:shd w:val="clear" w:color="000000" w:fill="FFFFFF"/>
            <w:noWrap/>
            <w:vAlign w:val="center"/>
            <w:hideMark/>
          </w:tcPr>
          <w:p w14:paraId="1D362A5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133</w:t>
            </w:r>
          </w:p>
        </w:tc>
        <w:tc>
          <w:tcPr>
            <w:tcW w:w="545" w:type="dxa"/>
            <w:tcBorders>
              <w:top w:val="nil"/>
              <w:left w:val="nil"/>
              <w:bottom w:val="single" w:sz="8" w:space="0" w:color="DCDDDE"/>
              <w:right w:val="nil"/>
            </w:tcBorders>
            <w:shd w:val="clear" w:color="000000" w:fill="FFFFFF"/>
            <w:noWrap/>
            <w:vAlign w:val="center"/>
            <w:hideMark/>
          </w:tcPr>
          <w:p w14:paraId="4202F6B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144</w:t>
            </w:r>
          </w:p>
        </w:tc>
        <w:tc>
          <w:tcPr>
            <w:tcW w:w="545" w:type="dxa"/>
            <w:tcBorders>
              <w:top w:val="nil"/>
              <w:left w:val="nil"/>
              <w:bottom w:val="single" w:sz="8" w:space="0" w:color="DCDDDE"/>
              <w:right w:val="nil"/>
            </w:tcBorders>
            <w:shd w:val="clear" w:color="000000" w:fill="FFFFFF"/>
            <w:noWrap/>
            <w:vAlign w:val="center"/>
            <w:hideMark/>
          </w:tcPr>
          <w:p w14:paraId="06BEA8C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152</w:t>
            </w:r>
          </w:p>
        </w:tc>
        <w:tc>
          <w:tcPr>
            <w:tcW w:w="545" w:type="dxa"/>
            <w:tcBorders>
              <w:top w:val="nil"/>
              <w:left w:val="nil"/>
              <w:bottom w:val="single" w:sz="8" w:space="0" w:color="DCDDDE"/>
              <w:right w:val="nil"/>
            </w:tcBorders>
            <w:shd w:val="clear" w:color="000000" w:fill="FFFFFF"/>
            <w:noWrap/>
            <w:vAlign w:val="center"/>
            <w:hideMark/>
          </w:tcPr>
          <w:p w14:paraId="5B5E019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159</w:t>
            </w:r>
          </w:p>
        </w:tc>
        <w:tc>
          <w:tcPr>
            <w:tcW w:w="545" w:type="dxa"/>
            <w:tcBorders>
              <w:top w:val="nil"/>
              <w:left w:val="nil"/>
              <w:bottom w:val="single" w:sz="8" w:space="0" w:color="DCDDDE"/>
              <w:right w:val="nil"/>
            </w:tcBorders>
            <w:shd w:val="clear" w:color="000000" w:fill="FFFFFF"/>
            <w:noWrap/>
            <w:vAlign w:val="center"/>
            <w:hideMark/>
          </w:tcPr>
          <w:p w14:paraId="4070884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166</w:t>
            </w:r>
          </w:p>
        </w:tc>
        <w:tc>
          <w:tcPr>
            <w:tcW w:w="545" w:type="dxa"/>
            <w:tcBorders>
              <w:top w:val="nil"/>
              <w:left w:val="nil"/>
              <w:bottom w:val="single" w:sz="8" w:space="0" w:color="DCDDDE"/>
              <w:right w:val="nil"/>
            </w:tcBorders>
            <w:shd w:val="clear" w:color="000000" w:fill="FFFFFF"/>
            <w:noWrap/>
            <w:vAlign w:val="center"/>
            <w:hideMark/>
          </w:tcPr>
          <w:p w14:paraId="3829C88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172</w:t>
            </w:r>
          </w:p>
        </w:tc>
        <w:tc>
          <w:tcPr>
            <w:tcW w:w="545" w:type="dxa"/>
            <w:tcBorders>
              <w:top w:val="nil"/>
              <w:left w:val="nil"/>
              <w:bottom w:val="single" w:sz="8" w:space="0" w:color="DCDDDE"/>
              <w:right w:val="nil"/>
            </w:tcBorders>
            <w:shd w:val="clear" w:color="000000" w:fill="FFFFFF"/>
            <w:noWrap/>
            <w:vAlign w:val="center"/>
            <w:hideMark/>
          </w:tcPr>
          <w:p w14:paraId="35FE41E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177</w:t>
            </w:r>
          </w:p>
        </w:tc>
      </w:tr>
      <w:tr w:rsidR="00490035" w:rsidRPr="00490035" w14:paraId="6EA91463"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418AEDBE"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09CF5F4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125</w:t>
            </w:r>
          </w:p>
        </w:tc>
        <w:tc>
          <w:tcPr>
            <w:tcW w:w="545" w:type="dxa"/>
            <w:tcBorders>
              <w:top w:val="nil"/>
              <w:left w:val="nil"/>
              <w:bottom w:val="single" w:sz="8" w:space="0" w:color="DCDDDE"/>
              <w:right w:val="nil"/>
            </w:tcBorders>
            <w:shd w:val="clear" w:color="000000" w:fill="FFFFFF"/>
            <w:noWrap/>
            <w:vAlign w:val="center"/>
            <w:hideMark/>
          </w:tcPr>
          <w:p w14:paraId="7386E4A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130</w:t>
            </w:r>
          </w:p>
        </w:tc>
        <w:tc>
          <w:tcPr>
            <w:tcW w:w="545" w:type="dxa"/>
            <w:tcBorders>
              <w:top w:val="nil"/>
              <w:left w:val="nil"/>
              <w:bottom w:val="single" w:sz="8" w:space="0" w:color="DCDDDE"/>
              <w:right w:val="nil"/>
            </w:tcBorders>
            <w:shd w:val="clear" w:color="000000" w:fill="FFFFFF"/>
            <w:noWrap/>
            <w:vAlign w:val="center"/>
            <w:hideMark/>
          </w:tcPr>
          <w:p w14:paraId="18FFE8C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131</w:t>
            </w:r>
          </w:p>
        </w:tc>
        <w:tc>
          <w:tcPr>
            <w:tcW w:w="545" w:type="dxa"/>
            <w:tcBorders>
              <w:top w:val="nil"/>
              <w:left w:val="nil"/>
              <w:bottom w:val="single" w:sz="8" w:space="0" w:color="DCDDDE"/>
              <w:right w:val="nil"/>
            </w:tcBorders>
            <w:shd w:val="clear" w:color="000000" w:fill="FFFFFF"/>
            <w:noWrap/>
            <w:vAlign w:val="center"/>
            <w:hideMark/>
          </w:tcPr>
          <w:p w14:paraId="2C915CE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135</w:t>
            </w:r>
          </w:p>
        </w:tc>
        <w:tc>
          <w:tcPr>
            <w:tcW w:w="545" w:type="dxa"/>
            <w:tcBorders>
              <w:top w:val="nil"/>
              <w:left w:val="nil"/>
              <w:bottom w:val="single" w:sz="8" w:space="0" w:color="DCDDDE"/>
              <w:right w:val="nil"/>
            </w:tcBorders>
            <w:shd w:val="clear" w:color="000000" w:fill="FFFFFF"/>
            <w:noWrap/>
            <w:vAlign w:val="center"/>
            <w:hideMark/>
          </w:tcPr>
          <w:p w14:paraId="5FA6D30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131</w:t>
            </w:r>
          </w:p>
        </w:tc>
        <w:tc>
          <w:tcPr>
            <w:tcW w:w="545" w:type="dxa"/>
            <w:tcBorders>
              <w:top w:val="nil"/>
              <w:left w:val="nil"/>
              <w:bottom w:val="single" w:sz="8" w:space="0" w:color="DCDDDE"/>
              <w:right w:val="nil"/>
            </w:tcBorders>
            <w:shd w:val="clear" w:color="000000" w:fill="FFFFFF"/>
            <w:noWrap/>
            <w:vAlign w:val="center"/>
            <w:hideMark/>
          </w:tcPr>
          <w:p w14:paraId="1DF99E3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145</w:t>
            </w:r>
          </w:p>
        </w:tc>
        <w:tc>
          <w:tcPr>
            <w:tcW w:w="545" w:type="dxa"/>
            <w:tcBorders>
              <w:top w:val="nil"/>
              <w:left w:val="nil"/>
              <w:bottom w:val="single" w:sz="8" w:space="0" w:color="DCDDDE"/>
              <w:right w:val="nil"/>
            </w:tcBorders>
            <w:shd w:val="clear" w:color="000000" w:fill="FFFFFF"/>
            <w:noWrap/>
            <w:vAlign w:val="center"/>
            <w:hideMark/>
          </w:tcPr>
          <w:p w14:paraId="0C37571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139</w:t>
            </w:r>
          </w:p>
        </w:tc>
        <w:tc>
          <w:tcPr>
            <w:tcW w:w="545" w:type="dxa"/>
            <w:tcBorders>
              <w:top w:val="nil"/>
              <w:left w:val="nil"/>
              <w:bottom w:val="single" w:sz="8" w:space="0" w:color="DCDDDE"/>
              <w:right w:val="nil"/>
            </w:tcBorders>
            <w:shd w:val="clear" w:color="000000" w:fill="FFFFFF"/>
            <w:noWrap/>
            <w:vAlign w:val="center"/>
            <w:hideMark/>
          </w:tcPr>
          <w:p w14:paraId="421495D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134</w:t>
            </w:r>
          </w:p>
        </w:tc>
        <w:tc>
          <w:tcPr>
            <w:tcW w:w="545" w:type="dxa"/>
            <w:tcBorders>
              <w:top w:val="nil"/>
              <w:left w:val="nil"/>
              <w:bottom w:val="single" w:sz="8" w:space="0" w:color="DCDDDE"/>
              <w:right w:val="nil"/>
            </w:tcBorders>
            <w:shd w:val="clear" w:color="000000" w:fill="FFFFFF"/>
            <w:noWrap/>
            <w:vAlign w:val="center"/>
            <w:hideMark/>
          </w:tcPr>
          <w:p w14:paraId="2AC4874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126</w:t>
            </w:r>
          </w:p>
        </w:tc>
        <w:tc>
          <w:tcPr>
            <w:tcW w:w="545" w:type="dxa"/>
            <w:tcBorders>
              <w:top w:val="nil"/>
              <w:left w:val="nil"/>
              <w:bottom w:val="single" w:sz="8" w:space="0" w:color="DCDDDE"/>
              <w:right w:val="nil"/>
            </w:tcBorders>
            <w:shd w:val="clear" w:color="000000" w:fill="FFFFFF"/>
            <w:noWrap/>
            <w:vAlign w:val="center"/>
            <w:hideMark/>
          </w:tcPr>
          <w:p w14:paraId="5086C7D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121</w:t>
            </w:r>
          </w:p>
        </w:tc>
        <w:tc>
          <w:tcPr>
            <w:tcW w:w="545" w:type="dxa"/>
            <w:tcBorders>
              <w:top w:val="nil"/>
              <w:left w:val="nil"/>
              <w:bottom w:val="single" w:sz="8" w:space="0" w:color="DCDDDE"/>
              <w:right w:val="nil"/>
            </w:tcBorders>
            <w:shd w:val="clear" w:color="000000" w:fill="FFFFFF"/>
            <w:noWrap/>
            <w:vAlign w:val="center"/>
            <w:hideMark/>
          </w:tcPr>
          <w:p w14:paraId="5DAE935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110</w:t>
            </w:r>
          </w:p>
        </w:tc>
        <w:tc>
          <w:tcPr>
            <w:tcW w:w="545" w:type="dxa"/>
            <w:tcBorders>
              <w:top w:val="nil"/>
              <w:left w:val="nil"/>
              <w:bottom w:val="single" w:sz="8" w:space="0" w:color="DCDDDE"/>
              <w:right w:val="nil"/>
            </w:tcBorders>
            <w:shd w:val="clear" w:color="000000" w:fill="FFFFFF"/>
            <w:noWrap/>
            <w:vAlign w:val="center"/>
            <w:hideMark/>
          </w:tcPr>
          <w:p w14:paraId="0D5889C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100</w:t>
            </w:r>
          </w:p>
        </w:tc>
        <w:tc>
          <w:tcPr>
            <w:tcW w:w="545" w:type="dxa"/>
            <w:tcBorders>
              <w:top w:val="nil"/>
              <w:left w:val="nil"/>
              <w:bottom w:val="single" w:sz="8" w:space="0" w:color="DCDDDE"/>
              <w:right w:val="nil"/>
            </w:tcBorders>
            <w:shd w:val="clear" w:color="000000" w:fill="FFFFFF"/>
            <w:noWrap/>
            <w:vAlign w:val="center"/>
            <w:hideMark/>
          </w:tcPr>
          <w:p w14:paraId="18AAE1E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89</w:t>
            </w:r>
          </w:p>
        </w:tc>
      </w:tr>
      <w:tr w:rsidR="00490035" w:rsidRPr="00490035" w14:paraId="3BE9ACC7"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67800004"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348D829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200</w:t>
            </w:r>
          </w:p>
        </w:tc>
        <w:tc>
          <w:tcPr>
            <w:tcW w:w="545" w:type="dxa"/>
            <w:tcBorders>
              <w:top w:val="nil"/>
              <w:left w:val="nil"/>
              <w:bottom w:val="single" w:sz="8" w:space="0" w:color="DCDDDE"/>
              <w:right w:val="nil"/>
            </w:tcBorders>
            <w:shd w:val="clear" w:color="000000" w:fill="FFFFFF"/>
            <w:noWrap/>
            <w:vAlign w:val="center"/>
            <w:hideMark/>
          </w:tcPr>
          <w:p w14:paraId="33D73B89"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214</w:t>
            </w:r>
          </w:p>
        </w:tc>
        <w:tc>
          <w:tcPr>
            <w:tcW w:w="545" w:type="dxa"/>
            <w:tcBorders>
              <w:top w:val="nil"/>
              <w:left w:val="nil"/>
              <w:bottom w:val="single" w:sz="8" w:space="0" w:color="DCDDDE"/>
              <w:right w:val="nil"/>
            </w:tcBorders>
            <w:shd w:val="clear" w:color="000000" w:fill="FFFFFF"/>
            <w:noWrap/>
            <w:vAlign w:val="center"/>
            <w:hideMark/>
          </w:tcPr>
          <w:p w14:paraId="6313D37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219</w:t>
            </w:r>
          </w:p>
        </w:tc>
        <w:tc>
          <w:tcPr>
            <w:tcW w:w="545" w:type="dxa"/>
            <w:tcBorders>
              <w:top w:val="nil"/>
              <w:left w:val="nil"/>
              <w:bottom w:val="single" w:sz="8" w:space="0" w:color="DCDDDE"/>
              <w:right w:val="nil"/>
            </w:tcBorders>
            <w:shd w:val="clear" w:color="000000" w:fill="FFFFFF"/>
            <w:noWrap/>
            <w:vAlign w:val="center"/>
            <w:hideMark/>
          </w:tcPr>
          <w:p w14:paraId="0AA3FD6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242</w:t>
            </w:r>
          </w:p>
        </w:tc>
        <w:tc>
          <w:tcPr>
            <w:tcW w:w="545" w:type="dxa"/>
            <w:tcBorders>
              <w:top w:val="nil"/>
              <w:left w:val="nil"/>
              <w:bottom w:val="single" w:sz="8" w:space="0" w:color="DCDDDE"/>
              <w:right w:val="nil"/>
            </w:tcBorders>
            <w:shd w:val="clear" w:color="000000" w:fill="FFFFFF"/>
            <w:noWrap/>
            <w:vAlign w:val="center"/>
            <w:hideMark/>
          </w:tcPr>
          <w:p w14:paraId="503E3B3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246</w:t>
            </w:r>
          </w:p>
        </w:tc>
        <w:tc>
          <w:tcPr>
            <w:tcW w:w="545" w:type="dxa"/>
            <w:tcBorders>
              <w:top w:val="nil"/>
              <w:left w:val="nil"/>
              <w:bottom w:val="single" w:sz="8" w:space="0" w:color="DCDDDE"/>
              <w:right w:val="nil"/>
            </w:tcBorders>
            <w:shd w:val="clear" w:color="000000" w:fill="FFFFFF"/>
            <w:noWrap/>
            <w:vAlign w:val="center"/>
            <w:hideMark/>
          </w:tcPr>
          <w:p w14:paraId="7E721659"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269</w:t>
            </w:r>
          </w:p>
        </w:tc>
        <w:tc>
          <w:tcPr>
            <w:tcW w:w="545" w:type="dxa"/>
            <w:tcBorders>
              <w:top w:val="nil"/>
              <w:left w:val="nil"/>
              <w:bottom w:val="single" w:sz="8" w:space="0" w:color="DCDDDE"/>
              <w:right w:val="nil"/>
            </w:tcBorders>
            <w:shd w:val="clear" w:color="000000" w:fill="FFFFFF"/>
            <w:noWrap/>
            <w:vAlign w:val="center"/>
            <w:hideMark/>
          </w:tcPr>
          <w:p w14:paraId="79D05A13"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272</w:t>
            </w:r>
          </w:p>
        </w:tc>
        <w:tc>
          <w:tcPr>
            <w:tcW w:w="545" w:type="dxa"/>
            <w:tcBorders>
              <w:top w:val="nil"/>
              <w:left w:val="nil"/>
              <w:bottom w:val="single" w:sz="8" w:space="0" w:color="DCDDDE"/>
              <w:right w:val="nil"/>
            </w:tcBorders>
            <w:shd w:val="clear" w:color="000000" w:fill="FFFFFF"/>
            <w:noWrap/>
            <w:vAlign w:val="center"/>
            <w:hideMark/>
          </w:tcPr>
          <w:p w14:paraId="491C93F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278</w:t>
            </w:r>
          </w:p>
        </w:tc>
        <w:tc>
          <w:tcPr>
            <w:tcW w:w="545" w:type="dxa"/>
            <w:tcBorders>
              <w:top w:val="nil"/>
              <w:left w:val="nil"/>
              <w:bottom w:val="single" w:sz="8" w:space="0" w:color="DCDDDE"/>
              <w:right w:val="nil"/>
            </w:tcBorders>
            <w:shd w:val="clear" w:color="000000" w:fill="FFFFFF"/>
            <w:noWrap/>
            <w:vAlign w:val="center"/>
            <w:hideMark/>
          </w:tcPr>
          <w:p w14:paraId="68648D4B"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277</w:t>
            </w:r>
          </w:p>
        </w:tc>
        <w:tc>
          <w:tcPr>
            <w:tcW w:w="545" w:type="dxa"/>
            <w:tcBorders>
              <w:top w:val="nil"/>
              <w:left w:val="nil"/>
              <w:bottom w:val="single" w:sz="8" w:space="0" w:color="DCDDDE"/>
              <w:right w:val="nil"/>
            </w:tcBorders>
            <w:shd w:val="clear" w:color="000000" w:fill="FFFFFF"/>
            <w:noWrap/>
            <w:vAlign w:val="center"/>
            <w:hideMark/>
          </w:tcPr>
          <w:p w14:paraId="748D630A"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280</w:t>
            </w:r>
          </w:p>
        </w:tc>
        <w:tc>
          <w:tcPr>
            <w:tcW w:w="545" w:type="dxa"/>
            <w:tcBorders>
              <w:top w:val="nil"/>
              <w:left w:val="nil"/>
              <w:bottom w:val="single" w:sz="8" w:space="0" w:color="DCDDDE"/>
              <w:right w:val="nil"/>
            </w:tcBorders>
            <w:shd w:val="clear" w:color="000000" w:fill="FFFFFF"/>
            <w:noWrap/>
            <w:vAlign w:val="center"/>
            <w:hideMark/>
          </w:tcPr>
          <w:p w14:paraId="6F1D6CF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277</w:t>
            </w:r>
          </w:p>
        </w:tc>
        <w:tc>
          <w:tcPr>
            <w:tcW w:w="545" w:type="dxa"/>
            <w:tcBorders>
              <w:top w:val="nil"/>
              <w:left w:val="nil"/>
              <w:bottom w:val="single" w:sz="8" w:space="0" w:color="DCDDDE"/>
              <w:right w:val="nil"/>
            </w:tcBorders>
            <w:shd w:val="clear" w:color="000000" w:fill="FFFFFF"/>
            <w:noWrap/>
            <w:vAlign w:val="center"/>
            <w:hideMark/>
          </w:tcPr>
          <w:p w14:paraId="56E9528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272</w:t>
            </w:r>
          </w:p>
        </w:tc>
        <w:tc>
          <w:tcPr>
            <w:tcW w:w="545" w:type="dxa"/>
            <w:tcBorders>
              <w:top w:val="nil"/>
              <w:left w:val="nil"/>
              <w:bottom w:val="single" w:sz="8" w:space="0" w:color="DCDDDE"/>
              <w:right w:val="nil"/>
            </w:tcBorders>
            <w:shd w:val="clear" w:color="000000" w:fill="FFFFFF"/>
            <w:noWrap/>
            <w:vAlign w:val="center"/>
            <w:hideMark/>
          </w:tcPr>
          <w:p w14:paraId="50111F46"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266</w:t>
            </w:r>
          </w:p>
        </w:tc>
      </w:tr>
      <w:tr w:rsidR="00490035" w:rsidRPr="00490035" w14:paraId="2F8EC90B" w14:textId="77777777" w:rsidTr="00490035">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0E961ACC"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mTRC (GHG adder 2) | Reference</w:t>
            </w:r>
          </w:p>
        </w:tc>
      </w:tr>
      <w:tr w:rsidR="00490035" w:rsidRPr="00490035" w14:paraId="1CEFFB4C"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13C38909"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4F6CD02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53</w:t>
            </w:r>
          </w:p>
        </w:tc>
        <w:tc>
          <w:tcPr>
            <w:tcW w:w="545" w:type="dxa"/>
            <w:tcBorders>
              <w:top w:val="nil"/>
              <w:left w:val="nil"/>
              <w:bottom w:val="single" w:sz="8" w:space="0" w:color="DCDDDE"/>
              <w:right w:val="nil"/>
            </w:tcBorders>
            <w:shd w:val="clear" w:color="000000" w:fill="FFFFFF"/>
            <w:noWrap/>
            <w:vAlign w:val="center"/>
            <w:hideMark/>
          </w:tcPr>
          <w:p w14:paraId="1C7B00C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58</w:t>
            </w:r>
          </w:p>
        </w:tc>
        <w:tc>
          <w:tcPr>
            <w:tcW w:w="545" w:type="dxa"/>
            <w:tcBorders>
              <w:top w:val="nil"/>
              <w:left w:val="nil"/>
              <w:bottom w:val="single" w:sz="8" w:space="0" w:color="DCDDDE"/>
              <w:right w:val="nil"/>
            </w:tcBorders>
            <w:shd w:val="clear" w:color="000000" w:fill="FFFFFF"/>
            <w:noWrap/>
            <w:vAlign w:val="center"/>
            <w:hideMark/>
          </w:tcPr>
          <w:p w14:paraId="35D98F2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58</w:t>
            </w:r>
          </w:p>
        </w:tc>
        <w:tc>
          <w:tcPr>
            <w:tcW w:w="545" w:type="dxa"/>
            <w:tcBorders>
              <w:top w:val="nil"/>
              <w:left w:val="nil"/>
              <w:bottom w:val="single" w:sz="8" w:space="0" w:color="DCDDDE"/>
              <w:right w:val="nil"/>
            </w:tcBorders>
            <w:shd w:val="clear" w:color="000000" w:fill="FFFFFF"/>
            <w:noWrap/>
            <w:vAlign w:val="center"/>
            <w:hideMark/>
          </w:tcPr>
          <w:p w14:paraId="7654F81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70</w:t>
            </w:r>
          </w:p>
        </w:tc>
        <w:tc>
          <w:tcPr>
            <w:tcW w:w="545" w:type="dxa"/>
            <w:tcBorders>
              <w:top w:val="nil"/>
              <w:left w:val="nil"/>
              <w:bottom w:val="single" w:sz="8" w:space="0" w:color="DCDDDE"/>
              <w:right w:val="nil"/>
            </w:tcBorders>
            <w:shd w:val="clear" w:color="000000" w:fill="FFFFFF"/>
            <w:noWrap/>
            <w:vAlign w:val="center"/>
            <w:hideMark/>
          </w:tcPr>
          <w:p w14:paraId="34BDB9E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74</w:t>
            </w:r>
          </w:p>
        </w:tc>
        <w:tc>
          <w:tcPr>
            <w:tcW w:w="545" w:type="dxa"/>
            <w:tcBorders>
              <w:top w:val="nil"/>
              <w:left w:val="nil"/>
              <w:bottom w:val="single" w:sz="8" w:space="0" w:color="DCDDDE"/>
              <w:right w:val="nil"/>
            </w:tcBorders>
            <w:shd w:val="clear" w:color="000000" w:fill="FFFFFF"/>
            <w:noWrap/>
            <w:vAlign w:val="center"/>
            <w:hideMark/>
          </w:tcPr>
          <w:p w14:paraId="6D90E9F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81</w:t>
            </w:r>
          </w:p>
        </w:tc>
        <w:tc>
          <w:tcPr>
            <w:tcW w:w="545" w:type="dxa"/>
            <w:tcBorders>
              <w:top w:val="nil"/>
              <w:left w:val="nil"/>
              <w:bottom w:val="single" w:sz="8" w:space="0" w:color="DCDDDE"/>
              <w:right w:val="nil"/>
            </w:tcBorders>
            <w:shd w:val="clear" w:color="000000" w:fill="FFFFFF"/>
            <w:noWrap/>
            <w:vAlign w:val="center"/>
            <w:hideMark/>
          </w:tcPr>
          <w:p w14:paraId="6B6BB06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84</w:t>
            </w:r>
          </w:p>
        </w:tc>
        <w:tc>
          <w:tcPr>
            <w:tcW w:w="545" w:type="dxa"/>
            <w:tcBorders>
              <w:top w:val="nil"/>
              <w:left w:val="nil"/>
              <w:bottom w:val="single" w:sz="8" w:space="0" w:color="DCDDDE"/>
              <w:right w:val="nil"/>
            </w:tcBorders>
            <w:shd w:val="clear" w:color="000000" w:fill="FFFFFF"/>
            <w:noWrap/>
            <w:vAlign w:val="center"/>
            <w:hideMark/>
          </w:tcPr>
          <w:p w14:paraId="1D5AF79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91</w:t>
            </w:r>
          </w:p>
        </w:tc>
        <w:tc>
          <w:tcPr>
            <w:tcW w:w="545" w:type="dxa"/>
            <w:tcBorders>
              <w:top w:val="nil"/>
              <w:left w:val="nil"/>
              <w:bottom w:val="single" w:sz="8" w:space="0" w:color="DCDDDE"/>
              <w:right w:val="nil"/>
            </w:tcBorders>
            <w:shd w:val="clear" w:color="000000" w:fill="FFFFFF"/>
            <w:noWrap/>
            <w:vAlign w:val="center"/>
            <w:hideMark/>
          </w:tcPr>
          <w:p w14:paraId="45DA5C0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94</w:t>
            </w:r>
          </w:p>
        </w:tc>
        <w:tc>
          <w:tcPr>
            <w:tcW w:w="545" w:type="dxa"/>
            <w:tcBorders>
              <w:top w:val="nil"/>
              <w:left w:val="nil"/>
              <w:bottom w:val="single" w:sz="8" w:space="0" w:color="DCDDDE"/>
              <w:right w:val="nil"/>
            </w:tcBorders>
            <w:shd w:val="clear" w:color="000000" w:fill="FFFFFF"/>
            <w:noWrap/>
            <w:vAlign w:val="center"/>
            <w:hideMark/>
          </w:tcPr>
          <w:p w14:paraId="6508C35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96</w:t>
            </w:r>
          </w:p>
        </w:tc>
        <w:tc>
          <w:tcPr>
            <w:tcW w:w="545" w:type="dxa"/>
            <w:tcBorders>
              <w:top w:val="nil"/>
              <w:left w:val="nil"/>
              <w:bottom w:val="single" w:sz="8" w:space="0" w:color="DCDDDE"/>
              <w:right w:val="nil"/>
            </w:tcBorders>
            <w:shd w:val="clear" w:color="000000" w:fill="FFFFFF"/>
            <w:noWrap/>
            <w:vAlign w:val="center"/>
            <w:hideMark/>
          </w:tcPr>
          <w:p w14:paraId="1C3AE22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98</w:t>
            </w:r>
          </w:p>
        </w:tc>
        <w:tc>
          <w:tcPr>
            <w:tcW w:w="545" w:type="dxa"/>
            <w:tcBorders>
              <w:top w:val="nil"/>
              <w:left w:val="nil"/>
              <w:bottom w:val="single" w:sz="8" w:space="0" w:color="DCDDDE"/>
              <w:right w:val="nil"/>
            </w:tcBorders>
            <w:shd w:val="clear" w:color="000000" w:fill="FFFFFF"/>
            <w:noWrap/>
            <w:vAlign w:val="center"/>
            <w:hideMark/>
          </w:tcPr>
          <w:p w14:paraId="1A02F48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98</w:t>
            </w:r>
          </w:p>
        </w:tc>
        <w:tc>
          <w:tcPr>
            <w:tcW w:w="545" w:type="dxa"/>
            <w:tcBorders>
              <w:top w:val="nil"/>
              <w:left w:val="nil"/>
              <w:bottom w:val="single" w:sz="8" w:space="0" w:color="DCDDDE"/>
              <w:right w:val="nil"/>
            </w:tcBorders>
            <w:shd w:val="clear" w:color="000000" w:fill="FFFFFF"/>
            <w:noWrap/>
            <w:vAlign w:val="center"/>
            <w:hideMark/>
          </w:tcPr>
          <w:p w14:paraId="7E6C546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96</w:t>
            </w:r>
          </w:p>
        </w:tc>
      </w:tr>
      <w:tr w:rsidR="00490035" w:rsidRPr="00490035" w14:paraId="1220157D"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3D88457C"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2FDE8CB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07C8830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3257486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5981A5B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5DBEE81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7FDBBF2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2C414FD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45</w:t>
            </w:r>
          </w:p>
        </w:tc>
        <w:tc>
          <w:tcPr>
            <w:tcW w:w="545" w:type="dxa"/>
            <w:tcBorders>
              <w:top w:val="nil"/>
              <w:left w:val="nil"/>
              <w:bottom w:val="single" w:sz="8" w:space="0" w:color="DCDDDE"/>
              <w:right w:val="nil"/>
            </w:tcBorders>
            <w:shd w:val="clear" w:color="000000" w:fill="FFFFFF"/>
            <w:noWrap/>
            <w:vAlign w:val="center"/>
            <w:hideMark/>
          </w:tcPr>
          <w:p w14:paraId="60A039E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50</w:t>
            </w:r>
          </w:p>
        </w:tc>
        <w:tc>
          <w:tcPr>
            <w:tcW w:w="545" w:type="dxa"/>
            <w:tcBorders>
              <w:top w:val="nil"/>
              <w:left w:val="nil"/>
              <w:bottom w:val="single" w:sz="8" w:space="0" w:color="DCDDDE"/>
              <w:right w:val="nil"/>
            </w:tcBorders>
            <w:shd w:val="clear" w:color="000000" w:fill="FFFFFF"/>
            <w:noWrap/>
            <w:vAlign w:val="center"/>
            <w:hideMark/>
          </w:tcPr>
          <w:p w14:paraId="7DD9399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w:t>
            </w:r>
          </w:p>
        </w:tc>
        <w:tc>
          <w:tcPr>
            <w:tcW w:w="545" w:type="dxa"/>
            <w:tcBorders>
              <w:top w:val="nil"/>
              <w:left w:val="nil"/>
              <w:bottom w:val="single" w:sz="8" w:space="0" w:color="DCDDDE"/>
              <w:right w:val="nil"/>
            </w:tcBorders>
            <w:shd w:val="clear" w:color="000000" w:fill="FFFFFF"/>
            <w:noWrap/>
            <w:vAlign w:val="center"/>
            <w:hideMark/>
          </w:tcPr>
          <w:p w14:paraId="118423D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60</w:t>
            </w:r>
          </w:p>
        </w:tc>
        <w:tc>
          <w:tcPr>
            <w:tcW w:w="545" w:type="dxa"/>
            <w:tcBorders>
              <w:top w:val="nil"/>
              <w:left w:val="nil"/>
              <w:bottom w:val="single" w:sz="8" w:space="0" w:color="DCDDDE"/>
              <w:right w:val="nil"/>
            </w:tcBorders>
            <w:shd w:val="clear" w:color="000000" w:fill="FFFFFF"/>
            <w:noWrap/>
            <w:vAlign w:val="center"/>
            <w:hideMark/>
          </w:tcPr>
          <w:p w14:paraId="155EAC1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66</w:t>
            </w:r>
          </w:p>
        </w:tc>
        <w:tc>
          <w:tcPr>
            <w:tcW w:w="545" w:type="dxa"/>
            <w:tcBorders>
              <w:top w:val="nil"/>
              <w:left w:val="nil"/>
              <w:bottom w:val="single" w:sz="8" w:space="0" w:color="DCDDDE"/>
              <w:right w:val="nil"/>
            </w:tcBorders>
            <w:shd w:val="clear" w:color="000000" w:fill="FFFFFF"/>
            <w:noWrap/>
            <w:vAlign w:val="center"/>
            <w:hideMark/>
          </w:tcPr>
          <w:p w14:paraId="6BFBE94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71</w:t>
            </w:r>
          </w:p>
        </w:tc>
        <w:tc>
          <w:tcPr>
            <w:tcW w:w="545" w:type="dxa"/>
            <w:tcBorders>
              <w:top w:val="nil"/>
              <w:left w:val="nil"/>
              <w:bottom w:val="single" w:sz="8" w:space="0" w:color="DCDDDE"/>
              <w:right w:val="nil"/>
            </w:tcBorders>
            <w:shd w:val="clear" w:color="000000" w:fill="FFFFFF"/>
            <w:noWrap/>
            <w:vAlign w:val="center"/>
            <w:hideMark/>
          </w:tcPr>
          <w:p w14:paraId="3A31589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77</w:t>
            </w:r>
          </w:p>
        </w:tc>
      </w:tr>
      <w:tr w:rsidR="00490035" w:rsidRPr="00490035" w14:paraId="05578FDD"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73E50937"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349F74A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644ACCE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24A3E0D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3DF6261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271F6BB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7B730F0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0814ACC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1C35265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3E0C752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7EF63C3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47700F6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310B8F9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2390CEB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r>
      <w:tr w:rsidR="00490035" w:rsidRPr="00490035" w14:paraId="72BED08A"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0B36C00B"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4E7226A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77</w:t>
            </w:r>
          </w:p>
        </w:tc>
        <w:tc>
          <w:tcPr>
            <w:tcW w:w="545" w:type="dxa"/>
            <w:tcBorders>
              <w:top w:val="nil"/>
              <w:left w:val="nil"/>
              <w:bottom w:val="single" w:sz="8" w:space="0" w:color="DCDDDE"/>
              <w:right w:val="nil"/>
            </w:tcBorders>
            <w:shd w:val="clear" w:color="000000" w:fill="FFFFFF"/>
            <w:noWrap/>
            <w:vAlign w:val="center"/>
            <w:hideMark/>
          </w:tcPr>
          <w:p w14:paraId="0C41F1D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86</w:t>
            </w:r>
          </w:p>
        </w:tc>
        <w:tc>
          <w:tcPr>
            <w:tcW w:w="545" w:type="dxa"/>
            <w:tcBorders>
              <w:top w:val="nil"/>
              <w:left w:val="nil"/>
              <w:bottom w:val="single" w:sz="8" w:space="0" w:color="DCDDDE"/>
              <w:right w:val="nil"/>
            </w:tcBorders>
            <w:shd w:val="clear" w:color="000000" w:fill="FFFFFF"/>
            <w:noWrap/>
            <w:vAlign w:val="center"/>
            <w:hideMark/>
          </w:tcPr>
          <w:p w14:paraId="58E8AEA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91</w:t>
            </w:r>
          </w:p>
        </w:tc>
        <w:tc>
          <w:tcPr>
            <w:tcW w:w="545" w:type="dxa"/>
            <w:tcBorders>
              <w:top w:val="nil"/>
              <w:left w:val="nil"/>
              <w:bottom w:val="single" w:sz="8" w:space="0" w:color="DCDDDE"/>
              <w:right w:val="nil"/>
            </w:tcBorders>
            <w:shd w:val="clear" w:color="000000" w:fill="FFFFFF"/>
            <w:noWrap/>
            <w:vAlign w:val="center"/>
            <w:hideMark/>
          </w:tcPr>
          <w:p w14:paraId="718066A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110</w:t>
            </w:r>
          </w:p>
        </w:tc>
        <w:tc>
          <w:tcPr>
            <w:tcW w:w="545" w:type="dxa"/>
            <w:tcBorders>
              <w:top w:val="nil"/>
              <w:left w:val="nil"/>
              <w:bottom w:val="single" w:sz="8" w:space="0" w:color="DCDDDE"/>
              <w:right w:val="nil"/>
            </w:tcBorders>
            <w:shd w:val="clear" w:color="000000" w:fill="FFFFFF"/>
            <w:noWrap/>
            <w:vAlign w:val="center"/>
            <w:hideMark/>
          </w:tcPr>
          <w:p w14:paraId="65EEDA6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118</w:t>
            </w:r>
          </w:p>
        </w:tc>
        <w:tc>
          <w:tcPr>
            <w:tcW w:w="545" w:type="dxa"/>
            <w:tcBorders>
              <w:top w:val="nil"/>
              <w:left w:val="nil"/>
              <w:bottom w:val="single" w:sz="8" w:space="0" w:color="DCDDDE"/>
              <w:right w:val="nil"/>
            </w:tcBorders>
            <w:shd w:val="clear" w:color="000000" w:fill="FFFFFF"/>
            <w:noWrap/>
            <w:vAlign w:val="center"/>
            <w:hideMark/>
          </w:tcPr>
          <w:p w14:paraId="173E65A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129</w:t>
            </w:r>
          </w:p>
        </w:tc>
        <w:tc>
          <w:tcPr>
            <w:tcW w:w="545" w:type="dxa"/>
            <w:tcBorders>
              <w:top w:val="nil"/>
              <w:left w:val="nil"/>
              <w:bottom w:val="single" w:sz="8" w:space="0" w:color="DCDDDE"/>
              <w:right w:val="nil"/>
            </w:tcBorders>
            <w:shd w:val="clear" w:color="000000" w:fill="FFFFFF"/>
            <w:noWrap/>
            <w:vAlign w:val="center"/>
            <w:hideMark/>
          </w:tcPr>
          <w:p w14:paraId="4FCDD01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137</w:t>
            </w:r>
          </w:p>
        </w:tc>
        <w:tc>
          <w:tcPr>
            <w:tcW w:w="545" w:type="dxa"/>
            <w:tcBorders>
              <w:top w:val="nil"/>
              <w:left w:val="nil"/>
              <w:bottom w:val="single" w:sz="8" w:space="0" w:color="DCDDDE"/>
              <w:right w:val="nil"/>
            </w:tcBorders>
            <w:shd w:val="clear" w:color="000000" w:fill="FFFFFF"/>
            <w:noWrap/>
            <w:vAlign w:val="center"/>
            <w:hideMark/>
          </w:tcPr>
          <w:p w14:paraId="25B5E7B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149</w:t>
            </w:r>
          </w:p>
        </w:tc>
        <w:tc>
          <w:tcPr>
            <w:tcW w:w="545" w:type="dxa"/>
            <w:tcBorders>
              <w:top w:val="nil"/>
              <w:left w:val="nil"/>
              <w:bottom w:val="single" w:sz="8" w:space="0" w:color="DCDDDE"/>
              <w:right w:val="nil"/>
            </w:tcBorders>
            <w:shd w:val="clear" w:color="000000" w:fill="FFFFFF"/>
            <w:noWrap/>
            <w:vAlign w:val="center"/>
            <w:hideMark/>
          </w:tcPr>
          <w:p w14:paraId="4E862E2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156</w:t>
            </w:r>
          </w:p>
        </w:tc>
        <w:tc>
          <w:tcPr>
            <w:tcW w:w="545" w:type="dxa"/>
            <w:tcBorders>
              <w:top w:val="nil"/>
              <w:left w:val="nil"/>
              <w:bottom w:val="single" w:sz="8" w:space="0" w:color="DCDDDE"/>
              <w:right w:val="nil"/>
            </w:tcBorders>
            <w:shd w:val="clear" w:color="000000" w:fill="FFFFFF"/>
            <w:noWrap/>
            <w:vAlign w:val="center"/>
            <w:hideMark/>
          </w:tcPr>
          <w:p w14:paraId="0CA507C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164</w:t>
            </w:r>
          </w:p>
        </w:tc>
        <w:tc>
          <w:tcPr>
            <w:tcW w:w="545" w:type="dxa"/>
            <w:tcBorders>
              <w:top w:val="nil"/>
              <w:left w:val="nil"/>
              <w:bottom w:val="single" w:sz="8" w:space="0" w:color="DCDDDE"/>
              <w:right w:val="nil"/>
            </w:tcBorders>
            <w:shd w:val="clear" w:color="000000" w:fill="FFFFFF"/>
            <w:noWrap/>
            <w:vAlign w:val="center"/>
            <w:hideMark/>
          </w:tcPr>
          <w:p w14:paraId="32290C7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170</w:t>
            </w:r>
          </w:p>
        </w:tc>
        <w:tc>
          <w:tcPr>
            <w:tcW w:w="545" w:type="dxa"/>
            <w:tcBorders>
              <w:top w:val="nil"/>
              <w:left w:val="nil"/>
              <w:bottom w:val="single" w:sz="8" w:space="0" w:color="DCDDDE"/>
              <w:right w:val="nil"/>
            </w:tcBorders>
            <w:shd w:val="clear" w:color="000000" w:fill="FFFFFF"/>
            <w:noWrap/>
            <w:vAlign w:val="center"/>
            <w:hideMark/>
          </w:tcPr>
          <w:p w14:paraId="6BCF94D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176</w:t>
            </w:r>
          </w:p>
        </w:tc>
        <w:tc>
          <w:tcPr>
            <w:tcW w:w="545" w:type="dxa"/>
            <w:tcBorders>
              <w:top w:val="nil"/>
              <w:left w:val="nil"/>
              <w:bottom w:val="single" w:sz="8" w:space="0" w:color="DCDDDE"/>
              <w:right w:val="nil"/>
            </w:tcBorders>
            <w:shd w:val="clear" w:color="000000" w:fill="FFFFFF"/>
            <w:noWrap/>
            <w:vAlign w:val="center"/>
            <w:hideMark/>
          </w:tcPr>
          <w:p w14:paraId="158D8F4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180</w:t>
            </w:r>
          </w:p>
        </w:tc>
      </w:tr>
      <w:tr w:rsidR="00490035" w:rsidRPr="00490035" w14:paraId="0728D07C"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1D5322FD"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19720A4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125</w:t>
            </w:r>
          </w:p>
        </w:tc>
        <w:tc>
          <w:tcPr>
            <w:tcW w:w="545" w:type="dxa"/>
            <w:tcBorders>
              <w:top w:val="nil"/>
              <w:left w:val="nil"/>
              <w:bottom w:val="single" w:sz="8" w:space="0" w:color="DCDDDE"/>
              <w:right w:val="nil"/>
            </w:tcBorders>
            <w:shd w:val="clear" w:color="000000" w:fill="FFFFFF"/>
            <w:noWrap/>
            <w:vAlign w:val="center"/>
            <w:hideMark/>
          </w:tcPr>
          <w:p w14:paraId="4700C20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130</w:t>
            </w:r>
          </w:p>
        </w:tc>
        <w:tc>
          <w:tcPr>
            <w:tcW w:w="545" w:type="dxa"/>
            <w:tcBorders>
              <w:top w:val="nil"/>
              <w:left w:val="nil"/>
              <w:bottom w:val="single" w:sz="8" w:space="0" w:color="DCDDDE"/>
              <w:right w:val="nil"/>
            </w:tcBorders>
            <w:shd w:val="clear" w:color="000000" w:fill="FFFFFF"/>
            <w:noWrap/>
            <w:vAlign w:val="center"/>
            <w:hideMark/>
          </w:tcPr>
          <w:p w14:paraId="03211D0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131</w:t>
            </w:r>
          </w:p>
        </w:tc>
        <w:tc>
          <w:tcPr>
            <w:tcW w:w="545" w:type="dxa"/>
            <w:tcBorders>
              <w:top w:val="nil"/>
              <w:left w:val="nil"/>
              <w:bottom w:val="single" w:sz="8" w:space="0" w:color="DCDDDE"/>
              <w:right w:val="nil"/>
            </w:tcBorders>
            <w:shd w:val="clear" w:color="000000" w:fill="FFFFFF"/>
            <w:noWrap/>
            <w:vAlign w:val="center"/>
            <w:hideMark/>
          </w:tcPr>
          <w:p w14:paraId="28645BA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135</w:t>
            </w:r>
          </w:p>
        </w:tc>
        <w:tc>
          <w:tcPr>
            <w:tcW w:w="545" w:type="dxa"/>
            <w:tcBorders>
              <w:top w:val="nil"/>
              <w:left w:val="nil"/>
              <w:bottom w:val="single" w:sz="8" w:space="0" w:color="DCDDDE"/>
              <w:right w:val="nil"/>
            </w:tcBorders>
            <w:shd w:val="clear" w:color="000000" w:fill="FFFFFF"/>
            <w:noWrap/>
            <w:vAlign w:val="center"/>
            <w:hideMark/>
          </w:tcPr>
          <w:p w14:paraId="2D1C1C8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131</w:t>
            </w:r>
          </w:p>
        </w:tc>
        <w:tc>
          <w:tcPr>
            <w:tcW w:w="545" w:type="dxa"/>
            <w:tcBorders>
              <w:top w:val="nil"/>
              <w:left w:val="nil"/>
              <w:bottom w:val="single" w:sz="8" w:space="0" w:color="DCDDDE"/>
              <w:right w:val="nil"/>
            </w:tcBorders>
            <w:shd w:val="clear" w:color="000000" w:fill="FFFFFF"/>
            <w:noWrap/>
            <w:vAlign w:val="center"/>
            <w:hideMark/>
          </w:tcPr>
          <w:p w14:paraId="2A7EA31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145</w:t>
            </w:r>
          </w:p>
        </w:tc>
        <w:tc>
          <w:tcPr>
            <w:tcW w:w="545" w:type="dxa"/>
            <w:tcBorders>
              <w:top w:val="nil"/>
              <w:left w:val="nil"/>
              <w:bottom w:val="single" w:sz="8" w:space="0" w:color="DCDDDE"/>
              <w:right w:val="nil"/>
            </w:tcBorders>
            <w:shd w:val="clear" w:color="000000" w:fill="FFFFFF"/>
            <w:noWrap/>
            <w:vAlign w:val="center"/>
            <w:hideMark/>
          </w:tcPr>
          <w:p w14:paraId="5743402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139</w:t>
            </w:r>
          </w:p>
        </w:tc>
        <w:tc>
          <w:tcPr>
            <w:tcW w:w="545" w:type="dxa"/>
            <w:tcBorders>
              <w:top w:val="nil"/>
              <w:left w:val="nil"/>
              <w:bottom w:val="single" w:sz="8" w:space="0" w:color="DCDDDE"/>
              <w:right w:val="nil"/>
            </w:tcBorders>
            <w:shd w:val="clear" w:color="000000" w:fill="FFFFFF"/>
            <w:noWrap/>
            <w:vAlign w:val="center"/>
            <w:hideMark/>
          </w:tcPr>
          <w:p w14:paraId="4A003A9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134</w:t>
            </w:r>
          </w:p>
        </w:tc>
        <w:tc>
          <w:tcPr>
            <w:tcW w:w="545" w:type="dxa"/>
            <w:tcBorders>
              <w:top w:val="nil"/>
              <w:left w:val="nil"/>
              <w:bottom w:val="single" w:sz="8" w:space="0" w:color="DCDDDE"/>
              <w:right w:val="nil"/>
            </w:tcBorders>
            <w:shd w:val="clear" w:color="000000" w:fill="FFFFFF"/>
            <w:noWrap/>
            <w:vAlign w:val="center"/>
            <w:hideMark/>
          </w:tcPr>
          <w:p w14:paraId="05D444F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126</w:t>
            </w:r>
          </w:p>
        </w:tc>
        <w:tc>
          <w:tcPr>
            <w:tcW w:w="545" w:type="dxa"/>
            <w:tcBorders>
              <w:top w:val="nil"/>
              <w:left w:val="nil"/>
              <w:bottom w:val="single" w:sz="8" w:space="0" w:color="DCDDDE"/>
              <w:right w:val="nil"/>
            </w:tcBorders>
            <w:shd w:val="clear" w:color="000000" w:fill="FFFFFF"/>
            <w:noWrap/>
            <w:vAlign w:val="center"/>
            <w:hideMark/>
          </w:tcPr>
          <w:p w14:paraId="3B67761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121</w:t>
            </w:r>
          </w:p>
        </w:tc>
        <w:tc>
          <w:tcPr>
            <w:tcW w:w="545" w:type="dxa"/>
            <w:tcBorders>
              <w:top w:val="nil"/>
              <w:left w:val="nil"/>
              <w:bottom w:val="single" w:sz="8" w:space="0" w:color="DCDDDE"/>
              <w:right w:val="nil"/>
            </w:tcBorders>
            <w:shd w:val="clear" w:color="000000" w:fill="FFFFFF"/>
            <w:noWrap/>
            <w:vAlign w:val="center"/>
            <w:hideMark/>
          </w:tcPr>
          <w:p w14:paraId="0B2A954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110</w:t>
            </w:r>
          </w:p>
        </w:tc>
        <w:tc>
          <w:tcPr>
            <w:tcW w:w="545" w:type="dxa"/>
            <w:tcBorders>
              <w:top w:val="nil"/>
              <w:left w:val="nil"/>
              <w:bottom w:val="single" w:sz="8" w:space="0" w:color="DCDDDE"/>
              <w:right w:val="nil"/>
            </w:tcBorders>
            <w:shd w:val="clear" w:color="000000" w:fill="FFFFFF"/>
            <w:noWrap/>
            <w:vAlign w:val="center"/>
            <w:hideMark/>
          </w:tcPr>
          <w:p w14:paraId="7BAD390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100</w:t>
            </w:r>
          </w:p>
        </w:tc>
        <w:tc>
          <w:tcPr>
            <w:tcW w:w="545" w:type="dxa"/>
            <w:tcBorders>
              <w:top w:val="nil"/>
              <w:left w:val="nil"/>
              <w:bottom w:val="single" w:sz="8" w:space="0" w:color="DCDDDE"/>
              <w:right w:val="nil"/>
            </w:tcBorders>
            <w:shd w:val="clear" w:color="000000" w:fill="FFFFFF"/>
            <w:noWrap/>
            <w:vAlign w:val="center"/>
            <w:hideMark/>
          </w:tcPr>
          <w:p w14:paraId="3F71ADE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89</w:t>
            </w:r>
          </w:p>
        </w:tc>
      </w:tr>
      <w:tr w:rsidR="00490035" w:rsidRPr="00490035" w14:paraId="2A4F6B91"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43D2D18E"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09BE0A6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202</w:t>
            </w:r>
          </w:p>
        </w:tc>
        <w:tc>
          <w:tcPr>
            <w:tcW w:w="545" w:type="dxa"/>
            <w:tcBorders>
              <w:top w:val="nil"/>
              <w:left w:val="nil"/>
              <w:bottom w:val="single" w:sz="8" w:space="0" w:color="DCDDDE"/>
              <w:right w:val="nil"/>
            </w:tcBorders>
            <w:shd w:val="clear" w:color="000000" w:fill="FFFFFF"/>
            <w:noWrap/>
            <w:vAlign w:val="center"/>
            <w:hideMark/>
          </w:tcPr>
          <w:p w14:paraId="5AA1044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216</w:t>
            </w:r>
          </w:p>
        </w:tc>
        <w:tc>
          <w:tcPr>
            <w:tcW w:w="545" w:type="dxa"/>
            <w:tcBorders>
              <w:top w:val="nil"/>
              <w:left w:val="nil"/>
              <w:bottom w:val="single" w:sz="8" w:space="0" w:color="DCDDDE"/>
              <w:right w:val="nil"/>
            </w:tcBorders>
            <w:shd w:val="clear" w:color="000000" w:fill="FFFFFF"/>
            <w:noWrap/>
            <w:vAlign w:val="center"/>
            <w:hideMark/>
          </w:tcPr>
          <w:p w14:paraId="6E2D035C"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222</w:t>
            </w:r>
          </w:p>
        </w:tc>
        <w:tc>
          <w:tcPr>
            <w:tcW w:w="545" w:type="dxa"/>
            <w:tcBorders>
              <w:top w:val="nil"/>
              <w:left w:val="nil"/>
              <w:bottom w:val="single" w:sz="8" w:space="0" w:color="DCDDDE"/>
              <w:right w:val="nil"/>
            </w:tcBorders>
            <w:shd w:val="clear" w:color="000000" w:fill="FFFFFF"/>
            <w:noWrap/>
            <w:vAlign w:val="center"/>
            <w:hideMark/>
          </w:tcPr>
          <w:p w14:paraId="4FE6C0C7"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245</w:t>
            </w:r>
          </w:p>
        </w:tc>
        <w:tc>
          <w:tcPr>
            <w:tcW w:w="545" w:type="dxa"/>
            <w:tcBorders>
              <w:top w:val="nil"/>
              <w:left w:val="nil"/>
              <w:bottom w:val="single" w:sz="8" w:space="0" w:color="DCDDDE"/>
              <w:right w:val="nil"/>
            </w:tcBorders>
            <w:shd w:val="clear" w:color="000000" w:fill="FFFFFF"/>
            <w:noWrap/>
            <w:vAlign w:val="center"/>
            <w:hideMark/>
          </w:tcPr>
          <w:p w14:paraId="627E82E9"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249</w:t>
            </w:r>
          </w:p>
        </w:tc>
        <w:tc>
          <w:tcPr>
            <w:tcW w:w="545" w:type="dxa"/>
            <w:tcBorders>
              <w:top w:val="nil"/>
              <w:left w:val="nil"/>
              <w:bottom w:val="single" w:sz="8" w:space="0" w:color="DCDDDE"/>
              <w:right w:val="nil"/>
            </w:tcBorders>
            <w:shd w:val="clear" w:color="000000" w:fill="FFFFFF"/>
            <w:noWrap/>
            <w:vAlign w:val="center"/>
            <w:hideMark/>
          </w:tcPr>
          <w:p w14:paraId="2A70FEB6"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274</w:t>
            </w:r>
          </w:p>
        </w:tc>
        <w:tc>
          <w:tcPr>
            <w:tcW w:w="545" w:type="dxa"/>
            <w:tcBorders>
              <w:top w:val="nil"/>
              <w:left w:val="nil"/>
              <w:bottom w:val="single" w:sz="8" w:space="0" w:color="DCDDDE"/>
              <w:right w:val="nil"/>
            </w:tcBorders>
            <w:shd w:val="clear" w:color="000000" w:fill="FFFFFF"/>
            <w:noWrap/>
            <w:vAlign w:val="center"/>
            <w:hideMark/>
          </w:tcPr>
          <w:p w14:paraId="4BE84C55"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276</w:t>
            </w:r>
          </w:p>
        </w:tc>
        <w:tc>
          <w:tcPr>
            <w:tcW w:w="545" w:type="dxa"/>
            <w:tcBorders>
              <w:top w:val="nil"/>
              <w:left w:val="nil"/>
              <w:bottom w:val="single" w:sz="8" w:space="0" w:color="DCDDDE"/>
              <w:right w:val="nil"/>
            </w:tcBorders>
            <w:shd w:val="clear" w:color="000000" w:fill="FFFFFF"/>
            <w:noWrap/>
            <w:vAlign w:val="center"/>
            <w:hideMark/>
          </w:tcPr>
          <w:p w14:paraId="29C525E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283</w:t>
            </w:r>
          </w:p>
        </w:tc>
        <w:tc>
          <w:tcPr>
            <w:tcW w:w="545" w:type="dxa"/>
            <w:tcBorders>
              <w:top w:val="nil"/>
              <w:left w:val="nil"/>
              <w:bottom w:val="single" w:sz="8" w:space="0" w:color="DCDDDE"/>
              <w:right w:val="nil"/>
            </w:tcBorders>
            <w:shd w:val="clear" w:color="000000" w:fill="FFFFFF"/>
            <w:noWrap/>
            <w:vAlign w:val="center"/>
            <w:hideMark/>
          </w:tcPr>
          <w:p w14:paraId="0B4C04A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282</w:t>
            </w:r>
          </w:p>
        </w:tc>
        <w:tc>
          <w:tcPr>
            <w:tcW w:w="545" w:type="dxa"/>
            <w:tcBorders>
              <w:top w:val="nil"/>
              <w:left w:val="nil"/>
              <w:bottom w:val="single" w:sz="8" w:space="0" w:color="DCDDDE"/>
              <w:right w:val="nil"/>
            </w:tcBorders>
            <w:shd w:val="clear" w:color="000000" w:fill="FFFFFF"/>
            <w:noWrap/>
            <w:vAlign w:val="center"/>
            <w:hideMark/>
          </w:tcPr>
          <w:p w14:paraId="7E5A7C09"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285</w:t>
            </w:r>
          </w:p>
        </w:tc>
        <w:tc>
          <w:tcPr>
            <w:tcW w:w="545" w:type="dxa"/>
            <w:tcBorders>
              <w:top w:val="nil"/>
              <w:left w:val="nil"/>
              <w:bottom w:val="single" w:sz="8" w:space="0" w:color="DCDDDE"/>
              <w:right w:val="nil"/>
            </w:tcBorders>
            <w:shd w:val="clear" w:color="000000" w:fill="FFFFFF"/>
            <w:noWrap/>
            <w:vAlign w:val="center"/>
            <w:hideMark/>
          </w:tcPr>
          <w:p w14:paraId="70556685"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281</w:t>
            </w:r>
          </w:p>
        </w:tc>
        <w:tc>
          <w:tcPr>
            <w:tcW w:w="545" w:type="dxa"/>
            <w:tcBorders>
              <w:top w:val="nil"/>
              <w:left w:val="nil"/>
              <w:bottom w:val="single" w:sz="8" w:space="0" w:color="DCDDDE"/>
              <w:right w:val="nil"/>
            </w:tcBorders>
            <w:shd w:val="clear" w:color="000000" w:fill="FFFFFF"/>
            <w:noWrap/>
            <w:vAlign w:val="center"/>
            <w:hideMark/>
          </w:tcPr>
          <w:p w14:paraId="174AE2E5"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276</w:t>
            </w:r>
          </w:p>
        </w:tc>
        <w:tc>
          <w:tcPr>
            <w:tcW w:w="545" w:type="dxa"/>
            <w:tcBorders>
              <w:top w:val="nil"/>
              <w:left w:val="nil"/>
              <w:bottom w:val="single" w:sz="8" w:space="0" w:color="DCDDDE"/>
              <w:right w:val="nil"/>
            </w:tcBorders>
            <w:shd w:val="clear" w:color="000000" w:fill="FFFFFF"/>
            <w:noWrap/>
            <w:vAlign w:val="center"/>
            <w:hideMark/>
          </w:tcPr>
          <w:p w14:paraId="2EEF384B"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270</w:t>
            </w:r>
          </w:p>
        </w:tc>
      </w:tr>
      <w:tr w:rsidR="00490035" w:rsidRPr="00490035" w14:paraId="43B29249" w14:textId="77777777" w:rsidTr="00490035">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43DE56BE"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PAC | Reference</w:t>
            </w:r>
          </w:p>
        </w:tc>
      </w:tr>
      <w:tr w:rsidR="00490035" w:rsidRPr="00490035" w14:paraId="414BF006"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34A2DD80"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67184F5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80</w:t>
            </w:r>
          </w:p>
        </w:tc>
        <w:tc>
          <w:tcPr>
            <w:tcW w:w="545" w:type="dxa"/>
            <w:tcBorders>
              <w:top w:val="nil"/>
              <w:left w:val="nil"/>
              <w:bottom w:val="single" w:sz="8" w:space="0" w:color="DCDDDE"/>
              <w:right w:val="nil"/>
            </w:tcBorders>
            <w:shd w:val="clear" w:color="000000" w:fill="FFFFFF"/>
            <w:noWrap/>
            <w:vAlign w:val="center"/>
            <w:hideMark/>
          </w:tcPr>
          <w:p w14:paraId="2AA7ABC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83</w:t>
            </w:r>
          </w:p>
        </w:tc>
        <w:tc>
          <w:tcPr>
            <w:tcW w:w="545" w:type="dxa"/>
            <w:tcBorders>
              <w:top w:val="nil"/>
              <w:left w:val="nil"/>
              <w:bottom w:val="single" w:sz="8" w:space="0" w:color="DCDDDE"/>
              <w:right w:val="nil"/>
            </w:tcBorders>
            <w:shd w:val="clear" w:color="000000" w:fill="FFFFFF"/>
            <w:noWrap/>
            <w:vAlign w:val="center"/>
            <w:hideMark/>
          </w:tcPr>
          <w:p w14:paraId="7D757A2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81</w:t>
            </w:r>
          </w:p>
        </w:tc>
        <w:tc>
          <w:tcPr>
            <w:tcW w:w="545" w:type="dxa"/>
            <w:tcBorders>
              <w:top w:val="nil"/>
              <w:left w:val="nil"/>
              <w:bottom w:val="single" w:sz="8" w:space="0" w:color="DCDDDE"/>
              <w:right w:val="nil"/>
            </w:tcBorders>
            <w:shd w:val="clear" w:color="000000" w:fill="FFFFFF"/>
            <w:noWrap/>
            <w:vAlign w:val="center"/>
            <w:hideMark/>
          </w:tcPr>
          <w:p w14:paraId="1EDB54D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86</w:t>
            </w:r>
          </w:p>
        </w:tc>
        <w:tc>
          <w:tcPr>
            <w:tcW w:w="545" w:type="dxa"/>
            <w:tcBorders>
              <w:top w:val="nil"/>
              <w:left w:val="nil"/>
              <w:bottom w:val="single" w:sz="8" w:space="0" w:color="DCDDDE"/>
              <w:right w:val="nil"/>
            </w:tcBorders>
            <w:shd w:val="clear" w:color="000000" w:fill="FFFFFF"/>
            <w:noWrap/>
            <w:vAlign w:val="center"/>
            <w:hideMark/>
          </w:tcPr>
          <w:p w14:paraId="5F5200D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87</w:t>
            </w:r>
          </w:p>
        </w:tc>
        <w:tc>
          <w:tcPr>
            <w:tcW w:w="545" w:type="dxa"/>
            <w:tcBorders>
              <w:top w:val="nil"/>
              <w:left w:val="nil"/>
              <w:bottom w:val="single" w:sz="8" w:space="0" w:color="DCDDDE"/>
              <w:right w:val="nil"/>
            </w:tcBorders>
            <w:shd w:val="clear" w:color="000000" w:fill="FFFFFF"/>
            <w:noWrap/>
            <w:vAlign w:val="center"/>
            <w:hideMark/>
          </w:tcPr>
          <w:p w14:paraId="67F6F7F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89</w:t>
            </w:r>
          </w:p>
        </w:tc>
        <w:tc>
          <w:tcPr>
            <w:tcW w:w="545" w:type="dxa"/>
            <w:tcBorders>
              <w:top w:val="nil"/>
              <w:left w:val="nil"/>
              <w:bottom w:val="single" w:sz="8" w:space="0" w:color="DCDDDE"/>
              <w:right w:val="nil"/>
            </w:tcBorders>
            <w:shd w:val="clear" w:color="000000" w:fill="FFFFFF"/>
            <w:noWrap/>
            <w:vAlign w:val="center"/>
            <w:hideMark/>
          </w:tcPr>
          <w:p w14:paraId="0892CF7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93</w:t>
            </w:r>
          </w:p>
        </w:tc>
        <w:tc>
          <w:tcPr>
            <w:tcW w:w="545" w:type="dxa"/>
            <w:tcBorders>
              <w:top w:val="nil"/>
              <w:left w:val="nil"/>
              <w:bottom w:val="single" w:sz="8" w:space="0" w:color="DCDDDE"/>
              <w:right w:val="nil"/>
            </w:tcBorders>
            <w:shd w:val="clear" w:color="000000" w:fill="FFFFFF"/>
            <w:noWrap/>
            <w:vAlign w:val="center"/>
            <w:hideMark/>
          </w:tcPr>
          <w:p w14:paraId="032DC5D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96</w:t>
            </w:r>
          </w:p>
        </w:tc>
        <w:tc>
          <w:tcPr>
            <w:tcW w:w="545" w:type="dxa"/>
            <w:tcBorders>
              <w:top w:val="nil"/>
              <w:left w:val="nil"/>
              <w:bottom w:val="single" w:sz="8" w:space="0" w:color="DCDDDE"/>
              <w:right w:val="nil"/>
            </w:tcBorders>
            <w:shd w:val="clear" w:color="000000" w:fill="FFFFFF"/>
            <w:noWrap/>
            <w:vAlign w:val="center"/>
            <w:hideMark/>
          </w:tcPr>
          <w:p w14:paraId="0E0AEEF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97</w:t>
            </w:r>
          </w:p>
        </w:tc>
        <w:tc>
          <w:tcPr>
            <w:tcW w:w="545" w:type="dxa"/>
            <w:tcBorders>
              <w:top w:val="nil"/>
              <w:left w:val="nil"/>
              <w:bottom w:val="single" w:sz="8" w:space="0" w:color="DCDDDE"/>
              <w:right w:val="nil"/>
            </w:tcBorders>
            <w:shd w:val="clear" w:color="000000" w:fill="FFFFFF"/>
            <w:noWrap/>
            <w:vAlign w:val="center"/>
            <w:hideMark/>
          </w:tcPr>
          <w:p w14:paraId="547E663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99</w:t>
            </w:r>
          </w:p>
        </w:tc>
        <w:tc>
          <w:tcPr>
            <w:tcW w:w="545" w:type="dxa"/>
            <w:tcBorders>
              <w:top w:val="nil"/>
              <w:left w:val="nil"/>
              <w:bottom w:val="single" w:sz="8" w:space="0" w:color="DCDDDE"/>
              <w:right w:val="nil"/>
            </w:tcBorders>
            <w:shd w:val="clear" w:color="000000" w:fill="FFFFFF"/>
            <w:noWrap/>
            <w:vAlign w:val="center"/>
            <w:hideMark/>
          </w:tcPr>
          <w:p w14:paraId="1024B08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101</w:t>
            </w:r>
          </w:p>
        </w:tc>
        <w:tc>
          <w:tcPr>
            <w:tcW w:w="545" w:type="dxa"/>
            <w:tcBorders>
              <w:top w:val="nil"/>
              <w:left w:val="nil"/>
              <w:bottom w:val="single" w:sz="8" w:space="0" w:color="DCDDDE"/>
              <w:right w:val="nil"/>
            </w:tcBorders>
            <w:shd w:val="clear" w:color="000000" w:fill="FFFFFF"/>
            <w:noWrap/>
            <w:vAlign w:val="center"/>
            <w:hideMark/>
          </w:tcPr>
          <w:p w14:paraId="6A946B9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101</w:t>
            </w:r>
          </w:p>
        </w:tc>
        <w:tc>
          <w:tcPr>
            <w:tcW w:w="545" w:type="dxa"/>
            <w:tcBorders>
              <w:top w:val="nil"/>
              <w:left w:val="nil"/>
              <w:bottom w:val="single" w:sz="8" w:space="0" w:color="DCDDDE"/>
              <w:right w:val="nil"/>
            </w:tcBorders>
            <w:shd w:val="clear" w:color="000000" w:fill="FFFFFF"/>
            <w:noWrap/>
            <w:vAlign w:val="center"/>
            <w:hideMark/>
          </w:tcPr>
          <w:p w14:paraId="5AEFEC5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100</w:t>
            </w:r>
          </w:p>
        </w:tc>
      </w:tr>
      <w:tr w:rsidR="00490035" w:rsidRPr="00490035" w14:paraId="267250D4"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1943E528"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5CBAF43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0B38B7A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19EA664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5063494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0BFEF03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4E51B25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2F3376F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45</w:t>
            </w:r>
          </w:p>
        </w:tc>
        <w:tc>
          <w:tcPr>
            <w:tcW w:w="545" w:type="dxa"/>
            <w:tcBorders>
              <w:top w:val="nil"/>
              <w:left w:val="nil"/>
              <w:bottom w:val="single" w:sz="8" w:space="0" w:color="DCDDDE"/>
              <w:right w:val="nil"/>
            </w:tcBorders>
            <w:shd w:val="clear" w:color="000000" w:fill="FFFFFF"/>
            <w:noWrap/>
            <w:vAlign w:val="center"/>
            <w:hideMark/>
          </w:tcPr>
          <w:p w14:paraId="6467C6E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50</w:t>
            </w:r>
          </w:p>
        </w:tc>
        <w:tc>
          <w:tcPr>
            <w:tcW w:w="545" w:type="dxa"/>
            <w:tcBorders>
              <w:top w:val="nil"/>
              <w:left w:val="nil"/>
              <w:bottom w:val="single" w:sz="8" w:space="0" w:color="DCDDDE"/>
              <w:right w:val="nil"/>
            </w:tcBorders>
            <w:shd w:val="clear" w:color="000000" w:fill="FFFFFF"/>
            <w:noWrap/>
            <w:vAlign w:val="center"/>
            <w:hideMark/>
          </w:tcPr>
          <w:p w14:paraId="7C45AE2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w:t>
            </w:r>
          </w:p>
        </w:tc>
        <w:tc>
          <w:tcPr>
            <w:tcW w:w="545" w:type="dxa"/>
            <w:tcBorders>
              <w:top w:val="nil"/>
              <w:left w:val="nil"/>
              <w:bottom w:val="single" w:sz="8" w:space="0" w:color="DCDDDE"/>
              <w:right w:val="nil"/>
            </w:tcBorders>
            <w:shd w:val="clear" w:color="000000" w:fill="FFFFFF"/>
            <w:noWrap/>
            <w:vAlign w:val="center"/>
            <w:hideMark/>
          </w:tcPr>
          <w:p w14:paraId="1838120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60</w:t>
            </w:r>
          </w:p>
        </w:tc>
        <w:tc>
          <w:tcPr>
            <w:tcW w:w="545" w:type="dxa"/>
            <w:tcBorders>
              <w:top w:val="nil"/>
              <w:left w:val="nil"/>
              <w:bottom w:val="single" w:sz="8" w:space="0" w:color="DCDDDE"/>
              <w:right w:val="nil"/>
            </w:tcBorders>
            <w:shd w:val="clear" w:color="000000" w:fill="FFFFFF"/>
            <w:noWrap/>
            <w:vAlign w:val="center"/>
            <w:hideMark/>
          </w:tcPr>
          <w:p w14:paraId="3A17441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66</w:t>
            </w:r>
          </w:p>
        </w:tc>
        <w:tc>
          <w:tcPr>
            <w:tcW w:w="545" w:type="dxa"/>
            <w:tcBorders>
              <w:top w:val="nil"/>
              <w:left w:val="nil"/>
              <w:bottom w:val="single" w:sz="8" w:space="0" w:color="DCDDDE"/>
              <w:right w:val="nil"/>
            </w:tcBorders>
            <w:shd w:val="clear" w:color="000000" w:fill="FFFFFF"/>
            <w:noWrap/>
            <w:vAlign w:val="center"/>
            <w:hideMark/>
          </w:tcPr>
          <w:p w14:paraId="299B379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71</w:t>
            </w:r>
          </w:p>
        </w:tc>
        <w:tc>
          <w:tcPr>
            <w:tcW w:w="545" w:type="dxa"/>
            <w:tcBorders>
              <w:top w:val="nil"/>
              <w:left w:val="nil"/>
              <w:bottom w:val="single" w:sz="8" w:space="0" w:color="DCDDDE"/>
              <w:right w:val="nil"/>
            </w:tcBorders>
            <w:shd w:val="clear" w:color="000000" w:fill="FFFFFF"/>
            <w:noWrap/>
            <w:vAlign w:val="center"/>
            <w:hideMark/>
          </w:tcPr>
          <w:p w14:paraId="42B14A0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77</w:t>
            </w:r>
          </w:p>
        </w:tc>
      </w:tr>
      <w:tr w:rsidR="00490035" w:rsidRPr="00490035" w14:paraId="2A2B8C21"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0A939DC6"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lastRenderedPageBreak/>
              <w:t>Low Income</w:t>
            </w:r>
          </w:p>
        </w:tc>
        <w:tc>
          <w:tcPr>
            <w:tcW w:w="545" w:type="dxa"/>
            <w:tcBorders>
              <w:top w:val="nil"/>
              <w:left w:val="nil"/>
              <w:bottom w:val="single" w:sz="8" w:space="0" w:color="DCDDDE"/>
              <w:right w:val="nil"/>
            </w:tcBorders>
            <w:shd w:val="clear" w:color="000000" w:fill="FFFFFF"/>
            <w:noWrap/>
            <w:vAlign w:val="center"/>
            <w:hideMark/>
          </w:tcPr>
          <w:p w14:paraId="5C1876B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318F36C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5E344FA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17E05C5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1544131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6F9CE86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718D17E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4CDADA4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02F3A14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577F7E2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5116A78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6D26F52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0A98FCE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r>
      <w:tr w:rsidR="00490035" w:rsidRPr="00490035" w14:paraId="158B4DD8"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63AB8FC6"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47B78B3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103</w:t>
            </w:r>
          </w:p>
        </w:tc>
        <w:tc>
          <w:tcPr>
            <w:tcW w:w="545" w:type="dxa"/>
            <w:tcBorders>
              <w:top w:val="nil"/>
              <w:left w:val="nil"/>
              <w:bottom w:val="single" w:sz="8" w:space="0" w:color="DCDDDE"/>
              <w:right w:val="nil"/>
            </w:tcBorders>
            <w:shd w:val="clear" w:color="000000" w:fill="FFFFFF"/>
            <w:noWrap/>
            <w:vAlign w:val="center"/>
            <w:hideMark/>
          </w:tcPr>
          <w:p w14:paraId="67640F6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112</w:t>
            </w:r>
          </w:p>
        </w:tc>
        <w:tc>
          <w:tcPr>
            <w:tcW w:w="545" w:type="dxa"/>
            <w:tcBorders>
              <w:top w:val="nil"/>
              <w:left w:val="nil"/>
              <w:bottom w:val="single" w:sz="8" w:space="0" w:color="DCDDDE"/>
              <w:right w:val="nil"/>
            </w:tcBorders>
            <w:shd w:val="clear" w:color="000000" w:fill="FFFFFF"/>
            <w:noWrap/>
            <w:vAlign w:val="center"/>
            <w:hideMark/>
          </w:tcPr>
          <w:p w14:paraId="04B091A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114</w:t>
            </w:r>
          </w:p>
        </w:tc>
        <w:tc>
          <w:tcPr>
            <w:tcW w:w="545" w:type="dxa"/>
            <w:tcBorders>
              <w:top w:val="nil"/>
              <w:left w:val="nil"/>
              <w:bottom w:val="single" w:sz="8" w:space="0" w:color="DCDDDE"/>
              <w:right w:val="nil"/>
            </w:tcBorders>
            <w:shd w:val="clear" w:color="000000" w:fill="FFFFFF"/>
            <w:noWrap/>
            <w:vAlign w:val="center"/>
            <w:hideMark/>
          </w:tcPr>
          <w:p w14:paraId="04D0915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126</w:t>
            </w:r>
          </w:p>
        </w:tc>
        <w:tc>
          <w:tcPr>
            <w:tcW w:w="545" w:type="dxa"/>
            <w:tcBorders>
              <w:top w:val="nil"/>
              <w:left w:val="nil"/>
              <w:bottom w:val="single" w:sz="8" w:space="0" w:color="DCDDDE"/>
              <w:right w:val="nil"/>
            </w:tcBorders>
            <w:shd w:val="clear" w:color="000000" w:fill="FFFFFF"/>
            <w:noWrap/>
            <w:vAlign w:val="center"/>
            <w:hideMark/>
          </w:tcPr>
          <w:p w14:paraId="50641F4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131</w:t>
            </w:r>
          </w:p>
        </w:tc>
        <w:tc>
          <w:tcPr>
            <w:tcW w:w="545" w:type="dxa"/>
            <w:tcBorders>
              <w:top w:val="nil"/>
              <w:left w:val="nil"/>
              <w:bottom w:val="single" w:sz="8" w:space="0" w:color="DCDDDE"/>
              <w:right w:val="nil"/>
            </w:tcBorders>
            <w:shd w:val="clear" w:color="000000" w:fill="FFFFFF"/>
            <w:noWrap/>
            <w:vAlign w:val="center"/>
            <w:hideMark/>
          </w:tcPr>
          <w:p w14:paraId="2C11BA5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137</w:t>
            </w:r>
          </w:p>
        </w:tc>
        <w:tc>
          <w:tcPr>
            <w:tcW w:w="545" w:type="dxa"/>
            <w:tcBorders>
              <w:top w:val="nil"/>
              <w:left w:val="nil"/>
              <w:bottom w:val="single" w:sz="8" w:space="0" w:color="DCDDDE"/>
              <w:right w:val="nil"/>
            </w:tcBorders>
            <w:shd w:val="clear" w:color="000000" w:fill="FFFFFF"/>
            <w:noWrap/>
            <w:vAlign w:val="center"/>
            <w:hideMark/>
          </w:tcPr>
          <w:p w14:paraId="3F27897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145</w:t>
            </w:r>
          </w:p>
        </w:tc>
        <w:tc>
          <w:tcPr>
            <w:tcW w:w="545" w:type="dxa"/>
            <w:tcBorders>
              <w:top w:val="nil"/>
              <w:left w:val="nil"/>
              <w:bottom w:val="single" w:sz="8" w:space="0" w:color="DCDDDE"/>
              <w:right w:val="nil"/>
            </w:tcBorders>
            <w:shd w:val="clear" w:color="000000" w:fill="FFFFFF"/>
            <w:noWrap/>
            <w:vAlign w:val="center"/>
            <w:hideMark/>
          </w:tcPr>
          <w:p w14:paraId="6AD20BA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153</w:t>
            </w:r>
          </w:p>
        </w:tc>
        <w:tc>
          <w:tcPr>
            <w:tcW w:w="545" w:type="dxa"/>
            <w:tcBorders>
              <w:top w:val="nil"/>
              <w:left w:val="nil"/>
              <w:bottom w:val="single" w:sz="8" w:space="0" w:color="DCDDDE"/>
              <w:right w:val="nil"/>
            </w:tcBorders>
            <w:shd w:val="clear" w:color="000000" w:fill="FFFFFF"/>
            <w:noWrap/>
            <w:vAlign w:val="center"/>
            <w:hideMark/>
          </w:tcPr>
          <w:p w14:paraId="1715C29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160</w:t>
            </w:r>
          </w:p>
        </w:tc>
        <w:tc>
          <w:tcPr>
            <w:tcW w:w="545" w:type="dxa"/>
            <w:tcBorders>
              <w:top w:val="nil"/>
              <w:left w:val="nil"/>
              <w:bottom w:val="single" w:sz="8" w:space="0" w:color="DCDDDE"/>
              <w:right w:val="nil"/>
            </w:tcBorders>
            <w:shd w:val="clear" w:color="000000" w:fill="FFFFFF"/>
            <w:noWrap/>
            <w:vAlign w:val="center"/>
            <w:hideMark/>
          </w:tcPr>
          <w:p w14:paraId="38D6C1E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166</w:t>
            </w:r>
          </w:p>
        </w:tc>
        <w:tc>
          <w:tcPr>
            <w:tcW w:w="545" w:type="dxa"/>
            <w:tcBorders>
              <w:top w:val="nil"/>
              <w:left w:val="nil"/>
              <w:bottom w:val="single" w:sz="8" w:space="0" w:color="DCDDDE"/>
              <w:right w:val="nil"/>
            </w:tcBorders>
            <w:shd w:val="clear" w:color="000000" w:fill="FFFFFF"/>
            <w:noWrap/>
            <w:vAlign w:val="center"/>
            <w:hideMark/>
          </w:tcPr>
          <w:p w14:paraId="21D93A0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174</w:t>
            </w:r>
          </w:p>
        </w:tc>
        <w:tc>
          <w:tcPr>
            <w:tcW w:w="545" w:type="dxa"/>
            <w:tcBorders>
              <w:top w:val="nil"/>
              <w:left w:val="nil"/>
              <w:bottom w:val="single" w:sz="8" w:space="0" w:color="DCDDDE"/>
              <w:right w:val="nil"/>
            </w:tcBorders>
            <w:shd w:val="clear" w:color="000000" w:fill="FFFFFF"/>
            <w:noWrap/>
            <w:vAlign w:val="center"/>
            <w:hideMark/>
          </w:tcPr>
          <w:p w14:paraId="2593A4C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179</w:t>
            </w:r>
          </w:p>
        </w:tc>
        <w:tc>
          <w:tcPr>
            <w:tcW w:w="545" w:type="dxa"/>
            <w:tcBorders>
              <w:top w:val="nil"/>
              <w:left w:val="nil"/>
              <w:bottom w:val="single" w:sz="8" w:space="0" w:color="DCDDDE"/>
              <w:right w:val="nil"/>
            </w:tcBorders>
            <w:shd w:val="clear" w:color="000000" w:fill="FFFFFF"/>
            <w:noWrap/>
            <w:vAlign w:val="center"/>
            <w:hideMark/>
          </w:tcPr>
          <w:p w14:paraId="2C24A99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184</w:t>
            </w:r>
          </w:p>
        </w:tc>
      </w:tr>
      <w:tr w:rsidR="00490035" w:rsidRPr="00490035" w14:paraId="630C363C"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1C36033B"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5F26A4E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125</w:t>
            </w:r>
          </w:p>
        </w:tc>
        <w:tc>
          <w:tcPr>
            <w:tcW w:w="545" w:type="dxa"/>
            <w:tcBorders>
              <w:top w:val="nil"/>
              <w:left w:val="nil"/>
              <w:bottom w:val="single" w:sz="8" w:space="0" w:color="DCDDDE"/>
              <w:right w:val="nil"/>
            </w:tcBorders>
            <w:shd w:val="clear" w:color="000000" w:fill="FFFFFF"/>
            <w:noWrap/>
            <w:vAlign w:val="center"/>
            <w:hideMark/>
          </w:tcPr>
          <w:p w14:paraId="6891342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130</w:t>
            </w:r>
          </w:p>
        </w:tc>
        <w:tc>
          <w:tcPr>
            <w:tcW w:w="545" w:type="dxa"/>
            <w:tcBorders>
              <w:top w:val="nil"/>
              <w:left w:val="nil"/>
              <w:bottom w:val="single" w:sz="8" w:space="0" w:color="DCDDDE"/>
              <w:right w:val="nil"/>
            </w:tcBorders>
            <w:shd w:val="clear" w:color="000000" w:fill="FFFFFF"/>
            <w:noWrap/>
            <w:vAlign w:val="center"/>
            <w:hideMark/>
          </w:tcPr>
          <w:p w14:paraId="258A3D7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131</w:t>
            </w:r>
          </w:p>
        </w:tc>
        <w:tc>
          <w:tcPr>
            <w:tcW w:w="545" w:type="dxa"/>
            <w:tcBorders>
              <w:top w:val="nil"/>
              <w:left w:val="nil"/>
              <w:bottom w:val="single" w:sz="8" w:space="0" w:color="DCDDDE"/>
              <w:right w:val="nil"/>
            </w:tcBorders>
            <w:shd w:val="clear" w:color="000000" w:fill="FFFFFF"/>
            <w:noWrap/>
            <w:vAlign w:val="center"/>
            <w:hideMark/>
          </w:tcPr>
          <w:p w14:paraId="4363F54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135</w:t>
            </w:r>
          </w:p>
        </w:tc>
        <w:tc>
          <w:tcPr>
            <w:tcW w:w="545" w:type="dxa"/>
            <w:tcBorders>
              <w:top w:val="nil"/>
              <w:left w:val="nil"/>
              <w:bottom w:val="single" w:sz="8" w:space="0" w:color="DCDDDE"/>
              <w:right w:val="nil"/>
            </w:tcBorders>
            <w:shd w:val="clear" w:color="000000" w:fill="FFFFFF"/>
            <w:noWrap/>
            <w:vAlign w:val="center"/>
            <w:hideMark/>
          </w:tcPr>
          <w:p w14:paraId="6CC4E3A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131</w:t>
            </w:r>
          </w:p>
        </w:tc>
        <w:tc>
          <w:tcPr>
            <w:tcW w:w="545" w:type="dxa"/>
            <w:tcBorders>
              <w:top w:val="nil"/>
              <w:left w:val="nil"/>
              <w:bottom w:val="single" w:sz="8" w:space="0" w:color="DCDDDE"/>
              <w:right w:val="nil"/>
            </w:tcBorders>
            <w:shd w:val="clear" w:color="000000" w:fill="FFFFFF"/>
            <w:noWrap/>
            <w:vAlign w:val="center"/>
            <w:hideMark/>
          </w:tcPr>
          <w:p w14:paraId="585F69F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145</w:t>
            </w:r>
          </w:p>
        </w:tc>
        <w:tc>
          <w:tcPr>
            <w:tcW w:w="545" w:type="dxa"/>
            <w:tcBorders>
              <w:top w:val="nil"/>
              <w:left w:val="nil"/>
              <w:bottom w:val="single" w:sz="8" w:space="0" w:color="DCDDDE"/>
              <w:right w:val="nil"/>
            </w:tcBorders>
            <w:shd w:val="clear" w:color="000000" w:fill="FFFFFF"/>
            <w:noWrap/>
            <w:vAlign w:val="center"/>
            <w:hideMark/>
          </w:tcPr>
          <w:p w14:paraId="5F712E5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139</w:t>
            </w:r>
          </w:p>
        </w:tc>
        <w:tc>
          <w:tcPr>
            <w:tcW w:w="545" w:type="dxa"/>
            <w:tcBorders>
              <w:top w:val="nil"/>
              <w:left w:val="nil"/>
              <w:bottom w:val="single" w:sz="8" w:space="0" w:color="DCDDDE"/>
              <w:right w:val="nil"/>
            </w:tcBorders>
            <w:shd w:val="clear" w:color="000000" w:fill="FFFFFF"/>
            <w:noWrap/>
            <w:vAlign w:val="center"/>
            <w:hideMark/>
          </w:tcPr>
          <w:p w14:paraId="140B213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134</w:t>
            </w:r>
          </w:p>
        </w:tc>
        <w:tc>
          <w:tcPr>
            <w:tcW w:w="545" w:type="dxa"/>
            <w:tcBorders>
              <w:top w:val="nil"/>
              <w:left w:val="nil"/>
              <w:bottom w:val="single" w:sz="8" w:space="0" w:color="DCDDDE"/>
              <w:right w:val="nil"/>
            </w:tcBorders>
            <w:shd w:val="clear" w:color="000000" w:fill="FFFFFF"/>
            <w:noWrap/>
            <w:vAlign w:val="center"/>
            <w:hideMark/>
          </w:tcPr>
          <w:p w14:paraId="0A04EBA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126</w:t>
            </w:r>
          </w:p>
        </w:tc>
        <w:tc>
          <w:tcPr>
            <w:tcW w:w="545" w:type="dxa"/>
            <w:tcBorders>
              <w:top w:val="nil"/>
              <w:left w:val="nil"/>
              <w:bottom w:val="single" w:sz="8" w:space="0" w:color="DCDDDE"/>
              <w:right w:val="nil"/>
            </w:tcBorders>
            <w:shd w:val="clear" w:color="000000" w:fill="FFFFFF"/>
            <w:noWrap/>
            <w:vAlign w:val="center"/>
            <w:hideMark/>
          </w:tcPr>
          <w:p w14:paraId="79D14ED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121</w:t>
            </w:r>
          </w:p>
        </w:tc>
        <w:tc>
          <w:tcPr>
            <w:tcW w:w="545" w:type="dxa"/>
            <w:tcBorders>
              <w:top w:val="nil"/>
              <w:left w:val="nil"/>
              <w:bottom w:val="single" w:sz="8" w:space="0" w:color="DCDDDE"/>
              <w:right w:val="nil"/>
            </w:tcBorders>
            <w:shd w:val="clear" w:color="000000" w:fill="FFFFFF"/>
            <w:noWrap/>
            <w:vAlign w:val="center"/>
            <w:hideMark/>
          </w:tcPr>
          <w:p w14:paraId="6DCB756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110</w:t>
            </w:r>
          </w:p>
        </w:tc>
        <w:tc>
          <w:tcPr>
            <w:tcW w:w="545" w:type="dxa"/>
            <w:tcBorders>
              <w:top w:val="nil"/>
              <w:left w:val="nil"/>
              <w:bottom w:val="single" w:sz="8" w:space="0" w:color="DCDDDE"/>
              <w:right w:val="nil"/>
            </w:tcBorders>
            <w:shd w:val="clear" w:color="000000" w:fill="FFFFFF"/>
            <w:noWrap/>
            <w:vAlign w:val="center"/>
            <w:hideMark/>
          </w:tcPr>
          <w:p w14:paraId="31632F9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100</w:t>
            </w:r>
          </w:p>
        </w:tc>
        <w:tc>
          <w:tcPr>
            <w:tcW w:w="545" w:type="dxa"/>
            <w:tcBorders>
              <w:top w:val="nil"/>
              <w:left w:val="nil"/>
              <w:bottom w:val="single" w:sz="8" w:space="0" w:color="DCDDDE"/>
              <w:right w:val="nil"/>
            </w:tcBorders>
            <w:shd w:val="clear" w:color="000000" w:fill="FFFFFF"/>
            <w:noWrap/>
            <w:vAlign w:val="center"/>
            <w:hideMark/>
          </w:tcPr>
          <w:p w14:paraId="452622A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89</w:t>
            </w:r>
          </w:p>
        </w:tc>
      </w:tr>
      <w:tr w:rsidR="00490035" w:rsidRPr="00490035" w14:paraId="604B094D"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66898645"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44F0E32D"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229</w:t>
            </w:r>
          </w:p>
        </w:tc>
        <w:tc>
          <w:tcPr>
            <w:tcW w:w="545" w:type="dxa"/>
            <w:tcBorders>
              <w:top w:val="nil"/>
              <w:left w:val="nil"/>
              <w:bottom w:val="single" w:sz="8" w:space="0" w:color="DCDDDE"/>
              <w:right w:val="nil"/>
            </w:tcBorders>
            <w:shd w:val="clear" w:color="000000" w:fill="FFFFFF"/>
            <w:noWrap/>
            <w:vAlign w:val="center"/>
            <w:hideMark/>
          </w:tcPr>
          <w:p w14:paraId="68481494"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242</w:t>
            </w:r>
          </w:p>
        </w:tc>
        <w:tc>
          <w:tcPr>
            <w:tcW w:w="545" w:type="dxa"/>
            <w:tcBorders>
              <w:top w:val="nil"/>
              <w:left w:val="nil"/>
              <w:bottom w:val="single" w:sz="8" w:space="0" w:color="DCDDDE"/>
              <w:right w:val="nil"/>
            </w:tcBorders>
            <w:shd w:val="clear" w:color="000000" w:fill="FFFFFF"/>
            <w:noWrap/>
            <w:vAlign w:val="center"/>
            <w:hideMark/>
          </w:tcPr>
          <w:p w14:paraId="304A6CCD"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245</w:t>
            </w:r>
          </w:p>
        </w:tc>
        <w:tc>
          <w:tcPr>
            <w:tcW w:w="545" w:type="dxa"/>
            <w:tcBorders>
              <w:top w:val="nil"/>
              <w:left w:val="nil"/>
              <w:bottom w:val="single" w:sz="8" w:space="0" w:color="DCDDDE"/>
              <w:right w:val="nil"/>
            </w:tcBorders>
            <w:shd w:val="clear" w:color="000000" w:fill="FFFFFF"/>
            <w:noWrap/>
            <w:vAlign w:val="center"/>
            <w:hideMark/>
          </w:tcPr>
          <w:p w14:paraId="323CB1B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261</w:t>
            </w:r>
          </w:p>
        </w:tc>
        <w:tc>
          <w:tcPr>
            <w:tcW w:w="545" w:type="dxa"/>
            <w:tcBorders>
              <w:top w:val="nil"/>
              <w:left w:val="nil"/>
              <w:bottom w:val="single" w:sz="8" w:space="0" w:color="DCDDDE"/>
              <w:right w:val="nil"/>
            </w:tcBorders>
            <w:shd w:val="clear" w:color="000000" w:fill="FFFFFF"/>
            <w:noWrap/>
            <w:vAlign w:val="center"/>
            <w:hideMark/>
          </w:tcPr>
          <w:p w14:paraId="5D799623"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262</w:t>
            </w:r>
          </w:p>
        </w:tc>
        <w:tc>
          <w:tcPr>
            <w:tcW w:w="545" w:type="dxa"/>
            <w:tcBorders>
              <w:top w:val="nil"/>
              <w:left w:val="nil"/>
              <w:bottom w:val="single" w:sz="8" w:space="0" w:color="DCDDDE"/>
              <w:right w:val="nil"/>
            </w:tcBorders>
            <w:shd w:val="clear" w:color="000000" w:fill="FFFFFF"/>
            <w:noWrap/>
            <w:vAlign w:val="center"/>
            <w:hideMark/>
          </w:tcPr>
          <w:p w14:paraId="1C819775"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282</w:t>
            </w:r>
          </w:p>
        </w:tc>
        <w:tc>
          <w:tcPr>
            <w:tcW w:w="545" w:type="dxa"/>
            <w:tcBorders>
              <w:top w:val="nil"/>
              <w:left w:val="nil"/>
              <w:bottom w:val="single" w:sz="8" w:space="0" w:color="DCDDDE"/>
              <w:right w:val="nil"/>
            </w:tcBorders>
            <w:shd w:val="clear" w:color="000000" w:fill="FFFFFF"/>
            <w:noWrap/>
            <w:vAlign w:val="center"/>
            <w:hideMark/>
          </w:tcPr>
          <w:p w14:paraId="329C15B5"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284</w:t>
            </w:r>
          </w:p>
        </w:tc>
        <w:tc>
          <w:tcPr>
            <w:tcW w:w="545" w:type="dxa"/>
            <w:tcBorders>
              <w:top w:val="nil"/>
              <w:left w:val="nil"/>
              <w:bottom w:val="single" w:sz="8" w:space="0" w:color="DCDDDE"/>
              <w:right w:val="nil"/>
            </w:tcBorders>
            <w:shd w:val="clear" w:color="000000" w:fill="FFFFFF"/>
            <w:noWrap/>
            <w:vAlign w:val="center"/>
            <w:hideMark/>
          </w:tcPr>
          <w:p w14:paraId="28F98F0E"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287</w:t>
            </w:r>
          </w:p>
        </w:tc>
        <w:tc>
          <w:tcPr>
            <w:tcW w:w="545" w:type="dxa"/>
            <w:tcBorders>
              <w:top w:val="nil"/>
              <w:left w:val="nil"/>
              <w:bottom w:val="single" w:sz="8" w:space="0" w:color="DCDDDE"/>
              <w:right w:val="nil"/>
            </w:tcBorders>
            <w:shd w:val="clear" w:color="000000" w:fill="FFFFFF"/>
            <w:noWrap/>
            <w:vAlign w:val="center"/>
            <w:hideMark/>
          </w:tcPr>
          <w:p w14:paraId="08F1DECF"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286</w:t>
            </w:r>
          </w:p>
        </w:tc>
        <w:tc>
          <w:tcPr>
            <w:tcW w:w="545" w:type="dxa"/>
            <w:tcBorders>
              <w:top w:val="nil"/>
              <w:left w:val="nil"/>
              <w:bottom w:val="single" w:sz="8" w:space="0" w:color="DCDDDE"/>
              <w:right w:val="nil"/>
            </w:tcBorders>
            <w:shd w:val="clear" w:color="000000" w:fill="FFFFFF"/>
            <w:noWrap/>
            <w:vAlign w:val="center"/>
            <w:hideMark/>
          </w:tcPr>
          <w:p w14:paraId="41FD730E"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288</w:t>
            </w:r>
          </w:p>
        </w:tc>
        <w:tc>
          <w:tcPr>
            <w:tcW w:w="545" w:type="dxa"/>
            <w:tcBorders>
              <w:top w:val="nil"/>
              <w:left w:val="nil"/>
              <w:bottom w:val="single" w:sz="8" w:space="0" w:color="DCDDDE"/>
              <w:right w:val="nil"/>
            </w:tcBorders>
            <w:shd w:val="clear" w:color="000000" w:fill="FFFFFF"/>
            <w:noWrap/>
            <w:vAlign w:val="center"/>
            <w:hideMark/>
          </w:tcPr>
          <w:p w14:paraId="3333C158"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284</w:t>
            </w:r>
          </w:p>
        </w:tc>
        <w:tc>
          <w:tcPr>
            <w:tcW w:w="545" w:type="dxa"/>
            <w:tcBorders>
              <w:top w:val="nil"/>
              <w:left w:val="nil"/>
              <w:bottom w:val="single" w:sz="8" w:space="0" w:color="DCDDDE"/>
              <w:right w:val="nil"/>
            </w:tcBorders>
            <w:shd w:val="clear" w:color="000000" w:fill="FFFFFF"/>
            <w:noWrap/>
            <w:vAlign w:val="center"/>
            <w:hideMark/>
          </w:tcPr>
          <w:p w14:paraId="638D1DF7"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279</w:t>
            </w:r>
          </w:p>
        </w:tc>
        <w:tc>
          <w:tcPr>
            <w:tcW w:w="545" w:type="dxa"/>
            <w:tcBorders>
              <w:top w:val="nil"/>
              <w:left w:val="nil"/>
              <w:bottom w:val="single" w:sz="8" w:space="0" w:color="DCDDDE"/>
              <w:right w:val="nil"/>
            </w:tcBorders>
            <w:shd w:val="clear" w:color="000000" w:fill="FFFFFF"/>
            <w:noWrap/>
            <w:vAlign w:val="center"/>
            <w:hideMark/>
          </w:tcPr>
          <w:p w14:paraId="37C3742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273</w:t>
            </w:r>
          </w:p>
        </w:tc>
      </w:tr>
      <w:tr w:rsidR="00490035" w:rsidRPr="00490035" w14:paraId="4C6B0127" w14:textId="77777777" w:rsidTr="00490035">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39B0BDB8" w14:textId="77777777" w:rsidR="00490035" w:rsidRPr="00490035" w:rsidRDefault="00490035" w:rsidP="00490035">
            <w:pPr>
              <w:spacing w:line="240" w:lineRule="auto"/>
              <w:jc w:val="center"/>
              <w:rPr>
                <w:rFonts w:ascii="Arial Narrow" w:hAnsi="Arial Narrow"/>
                <w:b/>
                <w:bCs/>
                <w:sz w:val="18"/>
                <w:szCs w:val="18"/>
              </w:rPr>
            </w:pPr>
            <w:r w:rsidRPr="00490035">
              <w:rPr>
                <w:rFonts w:ascii="Arial Narrow" w:hAnsi="Arial Narrow"/>
                <w:b/>
                <w:bCs/>
                <w:sz w:val="18"/>
                <w:szCs w:val="18"/>
              </w:rPr>
              <w:t>PAC | Aggressive</w:t>
            </w:r>
          </w:p>
        </w:tc>
      </w:tr>
      <w:tr w:rsidR="00490035" w:rsidRPr="00490035" w14:paraId="3CD3A84E"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40180FAF"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761E703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84</w:t>
            </w:r>
          </w:p>
        </w:tc>
        <w:tc>
          <w:tcPr>
            <w:tcW w:w="545" w:type="dxa"/>
            <w:tcBorders>
              <w:top w:val="nil"/>
              <w:left w:val="nil"/>
              <w:bottom w:val="single" w:sz="8" w:space="0" w:color="DCDDDE"/>
              <w:right w:val="nil"/>
            </w:tcBorders>
            <w:shd w:val="clear" w:color="000000" w:fill="FFFFFF"/>
            <w:noWrap/>
            <w:vAlign w:val="center"/>
            <w:hideMark/>
          </w:tcPr>
          <w:p w14:paraId="08C4887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88</w:t>
            </w:r>
          </w:p>
        </w:tc>
        <w:tc>
          <w:tcPr>
            <w:tcW w:w="545" w:type="dxa"/>
            <w:tcBorders>
              <w:top w:val="nil"/>
              <w:left w:val="nil"/>
              <w:bottom w:val="single" w:sz="8" w:space="0" w:color="DCDDDE"/>
              <w:right w:val="nil"/>
            </w:tcBorders>
            <w:shd w:val="clear" w:color="000000" w:fill="FFFFFF"/>
            <w:noWrap/>
            <w:vAlign w:val="center"/>
            <w:hideMark/>
          </w:tcPr>
          <w:p w14:paraId="76B3E89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86</w:t>
            </w:r>
          </w:p>
        </w:tc>
        <w:tc>
          <w:tcPr>
            <w:tcW w:w="545" w:type="dxa"/>
            <w:tcBorders>
              <w:top w:val="nil"/>
              <w:left w:val="nil"/>
              <w:bottom w:val="single" w:sz="8" w:space="0" w:color="DCDDDE"/>
              <w:right w:val="nil"/>
            </w:tcBorders>
            <w:shd w:val="clear" w:color="000000" w:fill="FFFFFF"/>
            <w:noWrap/>
            <w:vAlign w:val="center"/>
            <w:hideMark/>
          </w:tcPr>
          <w:p w14:paraId="6EEFAF6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92</w:t>
            </w:r>
          </w:p>
        </w:tc>
        <w:tc>
          <w:tcPr>
            <w:tcW w:w="545" w:type="dxa"/>
            <w:tcBorders>
              <w:top w:val="nil"/>
              <w:left w:val="nil"/>
              <w:bottom w:val="single" w:sz="8" w:space="0" w:color="DCDDDE"/>
              <w:right w:val="nil"/>
            </w:tcBorders>
            <w:shd w:val="clear" w:color="000000" w:fill="FFFFFF"/>
            <w:noWrap/>
            <w:vAlign w:val="center"/>
            <w:hideMark/>
          </w:tcPr>
          <w:p w14:paraId="7C287FF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93</w:t>
            </w:r>
          </w:p>
        </w:tc>
        <w:tc>
          <w:tcPr>
            <w:tcW w:w="545" w:type="dxa"/>
            <w:tcBorders>
              <w:top w:val="nil"/>
              <w:left w:val="nil"/>
              <w:bottom w:val="single" w:sz="8" w:space="0" w:color="DCDDDE"/>
              <w:right w:val="nil"/>
            </w:tcBorders>
            <w:shd w:val="clear" w:color="000000" w:fill="FFFFFF"/>
            <w:noWrap/>
            <w:vAlign w:val="center"/>
            <w:hideMark/>
          </w:tcPr>
          <w:p w14:paraId="38C1410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96</w:t>
            </w:r>
          </w:p>
        </w:tc>
        <w:tc>
          <w:tcPr>
            <w:tcW w:w="545" w:type="dxa"/>
            <w:tcBorders>
              <w:top w:val="nil"/>
              <w:left w:val="nil"/>
              <w:bottom w:val="single" w:sz="8" w:space="0" w:color="DCDDDE"/>
              <w:right w:val="nil"/>
            </w:tcBorders>
            <w:shd w:val="clear" w:color="000000" w:fill="FFFFFF"/>
            <w:noWrap/>
            <w:vAlign w:val="center"/>
            <w:hideMark/>
          </w:tcPr>
          <w:p w14:paraId="68E97D5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99</w:t>
            </w:r>
          </w:p>
        </w:tc>
        <w:tc>
          <w:tcPr>
            <w:tcW w:w="545" w:type="dxa"/>
            <w:tcBorders>
              <w:top w:val="nil"/>
              <w:left w:val="nil"/>
              <w:bottom w:val="single" w:sz="8" w:space="0" w:color="DCDDDE"/>
              <w:right w:val="nil"/>
            </w:tcBorders>
            <w:shd w:val="clear" w:color="000000" w:fill="FFFFFF"/>
            <w:noWrap/>
            <w:vAlign w:val="center"/>
            <w:hideMark/>
          </w:tcPr>
          <w:p w14:paraId="607A68D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102</w:t>
            </w:r>
          </w:p>
        </w:tc>
        <w:tc>
          <w:tcPr>
            <w:tcW w:w="545" w:type="dxa"/>
            <w:tcBorders>
              <w:top w:val="nil"/>
              <w:left w:val="nil"/>
              <w:bottom w:val="single" w:sz="8" w:space="0" w:color="DCDDDE"/>
              <w:right w:val="nil"/>
            </w:tcBorders>
            <w:shd w:val="clear" w:color="000000" w:fill="FFFFFF"/>
            <w:noWrap/>
            <w:vAlign w:val="center"/>
            <w:hideMark/>
          </w:tcPr>
          <w:p w14:paraId="5314F212"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103</w:t>
            </w:r>
          </w:p>
        </w:tc>
        <w:tc>
          <w:tcPr>
            <w:tcW w:w="545" w:type="dxa"/>
            <w:tcBorders>
              <w:top w:val="nil"/>
              <w:left w:val="nil"/>
              <w:bottom w:val="single" w:sz="8" w:space="0" w:color="DCDDDE"/>
              <w:right w:val="nil"/>
            </w:tcBorders>
            <w:shd w:val="clear" w:color="000000" w:fill="FFFFFF"/>
            <w:noWrap/>
            <w:vAlign w:val="center"/>
            <w:hideMark/>
          </w:tcPr>
          <w:p w14:paraId="659780F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104</w:t>
            </w:r>
          </w:p>
        </w:tc>
        <w:tc>
          <w:tcPr>
            <w:tcW w:w="545" w:type="dxa"/>
            <w:tcBorders>
              <w:top w:val="nil"/>
              <w:left w:val="nil"/>
              <w:bottom w:val="single" w:sz="8" w:space="0" w:color="DCDDDE"/>
              <w:right w:val="nil"/>
            </w:tcBorders>
            <w:shd w:val="clear" w:color="000000" w:fill="FFFFFF"/>
            <w:noWrap/>
            <w:vAlign w:val="center"/>
            <w:hideMark/>
          </w:tcPr>
          <w:p w14:paraId="003A86A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105</w:t>
            </w:r>
          </w:p>
        </w:tc>
        <w:tc>
          <w:tcPr>
            <w:tcW w:w="545" w:type="dxa"/>
            <w:tcBorders>
              <w:top w:val="nil"/>
              <w:left w:val="nil"/>
              <w:bottom w:val="single" w:sz="8" w:space="0" w:color="DCDDDE"/>
              <w:right w:val="nil"/>
            </w:tcBorders>
            <w:shd w:val="clear" w:color="000000" w:fill="FFFFFF"/>
            <w:noWrap/>
            <w:vAlign w:val="center"/>
            <w:hideMark/>
          </w:tcPr>
          <w:p w14:paraId="604D6E9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105</w:t>
            </w:r>
          </w:p>
        </w:tc>
        <w:tc>
          <w:tcPr>
            <w:tcW w:w="545" w:type="dxa"/>
            <w:tcBorders>
              <w:top w:val="nil"/>
              <w:left w:val="nil"/>
              <w:bottom w:val="single" w:sz="8" w:space="0" w:color="DCDDDE"/>
              <w:right w:val="nil"/>
            </w:tcBorders>
            <w:shd w:val="clear" w:color="000000" w:fill="FFFFFF"/>
            <w:noWrap/>
            <w:vAlign w:val="center"/>
            <w:hideMark/>
          </w:tcPr>
          <w:p w14:paraId="1599801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103</w:t>
            </w:r>
          </w:p>
        </w:tc>
      </w:tr>
      <w:tr w:rsidR="00490035" w:rsidRPr="00490035" w14:paraId="57EB658B"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1EEC89C9"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736EA88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7743377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40</w:t>
            </w:r>
          </w:p>
        </w:tc>
        <w:tc>
          <w:tcPr>
            <w:tcW w:w="545" w:type="dxa"/>
            <w:tcBorders>
              <w:top w:val="nil"/>
              <w:left w:val="nil"/>
              <w:bottom w:val="single" w:sz="8" w:space="0" w:color="DCDDDE"/>
              <w:right w:val="nil"/>
            </w:tcBorders>
            <w:shd w:val="clear" w:color="000000" w:fill="FFFFFF"/>
            <w:noWrap/>
            <w:vAlign w:val="center"/>
            <w:hideMark/>
          </w:tcPr>
          <w:p w14:paraId="68B327D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47</w:t>
            </w:r>
          </w:p>
        </w:tc>
        <w:tc>
          <w:tcPr>
            <w:tcW w:w="545" w:type="dxa"/>
            <w:tcBorders>
              <w:top w:val="nil"/>
              <w:left w:val="nil"/>
              <w:bottom w:val="single" w:sz="8" w:space="0" w:color="DCDDDE"/>
              <w:right w:val="nil"/>
            </w:tcBorders>
            <w:shd w:val="clear" w:color="000000" w:fill="FFFFFF"/>
            <w:noWrap/>
            <w:vAlign w:val="center"/>
            <w:hideMark/>
          </w:tcPr>
          <w:p w14:paraId="3C0C670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55</w:t>
            </w:r>
          </w:p>
        </w:tc>
        <w:tc>
          <w:tcPr>
            <w:tcW w:w="545" w:type="dxa"/>
            <w:tcBorders>
              <w:top w:val="nil"/>
              <w:left w:val="nil"/>
              <w:bottom w:val="single" w:sz="8" w:space="0" w:color="DCDDDE"/>
              <w:right w:val="nil"/>
            </w:tcBorders>
            <w:shd w:val="clear" w:color="000000" w:fill="FFFFFF"/>
            <w:noWrap/>
            <w:vAlign w:val="center"/>
            <w:hideMark/>
          </w:tcPr>
          <w:p w14:paraId="42DA58E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65</w:t>
            </w:r>
          </w:p>
        </w:tc>
        <w:tc>
          <w:tcPr>
            <w:tcW w:w="545" w:type="dxa"/>
            <w:tcBorders>
              <w:top w:val="nil"/>
              <w:left w:val="nil"/>
              <w:bottom w:val="single" w:sz="8" w:space="0" w:color="DCDDDE"/>
              <w:right w:val="nil"/>
            </w:tcBorders>
            <w:shd w:val="clear" w:color="000000" w:fill="FFFFFF"/>
            <w:noWrap/>
            <w:vAlign w:val="center"/>
            <w:hideMark/>
          </w:tcPr>
          <w:p w14:paraId="4D91876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74</w:t>
            </w:r>
          </w:p>
        </w:tc>
        <w:tc>
          <w:tcPr>
            <w:tcW w:w="545" w:type="dxa"/>
            <w:tcBorders>
              <w:top w:val="nil"/>
              <w:left w:val="nil"/>
              <w:bottom w:val="single" w:sz="8" w:space="0" w:color="DCDDDE"/>
              <w:right w:val="nil"/>
            </w:tcBorders>
            <w:shd w:val="clear" w:color="000000" w:fill="FFFFFF"/>
            <w:noWrap/>
            <w:vAlign w:val="center"/>
            <w:hideMark/>
          </w:tcPr>
          <w:p w14:paraId="63058E4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91</w:t>
            </w:r>
          </w:p>
        </w:tc>
        <w:tc>
          <w:tcPr>
            <w:tcW w:w="545" w:type="dxa"/>
            <w:tcBorders>
              <w:top w:val="nil"/>
              <w:left w:val="nil"/>
              <w:bottom w:val="single" w:sz="8" w:space="0" w:color="DCDDDE"/>
              <w:right w:val="nil"/>
            </w:tcBorders>
            <w:shd w:val="clear" w:color="000000" w:fill="FFFFFF"/>
            <w:noWrap/>
            <w:vAlign w:val="center"/>
            <w:hideMark/>
          </w:tcPr>
          <w:p w14:paraId="67303BA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102</w:t>
            </w:r>
          </w:p>
        </w:tc>
        <w:tc>
          <w:tcPr>
            <w:tcW w:w="545" w:type="dxa"/>
            <w:tcBorders>
              <w:top w:val="nil"/>
              <w:left w:val="nil"/>
              <w:bottom w:val="single" w:sz="8" w:space="0" w:color="DCDDDE"/>
              <w:right w:val="nil"/>
            </w:tcBorders>
            <w:shd w:val="clear" w:color="000000" w:fill="FFFFFF"/>
            <w:noWrap/>
            <w:vAlign w:val="center"/>
            <w:hideMark/>
          </w:tcPr>
          <w:p w14:paraId="406CFA7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114</w:t>
            </w:r>
          </w:p>
        </w:tc>
        <w:tc>
          <w:tcPr>
            <w:tcW w:w="545" w:type="dxa"/>
            <w:tcBorders>
              <w:top w:val="nil"/>
              <w:left w:val="nil"/>
              <w:bottom w:val="single" w:sz="8" w:space="0" w:color="DCDDDE"/>
              <w:right w:val="nil"/>
            </w:tcBorders>
            <w:shd w:val="clear" w:color="000000" w:fill="FFFFFF"/>
            <w:noWrap/>
            <w:vAlign w:val="center"/>
            <w:hideMark/>
          </w:tcPr>
          <w:p w14:paraId="2FD172A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127</w:t>
            </w:r>
          </w:p>
        </w:tc>
        <w:tc>
          <w:tcPr>
            <w:tcW w:w="545" w:type="dxa"/>
            <w:tcBorders>
              <w:top w:val="nil"/>
              <w:left w:val="nil"/>
              <w:bottom w:val="single" w:sz="8" w:space="0" w:color="DCDDDE"/>
              <w:right w:val="nil"/>
            </w:tcBorders>
            <w:shd w:val="clear" w:color="000000" w:fill="FFFFFF"/>
            <w:noWrap/>
            <w:vAlign w:val="center"/>
            <w:hideMark/>
          </w:tcPr>
          <w:p w14:paraId="11297A0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141</w:t>
            </w:r>
          </w:p>
        </w:tc>
        <w:tc>
          <w:tcPr>
            <w:tcW w:w="545" w:type="dxa"/>
            <w:tcBorders>
              <w:top w:val="nil"/>
              <w:left w:val="nil"/>
              <w:bottom w:val="single" w:sz="8" w:space="0" w:color="DCDDDE"/>
              <w:right w:val="nil"/>
            </w:tcBorders>
            <w:shd w:val="clear" w:color="000000" w:fill="FFFFFF"/>
            <w:noWrap/>
            <w:vAlign w:val="center"/>
            <w:hideMark/>
          </w:tcPr>
          <w:p w14:paraId="7F3BC2F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155</w:t>
            </w:r>
          </w:p>
        </w:tc>
        <w:tc>
          <w:tcPr>
            <w:tcW w:w="545" w:type="dxa"/>
            <w:tcBorders>
              <w:top w:val="nil"/>
              <w:left w:val="nil"/>
              <w:bottom w:val="single" w:sz="8" w:space="0" w:color="DCDDDE"/>
              <w:right w:val="nil"/>
            </w:tcBorders>
            <w:shd w:val="clear" w:color="000000" w:fill="FFFFFF"/>
            <w:noWrap/>
            <w:vAlign w:val="center"/>
            <w:hideMark/>
          </w:tcPr>
          <w:p w14:paraId="32B4AA0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167</w:t>
            </w:r>
          </w:p>
        </w:tc>
      </w:tr>
      <w:tr w:rsidR="00490035" w:rsidRPr="00490035" w14:paraId="28EA88E9"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7CA37CA1"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26F12559"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0C32A0B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0D4CA77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50C0191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748EE03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283D8B6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5C19E96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691AE47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47BC565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1F4A2E8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7BE733A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6FB656C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412AFAF6"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7</w:t>
            </w:r>
          </w:p>
        </w:tc>
      </w:tr>
      <w:tr w:rsidR="00490035" w:rsidRPr="00490035" w14:paraId="0FC66F6C"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48930871"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4BB7C0E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112</w:t>
            </w:r>
          </w:p>
        </w:tc>
        <w:tc>
          <w:tcPr>
            <w:tcW w:w="545" w:type="dxa"/>
            <w:tcBorders>
              <w:top w:val="nil"/>
              <w:left w:val="nil"/>
              <w:bottom w:val="single" w:sz="8" w:space="0" w:color="DCDDDE"/>
              <w:right w:val="nil"/>
            </w:tcBorders>
            <w:shd w:val="clear" w:color="000000" w:fill="FFFFFF"/>
            <w:noWrap/>
            <w:vAlign w:val="center"/>
            <w:hideMark/>
          </w:tcPr>
          <w:p w14:paraId="637110D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135</w:t>
            </w:r>
          </w:p>
        </w:tc>
        <w:tc>
          <w:tcPr>
            <w:tcW w:w="545" w:type="dxa"/>
            <w:tcBorders>
              <w:top w:val="nil"/>
              <w:left w:val="nil"/>
              <w:bottom w:val="single" w:sz="8" w:space="0" w:color="DCDDDE"/>
              <w:right w:val="nil"/>
            </w:tcBorders>
            <w:shd w:val="clear" w:color="000000" w:fill="FFFFFF"/>
            <w:noWrap/>
            <w:vAlign w:val="center"/>
            <w:hideMark/>
          </w:tcPr>
          <w:p w14:paraId="039F487F"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141</w:t>
            </w:r>
          </w:p>
        </w:tc>
        <w:tc>
          <w:tcPr>
            <w:tcW w:w="545" w:type="dxa"/>
            <w:tcBorders>
              <w:top w:val="nil"/>
              <w:left w:val="nil"/>
              <w:bottom w:val="single" w:sz="8" w:space="0" w:color="DCDDDE"/>
              <w:right w:val="nil"/>
            </w:tcBorders>
            <w:shd w:val="clear" w:color="000000" w:fill="FFFFFF"/>
            <w:noWrap/>
            <w:vAlign w:val="center"/>
            <w:hideMark/>
          </w:tcPr>
          <w:p w14:paraId="10ACDB73"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155</w:t>
            </w:r>
          </w:p>
        </w:tc>
        <w:tc>
          <w:tcPr>
            <w:tcW w:w="545" w:type="dxa"/>
            <w:tcBorders>
              <w:top w:val="nil"/>
              <w:left w:val="nil"/>
              <w:bottom w:val="single" w:sz="8" w:space="0" w:color="DCDDDE"/>
              <w:right w:val="nil"/>
            </w:tcBorders>
            <w:shd w:val="clear" w:color="000000" w:fill="FFFFFF"/>
            <w:noWrap/>
            <w:vAlign w:val="center"/>
            <w:hideMark/>
          </w:tcPr>
          <w:p w14:paraId="526B7DC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165</w:t>
            </w:r>
          </w:p>
        </w:tc>
        <w:tc>
          <w:tcPr>
            <w:tcW w:w="545" w:type="dxa"/>
            <w:tcBorders>
              <w:top w:val="nil"/>
              <w:left w:val="nil"/>
              <w:bottom w:val="single" w:sz="8" w:space="0" w:color="DCDDDE"/>
              <w:right w:val="nil"/>
            </w:tcBorders>
            <w:shd w:val="clear" w:color="000000" w:fill="FFFFFF"/>
            <w:noWrap/>
            <w:vAlign w:val="center"/>
            <w:hideMark/>
          </w:tcPr>
          <w:p w14:paraId="00C6161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176</w:t>
            </w:r>
          </w:p>
        </w:tc>
        <w:tc>
          <w:tcPr>
            <w:tcW w:w="545" w:type="dxa"/>
            <w:tcBorders>
              <w:top w:val="nil"/>
              <w:left w:val="nil"/>
              <w:bottom w:val="single" w:sz="8" w:space="0" w:color="DCDDDE"/>
              <w:right w:val="nil"/>
            </w:tcBorders>
            <w:shd w:val="clear" w:color="000000" w:fill="FFFFFF"/>
            <w:noWrap/>
            <w:vAlign w:val="center"/>
            <w:hideMark/>
          </w:tcPr>
          <w:p w14:paraId="4A492F9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197</w:t>
            </w:r>
          </w:p>
        </w:tc>
        <w:tc>
          <w:tcPr>
            <w:tcW w:w="545" w:type="dxa"/>
            <w:tcBorders>
              <w:top w:val="nil"/>
              <w:left w:val="nil"/>
              <w:bottom w:val="single" w:sz="8" w:space="0" w:color="DCDDDE"/>
              <w:right w:val="nil"/>
            </w:tcBorders>
            <w:shd w:val="clear" w:color="000000" w:fill="FFFFFF"/>
            <w:noWrap/>
            <w:vAlign w:val="center"/>
            <w:hideMark/>
          </w:tcPr>
          <w:p w14:paraId="74B299A7"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211</w:t>
            </w:r>
          </w:p>
        </w:tc>
        <w:tc>
          <w:tcPr>
            <w:tcW w:w="545" w:type="dxa"/>
            <w:tcBorders>
              <w:top w:val="nil"/>
              <w:left w:val="nil"/>
              <w:bottom w:val="single" w:sz="8" w:space="0" w:color="DCDDDE"/>
              <w:right w:val="nil"/>
            </w:tcBorders>
            <w:shd w:val="clear" w:color="000000" w:fill="FFFFFF"/>
            <w:noWrap/>
            <w:vAlign w:val="center"/>
            <w:hideMark/>
          </w:tcPr>
          <w:p w14:paraId="02BD880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224</w:t>
            </w:r>
          </w:p>
        </w:tc>
        <w:tc>
          <w:tcPr>
            <w:tcW w:w="545" w:type="dxa"/>
            <w:tcBorders>
              <w:top w:val="nil"/>
              <w:left w:val="nil"/>
              <w:bottom w:val="single" w:sz="8" w:space="0" w:color="DCDDDE"/>
              <w:right w:val="nil"/>
            </w:tcBorders>
            <w:shd w:val="clear" w:color="000000" w:fill="FFFFFF"/>
            <w:noWrap/>
            <w:vAlign w:val="center"/>
            <w:hideMark/>
          </w:tcPr>
          <w:p w14:paraId="3C17CE1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238</w:t>
            </w:r>
          </w:p>
        </w:tc>
        <w:tc>
          <w:tcPr>
            <w:tcW w:w="545" w:type="dxa"/>
            <w:tcBorders>
              <w:top w:val="nil"/>
              <w:left w:val="nil"/>
              <w:bottom w:val="single" w:sz="8" w:space="0" w:color="DCDDDE"/>
              <w:right w:val="nil"/>
            </w:tcBorders>
            <w:shd w:val="clear" w:color="000000" w:fill="FFFFFF"/>
            <w:noWrap/>
            <w:vAlign w:val="center"/>
            <w:hideMark/>
          </w:tcPr>
          <w:p w14:paraId="784AB4AE"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254</w:t>
            </w:r>
          </w:p>
        </w:tc>
        <w:tc>
          <w:tcPr>
            <w:tcW w:w="545" w:type="dxa"/>
            <w:tcBorders>
              <w:top w:val="nil"/>
              <w:left w:val="nil"/>
              <w:bottom w:val="single" w:sz="8" w:space="0" w:color="DCDDDE"/>
              <w:right w:val="nil"/>
            </w:tcBorders>
            <w:shd w:val="clear" w:color="000000" w:fill="FFFFFF"/>
            <w:noWrap/>
            <w:vAlign w:val="center"/>
            <w:hideMark/>
          </w:tcPr>
          <w:p w14:paraId="65026401"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267</w:t>
            </w:r>
          </w:p>
        </w:tc>
        <w:tc>
          <w:tcPr>
            <w:tcW w:w="545" w:type="dxa"/>
            <w:tcBorders>
              <w:top w:val="nil"/>
              <w:left w:val="nil"/>
              <w:bottom w:val="single" w:sz="8" w:space="0" w:color="DCDDDE"/>
              <w:right w:val="nil"/>
            </w:tcBorders>
            <w:shd w:val="clear" w:color="000000" w:fill="FFFFFF"/>
            <w:noWrap/>
            <w:vAlign w:val="center"/>
            <w:hideMark/>
          </w:tcPr>
          <w:p w14:paraId="27C370AD"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277</w:t>
            </w:r>
          </w:p>
        </w:tc>
      </w:tr>
      <w:tr w:rsidR="00490035" w:rsidRPr="00490035" w14:paraId="627A5E82"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4AAD3C27"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72E98DAA"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125</w:t>
            </w:r>
          </w:p>
        </w:tc>
        <w:tc>
          <w:tcPr>
            <w:tcW w:w="545" w:type="dxa"/>
            <w:tcBorders>
              <w:top w:val="nil"/>
              <w:left w:val="nil"/>
              <w:bottom w:val="single" w:sz="8" w:space="0" w:color="DCDDDE"/>
              <w:right w:val="nil"/>
            </w:tcBorders>
            <w:shd w:val="clear" w:color="000000" w:fill="FFFFFF"/>
            <w:noWrap/>
            <w:vAlign w:val="center"/>
            <w:hideMark/>
          </w:tcPr>
          <w:p w14:paraId="04ECA96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130</w:t>
            </w:r>
          </w:p>
        </w:tc>
        <w:tc>
          <w:tcPr>
            <w:tcW w:w="545" w:type="dxa"/>
            <w:tcBorders>
              <w:top w:val="nil"/>
              <w:left w:val="nil"/>
              <w:bottom w:val="single" w:sz="8" w:space="0" w:color="DCDDDE"/>
              <w:right w:val="nil"/>
            </w:tcBorders>
            <w:shd w:val="clear" w:color="000000" w:fill="FFFFFF"/>
            <w:noWrap/>
            <w:vAlign w:val="center"/>
            <w:hideMark/>
          </w:tcPr>
          <w:p w14:paraId="062A69AC"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131</w:t>
            </w:r>
          </w:p>
        </w:tc>
        <w:tc>
          <w:tcPr>
            <w:tcW w:w="545" w:type="dxa"/>
            <w:tcBorders>
              <w:top w:val="nil"/>
              <w:left w:val="nil"/>
              <w:bottom w:val="single" w:sz="8" w:space="0" w:color="DCDDDE"/>
              <w:right w:val="nil"/>
            </w:tcBorders>
            <w:shd w:val="clear" w:color="000000" w:fill="FFFFFF"/>
            <w:noWrap/>
            <w:vAlign w:val="center"/>
            <w:hideMark/>
          </w:tcPr>
          <w:p w14:paraId="24249BE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135</w:t>
            </w:r>
          </w:p>
        </w:tc>
        <w:tc>
          <w:tcPr>
            <w:tcW w:w="545" w:type="dxa"/>
            <w:tcBorders>
              <w:top w:val="nil"/>
              <w:left w:val="nil"/>
              <w:bottom w:val="single" w:sz="8" w:space="0" w:color="DCDDDE"/>
              <w:right w:val="nil"/>
            </w:tcBorders>
            <w:shd w:val="clear" w:color="000000" w:fill="FFFFFF"/>
            <w:noWrap/>
            <w:vAlign w:val="center"/>
            <w:hideMark/>
          </w:tcPr>
          <w:p w14:paraId="2B7D3A5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131</w:t>
            </w:r>
          </w:p>
        </w:tc>
        <w:tc>
          <w:tcPr>
            <w:tcW w:w="545" w:type="dxa"/>
            <w:tcBorders>
              <w:top w:val="nil"/>
              <w:left w:val="nil"/>
              <w:bottom w:val="single" w:sz="8" w:space="0" w:color="DCDDDE"/>
              <w:right w:val="nil"/>
            </w:tcBorders>
            <w:shd w:val="clear" w:color="000000" w:fill="FFFFFF"/>
            <w:noWrap/>
            <w:vAlign w:val="center"/>
            <w:hideMark/>
          </w:tcPr>
          <w:p w14:paraId="7E34048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145</w:t>
            </w:r>
          </w:p>
        </w:tc>
        <w:tc>
          <w:tcPr>
            <w:tcW w:w="545" w:type="dxa"/>
            <w:tcBorders>
              <w:top w:val="nil"/>
              <w:left w:val="nil"/>
              <w:bottom w:val="single" w:sz="8" w:space="0" w:color="DCDDDE"/>
              <w:right w:val="nil"/>
            </w:tcBorders>
            <w:shd w:val="clear" w:color="000000" w:fill="FFFFFF"/>
            <w:noWrap/>
            <w:vAlign w:val="center"/>
            <w:hideMark/>
          </w:tcPr>
          <w:p w14:paraId="2C9DAE1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139</w:t>
            </w:r>
          </w:p>
        </w:tc>
        <w:tc>
          <w:tcPr>
            <w:tcW w:w="545" w:type="dxa"/>
            <w:tcBorders>
              <w:top w:val="nil"/>
              <w:left w:val="nil"/>
              <w:bottom w:val="single" w:sz="8" w:space="0" w:color="DCDDDE"/>
              <w:right w:val="nil"/>
            </w:tcBorders>
            <w:shd w:val="clear" w:color="000000" w:fill="FFFFFF"/>
            <w:noWrap/>
            <w:vAlign w:val="center"/>
            <w:hideMark/>
          </w:tcPr>
          <w:p w14:paraId="382C917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134</w:t>
            </w:r>
          </w:p>
        </w:tc>
        <w:tc>
          <w:tcPr>
            <w:tcW w:w="545" w:type="dxa"/>
            <w:tcBorders>
              <w:top w:val="nil"/>
              <w:left w:val="nil"/>
              <w:bottom w:val="single" w:sz="8" w:space="0" w:color="DCDDDE"/>
              <w:right w:val="nil"/>
            </w:tcBorders>
            <w:shd w:val="clear" w:color="000000" w:fill="FFFFFF"/>
            <w:noWrap/>
            <w:vAlign w:val="center"/>
            <w:hideMark/>
          </w:tcPr>
          <w:p w14:paraId="20D5EF75"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126</w:t>
            </w:r>
          </w:p>
        </w:tc>
        <w:tc>
          <w:tcPr>
            <w:tcW w:w="545" w:type="dxa"/>
            <w:tcBorders>
              <w:top w:val="nil"/>
              <w:left w:val="nil"/>
              <w:bottom w:val="single" w:sz="8" w:space="0" w:color="DCDDDE"/>
              <w:right w:val="nil"/>
            </w:tcBorders>
            <w:shd w:val="clear" w:color="000000" w:fill="FFFFFF"/>
            <w:noWrap/>
            <w:vAlign w:val="center"/>
            <w:hideMark/>
          </w:tcPr>
          <w:p w14:paraId="4A5011D4"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121</w:t>
            </w:r>
          </w:p>
        </w:tc>
        <w:tc>
          <w:tcPr>
            <w:tcW w:w="545" w:type="dxa"/>
            <w:tcBorders>
              <w:top w:val="nil"/>
              <w:left w:val="nil"/>
              <w:bottom w:val="single" w:sz="8" w:space="0" w:color="DCDDDE"/>
              <w:right w:val="nil"/>
            </w:tcBorders>
            <w:shd w:val="clear" w:color="000000" w:fill="FFFFFF"/>
            <w:noWrap/>
            <w:vAlign w:val="center"/>
            <w:hideMark/>
          </w:tcPr>
          <w:p w14:paraId="7CC8BFF0"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110</w:t>
            </w:r>
          </w:p>
        </w:tc>
        <w:tc>
          <w:tcPr>
            <w:tcW w:w="545" w:type="dxa"/>
            <w:tcBorders>
              <w:top w:val="nil"/>
              <w:left w:val="nil"/>
              <w:bottom w:val="single" w:sz="8" w:space="0" w:color="DCDDDE"/>
              <w:right w:val="nil"/>
            </w:tcBorders>
            <w:shd w:val="clear" w:color="000000" w:fill="FFFFFF"/>
            <w:noWrap/>
            <w:vAlign w:val="center"/>
            <w:hideMark/>
          </w:tcPr>
          <w:p w14:paraId="3C7856CB"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100</w:t>
            </w:r>
          </w:p>
        </w:tc>
        <w:tc>
          <w:tcPr>
            <w:tcW w:w="545" w:type="dxa"/>
            <w:tcBorders>
              <w:top w:val="nil"/>
              <w:left w:val="nil"/>
              <w:bottom w:val="single" w:sz="8" w:space="0" w:color="DCDDDE"/>
              <w:right w:val="nil"/>
            </w:tcBorders>
            <w:shd w:val="clear" w:color="000000" w:fill="FFFFFF"/>
            <w:noWrap/>
            <w:vAlign w:val="center"/>
            <w:hideMark/>
          </w:tcPr>
          <w:p w14:paraId="6FA68648" w14:textId="77777777" w:rsidR="00490035" w:rsidRPr="00490035" w:rsidRDefault="00490035" w:rsidP="00490035">
            <w:pPr>
              <w:spacing w:line="240" w:lineRule="auto"/>
              <w:jc w:val="right"/>
              <w:rPr>
                <w:rFonts w:ascii="Arial Narrow" w:hAnsi="Arial Narrow"/>
                <w:sz w:val="18"/>
                <w:szCs w:val="18"/>
              </w:rPr>
            </w:pPr>
            <w:r w:rsidRPr="00490035">
              <w:rPr>
                <w:rFonts w:ascii="Arial Narrow" w:hAnsi="Arial Narrow"/>
                <w:sz w:val="18"/>
                <w:szCs w:val="18"/>
              </w:rPr>
              <w:t>89</w:t>
            </w:r>
          </w:p>
        </w:tc>
      </w:tr>
      <w:tr w:rsidR="00490035" w:rsidRPr="00490035" w14:paraId="66AB6ED7"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0B887FDD" w14:textId="77777777" w:rsidR="00490035" w:rsidRPr="00490035" w:rsidRDefault="00490035" w:rsidP="00A43B89">
            <w:pPr>
              <w:spacing w:line="240" w:lineRule="auto"/>
              <w:rPr>
                <w:rFonts w:ascii="Arial Narrow" w:hAnsi="Arial Narrow"/>
                <w:b/>
                <w:bCs/>
                <w:sz w:val="18"/>
                <w:szCs w:val="18"/>
              </w:rPr>
            </w:pPr>
            <w:r w:rsidRPr="00490035">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0E9E0493"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237</w:t>
            </w:r>
          </w:p>
        </w:tc>
        <w:tc>
          <w:tcPr>
            <w:tcW w:w="545" w:type="dxa"/>
            <w:tcBorders>
              <w:top w:val="nil"/>
              <w:left w:val="nil"/>
              <w:bottom w:val="single" w:sz="8" w:space="0" w:color="DCDDDE"/>
              <w:right w:val="nil"/>
            </w:tcBorders>
            <w:shd w:val="clear" w:color="000000" w:fill="FFFFFF"/>
            <w:noWrap/>
            <w:vAlign w:val="center"/>
            <w:hideMark/>
          </w:tcPr>
          <w:p w14:paraId="5F223339"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264</w:t>
            </w:r>
          </w:p>
        </w:tc>
        <w:tc>
          <w:tcPr>
            <w:tcW w:w="545" w:type="dxa"/>
            <w:tcBorders>
              <w:top w:val="nil"/>
              <w:left w:val="nil"/>
              <w:bottom w:val="single" w:sz="8" w:space="0" w:color="DCDDDE"/>
              <w:right w:val="nil"/>
            </w:tcBorders>
            <w:shd w:val="clear" w:color="000000" w:fill="FFFFFF"/>
            <w:noWrap/>
            <w:vAlign w:val="center"/>
            <w:hideMark/>
          </w:tcPr>
          <w:p w14:paraId="3E13F7E9"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272</w:t>
            </w:r>
          </w:p>
        </w:tc>
        <w:tc>
          <w:tcPr>
            <w:tcW w:w="545" w:type="dxa"/>
            <w:tcBorders>
              <w:top w:val="nil"/>
              <w:left w:val="nil"/>
              <w:bottom w:val="single" w:sz="8" w:space="0" w:color="DCDDDE"/>
              <w:right w:val="nil"/>
            </w:tcBorders>
            <w:shd w:val="clear" w:color="000000" w:fill="FFFFFF"/>
            <w:noWrap/>
            <w:vAlign w:val="center"/>
            <w:hideMark/>
          </w:tcPr>
          <w:p w14:paraId="1F1A7632"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290</w:t>
            </w:r>
          </w:p>
        </w:tc>
        <w:tc>
          <w:tcPr>
            <w:tcW w:w="545" w:type="dxa"/>
            <w:tcBorders>
              <w:top w:val="nil"/>
              <w:left w:val="nil"/>
              <w:bottom w:val="single" w:sz="8" w:space="0" w:color="DCDDDE"/>
              <w:right w:val="nil"/>
            </w:tcBorders>
            <w:shd w:val="clear" w:color="000000" w:fill="FFFFFF"/>
            <w:noWrap/>
            <w:vAlign w:val="center"/>
            <w:hideMark/>
          </w:tcPr>
          <w:p w14:paraId="553519C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296</w:t>
            </w:r>
          </w:p>
        </w:tc>
        <w:tc>
          <w:tcPr>
            <w:tcW w:w="545" w:type="dxa"/>
            <w:tcBorders>
              <w:top w:val="nil"/>
              <w:left w:val="nil"/>
              <w:bottom w:val="single" w:sz="8" w:space="0" w:color="DCDDDE"/>
              <w:right w:val="nil"/>
            </w:tcBorders>
            <w:shd w:val="clear" w:color="000000" w:fill="FFFFFF"/>
            <w:noWrap/>
            <w:vAlign w:val="center"/>
            <w:hideMark/>
          </w:tcPr>
          <w:p w14:paraId="7129E6CA"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322</w:t>
            </w:r>
          </w:p>
        </w:tc>
        <w:tc>
          <w:tcPr>
            <w:tcW w:w="545" w:type="dxa"/>
            <w:tcBorders>
              <w:top w:val="nil"/>
              <w:left w:val="nil"/>
              <w:bottom w:val="single" w:sz="8" w:space="0" w:color="DCDDDE"/>
              <w:right w:val="nil"/>
            </w:tcBorders>
            <w:shd w:val="clear" w:color="000000" w:fill="FFFFFF"/>
            <w:noWrap/>
            <w:vAlign w:val="center"/>
            <w:hideMark/>
          </w:tcPr>
          <w:p w14:paraId="6F87BFE0"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336</w:t>
            </w:r>
          </w:p>
        </w:tc>
        <w:tc>
          <w:tcPr>
            <w:tcW w:w="545" w:type="dxa"/>
            <w:tcBorders>
              <w:top w:val="nil"/>
              <w:left w:val="nil"/>
              <w:bottom w:val="single" w:sz="8" w:space="0" w:color="DCDDDE"/>
              <w:right w:val="nil"/>
            </w:tcBorders>
            <w:shd w:val="clear" w:color="000000" w:fill="FFFFFF"/>
            <w:noWrap/>
            <w:vAlign w:val="center"/>
            <w:hideMark/>
          </w:tcPr>
          <w:p w14:paraId="45D8F52D"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345</w:t>
            </w:r>
          </w:p>
        </w:tc>
        <w:tc>
          <w:tcPr>
            <w:tcW w:w="545" w:type="dxa"/>
            <w:tcBorders>
              <w:top w:val="nil"/>
              <w:left w:val="nil"/>
              <w:bottom w:val="single" w:sz="8" w:space="0" w:color="DCDDDE"/>
              <w:right w:val="nil"/>
            </w:tcBorders>
            <w:shd w:val="clear" w:color="000000" w:fill="FFFFFF"/>
            <w:noWrap/>
            <w:vAlign w:val="center"/>
            <w:hideMark/>
          </w:tcPr>
          <w:p w14:paraId="2F42A27B"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350</w:t>
            </w:r>
          </w:p>
        </w:tc>
        <w:tc>
          <w:tcPr>
            <w:tcW w:w="545" w:type="dxa"/>
            <w:tcBorders>
              <w:top w:val="nil"/>
              <w:left w:val="nil"/>
              <w:bottom w:val="single" w:sz="8" w:space="0" w:color="DCDDDE"/>
              <w:right w:val="nil"/>
            </w:tcBorders>
            <w:shd w:val="clear" w:color="000000" w:fill="FFFFFF"/>
            <w:noWrap/>
            <w:vAlign w:val="center"/>
            <w:hideMark/>
          </w:tcPr>
          <w:p w14:paraId="2A600813"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359</w:t>
            </w:r>
          </w:p>
        </w:tc>
        <w:tc>
          <w:tcPr>
            <w:tcW w:w="545" w:type="dxa"/>
            <w:tcBorders>
              <w:top w:val="nil"/>
              <w:left w:val="nil"/>
              <w:bottom w:val="single" w:sz="8" w:space="0" w:color="DCDDDE"/>
              <w:right w:val="nil"/>
            </w:tcBorders>
            <w:shd w:val="clear" w:color="000000" w:fill="FFFFFF"/>
            <w:noWrap/>
            <w:vAlign w:val="center"/>
            <w:hideMark/>
          </w:tcPr>
          <w:p w14:paraId="41228E01"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364</w:t>
            </w:r>
          </w:p>
        </w:tc>
        <w:tc>
          <w:tcPr>
            <w:tcW w:w="545" w:type="dxa"/>
            <w:tcBorders>
              <w:top w:val="nil"/>
              <w:left w:val="nil"/>
              <w:bottom w:val="single" w:sz="8" w:space="0" w:color="DCDDDE"/>
              <w:right w:val="nil"/>
            </w:tcBorders>
            <w:shd w:val="clear" w:color="000000" w:fill="FFFFFF"/>
            <w:noWrap/>
            <w:vAlign w:val="center"/>
            <w:hideMark/>
          </w:tcPr>
          <w:p w14:paraId="65AE92AE"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366</w:t>
            </w:r>
          </w:p>
        </w:tc>
        <w:tc>
          <w:tcPr>
            <w:tcW w:w="545" w:type="dxa"/>
            <w:tcBorders>
              <w:top w:val="nil"/>
              <w:left w:val="nil"/>
              <w:bottom w:val="single" w:sz="8" w:space="0" w:color="DCDDDE"/>
              <w:right w:val="nil"/>
            </w:tcBorders>
            <w:shd w:val="clear" w:color="000000" w:fill="FFFFFF"/>
            <w:noWrap/>
            <w:vAlign w:val="center"/>
            <w:hideMark/>
          </w:tcPr>
          <w:p w14:paraId="753E00A3" w14:textId="77777777" w:rsidR="00490035" w:rsidRPr="00490035" w:rsidRDefault="00490035" w:rsidP="00490035">
            <w:pPr>
              <w:spacing w:line="240" w:lineRule="auto"/>
              <w:jc w:val="right"/>
              <w:rPr>
                <w:rFonts w:ascii="Arial Narrow" w:hAnsi="Arial Narrow"/>
                <w:b/>
                <w:bCs/>
                <w:sz w:val="18"/>
                <w:szCs w:val="18"/>
              </w:rPr>
            </w:pPr>
            <w:r w:rsidRPr="00490035">
              <w:rPr>
                <w:rFonts w:ascii="Arial Narrow" w:hAnsi="Arial Narrow"/>
                <w:b/>
                <w:bCs/>
                <w:sz w:val="18"/>
                <w:szCs w:val="18"/>
              </w:rPr>
              <w:t>366</w:t>
            </w:r>
          </w:p>
        </w:tc>
      </w:tr>
    </w:tbl>
    <w:p w14:paraId="59C8113C" w14:textId="77777777" w:rsidR="002A760B" w:rsidRPr="00D823AE" w:rsidRDefault="002A760B" w:rsidP="002A760B">
      <w:pPr>
        <w:jc w:val="center"/>
      </w:pPr>
      <w:r>
        <w:t>* Includes interactive effects</w:t>
      </w:r>
    </w:p>
    <w:p w14:paraId="6B4A108C" w14:textId="77777777" w:rsidR="00D823AE" w:rsidRDefault="00D823AE" w:rsidP="00D823AE"/>
    <w:p w14:paraId="1369BE54" w14:textId="77777777" w:rsidR="00181744" w:rsidRDefault="00181744" w:rsidP="00D823AE"/>
    <w:p w14:paraId="5AB74C8B" w14:textId="77777777" w:rsidR="00490035" w:rsidRDefault="00490035" w:rsidP="00D823AE"/>
    <w:p w14:paraId="45005AE5" w14:textId="77777777" w:rsidR="00490035" w:rsidRDefault="00490035" w:rsidP="00D823AE"/>
    <w:p w14:paraId="39ABDA55" w14:textId="77777777" w:rsidR="00490035" w:rsidRDefault="00490035" w:rsidP="00D823AE"/>
    <w:p w14:paraId="10E3D23D" w14:textId="77777777" w:rsidR="00490035" w:rsidRDefault="00490035" w:rsidP="00D823AE"/>
    <w:p w14:paraId="0F051C18" w14:textId="77777777" w:rsidR="00490035" w:rsidRDefault="00490035" w:rsidP="00D823AE"/>
    <w:p w14:paraId="52138575" w14:textId="77777777" w:rsidR="00490035" w:rsidRDefault="00490035" w:rsidP="00D823AE"/>
    <w:p w14:paraId="51F3B0F2" w14:textId="77777777" w:rsidR="00490035" w:rsidRDefault="00490035" w:rsidP="00D823AE"/>
    <w:p w14:paraId="0CD80CC8" w14:textId="77777777" w:rsidR="00490035" w:rsidRDefault="00490035" w:rsidP="00D823AE"/>
    <w:p w14:paraId="576F1877" w14:textId="77777777" w:rsidR="00490035" w:rsidRDefault="00490035" w:rsidP="00D823AE"/>
    <w:p w14:paraId="5C0A75D4" w14:textId="77777777" w:rsidR="00490035" w:rsidRDefault="00490035" w:rsidP="00D823AE"/>
    <w:p w14:paraId="185735BD" w14:textId="77777777" w:rsidR="00490035" w:rsidRDefault="00490035" w:rsidP="00D823AE"/>
    <w:p w14:paraId="64B54077" w14:textId="77777777" w:rsidR="00490035" w:rsidRDefault="00490035" w:rsidP="00D823AE"/>
    <w:p w14:paraId="187706E6" w14:textId="77777777" w:rsidR="00490035" w:rsidRDefault="00490035" w:rsidP="00D823AE"/>
    <w:p w14:paraId="29506E16" w14:textId="77777777" w:rsidR="00490035" w:rsidRDefault="00490035" w:rsidP="00D823AE"/>
    <w:p w14:paraId="0D9C153E" w14:textId="77777777" w:rsidR="00490035" w:rsidRDefault="00490035" w:rsidP="00D823AE"/>
    <w:p w14:paraId="37E7976F" w14:textId="77777777" w:rsidR="00490035" w:rsidRDefault="00490035" w:rsidP="00D823AE"/>
    <w:p w14:paraId="4AA941BC" w14:textId="77777777" w:rsidR="00490035" w:rsidRDefault="00490035" w:rsidP="00D823AE"/>
    <w:p w14:paraId="5A4B9CEA" w14:textId="77777777" w:rsidR="00490035" w:rsidRDefault="00490035" w:rsidP="00D823AE"/>
    <w:p w14:paraId="21CFB21F" w14:textId="77777777" w:rsidR="00490035" w:rsidRDefault="00490035" w:rsidP="00D823AE"/>
    <w:p w14:paraId="37F1256E" w14:textId="77777777" w:rsidR="00490035" w:rsidRDefault="00490035" w:rsidP="00D823AE"/>
    <w:p w14:paraId="3935C274" w14:textId="77777777" w:rsidR="00490035" w:rsidRDefault="00490035" w:rsidP="00D823AE"/>
    <w:p w14:paraId="5E71BFA5" w14:textId="77777777" w:rsidR="00490035" w:rsidRDefault="00490035" w:rsidP="00D823AE"/>
    <w:p w14:paraId="4CD1FF2C" w14:textId="77777777" w:rsidR="00490035" w:rsidRDefault="00490035" w:rsidP="00D823AE"/>
    <w:p w14:paraId="2F3719D8" w14:textId="77777777" w:rsidR="00490035" w:rsidRDefault="00490035" w:rsidP="00D823AE"/>
    <w:p w14:paraId="6FE74BA8" w14:textId="77777777" w:rsidR="00490035" w:rsidRDefault="00490035" w:rsidP="00D823AE"/>
    <w:p w14:paraId="174E6438" w14:textId="77777777" w:rsidR="00490035" w:rsidRDefault="00490035" w:rsidP="00D823AE"/>
    <w:p w14:paraId="3567794F" w14:textId="77777777" w:rsidR="00D823AE" w:rsidRDefault="00D823AE" w:rsidP="00D823AE">
      <w:pPr>
        <w:pStyle w:val="Caption"/>
      </w:pPr>
      <w:bookmarkStart w:id="1216" w:name="_Toc490226063"/>
      <w:r w:rsidRPr="00122CD3">
        <w:lastRenderedPageBreak/>
        <w:t xml:space="preserve">Table </w:t>
      </w:r>
      <w:fldSimple w:instr=" STYLEREF 5 \s ">
        <w:r w:rsidR="007566B9">
          <w:rPr>
            <w:noProof/>
          </w:rPr>
          <w:t>H</w:t>
        </w:r>
      </w:fldSimple>
      <w:r w:rsidRPr="00323BFA">
        <w:noBreakHyphen/>
      </w:r>
      <w:fldSimple w:instr=" SEQ Table_Apx \* ARABIC \s 5 ">
        <w:r w:rsidR="007566B9">
          <w:rPr>
            <w:noProof/>
          </w:rPr>
          <w:t>8</w:t>
        </w:r>
      </w:fldSimple>
      <w:r w:rsidRPr="006F2DA9">
        <w:t xml:space="preserve">. </w:t>
      </w:r>
      <w:r>
        <w:t>SDG&amp;E Demand Savings</w:t>
      </w:r>
      <w:bookmarkEnd w:id="1216"/>
    </w:p>
    <w:tbl>
      <w:tblPr>
        <w:tblW w:w="8262" w:type="dxa"/>
        <w:jc w:val="center"/>
        <w:tblLook w:val="04A0" w:firstRow="1" w:lastRow="0" w:firstColumn="1" w:lastColumn="0" w:noHBand="0" w:noVBand="1"/>
      </w:tblPr>
      <w:tblGrid>
        <w:gridCol w:w="1177"/>
        <w:gridCol w:w="545"/>
        <w:gridCol w:w="545"/>
        <w:gridCol w:w="545"/>
        <w:gridCol w:w="545"/>
        <w:gridCol w:w="545"/>
        <w:gridCol w:w="545"/>
        <w:gridCol w:w="545"/>
        <w:gridCol w:w="545"/>
        <w:gridCol w:w="545"/>
        <w:gridCol w:w="545"/>
        <w:gridCol w:w="545"/>
        <w:gridCol w:w="545"/>
        <w:gridCol w:w="545"/>
      </w:tblGrid>
      <w:tr w:rsidR="002A760B" w:rsidRPr="002A760B" w14:paraId="33D2B314" w14:textId="77777777" w:rsidTr="002A760B">
        <w:trPr>
          <w:trHeight w:val="315"/>
          <w:jc w:val="center"/>
        </w:trPr>
        <w:tc>
          <w:tcPr>
            <w:tcW w:w="8262" w:type="dxa"/>
            <w:gridSpan w:val="14"/>
            <w:tcBorders>
              <w:top w:val="nil"/>
              <w:left w:val="nil"/>
              <w:bottom w:val="single" w:sz="12" w:space="0" w:color="95D600"/>
              <w:right w:val="nil"/>
            </w:tcBorders>
            <w:shd w:val="clear" w:color="000000" w:fill="555759"/>
            <w:noWrap/>
            <w:vAlign w:val="center"/>
            <w:hideMark/>
          </w:tcPr>
          <w:p w14:paraId="5DA591AE" w14:textId="77777777" w:rsidR="002A760B" w:rsidRPr="002A760B" w:rsidRDefault="002A760B" w:rsidP="002A760B">
            <w:pPr>
              <w:spacing w:line="240" w:lineRule="auto"/>
              <w:jc w:val="center"/>
              <w:rPr>
                <w:rFonts w:ascii="Arial Narrow" w:hAnsi="Arial Narrow"/>
                <w:b/>
                <w:bCs/>
                <w:color w:val="FFFFFF"/>
                <w:sz w:val="18"/>
                <w:szCs w:val="18"/>
              </w:rPr>
            </w:pPr>
            <w:r w:rsidRPr="002A760B">
              <w:rPr>
                <w:rFonts w:ascii="Arial Narrow" w:hAnsi="Arial Narrow"/>
                <w:b/>
                <w:bCs/>
                <w:color w:val="FFFFFF"/>
                <w:sz w:val="18"/>
                <w:szCs w:val="18"/>
              </w:rPr>
              <w:t>Electric Demand (MW)</w:t>
            </w:r>
          </w:p>
        </w:tc>
      </w:tr>
      <w:tr w:rsidR="002A760B" w:rsidRPr="002A760B" w14:paraId="611B6433" w14:textId="77777777" w:rsidTr="002A760B">
        <w:trPr>
          <w:trHeight w:val="330"/>
          <w:jc w:val="center"/>
        </w:trPr>
        <w:tc>
          <w:tcPr>
            <w:tcW w:w="1177" w:type="dxa"/>
            <w:tcBorders>
              <w:top w:val="nil"/>
              <w:left w:val="nil"/>
              <w:bottom w:val="single" w:sz="8" w:space="0" w:color="DCDDDE"/>
              <w:right w:val="nil"/>
            </w:tcBorders>
            <w:shd w:val="clear" w:color="auto" w:fill="auto"/>
            <w:vAlign w:val="center"/>
            <w:hideMark/>
          </w:tcPr>
          <w:p w14:paraId="352CCB33"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Year</w:t>
            </w:r>
          </w:p>
        </w:tc>
        <w:tc>
          <w:tcPr>
            <w:tcW w:w="545" w:type="dxa"/>
            <w:tcBorders>
              <w:top w:val="nil"/>
              <w:left w:val="nil"/>
              <w:bottom w:val="single" w:sz="8" w:space="0" w:color="DCDDDE"/>
              <w:right w:val="nil"/>
            </w:tcBorders>
            <w:shd w:val="clear" w:color="auto" w:fill="auto"/>
            <w:noWrap/>
            <w:vAlign w:val="center"/>
            <w:hideMark/>
          </w:tcPr>
          <w:p w14:paraId="127C4191"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2018</w:t>
            </w:r>
          </w:p>
        </w:tc>
        <w:tc>
          <w:tcPr>
            <w:tcW w:w="545" w:type="dxa"/>
            <w:tcBorders>
              <w:top w:val="nil"/>
              <w:left w:val="nil"/>
              <w:bottom w:val="single" w:sz="8" w:space="0" w:color="DCDDDE"/>
              <w:right w:val="nil"/>
            </w:tcBorders>
            <w:shd w:val="clear" w:color="auto" w:fill="auto"/>
            <w:noWrap/>
            <w:vAlign w:val="center"/>
            <w:hideMark/>
          </w:tcPr>
          <w:p w14:paraId="43EC0994"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2019</w:t>
            </w:r>
          </w:p>
        </w:tc>
        <w:tc>
          <w:tcPr>
            <w:tcW w:w="545" w:type="dxa"/>
            <w:tcBorders>
              <w:top w:val="nil"/>
              <w:left w:val="nil"/>
              <w:bottom w:val="single" w:sz="8" w:space="0" w:color="DCDDDE"/>
              <w:right w:val="nil"/>
            </w:tcBorders>
            <w:shd w:val="clear" w:color="auto" w:fill="auto"/>
            <w:noWrap/>
            <w:vAlign w:val="center"/>
            <w:hideMark/>
          </w:tcPr>
          <w:p w14:paraId="51384B8E"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2020</w:t>
            </w:r>
          </w:p>
        </w:tc>
        <w:tc>
          <w:tcPr>
            <w:tcW w:w="545" w:type="dxa"/>
            <w:tcBorders>
              <w:top w:val="nil"/>
              <w:left w:val="nil"/>
              <w:bottom w:val="single" w:sz="8" w:space="0" w:color="DCDDDE"/>
              <w:right w:val="nil"/>
            </w:tcBorders>
            <w:shd w:val="clear" w:color="auto" w:fill="auto"/>
            <w:noWrap/>
            <w:vAlign w:val="center"/>
            <w:hideMark/>
          </w:tcPr>
          <w:p w14:paraId="77B769CA"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2021</w:t>
            </w:r>
          </w:p>
        </w:tc>
        <w:tc>
          <w:tcPr>
            <w:tcW w:w="545" w:type="dxa"/>
            <w:tcBorders>
              <w:top w:val="nil"/>
              <w:left w:val="nil"/>
              <w:bottom w:val="single" w:sz="8" w:space="0" w:color="DCDDDE"/>
              <w:right w:val="nil"/>
            </w:tcBorders>
            <w:shd w:val="clear" w:color="auto" w:fill="auto"/>
            <w:noWrap/>
            <w:vAlign w:val="center"/>
            <w:hideMark/>
          </w:tcPr>
          <w:p w14:paraId="5262571A"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2022</w:t>
            </w:r>
          </w:p>
        </w:tc>
        <w:tc>
          <w:tcPr>
            <w:tcW w:w="545" w:type="dxa"/>
            <w:tcBorders>
              <w:top w:val="nil"/>
              <w:left w:val="nil"/>
              <w:bottom w:val="single" w:sz="8" w:space="0" w:color="DCDDDE"/>
              <w:right w:val="nil"/>
            </w:tcBorders>
            <w:shd w:val="clear" w:color="auto" w:fill="auto"/>
            <w:noWrap/>
            <w:vAlign w:val="center"/>
            <w:hideMark/>
          </w:tcPr>
          <w:p w14:paraId="21B46FDE"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2023</w:t>
            </w:r>
          </w:p>
        </w:tc>
        <w:tc>
          <w:tcPr>
            <w:tcW w:w="545" w:type="dxa"/>
            <w:tcBorders>
              <w:top w:val="nil"/>
              <w:left w:val="nil"/>
              <w:bottom w:val="single" w:sz="8" w:space="0" w:color="DCDDDE"/>
              <w:right w:val="nil"/>
            </w:tcBorders>
            <w:shd w:val="clear" w:color="auto" w:fill="auto"/>
            <w:noWrap/>
            <w:vAlign w:val="center"/>
            <w:hideMark/>
          </w:tcPr>
          <w:p w14:paraId="22344EF3"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2024</w:t>
            </w:r>
          </w:p>
        </w:tc>
        <w:tc>
          <w:tcPr>
            <w:tcW w:w="545" w:type="dxa"/>
            <w:tcBorders>
              <w:top w:val="nil"/>
              <w:left w:val="nil"/>
              <w:bottom w:val="single" w:sz="8" w:space="0" w:color="DCDDDE"/>
              <w:right w:val="nil"/>
            </w:tcBorders>
            <w:shd w:val="clear" w:color="auto" w:fill="auto"/>
            <w:noWrap/>
            <w:vAlign w:val="center"/>
            <w:hideMark/>
          </w:tcPr>
          <w:p w14:paraId="4BC575B3"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2025</w:t>
            </w:r>
          </w:p>
        </w:tc>
        <w:tc>
          <w:tcPr>
            <w:tcW w:w="545" w:type="dxa"/>
            <w:tcBorders>
              <w:top w:val="nil"/>
              <w:left w:val="nil"/>
              <w:bottom w:val="single" w:sz="8" w:space="0" w:color="DCDDDE"/>
              <w:right w:val="nil"/>
            </w:tcBorders>
            <w:shd w:val="clear" w:color="auto" w:fill="auto"/>
            <w:noWrap/>
            <w:vAlign w:val="center"/>
            <w:hideMark/>
          </w:tcPr>
          <w:p w14:paraId="7141416C"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2026</w:t>
            </w:r>
          </w:p>
        </w:tc>
        <w:tc>
          <w:tcPr>
            <w:tcW w:w="545" w:type="dxa"/>
            <w:tcBorders>
              <w:top w:val="nil"/>
              <w:left w:val="nil"/>
              <w:bottom w:val="single" w:sz="8" w:space="0" w:color="DCDDDE"/>
              <w:right w:val="nil"/>
            </w:tcBorders>
            <w:shd w:val="clear" w:color="auto" w:fill="auto"/>
            <w:noWrap/>
            <w:vAlign w:val="center"/>
            <w:hideMark/>
          </w:tcPr>
          <w:p w14:paraId="6F77AD90"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2027</w:t>
            </w:r>
          </w:p>
        </w:tc>
        <w:tc>
          <w:tcPr>
            <w:tcW w:w="545" w:type="dxa"/>
            <w:tcBorders>
              <w:top w:val="nil"/>
              <w:left w:val="nil"/>
              <w:bottom w:val="single" w:sz="8" w:space="0" w:color="DCDDDE"/>
              <w:right w:val="nil"/>
            </w:tcBorders>
            <w:shd w:val="clear" w:color="auto" w:fill="auto"/>
            <w:noWrap/>
            <w:vAlign w:val="center"/>
            <w:hideMark/>
          </w:tcPr>
          <w:p w14:paraId="5D4A6BB7"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2028</w:t>
            </w:r>
          </w:p>
        </w:tc>
        <w:tc>
          <w:tcPr>
            <w:tcW w:w="545" w:type="dxa"/>
            <w:tcBorders>
              <w:top w:val="nil"/>
              <w:left w:val="nil"/>
              <w:bottom w:val="single" w:sz="8" w:space="0" w:color="DCDDDE"/>
              <w:right w:val="nil"/>
            </w:tcBorders>
            <w:shd w:val="clear" w:color="auto" w:fill="auto"/>
            <w:noWrap/>
            <w:vAlign w:val="center"/>
            <w:hideMark/>
          </w:tcPr>
          <w:p w14:paraId="0B1335CF"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2029</w:t>
            </w:r>
          </w:p>
        </w:tc>
        <w:tc>
          <w:tcPr>
            <w:tcW w:w="545" w:type="dxa"/>
            <w:tcBorders>
              <w:top w:val="nil"/>
              <w:left w:val="nil"/>
              <w:bottom w:val="single" w:sz="8" w:space="0" w:color="DCDDDE"/>
              <w:right w:val="nil"/>
            </w:tcBorders>
            <w:shd w:val="clear" w:color="auto" w:fill="auto"/>
            <w:noWrap/>
            <w:vAlign w:val="center"/>
            <w:hideMark/>
          </w:tcPr>
          <w:p w14:paraId="7B03F002"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2030</w:t>
            </w:r>
          </w:p>
        </w:tc>
      </w:tr>
      <w:tr w:rsidR="002A760B" w:rsidRPr="002A760B" w14:paraId="1475B9B2" w14:textId="77777777" w:rsidTr="002A760B">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72DFF2E2"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TRC | Reference</w:t>
            </w:r>
          </w:p>
        </w:tc>
      </w:tr>
      <w:tr w:rsidR="002A760B" w:rsidRPr="002A760B" w14:paraId="11D98755"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0361A33B"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53BFBF7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7E1FFD9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2C502B6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1A9EB67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55CA99B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5878F5C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337A82E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7DFCB20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6247B0A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734FFFE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5F1944F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6776AD7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4EEA696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r>
      <w:tr w:rsidR="002A760B" w:rsidRPr="002A760B" w14:paraId="5421B124"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61297A3B"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0F4305A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193D61F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62E4095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6147027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7C3610A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4129C1D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79FD3F2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036D696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177270E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1C626D3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0704B74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5AF76ED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6163FE5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r>
      <w:tr w:rsidR="002A760B" w:rsidRPr="002A760B" w14:paraId="419DDAD8"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2B9581E1"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21A4596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39057A0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2227940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63665B1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68C20C1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77570D7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61ADA8F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5E38C27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4288E67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18FDFC2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62C05D3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08C494B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78892D5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r>
      <w:tr w:rsidR="002A760B" w:rsidRPr="002A760B" w14:paraId="6467C156"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5FE161C4"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6470791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49E3305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2BC3500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7EE1FA2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3E4598C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0F04085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28C145A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1999F32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4212170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27</w:t>
            </w:r>
          </w:p>
        </w:tc>
        <w:tc>
          <w:tcPr>
            <w:tcW w:w="545" w:type="dxa"/>
            <w:tcBorders>
              <w:top w:val="nil"/>
              <w:left w:val="nil"/>
              <w:bottom w:val="single" w:sz="8" w:space="0" w:color="DCDDDE"/>
              <w:right w:val="nil"/>
            </w:tcBorders>
            <w:shd w:val="clear" w:color="000000" w:fill="FFFFFF"/>
            <w:noWrap/>
            <w:vAlign w:val="center"/>
            <w:hideMark/>
          </w:tcPr>
          <w:p w14:paraId="4B0B3F8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0991679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2A4049F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7F61C24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31</w:t>
            </w:r>
          </w:p>
        </w:tc>
      </w:tr>
      <w:tr w:rsidR="002A760B" w:rsidRPr="002A760B" w14:paraId="704D4B55"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7B70F773"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37D1F69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0CEE6DA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31F1753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172B694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38</w:t>
            </w:r>
          </w:p>
        </w:tc>
        <w:tc>
          <w:tcPr>
            <w:tcW w:w="545" w:type="dxa"/>
            <w:tcBorders>
              <w:top w:val="nil"/>
              <w:left w:val="nil"/>
              <w:bottom w:val="single" w:sz="8" w:space="0" w:color="DCDDDE"/>
              <w:right w:val="nil"/>
            </w:tcBorders>
            <w:shd w:val="clear" w:color="000000" w:fill="FFFFFF"/>
            <w:noWrap/>
            <w:vAlign w:val="center"/>
            <w:hideMark/>
          </w:tcPr>
          <w:p w14:paraId="77725A2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78FA4F9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45</w:t>
            </w:r>
          </w:p>
        </w:tc>
        <w:tc>
          <w:tcPr>
            <w:tcW w:w="545" w:type="dxa"/>
            <w:tcBorders>
              <w:top w:val="nil"/>
              <w:left w:val="nil"/>
              <w:bottom w:val="single" w:sz="8" w:space="0" w:color="DCDDDE"/>
              <w:right w:val="nil"/>
            </w:tcBorders>
            <w:shd w:val="clear" w:color="000000" w:fill="FFFFFF"/>
            <w:noWrap/>
            <w:vAlign w:val="center"/>
            <w:hideMark/>
          </w:tcPr>
          <w:p w14:paraId="35CBDBE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44</w:t>
            </w:r>
          </w:p>
        </w:tc>
        <w:tc>
          <w:tcPr>
            <w:tcW w:w="545" w:type="dxa"/>
            <w:tcBorders>
              <w:top w:val="nil"/>
              <w:left w:val="nil"/>
              <w:bottom w:val="single" w:sz="8" w:space="0" w:color="DCDDDE"/>
              <w:right w:val="nil"/>
            </w:tcBorders>
            <w:shd w:val="clear" w:color="000000" w:fill="FFFFFF"/>
            <w:noWrap/>
            <w:vAlign w:val="center"/>
            <w:hideMark/>
          </w:tcPr>
          <w:p w14:paraId="68BEE4A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42</w:t>
            </w:r>
          </w:p>
        </w:tc>
        <w:tc>
          <w:tcPr>
            <w:tcW w:w="545" w:type="dxa"/>
            <w:tcBorders>
              <w:top w:val="nil"/>
              <w:left w:val="nil"/>
              <w:bottom w:val="single" w:sz="8" w:space="0" w:color="DCDDDE"/>
              <w:right w:val="nil"/>
            </w:tcBorders>
            <w:shd w:val="clear" w:color="000000" w:fill="FFFFFF"/>
            <w:noWrap/>
            <w:vAlign w:val="center"/>
            <w:hideMark/>
          </w:tcPr>
          <w:p w14:paraId="7E5606E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45537C8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40</w:t>
            </w:r>
          </w:p>
        </w:tc>
        <w:tc>
          <w:tcPr>
            <w:tcW w:w="545" w:type="dxa"/>
            <w:tcBorders>
              <w:top w:val="nil"/>
              <w:left w:val="nil"/>
              <w:bottom w:val="single" w:sz="8" w:space="0" w:color="DCDDDE"/>
              <w:right w:val="nil"/>
            </w:tcBorders>
            <w:shd w:val="clear" w:color="000000" w:fill="FFFFFF"/>
            <w:noWrap/>
            <w:vAlign w:val="center"/>
            <w:hideMark/>
          </w:tcPr>
          <w:p w14:paraId="2EDDDC5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105B4C3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36</w:t>
            </w:r>
          </w:p>
        </w:tc>
        <w:tc>
          <w:tcPr>
            <w:tcW w:w="545" w:type="dxa"/>
            <w:tcBorders>
              <w:top w:val="nil"/>
              <w:left w:val="nil"/>
              <w:bottom w:val="single" w:sz="8" w:space="0" w:color="DCDDDE"/>
              <w:right w:val="nil"/>
            </w:tcBorders>
            <w:shd w:val="clear" w:color="000000" w:fill="FFFFFF"/>
            <w:noWrap/>
            <w:vAlign w:val="center"/>
            <w:hideMark/>
          </w:tcPr>
          <w:p w14:paraId="198722C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34</w:t>
            </w:r>
          </w:p>
        </w:tc>
      </w:tr>
      <w:tr w:rsidR="002A760B" w:rsidRPr="002A760B" w14:paraId="3992BF72"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604FFA6E"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77474638"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045DC0A4"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44</w:t>
            </w:r>
          </w:p>
        </w:tc>
        <w:tc>
          <w:tcPr>
            <w:tcW w:w="545" w:type="dxa"/>
            <w:tcBorders>
              <w:top w:val="nil"/>
              <w:left w:val="nil"/>
              <w:bottom w:val="single" w:sz="8" w:space="0" w:color="DCDDDE"/>
              <w:right w:val="nil"/>
            </w:tcBorders>
            <w:shd w:val="clear" w:color="000000" w:fill="FFFFFF"/>
            <w:noWrap/>
            <w:vAlign w:val="center"/>
            <w:hideMark/>
          </w:tcPr>
          <w:p w14:paraId="1BB41571"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48</w:t>
            </w:r>
          </w:p>
        </w:tc>
        <w:tc>
          <w:tcPr>
            <w:tcW w:w="545" w:type="dxa"/>
            <w:tcBorders>
              <w:top w:val="nil"/>
              <w:left w:val="nil"/>
              <w:bottom w:val="single" w:sz="8" w:space="0" w:color="DCDDDE"/>
              <w:right w:val="nil"/>
            </w:tcBorders>
            <w:shd w:val="clear" w:color="000000" w:fill="FFFFFF"/>
            <w:noWrap/>
            <w:vAlign w:val="center"/>
            <w:hideMark/>
          </w:tcPr>
          <w:p w14:paraId="66A75CED"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56</w:t>
            </w:r>
          </w:p>
        </w:tc>
        <w:tc>
          <w:tcPr>
            <w:tcW w:w="545" w:type="dxa"/>
            <w:tcBorders>
              <w:top w:val="nil"/>
              <w:left w:val="nil"/>
              <w:bottom w:val="single" w:sz="8" w:space="0" w:color="DCDDDE"/>
              <w:right w:val="nil"/>
            </w:tcBorders>
            <w:shd w:val="clear" w:color="000000" w:fill="FFFFFF"/>
            <w:noWrap/>
            <w:vAlign w:val="center"/>
            <w:hideMark/>
          </w:tcPr>
          <w:p w14:paraId="3DA4D7E0"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56</w:t>
            </w:r>
          </w:p>
        </w:tc>
        <w:tc>
          <w:tcPr>
            <w:tcW w:w="545" w:type="dxa"/>
            <w:tcBorders>
              <w:top w:val="nil"/>
              <w:left w:val="nil"/>
              <w:bottom w:val="single" w:sz="8" w:space="0" w:color="DCDDDE"/>
              <w:right w:val="nil"/>
            </w:tcBorders>
            <w:shd w:val="clear" w:color="000000" w:fill="FFFFFF"/>
            <w:noWrap/>
            <w:vAlign w:val="center"/>
            <w:hideMark/>
          </w:tcPr>
          <w:p w14:paraId="77FA75CD"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66</w:t>
            </w:r>
          </w:p>
        </w:tc>
        <w:tc>
          <w:tcPr>
            <w:tcW w:w="545" w:type="dxa"/>
            <w:tcBorders>
              <w:top w:val="nil"/>
              <w:left w:val="nil"/>
              <w:bottom w:val="single" w:sz="8" w:space="0" w:color="DCDDDE"/>
              <w:right w:val="nil"/>
            </w:tcBorders>
            <w:shd w:val="clear" w:color="000000" w:fill="FFFFFF"/>
            <w:noWrap/>
            <w:vAlign w:val="center"/>
            <w:hideMark/>
          </w:tcPr>
          <w:p w14:paraId="5E8639F9"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67</w:t>
            </w:r>
          </w:p>
        </w:tc>
        <w:tc>
          <w:tcPr>
            <w:tcW w:w="545" w:type="dxa"/>
            <w:tcBorders>
              <w:top w:val="nil"/>
              <w:left w:val="nil"/>
              <w:bottom w:val="single" w:sz="8" w:space="0" w:color="DCDDDE"/>
              <w:right w:val="nil"/>
            </w:tcBorders>
            <w:shd w:val="clear" w:color="000000" w:fill="FFFFFF"/>
            <w:noWrap/>
            <w:vAlign w:val="center"/>
            <w:hideMark/>
          </w:tcPr>
          <w:p w14:paraId="5E6AF313"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67</w:t>
            </w:r>
          </w:p>
        </w:tc>
        <w:tc>
          <w:tcPr>
            <w:tcW w:w="545" w:type="dxa"/>
            <w:tcBorders>
              <w:top w:val="nil"/>
              <w:left w:val="nil"/>
              <w:bottom w:val="single" w:sz="8" w:space="0" w:color="DCDDDE"/>
              <w:right w:val="nil"/>
            </w:tcBorders>
            <w:shd w:val="clear" w:color="000000" w:fill="FFFFFF"/>
            <w:noWrap/>
            <w:vAlign w:val="center"/>
            <w:hideMark/>
          </w:tcPr>
          <w:p w14:paraId="47FC1624"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67</w:t>
            </w:r>
          </w:p>
        </w:tc>
        <w:tc>
          <w:tcPr>
            <w:tcW w:w="545" w:type="dxa"/>
            <w:tcBorders>
              <w:top w:val="nil"/>
              <w:left w:val="nil"/>
              <w:bottom w:val="single" w:sz="8" w:space="0" w:color="DCDDDE"/>
              <w:right w:val="nil"/>
            </w:tcBorders>
            <w:shd w:val="clear" w:color="000000" w:fill="FFFFFF"/>
            <w:noWrap/>
            <w:vAlign w:val="center"/>
            <w:hideMark/>
          </w:tcPr>
          <w:p w14:paraId="2CEA2EAF"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68</w:t>
            </w:r>
          </w:p>
        </w:tc>
        <w:tc>
          <w:tcPr>
            <w:tcW w:w="545" w:type="dxa"/>
            <w:tcBorders>
              <w:top w:val="nil"/>
              <w:left w:val="nil"/>
              <w:bottom w:val="single" w:sz="8" w:space="0" w:color="DCDDDE"/>
              <w:right w:val="nil"/>
            </w:tcBorders>
            <w:shd w:val="clear" w:color="000000" w:fill="FFFFFF"/>
            <w:noWrap/>
            <w:vAlign w:val="center"/>
            <w:hideMark/>
          </w:tcPr>
          <w:p w14:paraId="2F0DAD9E"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67</w:t>
            </w:r>
          </w:p>
        </w:tc>
        <w:tc>
          <w:tcPr>
            <w:tcW w:w="545" w:type="dxa"/>
            <w:tcBorders>
              <w:top w:val="nil"/>
              <w:left w:val="nil"/>
              <w:bottom w:val="single" w:sz="8" w:space="0" w:color="DCDDDE"/>
              <w:right w:val="nil"/>
            </w:tcBorders>
            <w:shd w:val="clear" w:color="000000" w:fill="FFFFFF"/>
            <w:noWrap/>
            <w:vAlign w:val="center"/>
            <w:hideMark/>
          </w:tcPr>
          <w:p w14:paraId="3ACA4929"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66</w:t>
            </w:r>
          </w:p>
        </w:tc>
        <w:tc>
          <w:tcPr>
            <w:tcW w:w="545" w:type="dxa"/>
            <w:tcBorders>
              <w:top w:val="nil"/>
              <w:left w:val="nil"/>
              <w:bottom w:val="single" w:sz="8" w:space="0" w:color="DCDDDE"/>
              <w:right w:val="nil"/>
            </w:tcBorders>
            <w:shd w:val="clear" w:color="000000" w:fill="FFFFFF"/>
            <w:noWrap/>
            <w:vAlign w:val="center"/>
            <w:hideMark/>
          </w:tcPr>
          <w:p w14:paraId="7D657DA9"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65</w:t>
            </w:r>
          </w:p>
        </w:tc>
      </w:tr>
      <w:tr w:rsidR="002A760B" w:rsidRPr="002A760B" w14:paraId="70E52DB7" w14:textId="77777777" w:rsidTr="002A760B">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4DC7466A"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mTRC (GHG adder 1) | Reference</w:t>
            </w:r>
          </w:p>
        </w:tc>
      </w:tr>
      <w:tr w:rsidR="002A760B" w:rsidRPr="002A760B" w14:paraId="787F179E"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2317C430"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61CE1EE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3B84905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67A1F5D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4B61986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7A20194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3C75C62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0D3FA39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5D74383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4E9C833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6561F55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7A0F200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314D1A5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75F9500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21</w:t>
            </w:r>
          </w:p>
        </w:tc>
      </w:tr>
      <w:tr w:rsidR="002A760B" w:rsidRPr="002A760B" w14:paraId="22A61267"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3EB9FFE9"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009B5CB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633FE45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2527C8F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02560F4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3A95560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0E11798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4F70D32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3660D96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3C812FA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430D7DA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7799FF5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69E511E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13EDBE3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r>
      <w:tr w:rsidR="002A760B" w:rsidRPr="002A760B" w14:paraId="6F0B0F13"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581CC086"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6212BCF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03E8BD0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12A8993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690A035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402EAA7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594FA31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5F30010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4FA4E77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0450FD0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3208AB5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11A3389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3DBE29C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4356ABD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r>
      <w:tr w:rsidR="002A760B" w:rsidRPr="002A760B" w14:paraId="74262AF3"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164E400B"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52FBAE7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1C60646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38F9334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4B307BB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1E07D8C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2E1513D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79A6804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03953DC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0F70B8E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7272C1D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3784723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6F1D5DB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34</w:t>
            </w:r>
          </w:p>
        </w:tc>
        <w:tc>
          <w:tcPr>
            <w:tcW w:w="545" w:type="dxa"/>
            <w:tcBorders>
              <w:top w:val="nil"/>
              <w:left w:val="nil"/>
              <w:bottom w:val="single" w:sz="8" w:space="0" w:color="DCDDDE"/>
              <w:right w:val="nil"/>
            </w:tcBorders>
            <w:shd w:val="clear" w:color="000000" w:fill="FFFFFF"/>
            <w:noWrap/>
            <w:vAlign w:val="center"/>
            <w:hideMark/>
          </w:tcPr>
          <w:p w14:paraId="54A25F1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35</w:t>
            </w:r>
          </w:p>
        </w:tc>
      </w:tr>
      <w:tr w:rsidR="002A760B" w:rsidRPr="002A760B" w14:paraId="294A75C6"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774A9E51"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04A874F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4D9B5AE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5BFC2F5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74B0A5A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38</w:t>
            </w:r>
          </w:p>
        </w:tc>
        <w:tc>
          <w:tcPr>
            <w:tcW w:w="545" w:type="dxa"/>
            <w:tcBorders>
              <w:top w:val="nil"/>
              <w:left w:val="nil"/>
              <w:bottom w:val="single" w:sz="8" w:space="0" w:color="DCDDDE"/>
              <w:right w:val="nil"/>
            </w:tcBorders>
            <w:shd w:val="clear" w:color="000000" w:fill="FFFFFF"/>
            <w:noWrap/>
            <w:vAlign w:val="center"/>
            <w:hideMark/>
          </w:tcPr>
          <w:p w14:paraId="37D0908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5744503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45</w:t>
            </w:r>
          </w:p>
        </w:tc>
        <w:tc>
          <w:tcPr>
            <w:tcW w:w="545" w:type="dxa"/>
            <w:tcBorders>
              <w:top w:val="nil"/>
              <w:left w:val="nil"/>
              <w:bottom w:val="single" w:sz="8" w:space="0" w:color="DCDDDE"/>
              <w:right w:val="nil"/>
            </w:tcBorders>
            <w:shd w:val="clear" w:color="000000" w:fill="FFFFFF"/>
            <w:noWrap/>
            <w:vAlign w:val="center"/>
            <w:hideMark/>
          </w:tcPr>
          <w:p w14:paraId="72C7613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44</w:t>
            </w:r>
          </w:p>
        </w:tc>
        <w:tc>
          <w:tcPr>
            <w:tcW w:w="545" w:type="dxa"/>
            <w:tcBorders>
              <w:top w:val="nil"/>
              <w:left w:val="nil"/>
              <w:bottom w:val="single" w:sz="8" w:space="0" w:color="DCDDDE"/>
              <w:right w:val="nil"/>
            </w:tcBorders>
            <w:shd w:val="clear" w:color="000000" w:fill="FFFFFF"/>
            <w:noWrap/>
            <w:vAlign w:val="center"/>
            <w:hideMark/>
          </w:tcPr>
          <w:p w14:paraId="65EA77F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42</w:t>
            </w:r>
          </w:p>
        </w:tc>
        <w:tc>
          <w:tcPr>
            <w:tcW w:w="545" w:type="dxa"/>
            <w:tcBorders>
              <w:top w:val="nil"/>
              <w:left w:val="nil"/>
              <w:bottom w:val="single" w:sz="8" w:space="0" w:color="DCDDDE"/>
              <w:right w:val="nil"/>
            </w:tcBorders>
            <w:shd w:val="clear" w:color="000000" w:fill="FFFFFF"/>
            <w:noWrap/>
            <w:vAlign w:val="center"/>
            <w:hideMark/>
          </w:tcPr>
          <w:p w14:paraId="6F0A177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713372B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40</w:t>
            </w:r>
          </w:p>
        </w:tc>
        <w:tc>
          <w:tcPr>
            <w:tcW w:w="545" w:type="dxa"/>
            <w:tcBorders>
              <w:top w:val="nil"/>
              <w:left w:val="nil"/>
              <w:bottom w:val="single" w:sz="8" w:space="0" w:color="DCDDDE"/>
              <w:right w:val="nil"/>
            </w:tcBorders>
            <w:shd w:val="clear" w:color="000000" w:fill="FFFFFF"/>
            <w:noWrap/>
            <w:vAlign w:val="center"/>
            <w:hideMark/>
          </w:tcPr>
          <w:p w14:paraId="5DC5D18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0904985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36</w:t>
            </w:r>
          </w:p>
        </w:tc>
        <w:tc>
          <w:tcPr>
            <w:tcW w:w="545" w:type="dxa"/>
            <w:tcBorders>
              <w:top w:val="nil"/>
              <w:left w:val="nil"/>
              <w:bottom w:val="single" w:sz="8" w:space="0" w:color="DCDDDE"/>
              <w:right w:val="nil"/>
            </w:tcBorders>
            <w:shd w:val="clear" w:color="000000" w:fill="FFFFFF"/>
            <w:noWrap/>
            <w:vAlign w:val="center"/>
            <w:hideMark/>
          </w:tcPr>
          <w:p w14:paraId="1055091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34</w:t>
            </w:r>
          </w:p>
        </w:tc>
      </w:tr>
      <w:tr w:rsidR="002A760B" w:rsidRPr="002A760B" w14:paraId="3BC17CA0"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2894EC2C"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74351325"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44</w:t>
            </w:r>
          </w:p>
        </w:tc>
        <w:tc>
          <w:tcPr>
            <w:tcW w:w="545" w:type="dxa"/>
            <w:tcBorders>
              <w:top w:val="nil"/>
              <w:left w:val="nil"/>
              <w:bottom w:val="single" w:sz="8" w:space="0" w:color="DCDDDE"/>
              <w:right w:val="nil"/>
            </w:tcBorders>
            <w:shd w:val="clear" w:color="000000" w:fill="FFFFFF"/>
            <w:noWrap/>
            <w:vAlign w:val="center"/>
            <w:hideMark/>
          </w:tcPr>
          <w:p w14:paraId="332C775E"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46</w:t>
            </w:r>
          </w:p>
        </w:tc>
        <w:tc>
          <w:tcPr>
            <w:tcW w:w="545" w:type="dxa"/>
            <w:tcBorders>
              <w:top w:val="nil"/>
              <w:left w:val="nil"/>
              <w:bottom w:val="single" w:sz="8" w:space="0" w:color="DCDDDE"/>
              <w:right w:val="nil"/>
            </w:tcBorders>
            <w:shd w:val="clear" w:color="000000" w:fill="FFFFFF"/>
            <w:noWrap/>
            <w:vAlign w:val="center"/>
            <w:hideMark/>
          </w:tcPr>
          <w:p w14:paraId="4BEC0D9D"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50</w:t>
            </w:r>
          </w:p>
        </w:tc>
        <w:tc>
          <w:tcPr>
            <w:tcW w:w="545" w:type="dxa"/>
            <w:tcBorders>
              <w:top w:val="nil"/>
              <w:left w:val="nil"/>
              <w:bottom w:val="single" w:sz="8" w:space="0" w:color="DCDDDE"/>
              <w:right w:val="nil"/>
            </w:tcBorders>
            <w:shd w:val="clear" w:color="000000" w:fill="FFFFFF"/>
            <w:noWrap/>
            <w:vAlign w:val="center"/>
            <w:hideMark/>
          </w:tcPr>
          <w:p w14:paraId="39D33047"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59</w:t>
            </w:r>
          </w:p>
        </w:tc>
        <w:tc>
          <w:tcPr>
            <w:tcW w:w="545" w:type="dxa"/>
            <w:tcBorders>
              <w:top w:val="nil"/>
              <w:left w:val="nil"/>
              <w:bottom w:val="single" w:sz="8" w:space="0" w:color="DCDDDE"/>
              <w:right w:val="nil"/>
            </w:tcBorders>
            <w:shd w:val="clear" w:color="000000" w:fill="FFFFFF"/>
            <w:noWrap/>
            <w:vAlign w:val="center"/>
            <w:hideMark/>
          </w:tcPr>
          <w:p w14:paraId="75EFF160"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60</w:t>
            </w:r>
          </w:p>
        </w:tc>
        <w:tc>
          <w:tcPr>
            <w:tcW w:w="545" w:type="dxa"/>
            <w:tcBorders>
              <w:top w:val="nil"/>
              <w:left w:val="nil"/>
              <w:bottom w:val="single" w:sz="8" w:space="0" w:color="DCDDDE"/>
              <w:right w:val="nil"/>
            </w:tcBorders>
            <w:shd w:val="clear" w:color="000000" w:fill="FFFFFF"/>
            <w:noWrap/>
            <w:vAlign w:val="center"/>
            <w:hideMark/>
          </w:tcPr>
          <w:p w14:paraId="110BEB0F"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70</w:t>
            </w:r>
          </w:p>
        </w:tc>
        <w:tc>
          <w:tcPr>
            <w:tcW w:w="545" w:type="dxa"/>
            <w:tcBorders>
              <w:top w:val="nil"/>
              <w:left w:val="nil"/>
              <w:bottom w:val="single" w:sz="8" w:space="0" w:color="DCDDDE"/>
              <w:right w:val="nil"/>
            </w:tcBorders>
            <w:shd w:val="clear" w:color="000000" w:fill="FFFFFF"/>
            <w:noWrap/>
            <w:vAlign w:val="center"/>
            <w:hideMark/>
          </w:tcPr>
          <w:p w14:paraId="1145699B"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70</w:t>
            </w:r>
          </w:p>
        </w:tc>
        <w:tc>
          <w:tcPr>
            <w:tcW w:w="545" w:type="dxa"/>
            <w:tcBorders>
              <w:top w:val="nil"/>
              <w:left w:val="nil"/>
              <w:bottom w:val="single" w:sz="8" w:space="0" w:color="DCDDDE"/>
              <w:right w:val="nil"/>
            </w:tcBorders>
            <w:shd w:val="clear" w:color="000000" w:fill="FFFFFF"/>
            <w:noWrap/>
            <w:vAlign w:val="center"/>
            <w:hideMark/>
          </w:tcPr>
          <w:p w14:paraId="2EF119E7"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71</w:t>
            </w:r>
          </w:p>
        </w:tc>
        <w:tc>
          <w:tcPr>
            <w:tcW w:w="545" w:type="dxa"/>
            <w:tcBorders>
              <w:top w:val="nil"/>
              <w:left w:val="nil"/>
              <w:bottom w:val="single" w:sz="8" w:space="0" w:color="DCDDDE"/>
              <w:right w:val="nil"/>
            </w:tcBorders>
            <w:shd w:val="clear" w:color="000000" w:fill="FFFFFF"/>
            <w:noWrap/>
            <w:vAlign w:val="center"/>
            <w:hideMark/>
          </w:tcPr>
          <w:p w14:paraId="727B8E67"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71</w:t>
            </w:r>
          </w:p>
        </w:tc>
        <w:tc>
          <w:tcPr>
            <w:tcW w:w="545" w:type="dxa"/>
            <w:tcBorders>
              <w:top w:val="nil"/>
              <w:left w:val="nil"/>
              <w:bottom w:val="single" w:sz="8" w:space="0" w:color="DCDDDE"/>
              <w:right w:val="nil"/>
            </w:tcBorders>
            <w:shd w:val="clear" w:color="000000" w:fill="FFFFFF"/>
            <w:noWrap/>
            <w:vAlign w:val="center"/>
            <w:hideMark/>
          </w:tcPr>
          <w:p w14:paraId="0912FD4F"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71</w:t>
            </w:r>
          </w:p>
        </w:tc>
        <w:tc>
          <w:tcPr>
            <w:tcW w:w="545" w:type="dxa"/>
            <w:tcBorders>
              <w:top w:val="nil"/>
              <w:left w:val="nil"/>
              <w:bottom w:val="single" w:sz="8" w:space="0" w:color="DCDDDE"/>
              <w:right w:val="nil"/>
            </w:tcBorders>
            <w:shd w:val="clear" w:color="000000" w:fill="FFFFFF"/>
            <w:noWrap/>
            <w:vAlign w:val="center"/>
            <w:hideMark/>
          </w:tcPr>
          <w:p w14:paraId="388C64CA"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71</w:t>
            </w:r>
          </w:p>
        </w:tc>
        <w:tc>
          <w:tcPr>
            <w:tcW w:w="545" w:type="dxa"/>
            <w:tcBorders>
              <w:top w:val="nil"/>
              <w:left w:val="nil"/>
              <w:bottom w:val="single" w:sz="8" w:space="0" w:color="DCDDDE"/>
              <w:right w:val="nil"/>
            </w:tcBorders>
            <w:shd w:val="clear" w:color="000000" w:fill="FFFFFF"/>
            <w:noWrap/>
            <w:vAlign w:val="center"/>
            <w:hideMark/>
          </w:tcPr>
          <w:p w14:paraId="7D036FD9"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70</w:t>
            </w:r>
          </w:p>
        </w:tc>
        <w:tc>
          <w:tcPr>
            <w:tcW w:w="545" w:type="dxa"/>
            <w:tcBorders>
              <w:top w:val="nil"/>
              <w:left w:val="nil"/>
              <w:bottom w:val="single" w:sz="8" w:space="0" w:color="DCDDDE"/>
              <w:right w:val="nil"/>
            </w:tcBorders>
            <w:shd w:val="clear" w:color="000000" w:fill="FFFFFF"/>
            <w:noWrap/>
            <w:vAlign w:val="center"/>
            <w:hideMark/>
          </w:tcPr>
          <w:p w14:paraId="07E6C934"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69</w:t>
            </w:r>
          </w:p>
        </w:tc>
      </w:tr>
      <w:tr w:rsidR="002A760B" w:rsidRPr="002A760B" w14:paraId="3321DD85" w14:textId="77777777" w:rsidTr="002A760B">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08D6CA77"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mTRC (GHG adder 2) | Reference</w:t>
            </w:r>
          </w:p>
        </w:tc>
      </w:tr>
      <w:tr w:rsidR="002A760B" w:rsidRPr="002A760B" w14:paraId="29905FD6"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353C0A30"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5B5FA93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7FEC157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1EFFAE8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51D72B1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469DC89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2E25D0A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7BC36C0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1314AAC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1AE76FF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3BBF96B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4005127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1DA1427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4E8042D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r>
      <w:tr w:rsidR="002A760B" w:rsidRPr="002A760B" w14:paraId="4F821873"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22B95DA6"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3C4A790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1011E59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19A0FEB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505767F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443BB01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40DF41E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4FEF920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34C129D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716E47F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2ECC819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7693444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0AAE74B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61C14BB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r>
      <w:tr w:rsidR="002A760B" w:rsidRPr="002A760B" w14:paraId="2A7DEE96"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4CF0C85F"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4C43C11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5E54AF9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71E0C17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566BDAD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02B80CE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69D3D1B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7E21EEA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76CCF62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300BF14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5534637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55D9E12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229F126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4B91913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r>
      <w:tr w:rsidR="002A760B" w:rsidRPr="002A760B" w14:paraId="3A0E693A"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3C36BC05"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1AD7E94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681C297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1B70C08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4F97019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6F25C69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24</w:t>
            </w:r>
          </w:p>
        </w:tc>
        <w:tc>
          <w:tcPr>
            <w:tcW w:w="545" w:type="dxa"/>
            <w:tcBorders>
              <w:top w:val="nil"/>
              <w:left w:val="nil"/>
              <w:bottom w:val="single" w:sz="8" w:space="0" w:color="DCDDDE"/>
              <w:right w:val="nil"/>
            </w:tcBorders>
            <w:shd w:val="clear" w:color="000000" w:fill="FFFFFF"/>
            <w:noWrap/>
            <w:vAlign w:val="center"/>
            <w:hideMark/>
          </w:tcPr>
          <w:p w14:paraId="173F7D0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79ACFD3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7C7B083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16F7DD4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3DF1EEC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34</w:t>
            </w:r>
          </w:p>
        </w:tc>
        <w:tc>
          <w:tcPr>
            <w:tcW w:w="545" w:type="dxa"/>
            <w:tcBorders>
              <w:top w:val="nil"/>
              <w:left w:val="nil"/>
              <w:bottom w:val="single" w:sz="8" w:space="0" w:color="DCDDDE"/>
              <w:right w:val="nil"/>
            </w:tcBorders>
            <w:shd w:val="clear" w:color="000000" w:fill="FFFFFF"/>
            <w:noWrap/>
            <w:vAlign w:val="center"/>
            <w:hideMark/>
          </w:tcPr>
          <w:p w14:paraId="0561076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35</w:t>
            </w:r>
          </w:p>
        </w:tc>
        <w:tc>
          <w:tcPr>
            <w:tcW w:w="545" w:type="dxa"/>
            <w:tcBorders>
              <w:top w:val="nil"/>
              <w:left w:val="nil"/>
              <w:bottom w:val="single" w:sz="8" w:space="0" w:color="DCDDDE"/>
              <w:right w:val="nil"/>
            </w:tcBorders>
            <w:shd w:val="clear" w:color="000000" w:fill="FFFFFF"/>
            <w:noWrap/>
            <w:vAlign w:val="center"/>
            <w:hideMark/>
          </w:tcPr>
          <w:p w14:paraId="7666CBF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36</w:t>
            </w:r>
          </w:p>
        </w:tc>
        <w:tc>
          <w:tcPr>
            <w:tcW w:w="545" w:type="dxa"/>
            <w:tcBorders>
              <w:top w:val="nil"/>
              <w:left w:val="nil"/>
              <w:bottom w:val="single" w:sz="8" w:space="0" w:color="DCDDDE"/>
              <w:right w:val="nil"/>
            </w:tcBorders>
            <w:shd w:val="clear" w:color="000000" w:fill="FFFFFF"/>
            <w:noWrap/>
            <w:vAlign w:val="center"/>
            <w:hideMark/>
          </w:tcPr>
          <w:p w14:paraId="60ABCE1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37</w:t>
            </w:r>
          </w:p>
        </w:tc>
      </w:tr>
      <w:tr w:rsidR="002A760B" w:rsidRPr="002A760B" w14:paraId="0CA6E5D3"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55E7AF3C"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343A707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40F9F6C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507DE15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083A189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38</w:t>
            </w:r>
          </w:p>
        </w:tc>
        <w:tc>
          <w:tcPr>
            <w:tcW w:w="545" w:type="dxa"/>
            <w:tcBorders>
              <w:top w:val="nil"/>
              <w:left w:val="nil"/>
              <w:bottom w:val="single" w:sz="8" w:space="0" w:color="DCDDDE"/>
              <w:right w:val="nil"/>
            </w:tcBorders>
            <w:shd w:val="clear" w:color="000000" w:fill="FFFFFF"/>
            <w:noWrap/>
            <w:vAlign w:val="center"/>
            <w:hideMark/>
          </w:tcPr>
          <w:p w14:paraId="37CE918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0AB2C49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45</w:t>
            </w:r>
          </w:p>
        </w:tc>
        <w:tc>
          <w:tcPr>
            <w:tcW w:w="545" w:type="dxa"/>
            <w:tcBorders>
              <w:top w:val="nil"/>
              <w:left w:val="nil"/>
              <w:bottom w:val="single" w:sz="8" w:space="0" w:color="DCDDDE"/>
              <w:right w:val="nil"/>
            </w:tcBorders>
            <w:shd w:val="clear" w:color="000000" w:fill="FFFFFF"/>
            <w:noWrap/>
            <w:vAlign w:val="center"/>
            <w:hideMark/>
          </w:tcPr>
          <w:p w14:paraId="072D6E3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44</w:t>
            </w:r>
          </w:p>
        </w:tc>
        <w:tc>
          <w:tcPr>
            <w:tcW w:w="545" w:type="dxa"/>
            <w:tcBorders>
              <w:top w:val="nil"/>
              <w:left w:val="nil"/>
              <w:bottom w:val="single" w:sz="8" w:space="0" w:color="DCDDDE"/>
              <w:right w:val="nil"/>
            </w:tcBorders>
            <w:shd w:val="clear" w:color="000000" w:fill="FFFFFF"/>
            <w:noWrap/>
            <w:vAlign w:val="center"/>
            <w:hideMark/>
          </w:tcPr>
          <w:p w14:paraId="74E9E9C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42</w:t>
            </w:r>
          </w:p>
        </w:tc>
        <w:tc>
          <w:tcPr>
            <w:tcW w:w="545" w:type="dxa"/>
            <w:tcBorders>
              <w:top w:val="nil"/>
              <w:left w:val="nil"/>
              <w:bottom w:val="single" w:sz="8" w:space="0" w:color="DCDDDE"/>
              <w:right w:val="nil"/>
            </w:tcBorders>
            <w:shd w:val="clear" w:color="000000" w:fill="FFFFFF"/>
            <w:noWrap/>
            <w:vAlign w:val="center"/>
            <w:hideMark/>
          </w:tcPr>
          <w:p w14:paraId="4CBA612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252E7B6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40</w:t>
            </w:r>
          </w:p>
        </w:tc>
        <w:tc>
          <w:tcPr>
            <w:tcW w:w="545" w:type="dxa"/>
            <w:tcBorders>
              <w:top w:val="nil"/>
              <w:left w:val="nil"/>
              <w:bottom w:val="single" w:sz="8" w:space="0" w:color="DCDDDE"/>
              <w:right w:val="nil"/>
            </w:tcBorders>
            <w:shd w:val="clear" w:color="000000" w:fill="FFFFFF"/>
            <w:noWrap/>
            <w:vAlign w:val="center"/>
            <w:hideMark/>
          </w:tcPr>
          <w:p w14:paraId="0341BF0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0C4AD68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36</w:t>
            </w:r>
          </w:p>
        </w:tc>
        <w:tc>
          <w:tcPr>
            <w:tcW w:w="545" w:type="dxa"/>
            <w:tcBorders>
              <w:top w:val="nil"/>
              <w:left w:val="nil"/>
              <w:bottom w:val="single" w:sz="8" w:space="0" w:color="DCDDDE"/>
              <w:right w:val="nil"/>
            </w:tcBorders>
            <w:shd w:val="clear" w:color="000000" w:fill="FFFFFF"/>
            <w:noWrap/>
            <w:vAlign w:val="center"/>
            <w:hideMark/>
          </w:tcPr>
          <w:p w14:paraId="2E1592A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34</w:t>
            </w:r>
          </w:p>
        </w:tc>
      </w:tr>
      <w:tr w:rsidR="002A760B" w:rsidRPr="002A760B" w14:paraId="67CCE044"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79CB94D8"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121A2C14"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44</w:t>
            </w:r>
          </w:p>
        </w:tc>
        <w:tc>
          <w:tcPr>
            <w:tcW w:w="545" w:type="dxa"/>
            <w:tcBorders>
              <w:top w:val="nil"/>
              <w:left w:val="nil"/>
              <w:bottom w:val="single" w:sz="8" w:space="0" w:color="DCDDDE"/>
              <w:right w:val="nil"/>
            </w:tcBorders>
            <w:shd w:val="clear" w:color="000000" w:fill="FFFFFF"/>
            <w:noWrap/>
            <w:vAlign w:val="center"/>
            <w:hideMark/>
          </w:tcPr>
          <w:p w14:paraId="1119B20B"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46</w:t>
            </w:r>
          </w:p>
        </w:tc>
        <w:tc>
          <w:tcPr>
            <w:tcW w:w="545" w:type="dxa"/>
            <w:tcBorders>
              <w:top w:val="nil"/>
              <w:left w:val="nil"/>
              <w:bottom w:val="single" w:sz="8" w:space="0" w:color="DCDDDE"/>
              <w:right w:val="nil"/>
            </w:tcBorders>
            <w:shd w:val="clear" w:color="000000" w:fill="FFFFFF"/>
            <w:noWrap/>
            <w:vAlign w:val="center"/>
            <w:hideMark/>
          </w:tcPr>
          <w:p w14:paraId="21CFFB02"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51</w:t>
            </w:r>
          </w:p>
        </w:tc>
        <w:tc>
          <w:tcPr>
            <w:tcW w:w="545" w:type="dxa"/>
            <w:tcBorders>
              <w:top w:val="nil"/>
              <w:left w:val="nil"/>
              <w:bottom w:val="single" w:sz="8" w:space="0" w:color="DCDDDE"/>
              <w:right w:val="nil"/>
            </w:tcBorders>
            <w:shd w:val="clear" w:color="000000" w:fill="FFFFFF"/>
            <w:noWrap/>
            <w:vAlign w:val="center"/>
            <w:hideMark/>
          </w:tcPr>
          <w:p w14:paraId="42DD393E"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60</w:t>
            </w:r>
          </w:p>
        </w:tc>
        <w:tc>
          <w:tcPr>
            <w:tcW w:w="545" w:type="dxa"/>
            <w:tcBorders>
              <w:top w:val="nil"/>
              <w:left w:val="nil"/>
              <w:bottom w:val="single" w:sz="8" w:space="0" w:color="DCDDDE"/>
              <w:right w:val="nil"/>
            </w:tcBorders>
            <w:shd w:val="clear" w:color="000000" w:fill="FFFFFF"/>
            <w:noWrap/>
            <w:vAlign w:val="center"/>
            <w:hideMark/>
          </w:tcPr>
          <w:p w14:paraId="3BE9DE3C"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61</w:t>
            </w:r>
          </w:p>
        </w:tc>
        <w:tc>
          <w:tcPr>
            <w:tcW w:w="545" w:type="dxa"/>
            <w:tcBorders>
              <w:top w:val="nil"/>
              <w:left w:val="nil"/>
              <w:bottom w:val="single" w:sz="8" w:space="0" w:color="DCDDDE"/>
              <w:right w:val="nil"/>
            </w:tcBorders>
            <w:shd w:val="clear" w:color="000000" w:fill="FFFFFF"/>
            <w:noWrap/>
            <w:vAlign w:val="center"/>
            <w:hideMark/>
          </w:tcPr>
          <w:p w14:paraId="15FF6E0E"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73</w:t>
            </w:r>
          </w:p>
        </w:tc>
        <w:tc>
          <w:tcPr>
            <w:tcW w:w="545" w:type="dxa"/>
            <w:tcBorders>
              <w:top w:val="nil"/>
              <w:left w:val="nil"/>
              <w:bottom w:val="single" w:sz="8" w:space="0" w:color="DCDDDE"/>
              <w:right w:val="nil"/>
            </w:tcBorders>
            <w:shd w:val="clear" w:color="000000" w:fill="FFFFFF"/>
            <w:noWrap/>
            <w:vAlign w:val="center"/>
            <w:hideMark/>
          </w:tcPr>
          <w:p w14:paraId="032DC2CA"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72</w:t>
            </w:r>
          </w:p>
        </w:tc>
        <w:tc>
          <w:tcPr>
            <w:tcW w:w="545" w:type="dxa"/>
            <w:tcBorders>
              <w:top w:val="nil"/>
              <w:left w:val="nil"/>
              <w:bottom w:val="single" w:sz="8" w:space="0" w:color="DCDDDE"/>
              <w:right w:val="nil"/>
            </w:tcBorders>
            <w:shd w:val="clear" w:color="000000" w:fill="FFFFFF"/>
            <w:noWrap/>
            <w:vAlign w:val="center"/>
            <w:hideMark/>
          </w:tcPr>
          <w:p w14:paraId="0D967F9A"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74</w:t>
            </w:r>
          </w:p>
        </w:tc>
        <w:tc>
          <w:tcPr>
            <w:tcW w:w="545" w:type="dxa"/>
            <w:tcBorders>
              <w:top w:val="nil"/>
              <w:left w:val="nil"/>
              <w:bottom w:val="single" w:sz="8" w:space="0" w:color="DCDDDE"/>
              <w:right w:val="nil"/>
            </w:tcBorders>
            <w:shd w:val="clear" w:color="000000" w:fill="FFFFFF"/>
            <w:noWrap/>
            <w:vAlign w:val="center"/>
            <w:hideMark/>
          </w:tcPr>
          <w:p w14:paraId="61A9DD9C"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74</w:t>
            </w:r>
          </w:p>
        </w:tc>
        <w:tc>
          <w:tcPr>
            <w:tcW w:w="545" w:type="dxa"/>
            <w:tcBorders>
              <w:top w:val="nil"/>
              <w:left w:val="nil"/>
              <w:bottom w:val="single" w:sz="8" w:space="0" w:color="DCDDDE"/>
              <w:right w:val="nil"/>
            </w:tcBorders>
            <w:shd w:val="clear" w:color="000000" w:fill="FFFFFF"/>
            <w:noWrap/>
            <w:vAlign w:val="center"/>
            <w:hideMark/>
          </w:tcPr>
          <w:p w14:paraId="4CA79006"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74</w:t>
            </w:r>
          </w:p>
        </w:tc>
        <w:tc>
          <w:tcPr>
            <w:tcW w:w="545" w:type="dxa"/>
            <w:tcBorders>
              <w:top w:val="nil"/>
              <w:left w:val="nil"/>
              <w:bottom w:val="single" w:sz="8" w:space="0" w:color="DCDDDE"/>
              <w:right w:val="nil"/>
            </w:tcBorders>
            <w:shd w:val="clear" w:color="000000" w:fill="FFFFFF"/>
            <w:noWrap/>
            <w:vAlign w:val="center"/>
            <w:hideMark/>
          </w:tcPr>
          <w:p w14:paraId="534D14AA"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73</w:t>
            </w:r>
          </w:p>
        </w:tc>
        <w:tc>
          <w:tcPr>
            <w:tcW w:w="545" w:type="dxa"/>
            <w:tcBorders>
              <w:top w:val="nil"/>
              <w:left w:val="nil"/>
              <w:bottom w:val="single" w:sz="8" w:space="0" w:color="DCDDDE"/>
              <w:right w:val="nil"/>
            </w:tcBorders>
            <w:shd w:val="clear" w:color="000000" w:fill="FFFFFF"/>
            <w:noWrap/>
            <w:vAlign w:val="center"/>
            <w:hideMark/>
          </w:tcPr>
          <w:p w14:paraId="4F1E9978"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72</w:t>
            </w:r>
          </w:p>
        </w:tc>
        <w:tc>
          <w:tcPr>
            <w:tcW w:w="545" w:type="dxa"/>
            <w:tcBorders>
              <w:top w:val="nil"/>
              <w:left w:val="nil"/>
              <w:bottom w:val="single" w:sz="8" w:space="0" w:color="DCDDDE"/>
              <w:right w:val="nil"/>
            </w:tcBorders>
            <w:shd w:val="clear" w:color="000000" w:fill="FFFFFF"/>
            <w:noWrap/>
            <w:vAlign w:val="center"/>
            <w:hideMark/>
          </w:tcPr>
          <w:p w14:paraId="63F27705"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71</w:t>
            </w:r>
          </w:p>
        </w:tc>
      </w:tr>
      <w:tr w:rsidR="002A760B" w:rsidRPr="002A760B" w14:paraId="44A1A9D5" w14:textId="77777777" w:rsidTr="002A760B">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39C48EA9"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PAC | Reference</w:t>
            </w:r>
          </w:p>
        </w:tc>
      </w:tr>
      <w:tr w:rsidR="002A760B" w:rsidRPr="002A760B" w14:paraId="23B8AB15"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08FD3250"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747FEA0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27</w:t>
            </w:r>
          </w:p>
        </w:tc>
        <w:tc>
          <w:tcPr>
            <w:tcW w:w="545" w:type="dxa"/>
            <w:tcBorders>
              <w:top w:val="nil"/>
              <w:left w:val="nil"/>
              <w:bottom w:val="single" w:sz="8" w:space="0" w:color="DCDDDE"/>
              <w:right w:val="nil"/>
            </w:tcBorders>
            <w:shd w:val="clear" w:color="000000" w:fill="FFFFFF"/>
            <w:noWrap/>
            <w:vAlign w:val="center"/>
            <w:hideMark/>
          </w:tcPr>
          <w:p w14:paraId="6A42B70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1C74A4A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41DE0A2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7E37CEA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3DFF089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7BF9B73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35F6867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4D91097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50245D8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1E254C0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17E27AA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6688A89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r>
      <w:tr w:rsidR="002A760B" w:rsidRPr="002A760B" w14:paraId="6D677C79"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7E8812A0"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453F87B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w:t>
            </w:r>
          </w:p>
        </w:tc>
        <w:tc>
          <w:tcPr>
            <w:tcW w:w="545" w:type="dxa"/>
            <w:tcBorders>
              <w:top w:val="nil"/>
              <w:left w:val="nil"/>
              <w:bottom w:val="single" w:sz="8" w:space="0" w:color="DCDDDE"/>
              <w:right w:val="nil"/>
            </w:tcBorders>
            <w:shd w:val="clear" w:color="000000" w:fill="FFFFFF"/>
            <w:noWrap/>
            <w:vAlign w:val="center"/>
            <w:hideMark/>
          </w:tcPr>
          <w:p w14:paraId="3145B65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5A7213E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5</w:t>
            </w:r>
          </w:p>
        </w:tc>
        <w:tc>
          <w:tcPr>
            <w:tcW w:w="545" w:type="dxa"/>
            <w:tcBorders>
              <w:top w:val="nil"/>
              <w:left w:val="nil"/>
              <w:bottom w:val="single" w:sz="8" w:space="0" w:color="DCDDDE"/>
              <w:right w:val="nil"/>
            </w:tcBorders>
            <w:shd w:val="clear" w:color="000000" w:fill="FFFFFF"/>
            <w:noWrap/>
            <w:vAlign w:val="center"/>
            <w:hideMark/>
          </w:tcPr>
          <w:p w14:paraId="65728A5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7632FEE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6</w:t>
            </w:r>
          </w:p>
        </w:tc>
        <w:tc>
          <w:tcPr>
            <w:tcW w:w="545" w:type="dxa"/>
            <w:tcBorders>
              <w:top w:val="nil"/>
              <w:left w:val="nil"/>
              <w:bottom w:val="single" w:sz="8" w:space="0" w:color="DCDDDE"/>
              <w:right w:val="nil"/>
            </w:tcBorders>
            <w:shd w:val="clear" w:color="000000" w:fill="FFFFFF"/>
            <w:noWrap/>
            <w:vAlign w:val="center"/>
            <w:hideMark/>
          </w:tcPr>
          <w:p w14:paraId="1D68E99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5CD4FB7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71C039B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7672AC0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283F135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16D6A9E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4440077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676A205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r>
      <w:tr w:rsidR="002A760B" w:rsidRPr="002A760B" w14:paraId="4457B514"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361F2A1D"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649F739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542399D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74D1A95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2A5A5F7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680C878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43B8548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1190B7D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77EA387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6F84A98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4F69B0A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24AC0C6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7764BBA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6E801FF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r>
      <w:tr w:rsidR="002A760B" w:rsidRPr="002A760B" w14:paraId="1E93C2B1"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73CA9276"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lastRenderedPageBreak/>
              <w:t>Incentive Programs (Subtotal)</w:t>
            </w:r>
          </w:p>
        </w:tc>
        <w:tc>
          <w:tcPr>
            <w:tcW w:w="545" w:type="dxa"/>
            <w:tcBorders>
              <w:top w:val="nil"/>
              <w:left w:val="nil"/>
              <w:bottom w:val="single" w:sz="8" w:space="0" w:color="DCDDDE"/>
              <w:right w:val="nil"/>
            </w:tcBorders>
            <w:shd w:val="clear" w:color="000000" w:fill="FFFFFF"/>
            <w:noWrap/>
            <w:vAlign w:val="center"/>
            <w:hideMark/>
          </w:tcPr>
          <w:p w14:paraId="3D619CA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31</w:t>
            </w:r>
          </w:p>
        </w:tc>
        <w:tc>
          <w:tcPr>
            <w:tcW w:w="545" w:type="dxa"/>
            <w:tcBorders>
              <w:top w:val="nil"/>
              <w:left w:val="nil"/>
              <w:bottom w:val="single" w:sz="8" w:space="0" w:color="DCDDDE"/>
              <w:right w:val="nil"/>
            </w:tcBorders>
            <w:shd w:val="clear" w:color="000000" w:fill="FFFFFF"/>
            <w:noWrap/>
            <w:vAlign w:val="center"/>
            <w:hideMark/>
          </w:tcPr>
          <w:p w14:paraId="64C44A3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34</w:t>
            </w:r>
          </w:p>
        </w:tc>
        <w:tc>
          <w:tcPr>
            <w:tcW w:w="545" w:type="dxa"/>
            <w:tcBorders>
              <w:top w:val="nil"/>
              <w:left w:val="nil"/>
              <w:bottom w:val="single" w:sz="8" w:space="0" w:color="DCDDDE"/>
              <w:right w:val="nil"/>
            </w:tcBorders>
            <w:shd w:val="clear" w:color="000000" w:fill="FFFFFF"/>
            <w:noWrap/>
            <w:vAlign w:val="center"/>
            <w:hideMark/>
          </w:tcPr>
          <w:p w14:paraId="5960617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34</w:t>
            </w:r>
          </w:p>
        </w:tc>
        <w:tc>
          <w:tcPr>
            <w:tcW w:w="545" w:type="dxa"/>
            <w:tcBorders>
              <w:top w:val="nil"/>
              <w:left w:val="nil"/>
              <w:bottom w:val="single" w:sz="8" w:space="0" w:color="DCDDDE"/>
              <w:right w:val="nil"/>
            </w:tcBorders>
            <w:shd w:val="clear" w:color="000000" w:fill="FFFFFF"/>
            <w:noWrap/>
            <w:vAlign w:val="center"/>
            <w:hideMark/>
          </w:tcPr>
          <w:p w14:paraId="61872C1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19B3CB8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2194752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38</w:t>
            </w:r>
          </w:p>
        </w:tc>
        <w:tc>
          <w:tcPr>
            <w:tcW w:w="545" w:type="dxa"/>
            <w:tcBorders>
              <w:top w:val="nil"/>
              <w:left w:val="nil"/>
              <w:bottom w:val="single" w:sz="8" w:space="0" w:color="DCDDDE"/>
              <w:right w:val="nil"/>
            </w:tcBorders>
            <w:shd w:val="clear" w:color="000000" w:fill="FFFFFF"/>
            <w:noWrap/>
            <w:vAlign w:val="center"/>
            <w:hideMark/>
          </w:tcPr>
          <w:p w14:paraId="575E407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38</w:t>
            </w:r>
          </w:p>
        </w:tc>
        <w:tc>
          <w:tcPr>
            <w:tcW w:w="545" w:type="dxa"/>
            <w:tcBorders>
              <w:top w:val="nil"/>
              <w:left w:val="nil"/>
              <w:bottom w:val="single" w:sz="8" w:space="0" w:color="DCDDDE"/>
              <w:right w:val="nil"/>
            </w:tcBorders>
            <w:shd w:val="clear" w:color="000000" w:fill="FFFFFF"/>
            <w:noWrap/>
            <w:vAlign w:val="center"/>
            <w:hideMark/>
          </w:tcPr>
          <w:p w14:paraId="55DBE80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39</w:t>
            </w:r>
          </w:p>
        </w:tc>
        <w:tc>
          <w:tcPr>
            <w:tcW w:w="545" w:type="dxa"/>
            <w:tcBorders>
              <w:top w:val="nil"/>
              <w:left w:val="nil"/>
              <w:bottom w:val="single" w:sz="8" w:space="0" w:color="DCDDDE"/>
              <w:right w:val="nil"/>
            </w:tcBorders>
            <w:shd w:val="clear" w:color="000000" w:fill="FFFFFF"/>
            <w:noWrap/>
            <w:vAlign w:val="center"/>
            <w:hideMark/>
          </w:tcPr>
          <w:p w14:paraId="7061235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39</w:t>
            </w:r>
          </w:p>
        </w:tc>
        <w:tc>
          <w:tcPr>
            <w:tcW w:w="545" w:type="dxa"/>
            <w:tcBorders>
              <w:top w:val="nil"/>
              <w:left w:val="nil"/>
              <w:bottom w:val="single" w:sz="8" w:space="0" w:color="DCDDDE"/>
              <w:right w:val="nil"/>
            </w:tcBorders>
            <w:shd w:val="clear" w:color="000000" w:fill="FFFFFF"/>
            <w:noWrap/>
            <w:vAlign w:val="center"/>
            <w:hideMark/>
          </w:tcPr>
          <w:p w14:paraId="5996AA4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40</w:t>
            </w:r>
          </w:p>
        </w:tc>
        <w:tc>
          <w:tcPr>
            <w:tcW w:w="545" w:type="dxa"/>
            <w:tcBorders>
              <w:top w:val="nil"/>
              <w:left w:val="nil"/>
              <w:bottom w:val="single" w:sz="8" w:space="0" w:color="DCDDDE"/>
              <w:right w:val="nil"/>
            </w:tcBorders>
            <w:shd w:val="clear" w:color="000000" w:fill="FFFFFF"/>
            <w:noWrap/>
            <w:vAlign w:val="center"/>
            <w:hideMark/>
          </w:tcPr>
          <w:p w14:paraId="040F83F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6246859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42</w:t>
            </w:r>
          </w:p>
        </w:tc>
        <w:tc>
          <w:tcPr>
            <w:tcW w:w="545" w:type="dxa"/>
            <w:tcBorders>
              <w:top w:val="nil"/>
              <w:left w:val="nil"/>
              <w:bottom w:val="single" w:sz="8" w:space="0" w:color="DCDDDE"/>
              <w:right w:val="nil"/>
            </w:tcBorders>
            <w:shd w:val="clear" w:color="000000" w:fill="FFFFFF"/>
            <w:noWrap/>
            <w:vAlign w:val="center"/>
            <w:hideMark/>
          </w:tcPr>
          <w:p w14:paraId="467F595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43</w:t>
            </w:r>
          </w:p>
        </w:tc>
      </w:tr>
      <w:tr w:rsidR="002A760B" w:rsidRPr="002A760B" w14:paraId="579685F1"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25A0B07B"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209F30A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161A6BE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0EAB6D9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619720E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38</w:t>
            </w:r>
          </w:p>
        </w:tc>
        <w:tc>
          <w:tcPr>
            <w:tcW w:w="545" w:type="dxa"/>
            <w:tcBorders>
              <w:top w:val="nil"/>
              <w:left w:val="nil"/>
              <w:bottom w:val="single" w:sz="8" w:space="0" w:color="DCDDDE"/>
              <w:right w:val="nil"/>
            </w:tcBorders>
            <w:shd w:val="clear" w:color="000000" w:fill="FFFFFF"/>
            <w:noWrap/>
            <w:vAlign w:val="center"/>
            <w:hideMark/>
          </w:tcPr>
          <w:p w14:paraId="7DD7085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3D683FE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45</w:t>
            </w:r>
          </w:p>
        </w:tc>
        <w:tc>
          <w:tcPr>
            <w:tcW w:w="545" w:type="dxa"/>
            <w:tcBorders>
              <w:top w:val="nil"/>
              <w:left w:val="nil"/>
              <w:bottom w:val="single" w:sz="8" w:space="0" w:color="DCDDDE"/>
              <w:right w:val="nil"/>
            </w:tcBorders>
            <w:shd w:val="clear" w:color="000000" w:fill="FFFFFF"/>
            <w:noWrap/>
            <w:vAlign w:val="center"/>
            <w:hideMark/>
          </w:tcPr>
          <w:p w14:paraId="63679D3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44</w:t>
            </w:r>
          </w:p>
        </w:tc>
        <w:tc>
          <w:tcPr>
            <w:tcW w:w="545" w:type="dxa"/>
            <w:tcBorders>
              <w:top w:val="nil"/>
              <w:left w:val="nil"/>
              <w:bottom w:val="single" w:sz="8" w:space="0" w:color="DCDDDE"/>
              <w:right w:val="nil"/>
            </w:tcBorders>
            <w:shd w:val="clear" w:color="000000" w:fill="FFFFFF"/>
            <w:noWrap/>
            <w:vAlign w:val="center"/>
            <w:hideMark/>
          </w:tcPr>
          <w:p w14:paraId="19061D5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42</w:t>
            </w:r>
          </w:p>
        </w:tc>
        <w:tc>
          <w:tcPr>
            <w:tcW w:w="545" w:type="dxa"/>
            <w:tcBorders>
              <w:top w:val="nil"/>
              <w:left w:val="nil"/>
              <w:bottom w:val="single" w:sz="8" w:space="0" w:color="DCDDDE"/>
              <w:right w:val="nil"/>
            </w:tcBorders>
            <w:shd w:val="clear" w:color="000000" w:fill="FFFFFF"/>
            <w:noWrap/>
            <w:vAlign w:val="center"/>
            <w:hideMark/>
          </w:tcPr>
          <w:p w14:paraId="1AA089D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1BD3F06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40</w:t>
            </w:r>
          </w:p>
        </w:tc>
        <w:tc>
          <w:tcPr>
            <w:tcW w:w="545" w:type="dxa"/>
            <w:tcBorders>
              <w:top w:val="nil"/>
              <w:left w:val="nil"/>
              <w:bottom w:val="single" w:sz="8" w:space="0" w:color="DCDDDE"/>
              <w:right w:val="nil"/>
            </w:tcBorders>
            <w:shd w:val="clear" w:color="000000" w:fill="FFFFFF"/>
            <w:noWrap/>
            <w:vAlign w:val="center"/>
            <w:hideMark/>
          </w:tcPr>
          <w:p w14:paraId="2CBA018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76D9394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36</w:t>
            </w:r>
          </w:p>
        </w:tc>
        <w:tc>
          <w:tcPr>
            <w:tcW w:w="545" w:type="dxa"/>
            <w:tcBorders>
              <w:top w:val="nil"/>
              <w:left w:val="nil"/>
              <w:bottom w:val="single" w:sz="8" w:space="0" w:color="DCDDDE"/>
              <w:right w:val="nil"/>
            </w:tcBorders>
            <w:shd w:val="clear" w:color="000000" w:fill="FFFFFF"/>
            <w:noWrap/>
            <w:vAlign w:val="center"/>
            <w:hideMark/>
          </w:tcPr>
          <w:p w14:paraId="06787E6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34</w:t>
            </w:r>
          </w:p>
        </w:tc>
      </w:tr>
      <w:tr w:rsidR="002A760B" w:rsidRPr="002A760B" w14:paraId="3D122254"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449D5BCC"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63D77481"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59</w:t>
            </w:r>
          </w:p>
        </w:tc>
        <w:tc>
          <w:tcPr>
            <w:tcW w:w="545" w:type="dxa"/>
            <w:tcBorders>
              <w:top w:val="nil"/>
              <w:left w:val="nil"/>
              <w:bottom w:val="single" w:sz="8" w:space="0" w:color="DCDDDE"/>
              <w:right w:val="nil"/>
            </w:tcBorders>
            <w:shd w:val="clear" w:color="000000" w:fill="FFFFFF"/>
            <w:noWrap/>
            <w:vAlign w:val="center"/>
            <w:hideMark/>
          </w:tcPr>
          <w:p w14:paraId="5B9D5912"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62</w:t>
            </w:r>
          </w:p>
        </w:tc>
        <w:tc>
          <w:tcPr>
            <w:tcW w:w="545" w:type="dxa"/>
            <w:tcBorders>
              <w:top w:val="nil"/>
              <w:left w:val="nil"/>
              <w:bottom w:val="single" w:sz="8" w:space="0" w:color="DCDDDE"/>
              <w:right w:val="nil"/>
            </w:tcBorders>
            <w:shd w:val="clear" w:color="000000" w:fill="FFFFFF"/>
            <w:noWrap/>
            <w:vAlign w:val="center"/>
            <w:hideMark/>
          </w:tcPr>
          <w:p w14:paraId="3E6EEA12"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67</w:t>
            </w:r>
          </w:p>
        </w:tc>
        <w:tc>
          <w:tcPr>
            <w:tcW w:w="545" w:type="dxa"/>
            <w:tcBorders>
              <w:top w:val="nil"/>
              <w:left w:val="nil"/>
              <w:bottom w:val="single" w:sz="8" w:space="0" w:color="DCDDDE"/>
              <w:right w:val="nil"/>
            </w:tcBorders>
            <w:shd w:val="clear" w:color="000000" w:fill="FFFFFF"/>
            <w:noWrap/>
            <w:vAlign w:val="center"/>
            <w:hideMark/>
          </w:tcPr>
          <w:p w14:paraId="401688E9"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75</w:t>
            </w:r>
          </w:p>
        </w:tc>
        <w:tc>
          <w:tcPr>
            <w:tcW w:w="545" w:type="dxa"/>
            <w:tcBorders>
              <w:top w:val="nil"/>
              <w:left w:val="nil"/>
              <w:bottom w:val="single" w:sz="8" w:space="0" w:color="DCDDDE"/>
              <w:right w:val="nil"/>
            </w:tcBorders>
            <w:shd w:val="clear" w:color="000000" w:fill="FFFFFF"/>
            <w:noWrap/>
            <w:vAlign w:val="center"/>
            <w:hideMark/>
          </w:tcPr>
          <w:p w14:paraId="3B8F1A5A"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74</w:t>
            </w:r>
          </w:p>
        </w:tc>
        <w:tc>
          <w:tcPr>
            <w:tcW w:w="545" w:type="dxa"/>
            <w:tcBorders>
              <w:top w:val="nil"/>
              <w:left w:val="nil"/>
              <w:bottom w:val="single" w:sz="8" w:space="0" w:color="DCDDDE"/>
              <w:right w:val="nil"/>
            </w:tcBorders>
            <w:shd w:val="clear" w:color="000000" w:fill="FFFFFF"/>
            <w:noWrap/>
            <w:vAlign w:val="center"/>
            <w:hideMark/>
          </w:tcPr>
          <w:p w14:paraId="7BF2C203"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83</w:t>
            </w:r>
          </w:p>
        </w:tc>
        <w:tc>
          <w:tcPr>
            <w:tcW w:w="545" w:type="dxa"/>
            <w:tcBorders>
              <w:top w:val="nil"/>
              <w:left w:val="nil"/>
              <w:bottom w:val="single" w:sz="8" w:space="0" w:color="DCDDDE"/>
              <w:right w:val="nil"/>
            </w:tcBorders>
            <w:shd w:val="clear" w:color="000000" w:fill="FFFFFF"/>
            <w:noWrap/>
            <w:vAlign w:val="center"/>
            <w:hideMark/>
          </w:tcPr>
          <w:p w14:paraId="2B09ECB2"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82</w:t>
            </w:r>
          </w:p>
        </w:tc>
        <w:tc>
          <w:tcPr>
            <w:tcW w:w="545" w:type="dxa"/>
            <w:tcBorders>
              <w:top w:val="nil"/>
              <w:left w:val="nil"/>
              <w:bottom w:val="single" w:sz="8" w:space="0" w:color="DCDDDE"/>
              <w:right w:val="nil"/>
            </w:tcBorders>
            <w:shd w:val="clear" w:color="000000" w:fill="FFFFFF"/>
            <w:noWrap/>
            <w:vAlign w:val="center"/>
            <w:hideMark/>
          </w:tcPr>
          <w:p w14:paraId="36CA2907"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81</w:t>
            </w:r>
          </w:p>
        </w:tc>
        <w:tc>
          <w:tcPr>
            <w:tcW w:w="545" w:type="dxa"/>
            <w:tcBorders>
              <w:top w:val="nil"/>
              <w:left w:val="nil"/>
              <w:bottom w:val="single" w:sz="8" w:space="0" w:color="DCDDDE"/>
              <w:right w:val="nil"/>
            </w:tcBorders>
            <w:shd w:val="clear" w:color="000000" w:fill="FFFFFF"/>
            <w:noWrap/>
            <w:vAlign w:val="center"/>
            <w:hideMark/>
          </w:tcPr>
          <w:p w14:paraId="0494CC83"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80</w:t>
            </w:r>
          </w:p>
        </w:tc>
        <w:tc>
          <w:tcPr>
            <w:tcW w:w="545" w:type="dxa"/>
            <w:tcBorders>
              <w:top w:val="nil"/>
              <w:left w:val="nil"/>
              <w:bottom w:val="single" w:sz="8" w:space="0" w:color="DCDDDE"/>
              <w:right w:val="nil"/>
            </w:tcBorders>
            <w:shd w:val="clear" w:color="000000" w:fill="FFFFFF"/>
            <w:noWrap/>
            <w:vAlign w:val="center"/>
            <w:hideMark/>
          </w:tcPr>
          <w:p w14:paraId="5B765E55"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80</w:t>
            </w:r>
          </w:p>
        </w:tc>
        <w:tc>
          <w:tcPr>
            <w:tcW w:w="545" w:type="dxa"/>
            <w:tcBorders>
              <w:top w:val="nil"/>
              <w:left w:val="nil"/>
              <w:bottom w:val="single" w:sz="8" w:space="0" w:color="DCDDDE"/>
              <w:right w:val="nil"/>
            </w:tcBorders>
            <w:shd w:val="clear" w:color="000000" w:fill="FFFFFF"/>
            <w:noWrap/>
            <w:vAlign w:val="center"/>
            <w:hideMark/>
          </w:tcPr>
          <w:p w14:paraId="670DCB2D"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79</w:t>
            </w:r>
          </w:p>
        </w:tc>
        <w:tc>
          <w:tcPr>
            <w:tcW w:w="545" w:type="dxa"/>
            <w:tcBorders>
              <w:top w:val="nil"/>
              <w:left w:val="nil"/>
              <w:bottom w:val="single" w:sz="8" w:space="0" w:color="DCDDDE"/>
              <w:right w:val="nil"/>
            </w:tcBorders>
            <w:shd w:val="clear" w:color="000000" w:fill="FFFFFF"/>
            <w:noWrap/>
            <w:vAlign w:val="center"/>
            <w:hideMark/>
          </w:tcPr>
          <w:p w14:paraId="1738778F"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78</w:t>
            </w:r>
          </w:p>
        </w:tc>
        <w:tc>
          <w:tcPr>
            <w:tcW w:w="545" w:type="dxa"/>
            <w:tcBorders>
              <w:top w:val="nil"/>
              <w:left w:val="nil"/>
              <w:bottom w:val="single" w:sz="8" w:space="0" w:color="DCDDDE"/>
              <w:right w:val="nil"/>
            </w:tcBorders>
            <w:shd w:val="clear" w:color="000000" w:fill="FFFFFF"/>
            <w:noWrap/>
            <w:vAlign w:val="center"/>
            <w:hideMark/>
          </w:tcPr>
          <w:p w14:paraId="6C4F663D"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77</w:t>
            </w:r>
          </w:p>
        </w:tc>
      </w:tr>
      <w:tr w:rsidR="002A760B" w:rsidRPr="002A760B" w14:paraId="6DD61C29" w14:textId="77777777" w:rsidTr="002A760B">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7BBBC734"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PAC | Aggressive</w:t>
            </w:r>
          </w:p>
        </w:tc>
      </w:tr>
      <w:tr w:rsidR="002A760B" w:rsidRPr="002A760B" w14:paraId="147F5DD6"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4A033DEA"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796B1EE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1D8EAA5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31</w:t>
            </w:r>
          </w:p>
        </w:tc>
        <w:tc>
          <w:tcPr>
            <w:tcW w:w="545" w:type="dxa"/>
            <w:tcBorders>
              <w:top w:val="nil"/>
              <w:left w:val="nil"/>
              <w:bottom w:val="single" w:sz="8" w:space="0" w:color="DCDDDE"/>
              <w:right w:val="nil"/>
            </w:tcBorders>
            <w:shd w:val="clear" w:color="000000" w:fill="FFFFFF"/>
            <w:noWrap/>
            <w:vAlign w:val="center"/>
            <w:hideMark/>
          </w:tcPr>
          <w:p w14:paraId="052A8F3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31</w:t>
            </w:r>
          </w:p>
        </w:tc>
        <w:tc>
          <w:tcPr>
            <w:tcW w:w="545" w:type="dxa"/>
            <w:tcBorders>
              <w:top w:val="nil"/>
              <w:left w:val="nil"/>
              <w:bottom w:val="single" w:sz="8" w:space="0" w:color="DCDDDE"/>
              <w:right w:val="nil"/>
            </w:tcBorders>
            <w:shd w:val="clear" w:color="000000" w:fill="FFFFFF"/>
            <w:noWrap/>
            <w:vAlign w:val="center"/>
            <w:hideMark/>
          </w:tcPr>
          <w:p w14:paraId="4CC5449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46E5284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6045FF7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78660E0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31</w:t>
            </w:r>
          </w:p>
        </w:tc>
        <w:tc>
          <w:tcPr>
            <w:tcW w:w="545" w:type="dxa"/>
            <w:tcBorders>
              <w:top w:val="nil"/>
              <w:left w:val="nil"/>
              <w:bottom w:val="single" w:sz="8" w:space="0" w:color="DCDDDE"/>
              <w:right w:val="nil"/>
            </w:tcBorders>
            <w:shd w:val="clear" w:color="000000" w:fill="FFFFFF"/>
            <w:noWrap/>
            <w:vAlign w:val="center"/>
            <w:hideMark/>
          </w:tcPr>
          <w:p w14:paraId="7E3543A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31</w:t>
            </w:r>
          </w:p>
        </w:tc>
        <w:tc>
          <w:tcPr>
            <w:tcW w:w="545" w:type="dxa"/>
            <w:tcBorders>
              <w:top w:val="nil"/>
              <w:left w:val="nil"/>
              <w:bottom w:val="single" w:sz="8" w:space="0" w:color="DCDDDE"/>
              <w:right w:val="nil"/>
            </w:tcBorders>
            <w:shd w:val="clear" w:color="000000" w:fill="FFFFFF"/>
            <w:noWrap/>
            <w:vAlign w:val="center"/>
            <w:hideMark/>
          </w:tcPr>
          <w:p w14:paraId="5C70B26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6A7A2DA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6C365DF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7CC0E2E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0ECE1EC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29</w:t>
            </w:r>
          </w:p>
        </w:tc>
      </w:tr>
      <w:tr w:rsidR="002A760B" w:rsidRPr="002A760B" w14:paraId="6A1CDC98"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753F8E4A"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2242ABE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w:t>
            </w:r>
          </w:p>
        </w:tc>
        <w:tc>
          <w:tcPr>
            <w:tcW w:w="545" w:type="dxa"/>
            <w:tcBorders>
              <w:top w:val="nil"/>
              <w:left w:val="nil"/>
              <w:bottom w:val="single" w:sz="8" w:space="0" w:color="DCDDDE"/>
              <w:right w:val="nil"/>
            </w:tcBorders>
            <w:shd w:val="clear" w:color="000000" w:fill="FFFFFF"/>
            <w:noWrap/>
            <w:vAlign w:val="center"/>
            <w:hideMark/>
          </w:tcPr>
          <w:p w14:paraId="72C8F8C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7</w:t>
            </w:r>
          </w:p>
        </w:tc>
        <w:tc>
          <w:tcPr>
            <w:tcW w:w="545" w:type="dxa"/>
            <w:tcBorders>
              <w:top w:val="nil"/>
              <w:left w:val="nil"/>
              <w:bottom w:val="single" w:sz="8" w:space="0" w:color="DCDDDE"/>
              <w:right w:val="nil"/>
            </w:tcBorders>
            <w:shd w:val="clear" w:color="000000" w:fill="FFFFFF"/>
            <w:noWrap/>
            <w:vAlign w:val="center"/>
            <w:hideMark/>
          </w:tcPr>
          <w:p w14:paraId="22FDF2C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8</w:t>
            </w:r>
          </w:p>
        </w:tc>
        <w:tc>
          <w:tcPr>
            <w:tcW w:w="545" w:type="dxa"/>
            <w:tcBorders>
              <w:top w:val="nil"/>
              <w:left w:val="nil"/>
              <w:bottom w:val="single" w:sz="8" w:space="0" w:color="DCDDDE"/>
              <w:right w:val="nil"/>
            </w:tcBorders>
            <w:shd w:val="clear" w:color="000000" w:fill="FFFFFF"/>
            <w:noWrap/>
            <w:vAlign w:val="center"/>
            <w:hideMark/>
          </w:tcPr>
          <w:p w14:paraId="035733D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9</w:t>
            </w:r>
          </w:p>
        </w:tc>
        <w:tc>
          <w:tcPr>
            <w:tcW w:w="545" w:type="dxa"/>
            <w:tcBorders>
              <w:top w:val="nil"/>
              <w:left w:val="nil"/>
              <w:bottom w:val="single" w:sz="8" w:space="0" w:color="DCDDDE"/>
              <w:right w:val="nil"/>
            </w:tcBorders>
            <w:shd w:val="clear" w:color="000000" w:fill="FFFFFF"/>
            <w:noWrap/>
            <w:vAlign w:val="center"/>
            <w:hideMark/>
          </w:tcPr>
          <w:p w14:paraId="436C11B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23EFD70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4318B03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252DCA5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68B8053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76AD86E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7A1DC11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24</w:t>
            </w:r>
          </w:p>
        </w:tc>
        <w:tc>
          <w:tcPr>
            <w:tcW w:w="545" w:type="dxa"/>
            <w:tcBorders>
              <w:top w:val="nil"/>
              <w:left w:val="nil"/>
              <w:bottom w:val="single" w:sz="8" w:space="0" w:color="DCDDDE"/>
              <w:right w:val="nil"/>
            </w:tcBorders>
            <w:shd w:val="clear" w:color="000000" w:fill="FFFFFF"/>
            <w:noWrap/>
            <w:vAlign w:val="center"/>
            <w:hideMark/>
          </w:tcPr>
          <w:p w14:paraId="6285290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2984E39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r>
      <w:tr w:rsidR="002A760B" w:rsidRPr="002A760B" w14:paraId="0FD99799"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704795E6"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054E7AD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2ECC2FC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6A50ACD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3402C67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698566D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3DC790F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2C10159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00180F0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36045D1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607469B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6D086C9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773AD84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c>
          <w:tcPr>
            <w:tcW w:w="545" w:type="dxa"/>
            <w:tcBorders>
              <w:top w:val="nil"/>
              <w:left w:val="nil"/>
              <w:bottom w:val="single" w:sz="8" w:space="0" w:color="DCDDDE"/>
              <w:right w:val="nil"/>
            </w:tcBorders>
            <w:shd w:val="clear" w:color="000000" w:fill="FFFFFF"/>
            <w:noWrap/>
            <w:vAlign w:val="center"/>
            <w:hideMark/>
          </w:tcPr>
          <w:p w14:paraId="2787627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w:t>
            </w:r>
          </w:p>
        </w:tc>
      </w:tr>
      <w:tr w:rsidR="002A760B" w:rsidRPr="002A760B" w14:paraId="0F18A23B"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299981AE"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0110B36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78C00D7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38</w:t>
            </w:r>
          </w:p>
        </w:tc>
        <w:tc>
          <w:tcPr>
            <w:tcW w:w="545" w:type="dxa"/>
            <w:tcBorders>
              <w:top w:val="nil"/>
              <w:left w:val="nil"/>
              <w:bottom w:val="single" w:sz="8" w:space="0" w:color="DCDDDE"/>
              <w:right w:val="nil"/>
            </w:tcBorders>
            <w:shd w:val="clear" w:color="000000" w:fill="FFFFFF"/>
            <w:noWrap/>
            <w:vAlign w:val="center"/>
            <w:hideMark/>
          </w:tcPr>
          <w:p w14:paraId="7AD0DF1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40</w:t>
            </w:r>
          </w:p>
        </w:tc>
        <w:tc>
          <w:tcPr>
            <w:tcW w:w="545" w:type="dxa"/>
            <w:tcBorders>
              <w:top w:val="nil"/>
              <w:left w:val="nil"/>
              <w:bottom w:val="single" w:sz="8" w:space="0" w:color="DCDDDE"/>
              <w:right w:val="nil"/>
            </w:tcBorders>
            <w:shd w:val="clear" w:color="000000" w:fill="FFFFFF"/>
            <w:noWrap/>
            <w:vAlign w:val="center"/>
            <w:hideMark/>
          </w:tcPr>
          <w:p w14:paraId="3A0BC43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43</w:t>
            </w:r>
          </w:p>
        </w:tc>
        <w:tc>
          <w:tcPr>
            <w:tcW w:w="545" w:type="dxa"/>
            <w:tcBorders>
              <w:top w:val="nil"/>
              <w:left w:val="nil"/>
              <w:bottom w:val="single" w:sz="8" w:space="0" w:color="DCDDDE"/>
              <w:right w:val="nil"/>
            </w:tcBorders>
            <w:shd w:val="clear" w:color="000000" w:fill="FFFFFF"/>
            <w:noWrap/>
            <w:vAlign w:val="center"/>
            <w:hideMark/>
          </w:tcPr>
          <w:p w14:paraId="7073F8E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44</w:t>
            </w:r>
          </w:p>
        </w:tc>
        <w:tc>
          <w:tcPr>
            <w:tcW w:w="545" w:type="dxa"/>
            <w:tcBorders>
              <w:top w:val="nil"/>
              <w:left w:val="nil"/>
              <w:bottom w:val="single" w:sz="8" w:space="0" w:color="DCDDDE"/>
              <w:right w:val="nil"/>
            </w:tcBorders>
            <w:shd w:val="clear" w:color="000000" w:fill="FFFFFF"/>
            <w:noWrap/>
            <w:vAlign w:val="center"/>
            <w:hideMark/>
          </w:tcPr>
          <w:p w14:paraId="2C209E3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45</w:t>
            </w:r>
          </w:p>
        </w:tc>
        <w:tc>
          <w:tcPr>
            <w:tcW w:w="545" w:type="dxa"/>
            <w:tcBorders>
              <w:top w:val="nil"/>
              <w:left w:val="nil"/>
              <w:bottom w:val="single" w:sz="8" w:space="0" w:color="DCDDDE"/>
              <w:right w:val="nil"/>
            </w:tcBorders>
            <w:shd w:val="clear" w:color="000000" w:fill="FFFFFF"/>
            <w:noWrap/>
            <w:vAlign w:val="center"/>
            <w:hideMark/>
          </w:tcPr>
          <w:p w14:paraId="7A629E2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48</w:t>
            </w:r>
          </w:p>
        </w:tc>
        <w:tc>
          <w:tcPr>
            <w:tcW w:w="545" w:type="dxa"/>
            <w:tcBorders>
              <w:top w:val="nil"/>
              <w:left w:val="nil"/>
              <w:bottom w:val="single" w:sz="8" w:space="0" w:color="DCDDDE"/>
              <w:right w:val="nil"/>
            </w:tcBorders>
            <w:shd w:val="clear" w:color="000000" w:fill="FFFFFF"/>
            <w:noWrap/>
            <w:vAlign w:val="center"/>
            <w:hideMark/>
          </w:tcPr>
          <w:p w14:paraId="345B7B1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49</w:t>
            </w:r>
          </w:p>
        </w:tc>
        <w:tc>
          <w:tcPr>
            <w:tcW w:w="545" w:type="dxa"/>
            <w:tcBorders>
              <w:top w:val="nil"/>
              <w:left w:val="nil"/>
              <w:bottom w:val="single" w:sz="8" w:space="0" w:color="DCDDDE"/>
              <w:right w:val="nil"/>
            </w:tcBorders>
            <w:shd w:val="clear" w:color="000000" w:fill="FFFFFF"/>
            <w:noWrap/>
            <w:vAlign w:val="center"/>
            <w:hideMark/>
          </w:tcPr>
          <w:p w14:paraId="348E11A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51</w:t>
            </w:r>
          </w:p>
        </w:tc>
        <w:tc>
          <w:tcPr>
            <w:tcW w:w="545" w:type="dxa"/>
            <w:tcBorders>
              <w:top w:val="nil"/>
              <w:left w:val="nil"/>
              <w:bottom w:val="single" w:sz="8" w:space="0" w:color="DCDDDE"/>
              <w:right w:val="nil"/>
            </w:tcBorders>
            <w:shd w:val="clear" w:color="000000" w:fill="FFFFFF"/>
            <w:noWrap/>
            <w:vAlign w:val="center"/>
            <w:hideMark/>
          </w:tcPr>
          <w:p w14:paraId="4948D80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52</w:t>
            </w:r>
          </w:p>
        </w:tc>
        <w:tc>
          <w:tcPr>
            <w:tcW w:w="545" w:type="dxa"/>
            <w:tcBorders>
              <w:top w:val="nil"/>
              <w:left w:val="nil"/>
              <w:bottom w:val="single" w:sz="8" w:space="0" w:color="DCDDDE"/>
              <w:right w:val="nil"/>
            </w:tcBorders>
            <w:shd w:val="clear" w:color="000000" w:fill="FFFFFF"/>
            <w:noWrap/>
            <w:vAlign w:val="center"/>
            <w:hideMark/>
          </w:tcPr>
          <w:p w14:paraId="0A94C85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55</w:t>
            </w:r>
          </w:p>
        </w:tc>
        <w:tc>
          <w:tcPr>
            <w:tcW w:w="545" w:type="dxa"/>
            <w:tcBorders>
              <w:top w:val="nil"/>
              <w:left w:val="nil"/>
              <w:bottom w:val="single" w:sz="8" w:space="0" w:color="DCDDDE"/>
              <w:right w:val="nil"/>
            </w:tcBorders>
            <w:shd w:val="clear" w:color="000000" w:fill="FFFFFF"/>
            <w:noWrap/>
            <w:vAlign w:val="center"/>
            <w:hideMark/>
          </w:tcPr>
          <w:p w14:paraId="08D6306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57</w:t>
            </w:r>
          </w:p>
        </w:tc>
        <w:tc>
          <w:tcPr>
            <w:tcW w:w="545" w:type="dxa"/>
            <w:tcBorders>
              <w:top w:val="nil"/>
              <w:left w:val="nil"/>
              <w:bottom w:val="single" w:sz="8" w:space="0" w:color="DCDDDE"/>
              <w:right w:val="nil"/>
            </w:tcBorders>
            <w:shd w:val="clear" w:color="000000" w:fill="FFFFFF"/>
            <w:noWrap/>
            <w:vAlign w:val="center"/>
            <w:hideMark/>
          </w:tcPr>
          <w:p w14:paraId="1C0BE33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58</w:t>
            </w:r>
          </w:p>
        </w:tc>
      </w:tr>
      <w:tr w:rsidR="002A760B" w:rsidRPr="002A760B" w14:paraId="2AF47B1B"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3F145E77"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0B78DB7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36873A3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7CD14AB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042C163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38</w:t>
            </w:r>
          </w:p>
        </w:tc>
        <w:tc>
          <w:tcPr>
            <w:tcW w:w="545" w:type="dxa"/>
            <w:tcBorders>
              <w:top w:val="nil"/>
              <w:left w:val="nil"/>
              <w:bottom w:val="single" w:sz="8" w:space="0" w:color="DCDDDE"/>
              <w:right w:val="nil"/>
            </w:tcBorders>
            <w:shd w:val="clear" w:color="000000" w:fill="FFFFFF"/>
            <w:noWrap/>
            <w:vAlign w:val="center"/>
            <w:hideMark/>
          </w:tcPr>
          <w:p w14:paraId="2A5C02D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26E5859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45</w:t>
            </w:r>
          </w:p>
        </w:tc>
        <w:tc>
          <w:tcPr>
            <w:tcW w:w="545" w:type="dxa"/>
            <w:tcBorders>
              <w:top w:val="nil"/>
              <w:left w:val="nil"/>
              <w:bottom w:val="single" w:sz="8" w:space="0" w:color="DCDDDE"/>
              <w:right w:val="nil"/>
            </w:tcBorders>
            <w:shd w:val="clear" w:color="000000" w:fill="FFFFFF"/>
            <w:noWrap/>
            <w:vAlign w:val="center"/>
            <w:hideMark/>
          </w:tcPr>
          <w:p w14:paraId="4E42AE0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44</w:t>
            </w:r>
          </w:p>
        </w:tc>
        <w:tc>
          <w:tcPr>
            <w:tcW w:w="545" w:type="dxa"/>
            <w:tcBorders>
              <w:top w:val="nil"/>
              <w:left w:val="nil"/>
              <w:bottom w:val="single" w:sz="8" w:space="0" w:color="DCDDDE"/>
              <w:right w:val="nil"/>
            </w:tcBorders>
            <w:shd w:val="clear" w:color="000000" w:fill="FFFFFF"/>
            <w:noWrap/>
            <w:vAlign w:val="center"/>
            <w:hideMark/>
          </w:tcPr>
          <w:p w14:paraId="6F1AF08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42</w:t>
            </w:r>
          </w:p>
        </w:tc>
        <w:tc>
          <w:tcPr>
            <w:tcW w:w="545" w:type="dxa"/>
            <w:tcBorders>
              <w:top w:val="nil"/>
              <w:left w:val="nil"/>
              <w:bottom w:val="single" w:sz="8" w:space="0" w:color="DCDDDE"/>
              <w:right w:val="nil"/>
            </w:tcBorders>
            <w:shd w:val="clear" w:color="000000" w:fill="FFFFFF"/>
            <w:noWrap/>
            <w:vAlign w:val="center"/>
            <w:hideMark/>
          </w:tcPr>
          <w:p w14:paraId="778B18E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2E4835D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40</w:t>
            </w:r>
          </w:p>
        </w:tc>
        <w:tc>
          <w:tcPr>
            <w:tcW w:w="545" w:type="dxa"/>
            <w:tcBorders>
              <w:top w:val="nil"/>
              <w:left w:val="nil"/>
              <w:bottom w:val="single" w:sz="8" w:space="0" w:color="DCDDDE"/>
              <w:right w:val="nil"/>
            </w:tcBorders>
            <w:shd w:val="clear" w:color="000000" w:fill="FFFFFF"/>
            <w:noWrap/>
            <w:vAlign w:val="center"/>
            <w:hideMark/>
          </w:tcPr>
          <w:p w14:paraId="2346F2D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73DF0B9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36</w:t>
            </w:r>
          </w:p>
        </w:tc>
        <w:tc>
          <w:tcPr>
            <w:tcW w:w="545" w:type="dxa"/>
            <w:tcBorders>
              <w:top w:val="nil"/>
              <w:left w:val="nil"/>
              <w:bottom w:val="single" w:sz="8" w:space="0" w:color="DCDDDE"/>
              <w:right w:val="nil"/>
            </w:tcBorders>
            <w:shd w:val="clear" w:color="000000" w:fill="FFFFFF"/>
            <w:noWrap/>
            <w:vAlign w:val="center"/>
            <w:hideMark/>
          </w:tcPr>
          <w:p w14:paraId="4ECD098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34</w:t>
            </w:r>
          </w:p>
        </w:tc>
      </w:tr>
      <w:tr w:rsidR="002A760B" w:rsidRPr="002A760B" w14:paraId="6CA7FAA4"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00239194"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6F949B47"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61</w:t>
            </w:r>
          </w:p>
        </w:tc>
        <w:tc>
          <w:tcPr>
            <w:tcW w:w="545" w:type="dxa"/>
            <w:tcBorders>
              <w:top w:val="nil"/>
              <w:left w:val="nil"/>
              <w:bottom w:val="single" w:sz="8" w:space="0" w:color="DCDDDE"/>
              <w:right w:val="nil"/>
            </w:tcBorders>
            <w:shd w:val="clear" w:color="000000" w:fill="FFFFFF"/>
            <w:noWrap/>
            <w:vAlign w:val="center"/>
            <w:hideMark/>
          </w:tcPr>
          <w:p w14:paraId="3315DBB2"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67</w:t>
            </w:r>
          </w:p>
        </w:tc>
        <w:tc>
          <w:tcPr>
            <w:tcW w:w="545" w:type="dxa"/>
            <w:tcBorders>
              <w:top w:val="nil"/>
              <w:left w:val="nil"/>
              <w:bottom w:val="single" w:sz="8" w:space="0" w:color="DCDDDE"/>
              <w:right w:val="nil"/>
            </w:tcBorders>
            <w:shd w:val="clear" w:color="000000" w:fill="FFFFFF"/>
            <w:noWrap/>
            <w:vAlign w:val="center"/>
            <w:hideMark/>
          </w:tcPr>
          <w:p w14:paraId="689A08EA"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72</w:t>
            </w:r>
          </w:p>
        </w:tc>
        <w:tc>
          <w:tcPr>
            <w:tcW w:w="545" w:type="dxa"/>
            <w:tcBorders>
              <w:top w:val="nil"/>
              <w:left w:val="nil"/>
              <w:bottom w:val="single" w:sz="8" w:space="0" w:color="DCDDDE"/>
              <w:right w:val="nil"/>
            </w:tcBorders>
            <w:shd w:val="clear" w:color="000000" w:fill="FFFFFF"/>
            <w:noWrap/>
            <w:vAlign w:val="center"/>
            <w:hideMark/>
          </w:tcPr>
          <w:p w14:paraId="7854DD42"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81</w:t>
            </w:r>
          </w:p>
        </w:tc>
        <w:tc>
          <w:tcPr>
            <w:tcW w:w="545" w:type="dxa"/>
            <w:tcBorders>
              <w:top w:val="nil"/>
              <w:left w:val="nil"/>
              <w:bottom w:val="single" w:sz="8" w:space="0" w:color="DCDDDE"/>
              <w:right w:val="nil"/>
            </w:tcBorders>
            <w:shd w:val="clear" w:color="000000" w:fill="FFFFFF"/>
            <w:noWrap/>
            <w:vAlign w:val="center"/>
            <w:hideMark/>
          </w:tcPr>
          <w:p w14:paraId="6AB92E86"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81</w:t>
            </w:r>
          </w:p>
        </w:tc>
        <w:tc>
          <w:tcPr>
            <w:tcW w:w="545" w:type="dxa"/>
            <w:tcBorders>
              <w:top w:val="nil"/>
              <w:left w:val="nil"/>
              <w:bottom w:val="single" w:sz="8" w:space="0" w:color="DCDDDE"/>
              <w:right w:val="nil"/>
            </w:tcBorders>
            <w:shd w:val="clear" w:color="000000" w:fill="FFFFFF"/>
            <w:noWrap/>
            <w:vAlign w:val="center"/>
            <w:hideMark/>
          </w:tcPr>
          <w:p w14:paraId="5D3ACD21"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91</w:t>
            </w:r>
          </w:p>
        </w:tc>
        <w:tc>
          <w:tcPr>
            <w:tcW w:w="545" w:type="dxa"/>
            <w:tcBorders>
              <w:top w:val="nil"/>
              <w:left w:val="nil"/>
              <w:bottom w:val="single" w:sz="8" w:space="0" w:color="DCDDDE"/>
              <w:right w:val="nil"/>
            </w:tcBorders>
            <w:shd w:val="clear" w:color="000000" w:fill="FFFFFF"/>
            <w:noWrap/>
            <w:vAlign w:val="center"/>
            <w:hideMark/>
          </w:tcPr>
          <w:p w14:paraId="33DC4DE5"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91</w:t>
            </w:r>
          </w:p>
        </w:tc>
        <w:tc>
          <w:tcPr>
            <w:tcW w:w="545" w:type="dxa"/>
            <w:tcBorders>
              <w:top w:val="nil"/>
              <w:left w:val="nil"/>
              <w:bottom w:val="single" w:sz="8" w:space="0" w:color="DCDDDE"/>
              <w:right w:val="nil"/>
            </w:tcBorders>
            <w:shd w:val="clear" w:color="000000" w:fill="FFFFFF"/>
            <w:noWrap/>
            <w:vAlign w:val="center"/>
            <w:hideMark/>
          </w:tcPr>
          <w:p w14:paraId="25A51B0A"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91</w:t>
            </w:r>
          </w:p>
        </w:tc>
        <w:tc>
          <w:tcPr>
            <w:tcW w:w="545" w:type="dxa"/>
            <w:tcBorders>
              <w:top w:val="nil"/>
              <w:left w:val="nil"/>
              <w:bottom w:val="single" w:sz="8" w:space="0" w:color="DCDDDE"/>
              <w:right w:val="nil"/>
            </w:tcBorders>
            <w:shd w:val="clear" w:color="000000" w:fill="FFFFFF"/>
            <w:noWrap/>
            <w:vAlign w:val="center"/>
            <w:hideMark/>
          </w:tcPr>
          <w:p w14:paraId="4A0B2819"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91</w:t>
            </w:r>
          </w:p>
        </w:tc>
        <w:tc>
          <w:tcPr>
            <w:tcW w:w="545" w:type="dxa"/>
            <w:tcBorders>
              <w:top w:val="nil"/>
              <w:left w:val="nil"/>
              <w:bottom w:val="single" w:sz="8" w:space="0" w:color="DCDDDE"/>
              <w:right w:val="nil"/>
            </w:tcBorders>
            <w:shd w:val="clear" w:color="000000" w:fill="FFFFFF"/>
            <w:noWrap/>
            <w:vAlign w:val="center"/>
            <w:hideMark/>
          </w:tcPr>
          <w:p w14:paraId="290E1C47"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92</w:t>
            </w:r>
          </w:p>
        </w:tc>
        <w:tc>
          <w:tcPr>
            <w:tcW w:w="545" w:type="dxa"/>
            <w:tcBorders>
              <w:top w:val="nil"/>
              <w:left w:val="nil"/>
              <w:bottom w:val="single" w:sz="8" w:space="0" w:color="DCDDDE"/>
              <w:right w:val="nil"/>
            </w:tcBorders>
            <w:shd w:val="clear" w:color="000000" w:fill="FFFFFF"/>
            <w:noWrap/>
            <w:vAlign w:val="center"/>
            <w:hideMark/>
          </w:tcPr>
          <w:p w14:paraId="1D5F976D"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92</w:t>
            </w:r>
          </w:p>
        </w:tc>
        <w:tc>
          <w:tcPr>
            <w:tcW w:w="545" w:type="dxa"/>
            <w:tcBorders>
              <w:top w:val="nil"/>
              <w:left w:val="nil"/>
              <w:bottom w:val="single" w:sz="8" w:space="0" w:color="DCDDDE"/>
              <w:right w:val="nil"/>
            </w:tcBorders>
            <w:shd w:val="clear" w:color="000000" w:fill="FFFFFF"/>
            <w:noWrap/>
            <w:vAlign w:val="center"/>
            <w:hideMark/>
          </w:tcPr>
          <w:p w14:paraId="7740FCF2"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92</w:t>
            </w:r>
          </w:p>
        </w:tc>
        <w:tc>
          <w:tcPr>
            <w:tcW w:w="545" w:type="dxa"/>
            <w:tcBorders>
              <w:top w:val="nil"/>
              <w:left w:val="nil"/>
              <w:bottom w:val="single" w:sz="8" w:space="0" w:color="DCDDDE"/>
              <w:right w:val="nil"/>
            </w:tcBorders>
            <w:shd w:val="clear" w:color="000000" w:fill="FFFFFF"/>
            <w:noWrap/>
            <w:vAlign w:val="center"/>
            <w:hideMark/>
          </w:tcPr>
          <w:p w14:paraId="1334D3A4"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92</w:t>
            </w:r>
          </w:p>
        </w:tc>
      </w:tr>
    </w:tbl>
    <w:p w14:paraId="03474B09" w14:textId="77777777" w:rsidR="002A760B" w:rsidRPr="00D823AE" w:rsidRDefault="002A760B" w:rsidP="002A760B">
      <w:pPr>
        <w:jc w:val="center"/>
      </w:pPr>
      <w:r>
        <w:t>* Includes interactive effects</w:t>
      </w:r>
    </w:p>
    <w:p w14:paraId="611649A5" w14:textId="77777777" w:rsidR="00181744" w:rsidRPr="00181744" w:rsidRDefault="00181744" w:rsidP="00181744"/>
    <w:p w14:paraId="2F1433AF" w14:textId="77777777" w:rsidR="002A760B" w:rsidRDefault="002A760B" w:rsidP="00181744"/>
    <w:p w14:paraId="350F8AE7" w14:textId="77777777" w:rsidR="002A760B" w:rsidRDefault="002A760B" w:rsidP="00181744"/>
    <w:p w14:paraId="3050A0F4" w14:textId="77777777" w:rsidR="002A760B" w:rsidRDefault="002A760B" w:rsidP="00181744"/>
    <w:p w14:paraId="203B6CBC" w14:textId="77777777" w:rsidR="002A760B" w:rsidRDefault="002A760B" w:rsidP="00181744"/>
    <w:p w14:paraId="22C735B3" w14:textId="77777777" w:rsidR="002A760B" w:rsidRDefault="002A760B" w:rsidP="00181744"/>
    <w:p w14:paraId="4F63DFDB" w14:textId="77777777" w:rsidR="002A760B" w:rsidRDefault="002A760B" w:rsidP="00181744"/>
    <w:p w14:paraId="458FA781" w14:textId="77777777" w:rsidR="002A760B" w:rsidRDefault="002A760B" w:rsidP="00181744"/>
    <w:p w14:paraId="3319DCA0" w14:textId="77777777" w:rsidR="002A760B" w:rsidRDefault="002A760B" w:rsidP="00181744"/>
    <w:p w14:paraId="0231BB06" w14:textId="77777777" w:rsidR="002A760B" w:rsidRDefault="002A760B" w:rsidP="00181744"/>
    <w:p w14:paraId="48E080F0" w14:textId="77777777" w:rsidR="002A760B" w:rsidRDefault="002A760B" w:rsidP="00181744"/>
    <w:p w14:paraId="67BF5406" w14:textId="77777777" w:rsidR="002A760B" w:rsidRDefault="002A760B" w:rsidP="00181744"/>
    <w:p w14:paraId="32075D0C" w14:textId="77777777" w:rsidR="002A760B" w:rsidRDefault="002A760B" w:rsidP="00181744"/>
    <w:p w14:paraId="5F895A4B" w14:textId="77777777" w:rsidR="002A760B" w:rsidRDefault="002A760B" w:rsidP="00181744"/>
    <w:p w14:paraId="3359CD48" w14:textId="77777777" w:rsidR="002A760B" w:rsidRDefault="002A760B" w:rsidP="00181744"/>
    <w:p w14:paraId="17251B6D" w14:textId="77777777" w:rsidR="002A760B" w:rsidRDefault="002A760B" w:rsidP="00181744"/>
    <w:p w14:paraId="0599D707" w14:textId="77777777" w:rsidR="002A760B" w:rsidRDefault="002A760B" w:rsidP="00181744"/>
    <w:p w14:paraId="79DAE462" w14:textId="77777777" w:rsidR="002A760B" w:rsidRDefault="002A760B" w:rsidP="00181744"/>
    <w:p w14:paraId="5D787052" w14:textId="77777777" w:rsidR="002A760B" w:rsidRDefault="002A760B" w:rsidP="00181744"/>
    <w:p w14:paraId="7079E934" w14:textId="77777777" w:rsidR="002A760B" w:rsidRDefault="002A760B" w:rsidP="00181744"/>
    <w:p w14:paraId="0FF473EB" w14:textId="77777777" w:rsidR="002A760B" w:rsidRDefault="002A760B" w:rsidP="00181744"/>
    <w:p w14:paraId="300FB3F2" w14:textId="77777777" w:rsidR="002A760B" w:rsidRDefault="002A760B" w:rsidP="00181744"/>
    <w:p w14:paraId="65771FE1" w14:textId="77777777" w:rsidR="002A760B" w:rsidRDefault="002A760B" w:rsidP="00181744"/>
    <w:p w14:paraId="260EFA31" w14:textId="77777777" w:rsidR="002A760B" w:rsidRDefault="002A760B" w:rsidP="00181744"/>
    <w:p w14:paraId="27A10285" w14:textId="77777777" w:rsidR="002A760B" w:rsidRDefault="002A760B" w:rsidP="00181744"/>
    <w:p w14:paraId="66EA5E30" w14:textId="77777777" w:rsidR="002A760B" w:rsidRDefault="002A760B" w:rsidP="00181744"/>
    <w:p w14:paraId="482C4848" w14:textId="77777777" w:rsidR="002A760B" w:rsidRDefault="002A760B" w:rsidP="00181744"/>
    <w:p w14:paraId="65DDBAC3" w14:textId="77777777" w:rsidR="002A760B" w:rsidRPr="00181744" w:rsidRDefault="002A760B" w:rsidP="00181744"/>
    <w:p w14:paraId="0652A50F" w14:textId="77777777" w:rsidR="00D823AE" w:rsidRDefault="00D823AE" w:rsidP="00D823AE"/>
    <w:p w14:paraId="2B92D83D" w14:textId="77777777" w:rsidR="00D823AE" w:rsidRDefault="00D823AE" w:rsidP="00D823AE">
      <w:pPr>
        <w:pStyle w:val="Caption"/>
      </w:pPr>
      <w:bookmarkStart w:id="1217" w:name="_Toc490226064"/>
      <w:r w:rsidRPr="00122CD3">
        <w:lastRenderedPageBreak/>
        <w:t xml:space="preserve">Table </w:t>
      </w:r>
      <w:fldSimple w:instr=" STYLEREF 5 \s ">
        <w:r w:rsidR="007566B9">
          <w:rPr>
            <w:noProof/>
          </w:rPr>
          <w:t>H</w:t>
        </w:r>
      </w:fldSimple>
      <w:r w:rsidRPr="00323BFA">
        <w:noBreakHyphen/>
      </w:r>
      <w:fldSimple w:instr=" SEQ Table_Apx \* ARABIC \s 5 ">
        <w:r w:rsidR="007566B9">
          <w:rPr>
            <w:noProof/>
          </w:rPr>
          <w:t>9</w:t>
        </w:r>
      </w:fldSimple>
      <w:r w:rsidRPr="006F2DA9">
        <w:t xml:space="preserve">. </w:t>
      </w:r>
      <w:r>
        <w:t>SDG&amp;E Gas Savings</w:t>
      </w:r>
      <w:bookmarkEnd w:id="1217"/>
    </w:p>
    <w:tbl>
      <w:tblPr>
        <w:tblW w:w="8262" w:type="dxa"/>
        <w:jc w:val="center"/>
        <w:tblLook w:val="04A0" w:firstRow="1" w:lastRow="0" w:firstColumn="1" w:lastColumn="0" w:noHBand="0" w:noVBand="1"/>
      </w:tblPr>
      <w:tblGrid>
        <w:gridCol w:w="1177"/>
        <w:gridCol w:w="545"/>
        <w:gridCol w:w="545"/>
        <w:gridCol w:w="545"/>
        <w:gridCol w:w="545"/>
        <w:gridCol w:w="545"/>
        <w:gridCol w:w="545"/>
        <w:gridCol w:w="545"/>
        <w:gridCol w:w="545"/>
        <w:gridCol w:w="545"/>
        <w:gridCol w:w="545"/>
        <w:gridCol w:w="545"/>
        <w:gridCol w:w="545"/>
        <w:gridCol w:w="545"/>
      </w:tblGrid>
      <w:tr w:rsidR="002A760B" w:rsidRPr="002A760B" w14:paraId="7A59F402" w14:textId="77777777" w:rsidTr="002A760B">
        <w:trPr>
          <w:trHeight w:val="315"/>
          <w:jc w:val="center"/>
        </w:trPr>
        <w:tc>
          <w:tcPr>
            <w:tcW w:w="8262" w:type="dxa"/>
            <w:gridSpan w:val="14"/>
            <w:tcBorders>
              <w:top w:val="nil"/>
              <w:left w:val="nil"/>
              <w:bottom w:val="single" w:sz="12" w:space="0" w:color="95D600"/>
              <w:right w:val="nil"/>
            </w:tcBorders>
            <w:shd w:val="clear" w:color="000000" w:fill="555759"/>
            <w:noWrap/>
            <w:vAlign w:val="center"/>
            <w:hideMark/>
          </w:tcPr>
          <w:p w14:paraId="3B7E60F2" w14:textId="77777777" w:rsidR="002A760B" w:rsidRPr="002A760B" w:rsidRDefault="002A760B" w:rsidP="002A760B">
            <w:pPr>
              <w:spacing w:line="240" w:lineRule="auto"/>
              <w:jc w:val="center"/>
              <w:rPr>
                <w:rFonts w:ascii="Arial Narrow" w:hAnsi="Arial Narrow"/>
                <w:b/>
                <w:bCs/>
                <w:color w:val="FFFFFF"/>
                <w:sz w:val="18"/>
                <w:szCs w:val="18"/>
              </w:rPr>
            </w:pPr>
            <w:r w:rsidRPr="002A760B">
              <w:rPr>
                <w:rFonts w:ascii="Arial Narrow" w:hAnsi="Arial Narrow"/>
                <w:b/>
                <w:bCs/>
                <w:color w:val="FFFFFF"/>
                <w:sz w:val="18"/>
                <w:szCs w:val="18"/>
              </w:rPr>
              <w:t>Gas Energy (MMTherm/year)</w:t>
            </w:r>
          </w:p>
        </w:tc>
      </w:tr>
      <w:tr w:rsidR="002A760B" w:rsidRPr="002A760B" w14:paraId="0497FD9F" w14:textId="77777777" w:rsidTr="002A760B">
        <w:trPr>
          <w:trHeight w:val="330"/>
          <w:jc w:val="center"/>
        </w:trPr>
        <w:tc>
          <w:tcPr>
            <w:tcW w:w="1177" w:type="dxa"/>
            <w:tcBorders>
              <w:top w:val="nil"/>
              <w:left w:val="nil"/>
              <w:bottom w:val="single" w:sz="8" w:space="0" w:color="DCDDDE"/>
              <w:right w:val="nil"/>
            </w:tcBorders>
            <w:shd w:val="clear" w:color="auto" w:fill="auto"/>
            <w:vAlign w:val="center"/>
            <w:hideMark/>
          </w:tcPr>
          <w:p w14:paraId="67F2F798"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Year</w:t>
            </w:r>
          </w:p>
        </w:tc>
        <w:tc>
          <w:tcPr>
            <w:tcW w:w="545" w:type="dxa"/>
            <w:tcBorders>
              <w:top w:val="nil"/>
              <w:left w:val="nil"/>
              <w:bottom w:val="single" w:sz="8" w:space="0" w:color="DCDDDE"/>
              <w:right w:val="nil"/>
            </w:tcBorders>
            <w:shd w:val="clear" w:color="auto" w:fill="auto"/>
            <w:noWrap/>
            <w:vAlign w:val="center"/>
            <w:hideMark/>
          </w:tcPr>
          <w:p w14:paraId="6F11809F"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2018</w:t>
            </w:r>
          </w:p>
        </w:tc>
        <w:tc>
          <w:tcPr>
            <w:tcW w:w="545" w:type="dxa"/>
            <w:tcBorders>
              <w:top w:val="nil"/>
              <w:left w:val="nil"/>
              <w:bottom w:val="single" w:sz="8" w:space="0" w:color="DCDDDE"/>
              <w:right w:val="nil"/>
            </w:tcBorders>
            <w:shd w:val="clear" w:color="auto" w:fill="auto"/>
            <w:noWrap/>
            <w:vAlign w:val="center"/>
            <w:hideMark/>
          </w:tcPr>
          <w:p w14:paraId="0D803E03"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2019</w:t>
            </w:r>
          </w:p>
        </w:tc>
        <w:tc>
          <w:tcPr>
            <w:tcW w:w="545" w:type="dxa"/>
            <w:tcBorders>
              <w:top w:val="nil"/>
              <w:left w:val="nil"/>
              <w:bottom w:val="single" w:sz="8" w:space="0" w:color="DCDDDE"/>
              <w:right w:val="nil"/>
            </w:tcBorders>
            <w:shd w:val="clear" w:color="auto" w:fill="auto"/>
            <w:noWrap/>
            <w:vAlign w:val="center"/>
            <w:hideMark/>
          </w:tcPr>
          <w:p w14:paraId="0BD7C273"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2020</w:t>
            </w:r>
          </w:p>
        </w:tc>
        <w:tc>
          <w:tcPr>
            <w:tcW w:w="545" w:type="dxa"/>
            <w:tcBorders>
              <w:top w:val="nil"/>
              <w:left w:val="nil"/>
              <w:bottom w:val="single" w:sz="8" w:space="0" w:color="DCDDDE"/>
              <w:right w:val="nil"/>
            </w:tcBorders>
            <w:shd w:val="clear" w:color="auto" w:fill="auto"/>
            <w:noWrap/>
            <w:vAlign w:val="center"/>
            <w:hideMark/>
          </w:tcPr>
          <w:p w14:paraId="6F4B6295"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2021</w:t>
            </w:r>
          </w:p>
        </w:tc>
        <w:tc>
          <w:tcPr>
            <w:tcW w:w="545" w:type="dxa"/>
            <w:tcBorders>
              <w:top w:val="nil"/>
              <w:left w:val="nil"/>
              <w:bottom w:val="single" w:sz="8" w:space="0" w:color="DCDDDE"/>
              <w:right w:val="nil"/>
            </w:tcBorders>
            <w:shd w:val="clear" w:color="auto" w:fill="auto"/>
            <w:noWrap/>
            <w:vAlign w:val="center"/>
            <w:hideMark/>
          </w:tcPr>
          <w:p w14:paraId="3A11DFCC"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2022</w:t>
            </w:r>
          </w:p>
        </w:tc>
        <w:tc>
          <w:tcPr>
            <w:tcW w:w="545" w:type="dxa"/>
            <w:tcBorders>
              <w:top w:val="nil"/>
              <w:left w:val="nil"/>
              <w:bottom w:val="single" w:sz="8" w:space="0" w:color="DCDDDE"/>
              <w:right w:val="nil"/>
            </w:tcBorders>
            <w:shd w:val="clear" w:color="auto" w:fill="auto"/>
            <w:noWrap/>
            <w:vAlign w:val="center"/>
            <w:hideMark/>
          </w:tcPr>
          <w:p w14:paraId="5AC35DB7"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2023</w:t>
            </w:r>
          </w:p>
        </w:tc>
        <w:tc>
          <w:tcPr>
            <w:tcW w:w="545" w:type="dxa"/>
            <w:tcBorders>
              <w:top w:val="nil"/>
              <w:left w:val="nil"/>
              <w:bottom w:val="single" w:sz="8" w:space="0" w:color="DCDDDE"/>
              <w:right w:val="nil"/>
            </w:tcBorders>
            <w:shd w:val="clear" w:color="auto" w:fill="auto"/>
            <w:noWrap/>
            <w:vAlign w:val="center"/>
            <w:hideMark/>
          </w:tcPr>
          <w:p w14:paraId="13EF0FB2"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2024</w:t>
            </w:r>
          </w:p>
        </w:tc>
        <w:tc>
          <w:tcPr>
            <w:tcW w:w="545" w:type="dxa"/>
            <w:tcBorders>
              <w:top w:val="nil"/>
              <w:left w:val="nil"/>
              <w:bottom w:val="single" w:sz="8" w:space="0" w:color="DCDDDE"/>
              <w:right w:val="nil"/>
            </w:tcBorders>
            <w:shd w:val="clear" w:color="auto" w:fill="auto"/>
            <w:noWrap/>
            <w:vAlign w:val="center"/>
            <w:hideMark/>
          </w:tcPr>
          <w:p w14:paraId="5539EDD0"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2025</w:t>
            </w:r>
          </w:p>
        </w:tc>
        <w:tc>
          <w:tcPr>
            <w:tcW w:w="545" w:type="dxa"/>
            <w:tcBorders>
              <w:top w:val="nil"/>
              <w:left w:val="nil"/>
              <w:bottom w:val="single" w:sz="8" w:space="0" w:color="DCDDDE"/>
              <w:right w:val="nil"/>
            </w:tcBorders>
            <w:shd w:val="clear" w:color="auto" w:fill="auto"/>
            <w:noWrap/>
            <w:vAlign w:val="center"/>
            <w:hideMark/>
          </w:tcPr>
          <w:p w14:paraId="2A652FB6"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2026</w:t>
            </w:r>
          </w:p>
        </w:tc>
        <w:tc>
          <w:tcPr>
            <w:tcW w:w="545" w:type="dxa"/>
            <w:tcBorders>
              <w:top w:val="nil"/>
              <w:left w:val="nil"/>
              <w:bottom w:val="single" w:sz="8" w:space="0" w:color="DCDDDE"/>
              <w:right w:val="nil"/>
            </w:tcBorders>
            <w:shd w:val="clear" w:color="auto" w:fill="auto"/>
            <w:noWrap/>
            <w:vAlign w:val="center"/>
            <w:hideMark/>
          </w:tcPr>
          <w:p w14:paraId="06E42938"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2027</w:t>
            </w:r>
          </w:p>
        </w:tc>
        <w:tc>
          <w:tcPr>
            <w:tcW w:w="545" w:type="dxa"/>
            <w:tcBorders>
              <w:top w:val="nil"/>
              <w:left w:val="nil"/>
              <w:bottom w:val="single" w:sz="8" w:space="0" w:color="DCDDDE"/>
              <w:right w:val="nil"/>
            </w:tcBorders>
            <w:shd w:val="clear" w:color="auto" w:fill="auto"/>
            <w:noWrap/>
            <w:vAlign w:val="center"/>
            <w:hideMark/>
          </w:tcPr>
          <w:p w14:paraId="7A0E037C"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2028</w:t>
            </w:r>
          </w:p>
        </w:tc>
        <w:tc>
          <w:tcPr>
            <w:tcW w:w="545" w:type="dxa"/>
            <w:tcBorders>
              <w:top w:val="nil"/>
              <w:left w:val="nil"/>
              <w:bottom w:val="single" w:sz="8" w:space="0" w:color="DCDDDE"/>
              <w:right w:val="nil"/>
            </w:tcBorders>
            <w:shd w:val="clear" w:color="auto" w:fill="auto"/>
            <w:noWrap/>
            <w:vAlign w:val="center"/>
            <w:hideMark/>
          </w:tcPr>
          <w:p w14:paraId="06A8AA74"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2029</w:t>
            </w:r>
          </w:p>
        </w:tc>
        <w:tc>
          <w:tcPr>
            <w:tcW w:w="545" w:type="dxa"/>
            <w:tcBorders>
              <w:top w:val="nil"/>
              <w:left w:val="nil"/>
              <w:bottom w:val="single" w:sz="8" w:space="0" w:color="DCDDDE"/>
              <w:right w:val="nil"/>
            </w:tcBorders>
            <w:shd w:val="clear" w:color="auto" w:fill="auto"/>
            <w:noWrap/>
            <w:vAlign w:val="center"/>
            <w:hideMark/>
          </w:tcPr>
          <w:p w14:paraId="0F9FE81B"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2030</w:t>
            </w:r>
          </w:p>
        </w:tc>
      </w:tr>
      <w:tr w:rsidR="002A760B" w:rsidRPr="002A760B" w14:paraId="798ECE4B" w14:textId="77777777" w:rsidTr="002A760B">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55E97DE0"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TRC | Reference</w:t>
            </w:r>
          </w:p>
        </w:tc>
      </w:tr>
      <w:tr w:rsidR="002A760B" w:rsidRPr="002A760B" w14:paraId="0FE8ECD4"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768CFDDE"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19F419C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0.4</w:t>
            </w:r>
          </w:p>
        </w:tc>
        <w:tc>
          <w:tcPr>
            <w:tcW w:w="545" w:type="dxa"/>
            <w:tcBorders>
              <w:top w:val="nil"/>
              <w:left w:val="nil"/>
              <w:bottom w:val="single" w:sz="8" w:space="0" w:color="DCDDDE"/>
              <w:right w:val="nil"/>
            </w:tcBorders>
            <w:shd w:val="clear" w:color="000000" w:fill="FFFFFF"/>
            <w:noWrap/>
            <w:vAlign w:val="center"/>
            <w:hideMark/>
          </w:tcPr>
          <w:p w14:paraId="448D789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0.5</w:t>
            </w:r>
          </w:p>
        </w:tc>
        <w:tc>
          <w:tcPr>
            <w:tcW w:w="545" w:type="dxa"/>
            <w:tcBorders>
              <w:top w:val="nil"/>
              <w:left w:val="nil"/>
              <w:bottom w:val="single" w:sz="8" w:space="0" w:color="DCDDDE"/>
              <w:right w:val="nil"/>
            </w:tcBorders>
            <w:shd w:val="clear" w:color="000000" w:fill="FFFFFF"/>
            <w:noWrap/>
            <w:vAlign w:val="center"/>
            <w:hideMark/>
          </w:tcPr>
          <w:p w14:paraId="0258843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0.8</w:t>
            </w:r>
          </w:p>
        </w:tc>
        <w:tc>
          <w:tcPr>
            <w:tcW w:w="545" w:type="dxa"/>
            <w:tcBorders>
              <w:top w:val="nil"/>
              <w:left w:val="nil"/>
              <w:bottom w:val="single" w:sz="8" w:space="0" w:color="DCDDDE"/>
              <w:right w:val="nil"/>
            </w:tcBorders>
            <w:shd w:val="clear" w:color="000000" w:fill="FFFFFF"/>
            <w:noWrap/>
            <w:vAlign w:val="center"/>
            <w:hideMark/>
          </w:tcPr>
          <w:p w14:paraId="18D4E46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0.9</w:t>
            </w:r>
          </w:p>
        </w:tc>
        <w:tc>
          <w:tcPr>
            <w:tcW w:w="545" w:type="dxa"/>
            <w:tcBorders>
              <w:top w:val="nil"/>
              <w:left w:val="nil"/>
              <w:bottom w:val="single" w:sz="8" w:space="0" w:color="DCDDDE"/>
              <w:right w:val="nil"/>
            </w:tcBorders>
            <w:shd w:val="clear" w:color="000000" w:fill="FFFFFF"/>
            <w:noWrap/>
            <w:vAlign w:val="center"/>
            <w:hideMark/>
          </w:tcPr>
          <w:p w14:paraId="3A4B4CF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0.9</w:t>
            </w:r>
          </w:p>
        </w:tc>
        <w:tc>
          <w:tcPr>
            <w:tcW w:w="545" w:type="dxa"/>
            <w:tcBorders>
              <w:top w:val="nil"/>
              <w:left w:val="nil"/>
              <w:bottom w:val="single" w:sz="8" w:space="0" w:color="DCDDDE"/>
              <w:right w:val="nil"/>
            </w:tcBorders>
            <w:shd w:val="clear" w:color="000000" w:fill="FFFFFF"/>
            <w:noWrap/>
            <w:vAlign w:val="center"/>
            <w:hideMark/>
          </w:tcPr>
          <w:p w14:paraId="75D5634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0.9</w:t>
            </w:r>
          </w:p>
        </w:tc>
        <w:tc>
          <w:tcPr>
            <w:tcW w:w="545" w:type="dxa"/>
            <w:tcBorders>
              <w:top w:val="nil"/>
              <w:left w:val="nil"/>
              <w:bottom w:val="single" w:sz="8" w:space="0" w:color="DCDDDE"/>
              <w:right w:val="nil"/>
            </w:tcBorders>
            <w:shd w:val="clear" w:color="000000" w:fill="FFFFFF"/>
            <w:noWrap/>
            <w:vAlign w:val="center"/>
            <w:hideMark/>
          </w:tcPr>
          <w:p w14:paraId="164E345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513AEB8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5C6BB3C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2ADBAEA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48C9328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69A5809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0D444A7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r>
      <w:tr w:rsidR="002A760B" w:rsidRPr="002A760B" w14:paraId="2E543D36"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75D24CB1"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1FD50DA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0.5</w:t>
            </w:r>
          </w:p>
        </w:tc>
        <w:tc>
          <w:tcPr>
            <w:tcW w:w="545" w:type="dxa"/>
            <w:tcBorders>
              <w:top w:val="nil"/>
              <w:left w:val="nil"/>
              <w:bottom w:val="single" w:sz="8" w:space="0" w:color="DCDDDE"/>
              <w:right w:val="nil"/>
            </w:tcBorders>
            <w:shd w:val="clear" w:color="000000" w:fill="FFFFFF"/>
            <w:noWrap/>
            <w:vAlign w:val="center"/>
            <w:hideMark/>
          </w:tcPr>
          <w:p w14:paraId="4B7A649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0.7</w:t>
            </w:r>
          </w:p>
        </w:tc>
        <w:tc>
          <w:tcPr>
            <w:tcW w:w="545" w:type="dxa"/>
            <w:tcBorders>
              <w:top w:val="nil"/>
              <w:left w:val="nil"/>
              <w:bottom w:val="single" w:sz="8" w:space="0" w:color="DCDDDE"/>
              <w:right w:val="nil"/>
            </w:tcBorders>
            <w:shd w:val="clear" w:color="000000" w:fill="FFFFFF"/>
            <w:noWrap/>
            <w:vAlign w:val="center"/>
            <w:hideMark/>
          </w:tcPr>
          <w:p w14:paraId="3170C36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0.8</w:t>
            </w:r>
          </w:p>
        </w:tc>
        <w:tc>
          <w:tcPr>
            <w:tcW w:w="545" w:type="dxa"/>
            <w:tcBorders>
              <w:top w:val="nil"/>
              <w:left w:val="nil"/>
              <w:bottom w:val="single" w:sz="8" w:space="0" w:color="DCDDDE"/>
              <w:right w:val="nil"/>
            </w:tcBorders>
            <w:shd w:val="clear" w:color="000000" w:fill="FFFFFF"/>
            <w:noWrap/>
            <w:vAlign w:val="center"/>
            <w:hideMark/>
          </w:tcPr>
          <w:p w14:paraId="4E0601A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0.9</w:t>
            </w:r>
          </w:p>
        </w:tc>
        <w:tc>
          <w:tcPr>
            <w:tcW w:w="545" w:type="dxa"/>
            <w:tcBorders>
              <w:top w:val="nil"/>
              <w:left w:val="nil"/>
              <w:bottom w:val="single" w:sz="8" w:space="0" w:color="DCDDDE"/>
              <w:right w:val="nil"/>
            </w:tcBorders>
            <w:shd w:val="clear" w:color="000000" w:fill="FFFFFF"/>
            <w:noWrap/>
            <w:vAlign w:val="center"/>
            <w:hideMark/>
          </w:tcPr>
          <w:p w14:paraId="5779D0A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7745D1C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4C8ECEC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1DA0C88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3C3970A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02A49F4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0080098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4AF9DDC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6EBEF1E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r>
      <w:tr w:rsidR="002A760B" w:rsidRPr="002A760B" w14:paraId="7487A3B9"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70BCFCEF"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1D403F2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44C2BAD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7D85B7F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0DF083D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5EFE664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60A5D0A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5443BA3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454AC3D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6048DBD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66277A4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138C1E6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017789B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61EA4C8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r>
      <w:tr w:rsidR="002A760B" w:rsidRPr="002A760B" w14:paraId="75916ECE"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12A0E818"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41F4AC2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627DEA7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13982F2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5055717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78EE9F9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756D815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050852B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2B59AAB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2.7</w:t>
            </w:r>
          </w:p>
        </w:tc>
        <w:tc>
          <w:tcPr>
            <w:tcW w:w="545" w:type="dxa"/>
            <w:tcBorders>
              <w:top w:val="nil"/>
              <w:left w:val="nil"/>
              <w:bottom w:val="single" w:sz="8" w:space="0" w:color="DCDDDE"/>
              <w:right w:val="nil"/>
            </w:tcBorders>
            <w:shd w:val="clear" w:color="000000" w:fill="FFFFFF"/>
            <w:noWrap/>
            <w:vAlign w:val="center"/>
            <w:hideMark/>
          </w:tcPr>
          <w:p w14:paraId="29F71AD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07CD038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5F0CCA4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3.1</w:t>
            </w:r>
          </w:p>
        </w:tc>
        <w:tc>
          <w:tcPr>
            <w:tcW w:w="545" w:type="dxa"/>
            <w:tcBorders>
              <w:top w:val="nil"/>
              <w:left w:val="nil"/>
              <w:bottom w:val="single" w:sz="8" w:space="0" w:color="DCDDDE"/>
              <w:right w:val="nil"/>
            </w:tcBorders>
            <w:shd w:val="clear" w:color="000000" w:fill="FFFFFF"/>
            <w:noWrap/>
            <w:vAlign w:val="center"/>
            <w:hideMark/>
          </w:tcPr>
          <w:p w14:paraId="08B7D74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0FCAE3C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3.4</w:t>
            </w:r>
          </w:p>
        </w:tc>
      </w:tr>
      <w:tr w:rsidR="002A760B" w:rsidRPr="002A760B" w14:paraId="5EEB4FD3"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6754DE67"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3DE5022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158FE81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4CC65E2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71166AF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0413329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6F87C99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474E0C7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1841CE7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2F9B31E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6FD74AD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315F93C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3AB4A8B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3FBA08A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r>
      <w:tr w:rsidR="002A760B" w:rsidRPr="002A760B" w14:paraId="5A7063A3"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04624B57"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49F0FB7B"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3CEC8456"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3.1</w:t>
            </w:r>
          </w:p>
        </w:tc>
        <w:tc>
          <w:tcPr>
            <w:tcW w:w="545" w:type="dxa"/>
            <w:tcBorders>
              <w:top w:val="nil"/>
              <w:left w:val="nil"/>
              <w:bottom w:val="single" w:sz="8" w:space="0" w:color="DCDDDE"/>
              <w:right w:val="nil"/>
            </w:tcBorders>
            <w:shd w:val="clear" w:color="000000" w:fill="FFFFFF"/>
            <w:noWrap/>
            <w:vAlign w:val="center"/>
            <w:hideMark/>
          </w:tcPr>
          <w:p w14:paraId="589DAB3C"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3.9</w:t>
            </w:r>
          </w:p>
        </w:tc>
        <w:tc>
          <w:tcPr>
            <w:tcW w:w="545" w:type="dxa"/>
            <w:tcBorders>
              <w:top w:val="nil"/>
              <w:left w:val="nil"/>
              <w:bottom w:val="single" w:sz="8" w:space="0" w:color="DCDDDE"/>
              <w:right w:val="nil"/>
            </w:tcBorders>
            <w:shd w:val="clear" w:color="000000" w:fill="FFFFFF"/>
            <w:noWrap/>
            <w:vAlign w:val="center"/>
            <w:hideMark/>
          </w:tcPr>
          <w:p w14:paraId="33BF0E64"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4.3</w:t>
            </w:r>
          </w:p>
        </w:tc>
        <w:tc>
          <w:tcPr>
            <w:tcW w:w="545" w:type="dxa"/>
            <w:tcBorders>
              <w:top w:val="nil"/>
              <w:left w:val="nil"/>
              <w:bottom w:val="single" w:sz="8" w:space="0" w:color="DCDDDE"/>
              <w:right w:val="nil"/>
            </w:tcBorders>
            <w:shd w:val="clear" w:color="000000" w:fill="FFFFFF"/>
            <w:noWrap/>
            <w:vAlign w:val="center"/>
            <w:hideMark/>
          </w:tcPr>
          <w:p w14:paraId="4397D3E4"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4.4</w:t>
            </w:r>
          </w:p>
        </w:tc>
        <w:tc>
          <w:tcPr>
            <w:tcW w:w="545" w:type="dxa"/>
            <w:tcBorders>
              <w:top w:val="nil"/>
              <w:left w:val="nil"/>
              <w:bottom w:val="single" w:sz="8" w:space="0" w:color="DCDDDE"/>
              <w:right w:val="nil"/>
            </w:tcBorders>
            <w:shd w:val="clear" w:color="000000" w:fill="FFFFFF"/>
            <w:noWrap/>
            <w:vAlign w:val="center"/>
            <w:hideMark/>
          </w:tcPr>
          <w:p w14:paraId="32A8A932"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4.6</w:t>
            </w:r>
          </w:p>
        </w:tc>
        <w:tc>
          <w:tcPr>
            <w:tcW w:w="545" w:type="dxa"/>
            <w:tcBorders>
              <w:top w:val="nil"/>
              <w:left w:val="nil"/>
              <w:bottom w:val="single" w:sz="8" w:space="0" w:color="DCDDDE"/>
              <w:right w:val="nil"/>
            </w:tcBorders>
            <w:shd w:val="clear" w:color="000000" w:fill="FFFFFF"/>
            <w:noWrap/>
            <w:vAlign w:val="center"/>
            <w:hideMark/>
          </w:tcPr>
          <w:p w14:paraId="0B6FB510"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4.7</w:t>
            </w:r>
          </w:p>
        </w:tc>
        <w:tc>
          <w:tcPr>
            <w:tcW w:w="545" w:type="dxa"/>
            <w:tcBorders>
              <w:top w:val="nil"/>
              <w:left w:val="nil"/>
              <w:bottom w:val="single" w:sz="8" w:space="0" w:color="DCDDDE"/>
              <w:right w:val="nil"/>
            </w:tcBorders>
            <w:shd w:val="clear" w:color="000000" w:fill="FFFFFF"/>
            <w:noWrap/>
            <w:vAlign w:val="center"/>
            <w:hideMark/>
          </w:tcPr>
          <w:p w14:paraId="5781EEBE"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4.9</w:t>
            </w:r>
          </w:p>
        </w:tc>
        <w:tc>
          <w:tcPr>
            <w:tcW w:w="545" w:type="dxa"/>
            <w:tcBorders>
              <w:top w:val="nil"/>
              <w:left w:val="nil"/>
              <w:bottom w:val="single" w:sz="8" w:space="0" w:color="DCDDDE"/>
              <w:right w:val="nil"/>
            </w:tcBorders>
            <w:shd w:val="clear" w:color="000000" w:fill="FFFFFF"/>
            <w:noWrap/>
            <w:vAlign w:val="center"/>
            <w:hideMark/>
          </w:tcPr>
          <w:p w14:paraId="2EB0D740"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4.5</w:t>
            </w:r>
          </w:p>
        </w:tc>
        <w:tc>
          <w:tcPr>
            <w:tcW w:w="545" w:type="dxa"/>
            <w:tcBorders>
              <w:top w:val="nil"/>
              <w:left w:val="nil"/>
              <w:bottom w:val="single" w:sz="8" w:space="0" w:color="DCDDDE"/>
              <w:right w:val="nil"/>
            </w:tcBorders>
            <w:shd w:val="clear" w:color="000000" w:fill="FFFFFF"/>
            <w:noWrap/>
            <w:vAlign w:val="center"/>
            <w:hideMark/>
          </w:tcPr>
          <w:p w14:paraId="513E7F20"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4.5</w:t>
            </w:r>
          </w:p>
        </w:tc>
        <w:tc>
          <w:tcPr>
            <w:tcW w:w="545" w:type="dxa"/>
            <w:tcBorders>
              <w:top w:val="nil"/>
              <w:left w:val="nil"/>
              <w:bottom w:val="single" w:sz="8" w:space="0" w:color="DCDDDE"/>
              <w:right w:val="nil"/>
            </w:tcBorders>
            <w:shd w:val="clear" w:color="000000" w:fill="FFFFFF"/>
            <w:noWrap/>
            <w:vAlign w:val="center"/>
            <w:hideMark/>
          </w:tcPr>
          <w:p w14:paraId="659FD666"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4.6</w:t>
            </w:r>
          </w:p>
        </w:tc>
        <w:tc>
          <w:tcPr>
            <w:tcW w:w="545" w:type="dxa"/>
            <w:tcBorders>
              <w:top w:val="nil"/>
              <w:left w:val="nil"/>
              <w:bottom w:val="single" w:sz="8" w:space="0" w:color="DCDDDE"/>
              <w:right w:val="nil"/>
            </w:tcBorders>
            <w:shd w:val="clear" w:color="000000" w:fill="FFFFFF"/>
            <w:noWrap/>
            <w:vAlign w:val="center"/>
            <w:hideMark/>
          </w:tcPr>
          <w:p w14:paraId="3FF0F6D9"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4.7</w:t>
            </w:r>
          </w:p>
        </w:tc>
        <w:tc>
          <w:tcPr>
            <w:tcW w:w="545" w:type="dxa"/>
            <w:tcBorders>
              <w:top w:val="nil"/>
              <w:left w:val="nil"/>
              <w:bottom w:val="single" w:sz="8" w:space="0" w:color="DCDDDE"/>
              <w:right w:val="nil"/>
            </w:tcBorders>
            <w:shd w:val="clear" w:color="000000" w:fill="FFFFFF"/>
            <w:noWrap/>
            <w:vAlign w:val="center"/>
            <w:hideMark/>
          </w:tcPr>
          <w:p w14:paraId="1A3ABCF9"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4.9</w:t>
            </w:r>
          </w:p>
        </w:tc>
      </w:tr>
      <w:tr w:rsidR="002A760B" w:rsidRPr="002A760B" w14:paraId="5BAE8BC5" w14:textId="77777777" w:rsidTr="002A760B">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24AB537C"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mTRC (GHG adder 1) | Reference</w:t>
            </w:r>
          </w:p>
        </w:tc>
      </w:tr>
      <w:tr w:rsidR="002A760B" w:rsidRPr="002A760B" w14:paraId="440AD74C"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5234E898"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52CBFBD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0.9</w:t>
            </w:r>
          </w:p>
        </w:tc>
        <w:tc>
          <w:tcPr>
            <w:tcW w:w="545" w:type="dxa"/>
            <w:tcBorders>
              <w:top w:val="nil"/>
              <w:left w:val="nil"/>
              <w:bottom w:val="single" w:sz="8" w:space="0" w:color="DCDDDE"/>
              <w:right w:val="nil"/>
            </w:tcBorders>
            <w:shd w:val="clear" w:color="000000" w:fill="FFFFFF"/>
            <w:noWrap/>
            <w:vAlign w:val="center"/>
            <w:hideMark/>
          </w:tcPr>
          <w:p w14:paraId="768A35A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2F396F3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496C23C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54A5C69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76BF556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253C617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1874785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47394E1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7C76845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69BF638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6E5A2A2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140FFA8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r>
      <w:tr w:rsidR="002A760B" w:rsidRPr="002A760B" w14:paraId="388DF4AC"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6EF258AC"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6240A50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0.5</w:t>
            </w:r>
          </w:p>
        </w:tc>
        <w:tc>
          <w:tcPr>
            <w:tcW w:w="545" w:type="dxa"/>
            <w:tcBorders>
              <w:top w:val="nil"/>
              <w:left w:val="nil"/>
              <w:bottom w:val="single" w:sz="8" w:space="0" w:color="DCDDDE"/>
              <w:right w:val="nil"/>
            </w:tcBorders>
            <w:shd w:val="clear" w:color="000000" w:fill="FFFFFF"/>
            <w:noWrap/>
            <w:vAlign w:val="center"/>
            <w:hideMark/>
          </w:tcPr>
          <w:p w14:paraId="650923E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0.7</w:t>
            </w:r>
          </w:p>
        </w:tc>
        <w:tc>
          <w:tcPr>
            <w:tcW w:w="545" w:type="dxa"/>
            <w:tcBorders>
              <w:top w:val="nil"/>
              <w:left w:val="nil"/>
              <w:bottom w:val="single" w:sz="8" w:space="0" w:color="DCDDDE"/>
              <w:right w:val="nil"/>
            </w:tcBorders>
            <w:shd w:val="clear" w:color="000000" w:fill="FFFFFF"/>
            <w:noWrap/>
            <w:vAlign w:val="center"/>
            <w:hideMark/>
          </w:tcPr>
          <w:p w14:paraId="2AB39E5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0.8</w:t>
            </w:r>
          </w:p>
        </w:tc>
        <w:tc>
          <w:tcPr>
            <w:tcW w:w="545" w:type="dxa"/>
            <w:tcBorders>
              <w:top w:val="nil"/>
              <w:left w:val="nil"/>
              <w:bottom w:val="single" w:sz="8" w:space="0" w:color="DCDDDE"/>
              <w:right w:val="nil"/>
            </w:tcBorders>
            <w:shd w:val="clear" w:color="000000" w:fill="FFFFFF"/>
            <w:noWrap/>
            <w:vAlign w:val="center"/>
            <w:hideMark/>
          </w:tcPr>
          <w:p w14:paraId="47CDB99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0.9</w:t>
            </w:r>
          </w:p>
        </w:tc>
        <w:tc>
          <w:tcPr>
            <w:tcW w:w="545" w:type="dxa"/>
            <w:tcBorders>
              <w:top w:val="nil"/>
              <w:left w:val="nil"/>
              <w:bottom w:val="single" w:sz="8" w:space="0" w:color="DCDDDE"/>
              <w:right w:val="nil"/>
            </w:tcBorders>
            <w:shd w:val="clear" w:color="000000" w:fill="FFFFFF"/>
            <w:noWrap/>
            <w:vAlign w:val="center"/>
            <w:hideMark/>
          </w:tcPr>
          <w:p w14:paraId="3A55646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78F9334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0B32358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203BDE4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33CBDF2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2F3DABD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6BF5756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42A5A94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685C50A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r>
      <w:tr w:rsidR="002A760B" w:rsidRPr="002A760B" w14:paraId="47C84182"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38F04F90"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7629226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231A84A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4B5F67B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261A8CA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6393C7B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37610BB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210B8F0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537BAD3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4AB088A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7177EDB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20E7B7B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748085E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019EE51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r>
      <w:tr w:rsidR="002A760B" w:rsidRPr="002A760B" w14:paraId="212C2A1E"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6885E600"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73D5882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61D45D0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2B0216A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0A2B221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2.4</w:t>
            </w:r>
          </w:p>
        </w:tc>
        <w:tc>
          <w:tcPr>
            <w:tcW w:w="545" w:type="dxa"/>
            <w:tcBorders>
              <w:top w:val="nil"/>
              <w:left w:val="nil"/>
              <w:bottom w:val="single" w:sz="8" w:space="0" w:color="DCDDDE"/>
              <w:right w:val="nil"/>
            </w:tcBorders>
            <w:shd w:val="clear" w:color="000000" w:fill="FFFFFF"/>
            <w:noWrap/>
            <w:vAlign w:val="center"/>
            <w:hideMark/>
          </w:tcPr>
          <w:p w14:paraId="33C6982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64C7EFE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654C362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2.9</w:t>
            </w:r>
          </w:p>
        </w:tc>
        <w:tc>
          <w:tcPr>
            <w:tcW w:w="545" w:type="dxa"/>
            <w:tcBorders>
              <w:top w:val="nil"/>
              <w:left w:val="nil"/>
              <w:bottom w:val="single" w:sz="8" w:space="0" w:color="DCDDDE"/>
              <w:right w:val="nil"/>
            </w:tcBorders>
            <w:shd w:val="clear" w:color="000000" w:fill="FFFFFF"/>
            <w:noWrap/>
            <w:vAlign w:val="center"/>
            <w:hideMark/>
          </w:tcPr>
          <w:p w14:paraId="37C76FC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79191DA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3.1</w:t>
            </w:r>
          </w:p>
        </w:tc>
        <w:tc>
          <w:tcPr>
            <w:tcW w:w="545" w:type="dxa"/>
            <w:tcBorders>
              <w:top w:val="nil"/>
              <w:left w:val="nil"/>
              <w:bottom w:val="single" w:sz="8" w:space="0" w:color="DCDDDE"/>
              <w:right w:val="nil"/>
            </w:tcBorders>
            <w:shd w:val="clear" w:color="000000" w:fill="FFFFFF"/>
            <w:noWrap/>
            <w:vAlign w:val="center"/>
            <w:hideMark/>
          </w:tcPr>
          <w:p w14:paraId="53939E7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6133B69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3.4</w:t>
            </w:r>
          </w:p>
        </w:tc>
        <w:tc>
          <w:tcPr>
            <w:tcW w:w="545" w:type="dxa"/>
            <w:tcBorders>
              <w:top w:val="nil"/>
              <w:left w:val="nil"/>
              <w:bottom w:val="single" w:sz="8" w:space="0" w:color="DCDDDE"/>
              <w:right w:val="nil"/>
            </w:tcBorders>
            <w:shd w:val="clear" w:color="000000" w:fill="FFFFFF"/>
            <w:noWrap/>
            <w:vAlign w:val="center"/>
            <w:hideMark/>
          </w:tcPr>
          <w:p w14:paraId="17F18E6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3.5</w:t>
            </w:r>
          </w:p>
        </w:tc>
        <w:tc>
          <w:tcPr>
            <w:tcW w:w="545" w:type="dxa"/>
            <w:tcBorders>
              <w:top w:val="nil"/>
              <w:left w:val="nil"/>
              <w:bottom w:val="single" w:sz="8" w:space="0" w:color="DCDDDE"/>
              <w:right w:val="nil"/>
            </w:tcBorders>
            <w:shd w:val="clear" w:color="000000" w:fill="FFFFFF"/>
            <w:noWrap/>
            <w:vAlign w:val="center"/>
            <w:hideMark/>
          </w:tcPr>
          <w:p w14:paraId="28F02E4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3.7</w:t>
            </w:r>
          </w:p>
        </w:tc>
      </w:tr>
      <w:tr w:rsidR="002A760B" w:rsidRPr="002A760B" w14:paraId="4DE0AFC9"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36588FF3"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7E9728F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080B040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29A5CC2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589668B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1D3CC95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4004EEA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1844C45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212D8D4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6B92D6A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7B41C56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253E8FE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6C24680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4BB7310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r>
      <w:tr w:rsidR="002A760B" w:rsidRPr="002A760B" w14:paraId="0FAE106C"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3FC48E7B"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729AE411"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3.4</w:t>
            </w:r>
          </w:p>
        </w:tc>
        <w:tc>
          <w:tcPr>
            <w:tcW w:w="545" w:type="dxa"/>
            <w:tcBorders>
              <w:top w:val="nil"/>
              <w:left w:val="nil"/>
              <w:bottom w:val="single" w:sz="8" w:space="0" w:color="DCDDDE"/>
              <w:right w:val="nil"/>
            </w:tcBorders>
            <w:shd w:val="clear" w:color="000000" w:fill="FFFFFF"/>
            <w:noWrap/>
            <w:vAlign w:val="center"/>
            <w:hideMark/>
          </w:tcPr>
          <w:p w14:paraId="3B2C42C8"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3.6</w:t>
            </w:r>
          </w:p>
        </w:tc>
        <w:tc>
          <w:tcPr>
            <w:tcW w:w="545" w:type="dxa"/>
            <w:tcBorders>
              <w:top w:val="nil"/>
              <w:left w:val="nil"/>
              <w:bottom w:val="single" w:sz="8" w:space="0" w:color="DCDDDE"/>
              <w:right w:val="nil"/>
            </w:tcBorders>
            <w:shd w:val="clear" w:color="000000" w:fill="FFFFFF"/>
            <w:noWrap/>
            <w:vAlign w:val="center"/>
            <w:hideMark/>
          </w:tcPr>
          <w:p w14:paraId="2C0ACDFF"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358D7339"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4.6</w:t>
            </w:r>
          </w:p>
        </w:tc>
        <w:tc>
          <w:tcPr>
            <w:tcW w:w="545" w:type="dxa"/>
            <w:tcBorders>
              <w:top w:val="nil"/>
              <w:left w:val="nil"/>
              <w:bottom w:val="single" w:sz="8" w:space="0" w:color="DCDDDE"/>
              <w:right w:val="nil"/>
            </w:tcBorders>
            <w:shd w:val="clear" w:color="000000" w:fill="FFFFFF"/>
            <w:noWrap/>
            <w:vAlign w:val="center"/>
            <w:hideMark/>
          </w:tcPr>
          <w:p w14:paraId="0E8A2568"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4.7</w:t>
            </w:r>
          </w:p>
        </w:tc>
        <w:tc>
          <w:tcPr>
            <w:tcW w:w="545" w:type="dxa"/>
            <w:tcBorders>
              <w:top w:val="nil"/>
              <w:left w:val="nil"/>
              <w:bottom w:val="single" w:sz="8" w:space="0" w:color="DCDDDE"/>
              <w:right w:val="nil"/>
            </w:tcBorders>
            <w:shd w:val="clear" w:color="000000" w:fill="FFFFFF"/>
            <w:noWrap/>
            <w:vAlign w:val="center"/>
            <w:hideMark/>
          </w:tcPr>
          <w:p w14:paraId="64C9B622"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4.9</w:t>
            </w:r>
          </w:p>
        </w:tc>
        <w:tc>
          <w:tcPr>
            <w:tcW w:w="545" w:type="dxa"/>
            <w:tcBorders>
              <w:top w:val="nil"/>
              <w:left w:val="nil"/>
              <w:bottom w:val="single" w:sz="8" w:space="0" w:color="DCDDDE"/>
              <w:right w:val="nil"/>
            </w:tcBorders>
            <w:shd w:val="clear" w:color="000000" w:fill="FFFFFF"/>
            <w:noWrap/>
            <w:vAlign w:val="center"/>
            <w:hideMark/>
          </w:tcPr>
          <w:p w14:paraId="295D2EC3"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5.1</w:t>
            </w:r>
          </w:p>
        </w:tc>
        <w:tc>
          <w:tcPr>
            <w:tcW w:w="545" w:type="dxa"/>
            <w:tcBorders>
              <w:top w:val="nil"/>
              <w:left w:val="nil"/>
              <w:bottom w:val="single" w:sz="8" w:space="0" w:color="DCDDDE"/>
              <w:right w:val="nil"/>
            </w:tcBorders>
            <w:shd w:val="clear" w:color="000000" w:fill="FFFFFF"/>
            <w:noWrap/>
            <w:vAlign w:val="center"/>
            <w:hideMark/>
          </w:tcPr>
          <w:p w14:paraId="76D7C4B4"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5.3</w:t>
            </w:r>
          </w:p>
        </w:tc>
        <w:tc>
          <w:tcPr>
            <w:tcW w:w="545" w:type="dxa"/>
            <w:tcBorders>
              <w:top w:val="nil"/>
              <w:left w:val="nil"/>
              <w:bottom w:val="single" w:sz="8" w:space="0" w:color="DCDDDE"/>
              <w:right w:val="nil"/>
            </w:tcBorders>
            <w:shd w:val="clear" w:color="000000" w:fill="FFFFFF"/>
            <w:noWrap/>
            <w:vAlign w:val="center"/>
            <w:hideMark/>
          </w:tcPr>
          <w:p w14:paraId="4EA233BD"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4.8</w:t>
            </w:r>
          </w:p>
        </w:tc>
        <w:tc>
          <w:tcPr>
            <w:tcW w:w="545" w:type="dxa"/>
            <w:tcBorders>
              <w:top w:val="nil"/>
              <w:left w:val="nil"/>
              <w:bottom w:val="single" w:sz="8" w:space="0" w:color="DCDDDE"/>
              <w:right w:val="nil"/>
            </w:tcBorders>
            <w:shd w:val="clear" w:color="000000" w:fill="FFFFFF"/>
            <w:noWrap/>
            <w:vAlign w:val="center"/>
            <w:hideMark/>
          </w:tcPr>
          <w:p w14:paraId="3FA7A75C"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4.8</w:t>
            </w:r>
          </w:p>
        </w:tc>
        <w:tc>
          <w:tcPr>
            <w:tcW w:w="545" w:type="dxa"/>
            <w:tcBorders>
              <w:top w:val="nil"/>
              <w:left w:val="nil"/>
              <w:bottom w:val="single" w:sz="8" w:space="0" w:color="DCDDDE"/>
              <w:right w:val="nil"/>
            </w:tcBorders>
            <w:shd w:val="clear" w:color="000000" w:fill="FFFFFF"/>
            <w:noWrap/>
            <w:vAlign w:val="center"/>
            <w:hideMark/>
          </w:tcPr>
          <w:p w14:paraId="1DCC5C20"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4.9</w:t>
            </w:r>
          </w:p>
        </w:tc>
        <w:tc>
          <w:tcPr>
            <w:tcW w:w="545" w:type="dxa"/>
            <w:tcBorders>
              <w:top w:val="nil"/>
              <w:left w:val="nil"/>
              <w:bottom w:val="single" w:sz="8" w:space="0" w:color="DCDDDE"/>
              <w:right w:val="nil"/>
            </w:tcBorders>
            <w:shd w:val="clear" w:color="000000" w:fill="FFFFFF"/>
            <w:noWrap/>
            <w:vAlign w:val="center"/>
            <w:hideMark/>
          </w:tcPr>
          <w:p w14:paraId="43F6FA16"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4.9</w:t>
            </w:r>
          </w:p>
        </w:tc>
        <w:tc>
          <w:tcPr>
            <w:tcW w:w="545" w:type="dxa"/>
            <w:tcBorders>
              <w:top w:val="nil"/>
              <w:left w:val="nil"/>
              <w:bottom w:val="single" w:sz="8" w:space="0" w:color="DCDDDE"/>
              <w:right w:val="nil"/>
            </w:tcBorders>
            <w:shd w:val="clear" w:color="000000" w:fill="FFFFFF"/>
            <w:noWrap/>
            <w:vAlign w:val="center"/>
            <w:hideMark/>
          </w:tcPr>
          <w:p w14:paraId="74E4FC40"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5.1</w:t>
            </w:r>
          </w:p>
        </w:tc>
      </w:tr>
      <w:tr w:rsidR="002A760B" w:rsidRPr="002A760B" w14:paraId="036CD699" w14:textId="77777777" w:rsidTr="002A760B">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23B8CBBD"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mTRC (GHG adder 2) | Reference</w:t>
            </w:r>
          </w:p>
        </w:tc>
      </w:tr>
      <w:tr w:rsidR="002A760B" w:rsidRPr="002A760B" w14:paraId="014FD3E2"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01716342"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75F98CE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019E6C8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35B665D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316E9B9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7B52C52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3162E50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39F81DD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7E9ECAE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2CDBDAE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0969FD6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422A38D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68D2AE2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7570BEA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2.1</w:t>
            </w:r>
          </w:p>
        </w:tc>
      </w:tr>
      <w:tr w:rsidR="002A760B" w:rsidRPr="002A760B" w14:paraId="23268980"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6E804144"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4954C87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0.5</w:t>
            </w:r>
          </w:p>
        </w:tc>
        <w:tc>
          <w:tcPr>
            <w:tcW w:w="545" w:type="dxa"/>
            <w:tcBorders>
              <w:top w:val="nil"/>
              <w:left w:val="nil"/>
              <w:bottom w:val="single" w:sz="8" w:space="0" w:color="DCDDDE"/>
              <w:right w:val="nil"/>
            </w:tcBorders>
            <w:shd w:val="clear" w:color="000000" w:fill="FFFFFF"/>
            <w:noWrap/>
            <w:vAlign w:val="center"/>
            <w:hideMark/>
          </w:tcPr>
          <w:p w14:paraId="549A43E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0.7</w:t>
            </w:r>
          </w:p>
        </w:tc>
        <w:tc>
          <w:tcPr>
            <w:tcW w:w="545" w:type="dxa"/>
            <w:tcBorders>
              <w:top w:val="nil"/>
              <w:left w:val="nil"/>
              <w:bottom w:val="single" w:sz="8" w:space="0" w:color="DCDDDE"/>
              <w:right w:val="nil"/>
            </w:tcBorders>
            <w:shd w:val="clear" w:color="000000" w:fill="FFFFFF"/>
            <w:noWrap/>
            <w:vAlign w:val="center"/>
            <w:hideMark/>
          </w:tcPr>
          <w:p w14:paraId="3D2CFA1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0.8</w:t>
            </w:r>
          </w:p>
        </w:tc>
        <w:tc>
          <w:tcPr>
            <w:tcW w:w="545" w:type="dxa"/>
            <w:tcBorders>
              <w:top w:val="nil"/>
              <w:left w:val="nil"/>
              <w:bottom w:val="single" w:sz="8" w:space="0" w:color="DCDDDE"/>
              <w:right w:val="nil"/>
            </w:tcBorders>
            <w:shd w:val="clear" w:color="000000" w:fill="FFFFFF"/>
            <w:noWrap/>
            <w:vAlign w:val="center"/>
            <w:hideMark/>
          </w:tcPr>
          <w:p w14:paraId="0183557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0.9</w:t>
            </w:r>
          </w:p>
        </w:tc>
        <w:tc>
          <w:tcPr>
            <w:tcW w:w="545" w:type="dxa"/>
            <w:tcBorders>
              <w:top w:val="nil"/>
              <w:left w:val="nil"/>
              <w:bottom w:val="single" w:sz="8" w:space="0" w:color="DCDDDE"/>
              <w:right w:val="nil"/>
            </w:tcBorders>
            <w:shd w:val="clear" w:color="000000" w:fill="FFFFFF"/>
            <w:noWrap/>
            <w:vAlign w:val="center"/>
            <w:hideMark/>
          </w:tcPr>
          <w:p w14:paraId="2673966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3B5D6F7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0A8923B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4A2C2DF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1BEB908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37146F4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25FE91C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322C1B1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6119503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r>
      <w:tr w:rsidR="002A760B" w:rsidRPr="002A760B" w14:paraId="008ACA96"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1875A63B"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7476D7C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0E41164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71FFAC8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788AACF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7B1AEF6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5360052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25B1CFC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317CEAB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204678F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4A9BF59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5C2AB6B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6DAF8DA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02DA01F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r>
      <w:tr w:rsidR="002A760B" w:rsidRPr="002A760B" w14:paraId="2EC9568A"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678A8C26"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492F6C5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3B5CD4F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736410B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60E2A47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3.1</w:t>
            </w:r>
          </w:p>
        </w:tc>
        <w:tc>
          <w:tcPr>
            <w:tcW w:w="545" w:type="dxa"/>
            <w:tcBorders>
              <w:top w:val="nil"/>
              <w:left w:val="nil"/>
              <w:bottom w:val="single" w:sz="8" w:space="0" w:color="DCDDDE"/>
              <w:right w:val="nil"/>
            </w:tcBorders>
            <w:shd w:val="clear" w:color="000000" w:fill="FFFFFF"/>
            <w:noWrap/>
            <w:vAlign w:val="center"/>
            <w:hideMark/>
          </w:tcPr>
          <w:p w14:paraId="71CC042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3AC747D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3.3</w:t>
            </w:r>
          </w:p>
        </w:tc>
        <w:tc>
          <w:tcPr>
            <w:tcW w:w="545" w:type="dxa"/>
            <w:tcBorders>
              <w:top w:val="nil"/>
              <w:left w:val="nil"/>
              <w:bottom w:val="single" w:sz="8" w:space="0" w:color="DCDDDE"/>
              <w:right w:val="nil"/>
            </w:tcBorders>
            <w:shd w:val="clear" w:color="000000" w:fill="FFFFFF"/>
            <w:noWrap/>
            <w:vAlign w:val="center"/>
            <w:hideMark/>
          </w:tcPr>
          <w:p w14:paraId="0A1C0C0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3.5</w:t>
            </w:r>
          </w:p>
        </w:tc>
        <w:tc>
          <w:tcPr>
            <w:tcW w:w="545" w:type="dxa"/>
            <w:tcBorders>
              <w:top w:val="nil"/>
              <w:left w:val="nil"/>
              <w:bottom w:val="single" w:sz="8" w:space="0" w:color="DCDDDE"/>
              <w:right w:val="nil"/>
            </w:tcBorders>
            <w:shd w:val="clear" w:color="000000" w:fill="FFFFFF"/>
            <w:noWrap/>
            <w:vAlign w:val="center"/>
            <w:hideMark/>
          </w:tcPr>
          <w:p w14:paraId="7105305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3.9</w:t>
            </w:r>
          </w:p>
        </w:tc>
        <w:tc>
          <w:tcPr>
            <w:tcW w:w="545" w:type="dxa"/>
            <w:tcBorders>
              <w:top w:val="nil"/>
              <w:left w:val="nil"/>
              <w:bottom w:val="single" w:sz="8" w:space="0" w:color="DCDDDE"/>
              <w:right w:val="nil"/>
            </w:tcBorders>
            <w:shd w:val="clear" w:color="000000" w:fill="FFFFFF"/>
            <w:noWrap/>
            <w:vAlign w:val="center"/>
            <w:hideMark/>
          </w:tcPr>
          <w:p w14:paraId="6F1D743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4.0</w:t>
            </w:r>
          </w:p>
        </w:tc>
        <w:tc>
          <w:tcPr>
            <w:tcW w:w="545" w:type="dxa"/>
            <w:tcBorders>
              <w:top w:val="nil"/>
              <w:left w:val="nil"/>
              <w:bottom w:val="single" w:sz="8" w:space="0" w:color="DCDDDE"/>
              <w:right w:val="nil"/>
            </w:tcBorders>
            <w:shd w:val="clear" w:color="000000" w:fill="FFFFFF"/>
            <w:noWrap/>
            <w:vAlign w:val="center"/>
            <w:hideMark/>
          </w:tcPr>
          <w:p w14:paraId="58005BB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20CC41F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4.2</w:t>
            </w:r>
          </w:p>
        </w:tc>
        <w:tc>
          <w:tcPr>
            <w:tcW w:w="545" w:type="dxa"/>
            <w:tcBorders>
              <w:top w:val="nil"/>
              <w:left w:val="nil"/>
              <w:bottom w:val="single" w:sz="8" w:space="0" w:color="DCDDDE"/>
              <w:right w:val="nil"/>
            </w:tcBorders>
            <w:shd w:val="clear" w:color="000000" w:fill="FFFFFF"/>
            <w:noWrap/>
            <w:vAlign w:val="center"/>
            <w:hideMark/>
          </w:tcPr>
          <w:p w14:paraId="570AA40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4.3</w:t>
            </w:r>
          </w:p>
        </w:tc>
        <w:tc>
          <w:tcPr>
            <w:tcW w:w="545" w:type="dxa"/>
            <w:tcBorders>
              <w:top w:val="nil"/>
              <w:left w:val="nil"/>
              <w:bottom w:val="single" w:sz="8" w:space="0" w:color="DCDDDE"/>
              <w:right w:val="nil"/>
            </w:tcBorders>
            <w:shd w:val="clear" w:color="000000" w:fill="FFFFFF"/>
            <w:noWrap/>
            <w:vAlign w:val="center"/>
            <w:hideMark/>
          </w:tcPr>
          <w:p w14:paraId="4E4456F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4.4</w:t>
            </w:r>
          </w:p>
        </w:tc>
      </w:tr>
      <w:tr w:rsidR="002A760B" w:rsidRPr="002A760B" w14:paraId="034961F9"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7D09BBEE"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797B847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1295650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0851A65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3F68426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1DC87CF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2F6E691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39C1958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5291580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2CEA8FB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3D97EF1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08BB30A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10452E9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4919F14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r>
      <w:tr w:rsidR="002A760B" w:rsidRPr="002A760B" w14:paraId="7754F6CB"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31403DA3"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08896831"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1A6EDF58"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2A7AE7A5"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4.6</w:t>
            </w:r>
          </w:p>
        </w:tc>
        <w:tc>
          <w:tcPr>
            <w:tcW w:w="545" w:type="dxa"/>
            <w:tcBorders>
              <w:top w:val="nil"/>
              <w:left w:val="nil"/>
              <w:bottom w:val="single" w:sz="8" w:space="0" w:color="DCDDDE"/>
              <w:right w:val="nil"/>
            </w:tcBorders>
            <w:shd w:val="clear" w:color="000000" w:fill="FFFFFF"/>
            <w:noWrap/>
            <w:vAlign w:val="center"/>
            <w:hideMark/>
          </w:tcPr>
          <w:p w14:paraId="48157304"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5.3</w:t>
            </w:r>
          </w:p>
        </w:tc>
        <w:tc>
          <w:tcPr>
            <w:tcW w:w="545" w:type="dxa"/>
            <w:tcBorders>
              <w:top w:val="nil"/>
              <w:left w:val="nil"/>
              <w:bottom w:val="single" w:sz="8" w:space="0" w:color="DCDDDE"/>
              <w:right w:val="nil"/>
            </w:tcBorders>
            <w:shd w:val="clear" w:color="000000" w:fill="FFFFFF"/>
            <w:noWrap/>
            <w:vAlign w:val="center"/>
            <w:hideMark/>
          </w:tcPr>
          <w:p w14:paraId="79EA44A1"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5.4</w:t>
            </w:r>
          </w:p>
        </w:tc>
        <w:tc>
          <w:tcPr>
            <w:tcW w:w="545" w:type="dxa"/>
            <w:tcBorders>
              <w:top w:val="nil"/>
              <w:left w:val="nil"/>
              <w:bottom w:val="single" w:sz="8" w:space="0" w:color="DCDDDE"/>
              <w:right w:val="nil"/>
            </w:tcBorders>
            <w:shd w:val="clear" w:color="000000" w:fill="FFFFFF"/>
            <w:noWrap/>
            <w:vAlign w:val="center"/>
            <w:hideMark/>
          </w:tcPr>
          <w:p w14:paraId="2B57CF13"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5.6</w:t>
            </w:r>
          </w:p>
        </w:tc>
        <w:tc>
          <w:tcPr>
            <w:tcW w:w="545" w:type="dxa"/>
            <w:tcBorders>
              <w:top w:val="nil"/>
              <w:left w:val="nil"/>
              <w:bottom w:val="single" w:sz="8" w:space="0" w:color="DCDDDE"/>
              <w:right w:val="nil"/>
            </w:tcBorders>
            <w:shd w:val="clear" w:color="000000" w:fill="FFFFFF"/>
            <w:noWrap/>
            <w:vAlign w:val="center"/>
            <w:hideMark/>
          </w:tcPr>
          <w:p w14:paraId="62AFC5AC"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5.7</w:t>
            </w:r>
          </w:p>
        </w:tc>
        <w:tc>
          <w:tcPr>
            <w:tcW w:w="545" w:type="dxa"/>
            <w:tcBorders>
              <w:top w:val="nil"/>
              <w:left w:val="nil"/>
              <w:bottom w:val="single" w:sz="8" w:space="0" w:color="DCDDDE"/>
              <w:right w:val="nil"/>
            </w:tcBorders>
            <w:shd w:val="clear" w:color="000000" w:fill="FFFFFF"/>
            <w:noWrap/>
            <w:vAlign w:val="center"/>
            <w:hideMark/>
          </w:tcPr>
          <w:p w14:paraId="0C3F330D"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6.1</w:t>
            </w:r>
          </w:p>
        </w:tc>
        <w:tc>
          <w:tcPr>
            <w:tcW w:w="545" w:type="dxa"/>
            <w:tcBorders>
              <w:top w:val="nil"/>
              <w:left w:val="nil"/>
              <w:bottom w:val="single" w:sz="8" w:space="0" w:color="DCDDDE"/>
              <w:right w:val="nil"/>
            </w:tcBorders>
            <w:shd w:val="clear" w:color="000000" w:fill="FFFFFF"/>
            <w:noWrap/>
            <w:vAlign w:val="center"/>
            <w:hideMark/>
          </w:tcPr>
          <w:p w14:paraId="6F962BD9"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5.6</w:t>
            </w:r>
          </w:p>
        </w:tc>
        <w:tc>
          <w:tcPr>
            <w:tcW w:w="545" w:type="dxa"/>
            <w:tcBorders>
              <w:top w:val="nil"/>
              <w:left w:val="nil"/>
              <w:bottom w:val="single" w:sz="8" w:space="0" w:color="DCDDDE"/>
              <w:right w:val="nil"/>
            </w:tcBorders>
            <w:shd w:val="clear" w:color="000000" w:fill="FFFFFF"/>
            <w:noWrap/>
            <w:vAlign w:val="center"/>
            <w:hideMark/>
          </w:tcPr>
          <w:p w14:paraId="6F1D1186"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5.6</w:t>
            </w:r>
          </w:p>
        </w:tc>
        <w:tc>
          <w:tcPr>
            <w:tcW w:w="545" w:type="dxa"/>
            <w:tcBorders>
              <w:top w:val="nil"/>
              <w:left w:val="nil"/>
              <w:bottom w:val="single" w:sz="8" w:space="0" w:color="DCDDDE"/>
              <w:right w:val="nil"/>
            </w:tcBorders>
            <w:shd w:val="clear" w:color="000000" w:fill="FFFFFF"/>
            <w:noWrap/>
            <w:vAlign w:val="center"/>
            <w:hideMark/>
          </w:tcPr>
          <w:p w14:paraId="49363EE2"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5.7</w:t>
            </w:r>
          </w:p>
        </w:tc>
        <w:tc>
          <w:tcPr>
            <w:tcW w:w="545" w:type="dxa"/>
            <w:tcBorders>
              <w:top w:val="nil"/>
              <w:left w:val="nil"/>
              <w:bottom w:val="single" w:sz="8" w:space="0" w:color="DCDDDE"/>
              <w:right w:val="nil"/>
            </w:tcBorders>
            <w:shd w:val="clear" w:color="000000" w:fill="FFFFFF"/>
            <w:noWrap/>
            <w:vAlign w:val="center"/>
            <w:hideMark/>
          </w:tcPr>
          <w:p w14:paraId="41175206"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5.7</w:t>
            </w:r>
          </w:p>
        </w:tc>
        <w:tc>
          <w:tcPr>
            <w:tcW w:w="545" w:type="dxa"/>
            <w:tcBorders>
              <w:top w:val="nil"/>
              <w:left w:val="nil"/>
              <w:bottom w:val="single" w:sz="8" w:space="0" w:color="DCDDDE"/>
              <w:right w:val="nil"/>
            </w:tcBorders>
            <w:shd w:val="clear" w:color="000000" w:fill="FFFFFF"/>
            <w:noWrap/>
            <w:vAlign w:val="center"/>
            <w:hideMark/>
          </w:tcPr>
          <w:p w14:paraId="36B27590"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5.8</w:t>
            </w:r>
          </w:p>
        </w:tc>
      </w:tr>
      <w:tr w:rsidR="002A760B" w:rsidRPr="002A760B" w14:paraId="5D3B4E57" w14:textId="77777777" w:rsidTr="002A760B">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118CAFA7"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PAC | Reference</w:t>
            </w:r>
          </w:p>
        </w:tc>
      </w:tr>
      <w:tr w:rsidR="002A760B" w:rsidRPr="002A760B" w14:paraId="0C34711C"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4739540B"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7D5A0E2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02DEA89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32F5A2C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1473BAC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36D0BA5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0089338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2A89D9E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0578ED9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0B3FEFE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2EE2F63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540BE81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67D3AF9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3F03B49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r>
      <w:tr w:rsidR="002A760B" w:rsidRPr="002A760B" w14:paraId="4B4614AE"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52E3E7A2"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0C3A0EF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0.5</w:t>
            </w:r>
          </w:p>
        </w:tc>
        <w:tc>
          <w:tcPr>
            <w:tcW w:w="545" w:type="dxa"/>
            <w:tcBorders>
              <w:top w:val="nil"/>
              <w:left w:val="nil"/>
              <w:bottom w:val="single" w:sz="8" w:space="0" w:color="DCDDDE"/>
              <w:right w:val="nil"/>
            </w:tcBorders>
            <w:shd w:val="clear" w:color="000000" w:fill="FFFFFF"/>
            <w:noWrap/>
            <w:vAlign w:val="center"/>
            <w:hideMark/>
          </w:tcPr>
          <w:p w14:paraId="2A5DD14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0.7</w:t>
            </w:r>
          </w:p>
        </w:tc>
        <w:tc>
          <w:tcPr>
            <w:tcW w:w="545" w:type="dxa"/>
            <w:tcBorders>
              <w:top w:val="nil"/>
              <w:left w:val="nil"/>
              <w:bottom w:val="single" w:sz="8" w:space="0" w:color="DCDDDE"/>
              <w:right w:val="nil"/>
            </w:tcBorders>
            <w:shd w:val="clear" w:color="000000" w:fill="FFFFFF"/>
            <w:noWrap/>
            <w:vAlign w:val="center"/>
            <w:hideMark/>
          </w:tcPr>
          <w:p w14:paraId="6C329B0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0.8</w:t>
            </w:r>
          </w:p>
        </w:tc>
        <w:tc>
          <w:tcPr>
            <w:tcW w:w="545" w:type="dxa"/>
            <w:tcBorders>
              <w:top w:val="nil"/>
              <w:left w:val="nil"/>
              <w:bottom w:val="single" w:sz="8" w:space="0" w:color="DCDDDE"/>
              <w:right w:val="nil"/>
            </w:tcBorders>
            <w:shd w:val="clear" w:color="000000" w:fill="FFFFFF"/>
            <w:noWrap/>
            <w:vAlign w:val="center"/>
            <w:hideMark/>
          </w:tcPr>
          <w:p w14:paraId="6C7286F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0.9</w:t>
            </w:r>
          </w:p>
        </w:tc>
        <w:tc>
          <w:tcPr>
            <w:tcW w:w="545" w:type="dxa"/>
            <w:tcBorders>
              <w:top w:val="nil"/>
              <w:left w:val="nil"/>
              <w:bottom w:val="single" w:sz="8" w:space="0" w:color="DCDDDE"/>
              <w:right w:val="nil"/>
            </w:tcBorders>
            <w:shd w:val="clear" w:color="000000" w:fill="FFFFFF"/>
            <w:noWrap/>
            <w:vAlign w:val="center"/>
            <w:hideMark/>
          </w:tcPr>
          <w:p w14:paraId="00B1157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249043D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1.1</w:t>
            </w:r>
          </w:p>
        </w:tc>
        <w:tc>
          <w:tcPr>
            <w:tcW w:w="545" w:type="dxa"/>
            <w:tcBorders>
              <w:top w:val="nil"/>
              <w:left w:val="nil"/>
              <w:bottom w:val="single" w:sz="8" w:space="0" w:color="DCDDDE"/>
              <w:right w:val="nil"/>
            </w:tcBorders>
            <w:shd w:val="clear" w:color="000000" w:fill="FFFFFF"/>
            <w:noWrap/>
            <w:vAlign w:val="center"/>
            <w:hideMark/>
          </w:tcPr>
          <w:p w14:paraId="4D86E33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4AC6EFE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1.3</w:t>
            </w:r>
          </w:p>
        </w:tc>
        <w:tc>
          <w:tcPr>
            <w:tcW w:w="545" w:type="dxa"/>
            <w:tcBorders>
              <w:top w:val="nil"/>
              <w:left w:val="nil"/>
              <w:bottom w:val="single" w:sz="8" w:space="0" w:color="DCDDDE"/>
              <w:right w:val="nil"/>
            </w:tcBorders>
            <w:shd w:val="clear" w:color="000000" w:fill="FFFFFF"/>
            <w:noWrap/>
            <w:vAlign w:val="center"/>
            <w:hideMark/>
          </w:tcPr>
          <w:p w14:paraId="4CEF823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1B640C8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6841F4A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45549C4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59FC9DF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r>
      <w:tr w:rsidR="002A760B" w:rsidRPr="002A760B" w14:paraId="1CF48C17"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5A943745"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031926A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76ECFE0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7CD959A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39527FF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2D0313A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6A158BA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579ADF3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6B72AD4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296F5F2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30A14E1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373D2DF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4119D26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16AA43B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r>
      <w:tr w:rsidR="002A760B" w:rsidRPr="002A760B" w14:paraId="7B6EC313"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6CAF0234"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lastRenderedPageBreak/>
              <w:t>Incentive Programs (Subtotal)</w:t>
            </w:r>
          </w:p>
        </w:tc>
        <w:tc>
          <w:tcPr>
            <w:tcW w:w="545" w:type="dxa"/>
            <w:tcBorders>
              <w:top w:val="nil"/>
              <w:left w:val="nil"/>
              <w:bottom w:val="single" w:sz="8" w:space="0" w:color="DCDDDE"/>
              <w:right w:val="nil"/>
            </w:tcBorders>
            <w:shd w:val="clear" w:color="000000" w:fill="FFFFFF"/>
            <w:noWrap/>
            <w:vAlign w:val="center"/>
            <w:hideMark/>
          </w:tcPr>
          <w:p w14:paraId="10F4796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0DE24FA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3E161DA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2.6</w:t>
            </w:r>
          </w:p>
        </w:tc>
        <w:tc>
          <w:tcPr>
            <w:tcW w:w="545" w:type="dxa"/>
            <w:tcBorders>
              <w:top w:val="nil"/>
              <w:left w:val="nil"/>
              <w:bottom w:val="single" w:sz="8" w:space="0" w:color="DCDDDE"/>
              <w:right w:val="nil"/>
            </w:tcBorders>
            <w:shd w:val="clear" w:color="000000" w:fill="FFFFFF"/>
            <w:noWrap/>
            <w:vAlign w:val="center"/>
            <w:hideMark/>
          </w:tcPr>
          <w:p w14:paraId="717C1F5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41CAB1E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3.0</w:t>
            </w:r>
          </w:p>
        </w:tc>
        <w:tc>
          <w:tcPr>
            <w:tcW w:w="545" w:type="dxa"/>
            <w:tcBorders>
              <w:top w:val="nil"/>
              <w:left w:val="nil"/>
              <w:bottom w:val="single" w:sz="8" w:space="0" w:color="DCDDDE"/>
              <w:right w:val="nil"/>
            </w:tcBorders>
            <w:shd w:val="clear" w:color="000000" w:fill="FFFFFF"/>
            <w:noWrap/>
            <w:vAlign w:val="center"/>
            <w:hideMark/>
          </w:tcPr>
          <w:p w14:paraId="1818DE3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3.1</w:t>
            </w:r>
          </w:p>
        </w:tc>
        <w:tc>
          <w:tcPr>
            <w:tcW w:w="545" w:type="dxa"/>
            <w:tcBorders>
              <w:top w:val="nil"/>
              <w:left w:val="nil"/>
              <w:bottom w:val="single" w:sz="8" w:space="0" w:color="DCDDDE"/>
              <w:right w:val="nil"/>
            </w:tcBorders>
            <w:shd w:val="clear" w:color="000000" w:fill="FFFFFF"/>
            <w:noWrap/>
            <w:vAlign w:val="center"/>
            <w:hideMark/>
          </w:tcPr>
          <w:p w14:paraId="0D10B26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3.4</w:t>
            </w:r>
          </w:p>
        </w:tc>
        <w:tc>
          <w:tcPr>
            <w:tcW w:w="545" w:type="dxa"/>
            <w:tcBorders>
              <w:top w:val="nil"/>
              <w:left w:val="nil"/>
              <w:bottom w:val="single" w:sz="8" w:space="0" w:color="DCDDDE"/>
              <w:right w:val="nil"/>
            </w:tcBorders>
            <w:shd w:val="clear" w:color="000000" w:fill="FFFFFF"/>
            <w:noWrap/>
            <w:vAlign w:val="center"/>
            <w:hideMark/>
          </w:tcPr>
          <w:p w14:paraId="5498E08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3.6</w:t>
            </w:r>
          </w:p>
        </w:tc>
        <w:tc>
          <w:tcPr>
            <w:tcW w:w="545" w:type="dxa"/>
            <w:tcBorders>
              <w:top w:val="nil"/>
              <w:left w:val="nil"/>
              <w:bottom w:val="single" w:sz="8" w:space="0" w:color="DCDDDE"/>
              <w:right w:val="nil"/>
            </w:tcBorders>
            <w:shd w:val="clear" w:color="000000" w:fill="FFFFFF"/>
            <w:noWrap/>
            <w:vAlign w:val="center"/>
            <w:hideMark/>
          </w:tcPr>
          <w:p w14:paraId="07EA5CF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44FDDD0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3.9</w:t>
            </w:r>
          </w:p>
        </w:tc>
        <w:tc>
          <w:tcPr>
            <w:tcW w:w="545" w:type="dxa"/>
            <w:tcBorders>
              <w:top w:val="nil"/>
              <w:left w:val="nil"/>
              <w:bottom w:val="single" w:sz="8" w:space="0" w:color="DCDDDE"/>
              <w:right w:val="nil"/>
            </w:tcBorders>
            <w:shd w:val="clear" w:color="000000" w:fill="FFFFFF"/>
            <w:noWrap/>
            <w:vAlign w:val="center"/>
            <w:hideMark/>
          </w:tcPr>
          <w:p w14:paraId="5A15393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4.0</w:t>
            </w:r>
          </w:p>
        </w:tc>
        <w:tc>
          <w:tcPr>
            <w:tcW w:w="545" w:type="dxa"/>
            <w:tcBorders>
              <w:top w:val="nil"/>
              <w:left w:val="nil"/>
              <w:bottom w:val="single" w:sz="8" w:space="0" w:color="DCDDDE"/>
              <w:right w:val="nil"/>
            </w:tcBorders>
            <w:shd w:val="clear" w:color="000000" w:fill="FFFFFF"/>
            <w:noWrap/>
            <w:vAlign w:val="center"/>
            <w:hideMark/>
          </w:tcPr>
          <w:p w14:paraId="7B40235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66984A7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4.2</w:t>
            </w:r>
          </w:p>
        </w:tc>
      </w:tr>
      <w:tr w:rsidR="002A760B" w:rsidRPr="002A760B" w14:paraId="49945791"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633EA10B"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74B5079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5FF25CC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6FDE9F4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4A9238B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6696CC7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422F31C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279631E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4805601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1144C8F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16DDBD4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53B37D6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27DE90C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2064797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r>
      <w:tr w:rsidR="002A760B" w:rsidRPr="002A760B" w14:paraId="0357B81A"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5AF03C40"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4D4456A4"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3.6</w:t>
            </w:r>
          </w:p>
        </w:tc>
        <w:tc>
          <w:tcPr>
            <w:tcW w:w="545" w:type="dxa"/>
            <w:tcBorders>
              <w:top w:val="nil"/>
              <w:left w:val="nil"/>
              <w:bottom w:val="single" w:sz="8" w:space="0" w:color="DCDDDE"/>
              <w:right w:val="nil"/>
            </w:tcBorders>
            <w:shd w:val="clear" w:color="000000" w:fill="FFFFFF"/>
            <w:noWrap/>
            <w:vAlign w:val="center"/>
            <w:hideMark/>
          </w:tcPr>
          <w:p w14:paraId="51BCA0ED"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4.0</w:t>
            </w:r>
          </w:p>
        </w:tc>
        <w:tc>
          <w:tcPr>
            <w:tcW w:w="545" w:type="dxa"/>
            <w:tcBorders>
              <w:top w:val="nil"/>
              <w:left w:val="nil"/>
              <w:bottom w:val="single" w:sz="8" w:space="0" w:color="DCDDDE"/>
              <w:right w:val="nil"/>
            </w:tcBorders>
            <w:shd w:val="clear" w:color="000000" w:fill="FFFFFF"/>
            <w:noWrap/>
            <w:vAlign w:val="center"/>
            <w:hideMark/>
          </w:tcPr>
          <w:p w14:paraId="4C768BA6"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4.5</w:t>
            </w:r>
          </w:p>
        </w:tc>
        <w:tc>
          <w:tcPr>
            <w:tcW w:w="545" w:type="dxa"/>
            <w:tcBorders>
              <w:top w:val="nil"/>
              <w:left w:val="nil"/>
              <w:bottom w:val="single" w:sz="8" w:space="0" w:color="DCDDDE"/>
              <w:right w:val="nil"/>
            </w:tcBorders>
            <w:shd w:val="clear" w:color="000000" w:fill="FFFFFF"/>
            <w:noWrap/>
            <w:vAlign w:val="center"/>
            <w:hideMark/>
          </w:tcPr>
          <w:p w14:paraId="7AD83A30"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5.0</w:t>
            </w:r>
          </w:p>
        </w:tc>
        <w:tc>
          <w:tcPr>
            <w:tcW w:w="545" w:type="dxa"/>
            <w:tcBorders>
              <w:top w:val="nil"/>
              <w:left w:val="nil"/>
              <w:bottom w:val="single" w:sz="8" w:space="0" w:color="DCDDDE"/>
              <w:right w:val="nil"/>
            </w:tcBorders>
            <w:shd w:val="clear" w:color="000000" w:fill="FFFFFF"/>
            <w:noWrap/>
            <w:vAlign w:val="center"/>
            <w:hideMark/>
          </w:tcPr>
          <w:p w14:paraId="543D504D"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5.2</w:t>
            </w:r>
          </w:p>
        </w:tc>
        <w:tc>
          <w:tcPr>
            <w:tcW w:w="545" w:type="dxa"/>
            <w:tcBorders>
              <w:top w:val="nil"/>
              <w:left w:val="nil"/>
              <w:bottom w:val="single" w:sz="8" w:space="0" w:color="DCDDDE"/>
              <w:right w:val="nil"/>
            </w:tcBorders>
            <w:shd w:val="clear" w:color="000000" w:fill="FFFFFF"/>
            <w:noWrap/>
            <w:vAlign w:val="center"/>
            <w:hideMark/>
          </w:tcPr>
          <w:p w14:paraId="4F3E8665"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5.4</w:t>
            </w:r>
          </w:p>
        </w:tc>
        <w:tc>
          <w:tcPr>
            <w:tcW w:w="545" w:type="dxa"/>
            <w:tcBorders>
              <w:top w:val="nil"/>
              <w:left w:val="nil"/>
              <w:bottom w:val="single" w:sz="8" w:space="0" w:color="DCDDDE"/>
              <w:right w:val="nil"/>
            </w:tcBorders>
            <w:shd w:val="clear" w:color="000000" w:fill="FFFFFF"/>
            <w:noWrap/>
            <w:vAlign w:val="center"/>
            <w:hideMark/>
          </w:tcPr>
          <w:p w14:paraId="2CB6A42A"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5.6</w:t>
            </w:r>
          </w:p>
        </w:tc>
        <w:tc>
          <w:tcPr>
            <w:tcW w:w="545" w:type="dxa"/>
            <w:tcBorders>
              <w:top w:val="nil"/>
              <w:left w:val="nil"/>
              <w:bottom w:val="single" w:sz="8" w:space="0" w:color="DCDDDE"/>
              <w:right w:val="nil"/>
            </w:tcBorders>
            <w:shd w:val="clear" w:color="000000" w:fill="FFFFFF"/>
            <w:noWrap/>
            <w:vAlign w:val="center"/>
            <w:hideMark/>
          </w:tcPr>
          <w:p w14:paraId="75C4A011"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5.8</w:t>
            </w:r>
          </w:p>
        </w:tc>
        <w:tc>
          <w:tcPr>
            <w:tcW w:w="545" w:type="dxa"/>
            <w:tcBorders>
              <w:top w:val="nil"/>
              <w:left w:val="nil"/>
              <w:bottom w:val="single" w:sz="8" w:space="0" w:color="DCDDDE"/>
              <w:right w:val="nil"/>
            </w:tcBorders>
            <w:shd w:val="clear" w:color="000000" w:fill="FFFFFF"/>
            <w:noWrap/>
            <w:vAlign w:val="center"/>
            <w:hideMark/>
          </w:tcPr>
          <w:p w14:paraId="133DB0F4"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5.4</w:t>
            </w:r>
          </w:p>
        </w:tc>
        <w:tc>
          <w:tcPr>
            <w:tcW w:w="545" w:type="dxa"/>
            <w:tcBorders>
              <w:top w:val="nil"/>
              <w:left w:val="nil"/>
              <w:bottom w:val="single" w:sz="8" w:space="0" w:color="DCDDDE"/>
              <w:right w:val="nil"/>
            </w:tcBorders>
            <w:shd w:val="clear" w:color="000000" w:fill="FFFFFF"/>
            <w:noWrap/>
            <w:vAlign w:val="center"/>
            <w:hideMark/>
          </w:tcPr>
          <w:p w14:paraId="40BA2F06"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5.4</w:t>
            </w:r>
          </w:p>
        </w:tc>
        <w:tc>
          <w:tcPr>
            <w:tcW w:w="545" w:type="dxa"/>
            <w:tcBorders>
              <w:top w:val="nil"/>
              <w:left w:val="nil"/>
              <w:bottom w:val="single" w:sz="8" w:space="0" w:color="DCDDDE"/>
              <w:right w:val="nil"/>
            </w:tcBorders>
            <w:shd w:val="clear" w:color="000000" w:fill="FFFFFF"/>
            <w:noWrap/>
            <w:vAlign w:val="center"/>
            <w:hideMark/>
          </w:tcPr>
          <w:p w14:paraId="41AABD5D"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5.5</w:t>
            </w:r>
          </w:p>
        </w:tc>
        <w:tc>
          <w:tcPr>
            <w:tcW w:w="545" w:type="dxa"/>
            <w:tcBorders>
              <w:top w:val="nil"/>
              <w:left w:val="nil"/>
              <w:bottom w:val="single" w:sz="8" w:space="0" w:color="DCDDDE"/>
              <w:right w:val="nil"/>
            </w:tcBorders>
            <w:shd w:val="clear" w:color="000000" w:fill="FFFFFF"/>
            <w:noWrap/>
            <w:vAlign w:val="center"/>
            <w:hideMark/>
          </w:tcPr>
          <w:p w14:paraId="4E2F7DDD"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5.6</w:t>
            </w:r>
          </w:p>
        </w:tc>
        <w:tc>
          <w:tcPr>
            <w:tcW w:w="545" w:type="dxa"/>
            <w:tcBorders>
              <w:top w:val="nil"/>
              <w:left w:val="nil"/>
              <w:bottom w:val="single" w:sz="8" w:space="0" w:color="DCDDDE"/>
              <w:right w:val="nil"/>
            </w:tcBorders>
            <w:shd w:val="clear" w:color="000000" w:fill="FFFFFF"/>
            <w:noWrap/>
            <w:vAlign w:val="center"/>
            <w:hideMark/>
          </w:tcPr>
          <w:p w14:paraId="0EFC6267"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5.7</w:t>
            </w:r>
          </w:p>
        </w:tc>
      </w:tr>
      <w:tr w:rsidR="002A760B" w:rsidRPr="002A760B" w14:paraId="126D74AD" w14:textId="77777777" w:rsidTr="002A760B">
        <w:trPr>
          <w:trHeight w:val="315"/>
          <w:jc w:val="center"/>
        </w:trPr>
        <w:tc>
          <w:tcPr>
            <w:tcW w:w="8262" w:type="dxa"/>
            <w:gridSpan w:val="14"/>
            <w:tcBorders>
              <w:top w:val="single" w:sz="8" w:space="0" w:color="DCDDDE"/>
              <w:left w:val="nil"/>
              <w:bottom w:val="single" w:sz="8" w:space="0" w:color="DCDDDE"/>
              <w:right w:val="nil"/>
            </w:tcBorders>
            <w:shd w:val="clear" w:color="000000" w:fill="DADADA"/>
            <w:noWrap/>
            <w:vAlign w:val="center"/>
            <w:hideMark/>
          </w:tcPr>
          <w:p w14:paraId="573E7724" w14:textId="77777777" w:rsidR="002A760B" w:rsidRPr="002A760B" w:rsidRDefault="002A760B" w:rsidP="002A760B">
            <w:pPr>
              <w:spacing w:line="240" w:lineRule="auto"/>
              <w:jc w:val="center"/>
              <w:rPr>
                <w:rFonts w:ascii="Arial Narrow" w:hAnsi="Arial Narrow"/>
                <w:b/>
                <w:bCs/>
                <w:sz w:val="18"/>
                <w:szCs w:val="18"/>
              </w:rPr>
            </w:pPr>
            <w:r w:rsidRPr="002A760B">
              <w:rPr>
                <w:rFonts w:ascii="Arial Narrow" w:hAnsi="Arial Narrow"/>
                <w:b/>
                <w:bCs/>
                <w:sz w:val="18"/>
                <w:szCs w:val="18"/>
              </w:rPr>
              <w:t>PAC | Aggressive</w:t>
            </w:r>
          </w:p>
        </w:tc>
      </w:tr>
      <w:tr w:rsidR="002A760B" w:rsidRPr="002A760B" w14:paraId="5BD59ACC" w14:textId="77777777" w:rsidTr="002A760B">
        <w:trPr>
          <w:trHeight w:val="555"/>
          <w:jc w:val="center"/>
        </w:trPr>
        <w:tc>
          <w:tcPr>
            <w:tcW w:w="1177" w:type="dxa"/>
            <w:tcBorders>
              <w:top w:val="nil"/>
              <w:left w:val="nil"/>
              <w:bottom w:val="single" w:sz="8" w:space="0" w:color="DCDDDE"/>
              <w:right w:val="nil"/>
            </w:tcBorders>
            <w:shd w:val="clear" w:color="000000" w:fill="FFFFFF"/>
            <w:vAlign w:val="center"/>
            <w:hideMark/>
          </w:tcPr>
          <w:p w14:paraId="0C21C719"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Equipment Rebates</w:t>
            </w:r>
          </w:p>
        </w:tc>
        <w:tc>
          <w:tcPr>
            <w:tcW w:w="545" w:type="dxa"/>
            <w:tcBorders>
              <w:top w:val="nil"/>
              <w:left w:val="nil"/>
              <w:bottom w:val="single" w:sz="8" w:space="0" w:color="DCDDDE"/>
              <w:right w:val="nil"/>
            </w:tcBorders>
            <w:shd w:val="clear" w:color="000000" w:fill="FFFFFF"/>
            <w:noWrap/>
            <w:vAlign w:val="center"/>
            <w:hideMark/>
          </w:tcPr>
          <w:p w14:paraId="06DFD10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536346F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22A780B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0F021C1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1.8</w:t>
            </w:r>
          </w:p>
        </w:tc>
        <w:tc>
          <w:tcPr>
            <w:tcW w:w="545" w:type="dxa"/>
            <w:tcBorders>
              <w:top w:val="nil"/>
              <w:left w:val="nil"/>
              <w:bottom w:val="single" w:sz="8" w:space="0" w:color="DCDDDE"/>
              <w:right w:val="nil"/>
            </w:tcBorders>
            <w:shd w:val="clear" w:color="000000" w:fill="FFFFFF"/>
            <w:noWrap/>
            <w:vAlign w:val="center"/>
            <w:hideMark/>
          </w:tcPr>
          <w:p w14:paraId="5EFD556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37C16A1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120EE35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60357B2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7EC206C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748B771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25652D3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35853C5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2.1</w:t>
            </w:r>
          </w:p>
        </w:tc>
        <w:tc>
          <w:tcPr>
            <w:tcW w:w="545" w:type="dxa"/>
            <w:tcBorders>
              <w:top w:val="nil"/>
              <w:left w:val="nil"/>
              <w:bottom w:val="single" w:sz="8" w:space="0" w:color="DCDDDE"/>
              <w:right w:val="nil"/>
            </w:tcBorders>
            <w:shd w:val="clear" w:color="000000" w:fill="FFFFFF"/>
            <w:noWrap/>
            <w:vAlign w:val="center"/>
            <w:hideMark/>
          </w:tcPr>
          <w:p w14:paraId="53681AB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2.1</w:t>
            </w:r>
          </w:p>
        </w:tc>
      </w:tr>
      <w:tr w:rsidR="002A760B" w:rsidRPr="002A760B" w14:paraId="35C262B1"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2CA0666B"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BROs</w:t>
            </w:r>
          </w:p>
        </w:tc>
        <w:tc>
          <w:tcPr>
            <w:tcW w:w="545" w:type="dxa"/>
            <w:tcBorders>
              <w:top w:val="nil"/>
              <w:left w:val="nil"/>
              <w:bottom w:val="single" w:sz="8" w:space="0" w:color="DCDDDE"/>
              <w:right w:val="nil"/>
            </w:tcBorders>
            <w:shd w:val="clear" w:color="000000" w:fill="FFFFFF"/>
            <w:noWrap/>
            <w:vAlign w:val="center"/>
            <w:hideMark/>
          </w:tcPr>
          <w:p w14:paraId="2085D65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0.7</w:t>
            </w:r>
          </w:p>
        </w:tc>
        <w:tc>
          <w:tcPr>
            <w:tcW w:w="545" w:type="dxa"/>
            <w:tcBorders>
              <w:top w:val="nil"/>
              <w:left w:val="nil"/>
              <w:bottom w:val="single" w:sz="8" w:space="0" w:color="DCDDDE"/>
              <w:right w:val="nil"/>
            </w:tcBorders>
            <w:shd w:val="clear" w:color="000000" w:fill="FFFFFF"/>
            <w:noWrap/>
            <w:vAlign w:val="center"/>
            <w:hideMark/>
          </w:tcPr>
          <w:p w14:paraId="497C755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1.0</w:t>
            </w:r>
          </w:p>
        </w:tc>
        <w:tc>
          <w:tcPr>
            <w:tcW w:w="545" w:type="dxa"/>
            <w:tcBorders>
              <w:top w:val="nil"/>
              <w:left w:val="nil"/>
              <w:bottom w:val="single" w:sz="8" w:space="0" w:color="DCDDDE"/>
              <w:right w:val="nil"/>
            </w:tcBorders>
            <w:shd w:val="clear" w:color="000000" w:fill="FFFFFF"/>
            <w:noWrap/>
            <w:vAlign w:val="center"/>
            <w:hideMark/>
          </w:tcPr>
          <w:p w14:paraId="46AD5042"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1.2</w:t>
            </w:r>
          </w:p>
        </w:tc>
        <w:tc>
          <w:tcPr>
            <w:tcW w:w="545" w:type="dxa"/>
            <w:tcBorders>
              <w:top w:val="nil"/>
              <w:left w:val="nil"/>
              <w:bottom w:val="single" w:sz="8" w:space="0" w:color="DCDDDE"/>
              <w:right w:val="nil"/>
            </w:tcBorders>
            <w:shd w:val="clear" w:color="000000" w:fill="FFFFFF"/>
            <w:noWrap/>
            <w:vAlign w:val="center"/>
            <w:hideMark/>
          </w:tcPr>
          <w:p w14:paraId="01ECD7C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761EEB6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1B39766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1.9</w:t>
            </w:r>
          </w:p>
        </w:tc>
        <w:tc>
          <w:tcPr>
            <w:tcW w:w="545" w:type="dxa"/>
            <w:tcBorders>
              <w:top w:val="nil"/>
              <w:left w:val="nil"/>
              <w:bottom w:val="single" w:sz="8" w:space="0" w:color="DCDDDE"/>
              <w:right w:val="nil"/>
            </w:tcBorders>
            <w:shd w:val="clear" w:color="000000" w:fill="FFFFFF"/>
            <w:noWrap/>
            <w:vAlign w:val="center"/>
            <w:hideMark/>
          </w:tcPr>
          <w:p w14:paraId="06814AB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291CA99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2.5</w:t>
            </w:r>
          </w:p>
        </w:tc>
        <w:tc>
          <w:tcPr>
            <w:tcW w:w="545" w:type="dxa"/>
            <w:tcBorders>
              <w:top w:val="nil"/>
              <w:left w:val="nil"/>
              <w:bottom w:val="single" w:sz="8" w:space="0" w:color="DCDDDE"/>
              <w:right w:val="nil"/>
            </w:tcBorders>
            <w:shd w:val="clear" w:color="000000" w:fill="FFFFFF"/>
            <w:noWrap/>
            <w:vAlign w:val="center"/>
            <w:hideMark/>
          </w:tcPr>
          <w:p w14:paraId="4BA2246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265A44A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3.1</w:t>
            </w:r>
          </w:p>
        </w:tc>
        <w:tc>
          <w:tcPr>
            <w:tcW w:w="545" w:type="dxa"/>
            <w:tcBorders>
              <w:top w:val="nil"/>
              <w:left w:val="nil"/>
              <w:bottom w:val="single" w:sz="8" w:space="0" w:color="DCDDDE"/>
              <w:right w:val="nil"/>
            </w:tcBorders>
            <w:shd w:val="clear" w:color="000000" w:fill="FFFFFF"/>
            <w:noWrap/>
            <w:vAlign w:val="center"/>
            <w:hideMark/>
          </w:tcPr>
          <w:p w14:paraId="700882F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3.4</w:t>
            </w:r>
          </w:p>
        </w:tc>
        <w:tc>
          <w:tcPr>
            <w:tcW w:w="545" w:type="dxa"/>
            <w:tcBorders>
              <w:top w:val="nil"/>
              <w:left w:val="nil"/>
              <w:bottom w:val="single" w:sz="8" w:space="0" w:color="DCDDDE"/>
              <w:right w:val="nil"/>
            </w:tcBorders>
            <w:shd w:val="clear" w:color="000000" w:fill="FFFFFF"/>
            <w:noWrap/>
            <w:vAlign w:val="center"/>
            <w:hideMark/>
          </w:tcPr>
          <w:p w14:paraId="11956F2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3.7</w:t>
            </w:r>
          </w:p>
        </w:tc>
        <w:tc>
          <w:tcPr>
            <w:tcW w:w="545" w:type="dxa"/>
            <w:tcBorders>
              <w:top w:val="nil"/>
              <w:left w:val="nil"/>
              <w:bottom w:val="single" w:sz="8" w:space="0" w:color="DCDDDE"/>
              <w:right w:val="nil"/>
            </w:tcBorders>
            <w:shd w:val="clear" w:color="000000" w:fill="FFFFFF"/>
            <w:noWrap/>
            <w:vAlign w:val="center"/>
            <w:hideMark/>
          </w:tcPr>
          <w:p w14:paraId="2CD6568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3.9</w:t>
            </w:r>
          </w:p>
        </w:tc>
      </w:tr>
      <w:tr w:rsidR="002A760B" w:rsidRPr="002A760B" w14:paraId="5F106F36"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7D50FE7B"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Low Income</w:t>
            </w:r>
          </w:p>
        </w:tc>
        <w:tc>
          <w:tcPr>
            <w:tcW w:w="545" w:type="dxa"/>
            <w:tcBorders>
              <w:top w:val="nil"/>
              <w:left w:val="nil"/>
              <w:bottom w:val="single" w:sz="8" w:space="0" w:color="DCDDDE"/>
              <w:right w:val="nil"/>
            </w:tcBorders>
            <w:shd w:val="clear" w:color="000000" w:fill="FFFFFF"/>
            <w:noWrap/>
            <w:vAlign w:val="center"/>
            <w:hideMark/>
          </w:tcPr>
          <w:p w14:paraId="273FC14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53E584C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27246A1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3B05CD7E"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68A920E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3B603EB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7652FBE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6896855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71862BE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434F19D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4C9EBCD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00BF9AB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c>
          <w:tcPr>
            <w:tcW w:w="545" w:type="dxa"/>
            <w:tcBorders>
              <w:top w:val="nil"/>
              <w:left w:val="nil"/>
              <w:bottom w:val="single" w:sz="8" w:space="0" w:color="DCDDDE"/>
              <w:right w:val="nil"/>
            </w:tcBorders>
            <w:shd w:val="clear" w:color="000000" w:fill="FFFFFF"/>
            <w:noWrap/>
            <w:vAlign w:val="center"/>
            <w:hideMark/>
          </w:tcPr>
          <w:p w14:paraId="519F15B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0.3</w:t>
            </w:r>
          </w:p>
        </w:tc>
      </w:tr>
      <w:tr w:rsidR="002A760B" w:rsidRPr="002A760B" w14:paraId="03E5EAA9" w14:textId="77777777" w:rsidTr="002A760B">
        <w:trPr>
          <w:trHeight w:val="825"/>
          <w:jc w:val="center"/>
        </w:trPr>
        <w:tc>
          <w:tcPr>
            <w:tcW w:w="1177" w:type="dxa"/>
            <w:tcBorders>
              <w:top w:val="nil"/>
              <w:left w:val="nil"/>
              <w:bottom w:val="single" w:sz="8" w:space="0" w:color="DCDDDE"/>
              <w:right w:val="nil"/>
            </w:tcBorders>
            <w:shd w:val="clear" w:color="000000" w:fill="FFFFFF"/>
            <w:vAlign w:val="center"/>
            <w:hideMark/>
          </w:tcPr>
          <w:p w14:paraId="1487413D"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Incentive Programs (Subtotal)</w:t>
            </w:r>
          </w:p>
        </w:tc>
        <w:tc>
          <w:tcPr>
            <w:tcW w:w="545" w:type="dxa"/>
            <w:tcBorders>
              <w:top w:val="nil"/>
              <w:left w:val="nil"/>
              <w:bottom w:val="single" w:sz="8" w:space="0" w:color="DCDDDE"/>
              <w:right w:val="nil"/>
            </w:tcBorders>
            <w:shd w:val="clear" w:color="000000" w:fill="FFFFFF"/>
            <w:noWrap/>
            <w:vAlign w:val="center"/>
            <w:hideMark/>
          </w:tcPr>
          <w:p w14:paraId="23DE73B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280AE47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2.8</w:t>
            </w:r>
          </w:p>
        </w:tc>
        <w:tc>
          <w:tcPr>
            <w:tcW w:w="545" w:type="dxa"/>
            <w:tcBorders>
              <w:top w:val="nil"/>
              <w:left w:val="nil"/>
              <w:bottom w:val="single" w:sz="8" w:space="0" w:color="DCDDDE"/>
              <w:right w:val="nil"/>
            </w:tcBorders>
            <w:shd w:val="clear" w:color="000000" w:fill="FFFFFF"/>
            <w:noWrap/>
            <w:vAlign w:val="center"/>
            <w:hideMark/>
          </w:tcPr>
          <w:p w14:paraId="44EA812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3.2</w:t>
            </w:r>
          </w:p>
        </w:tc>
        <w:tc>
          <w:tcPr>
            <w:tcW w:w="545" w:type="dxa"/>
            <w:tcBorders>
              <w:top w:val="nil"/>
              <w:left w:val="nil"/>
              <w:bottom w:val="single" w:sz="8" w:space="0" w:color="DCDDDE"/>
              <w:right w:val="nil"/>
            </w:tcBorders>
            <w:shd w:val="clear" w:color="000000" w:fill="FFFFFF"/>
            <w:noWrap/>
            <w:vAlign w:val="center"/>
            <w:hideMark/>
          </w:tcPr>
          <w:p w14:paraId="736A185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3.5</w:t>
            </w:r>
          </w:p>
        </w:tc>
        <w:tc>
          <w:tcPr>
            <w:tcW w:w="545" w:type="dxa"/>
            <w:tcBorders>
              <w:top w:val="nil"/>
              <w:left w:val="nil"/>
              <w:bottom w:val="single" w:sz="8" w:space="0" w:color="DCDDDE"/>
              <w:right w:val="nil"/>
            </w:tcBorders>
            <w:shd w:val="clear" w:color="000000" w:fill="FFFFFF"/>
            <w:noWrap/>
            <w:vAlign w:val="center"/>
            <w:hideMark/>
          </w:tcPr>
          <w:p w14:paraId="48350458"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3.9</w:t>
            </w:r>
          </w:p>
        </w:tc>
        <w:tc>
          <w:tcPr>
            <w:tcW w:w="545" w:type="dxa"/>
            <w:tcBorders>
              <w:top w:val="nil"/>
              <w:left w:val="nil"/>
              <w:bottom w:val="single" w:sz="8" w:space="0" w:color="DCDDDE"/>
              <w:right w:val="nil"/>
            </w:tcBorders>
            <w:shd w:val="clear" w:color="000000" w:fill="FFFFFF"/>
            <w:noWrap/>
            <w:vAlign w:val="center"/>
            <w:hideMark/>
          </w:tcPr>
          <w:p w14:paraId="34F4811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4.1</w:t>
            </w:r>
          </w:p>
        </w:tc>
        <w:tc>
          <w:tcPr>
            <w:tcW w:w="545" w:type="dxa"/>
            <w:tcBorders>
              <w:top w:val="nil"/>
              <w:left w:val="nil"/>
              <w:bottom w:val="single" w:sz="8" w:space="0" w:color="DCDDDE"/>
              <w:right w:val="nil"/>
            </w:tcBorders>
            <w:shd w:val="clear" w:color="000000" w:fill="FFFFFF"/>
            <w:noWrap/>
            <w:vAlign w:val="center"/>
            <w:hideMark/>
          </w:tcPr>
          <w:p w14:paraId="2309BA2F"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4.6</w:t>
            </w:r>
          </w:p>
        </w:tc>
        <w:tc>
          <w:tcPr>
            <w:tcW w:w="545" w:type="dxa"/>
            <w:tcBorders>
              <w:top w:val="nil"/>
              <w:left w:val="nil"/>
              <w:bottom w:val="single" w:sz="8" w:space="0" w:color="DCDDDE"/>
              <w:right w:val="nil"/>
            </w:tcBorders>
            <w:shd w:val="clear" w:color="000000" w:fill="FFFFFF"/>
            <w:noWrap/>
            <w:vAlign w:val="center"/>
            <w:hideMark/>
          </w:tcPr>
          <w:p w14:paraId="47385A9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5.0</w:t>
            </w:r>
          </w:p>
        </w:tc>
        <w:tc>
          <w:tcPr>
            <w:tcW w:w="545" w:type="dxa"/>
            <w:tcBorders>
              <w:top w:val="nil"/>
              <w:left w:val="nil"/>
              <w:bottom w:val="single" w:sz="8" w:space="0" w:color="DCDDDE"/>
              <w:right w:val="nil"/>
            </w:tcBorders>
            <w:shd w:val="clear" w:color="000000" w:fill="FFFFFF"/>
            <w:noWrap/>
            <w:vAlign w:val="center"/>
            <w:hideMark/>
          </w:tcPr>
          <w:p w14:paraId="57F8319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5.2</w:t>
            </w:r>
          </w:p>
        </w:tc>
        <w:tc>
          <w:tcPr>
            <w:tcW w:w="545" w:type="dxa"/>
            <w:tcBorders>
              <w:top w:val="nil"/>
              <w:left w:val="nil"/>
              <w:bottom w:val="single" w:sz="8" w:space="0" w:color="DCDDDE"/>
              <w:right w:val="nil"/>
            </w:tcBorders>
            <w:shd w:val="clear" w:color="000000" w:fill="FFFFFF"/>
            <w:noWrap/>
            <w:vAlign w:val="center"/>
            <w:hideMark/>
          </w:tcPr>
          <w:p w14:paraId="679251E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5.5</w:t>
            </w:r>
          </w:p>
        </w:tc>
        <w:tc>
          <w:tcPr>
            <w:tcW w:w="545" w:type="dxa"/>
            <w:tcBorders>
              <w:top w:val="nil"/>
              <w:left w:val="nil"/>
              <w:bottom w:val="single" w:sz="8" w:space="0" w:color="DCDDDE"/>
              <w:right w:val="nil"/>
            </w:tcBorders>
            <w:shd w:val="clear" w:color="000000" w:fill="FFFFFF"/>
            <w:noWrap/>
            <w:vAlign w:val="center"/>
            <w:hideMark/>
          </w:tcPr>
          <w:p w14:paraId="735DF186"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5.9</w:t>
            </w:r>
          </w:p>
        </w:tc>
        <w:tc>
          <w:tcPr>
            <w:tcW w:w="545" w:type="dxa"/>
            <w:tcBorders>
              <w:top w:val="nil"/>
              <w:left w:val="nil"/>
              <w:bottom w:val="single" w:sz="8" w:space="0" w:color="DCDDDE"/>
              <w:right w:val="nil"/>
            </w:tcBorders>
            <w:shd w:val="clear" w:color="000000" w:fill="FFFFFF"/>
            <w:noWrap/>
            <w:vAlign w:val="center"/>
            <w:hideMark/>
          </w:tcPr>
          <w:p w14:paraId="76078841"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6.1</w:t>
            </w:r>
          </w:p>
        </w:tc>
        <w:tc>
          <w:tcPr>
            <w:tcW w:w="545" w:type="dxa"/>
            <w:tcBorders>
              <w:top w:val="nil"/>
              <w:left w:val="nil"/>
              <w:bottom w:val="single" w:sz="8" w:space="0" w:color="DCDDDE"/>
              <w:right w:val="nil"/>
            </w:tcBorders>
            <w:shd w:val="clear" w:color="000000" w:fill="FFFFFF"/>
            <w:noWrap/>
            <w:vAlign w:val="center"/>
            <w:hideMark/>
          </w:tcPr>
          <w:p w14:paraId="1A03191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6.3</w:t>
            </w:r>
          </w:p>
        </w:tc>
      </w:tr>
      <w:tr w:rsidR="002A760B" w:rsidRPr="002A760B" w14:paraId="6FFAC459"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2668196E"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C&amp;S*</w:t>
            </w:r>
          </w:p>
        </w:tc>
        <w:tc>
          <w:tcPr>
            <w:tcW w:w="545" w:type="dxa"/>
            <w:tcBorders>
              <w:top w:val="nil"/>
              <w:left w:val="nil"/>
              <w:bottom w:val="single" w:sz="8" w:space="0" w:color="DCDDDE"/>
              <w:right w:val="nil"/>
            </w:tcBorders>
            <w:shd w:val="clear" w:color="000000" w:fill="FFFFFF"/>
            <w:noWrap/>
            <w:vAlign w:val="center"/>
            <w:hideMark/>
          </w:tcPr>
          <w:p w14:paraId="02A4681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783A90CC"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1.6</w:t>
            </w:r>
          </w:p>
        </w:tc>
        <w:tc>
          <w:tcPr>
            <w:tcW w:w="545" w:type="dxa"/>
            <w:tcBorders>
              <w:top w:val="nil"/>
              <w:left w:val="nil"/>
              <w:bottom w:val="single" w:sz="8" w:space="0" w:color="DCDDDE"/>
              <w:right w:val="nil"/>
            </w:tcBorders>
            <w:shd w:val="clear" w:color="000000" w:fill="FFFFFF"/>
            <w:noWrap/>
            <w:vAlign w:val="center"/>
            <w:hideMark/>
          </w:tcPr>
          <w:p w14:paraId="79D1DCC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2.0</w:t>
            </w:r>
          </w:p>
        </w:tc>
        <w:tc>
          <w:tcPr>
            <w:tcW w:w="545" w:type="dxa"/>
            <w:tcBorders>
              <w:top w:val="nil"/>
              <w:left w:val="nil"/>
              <w:bottom w:val="single" w:sz="8" w:space="0" w:color="DCDDDE"/>
              <w:right w:val="nil"/>
            </w:tcBorders>
            <w:shd w:val="clear" w:color="000000" w:fill="FFFFFF"/>
            <w:noWrap/>
            <w:vAlign w:val="center"/>
            <w:hideMark/>
          </w:tcPr>
          <w:p w14:paraId="030F4950"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7C7C2A25"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4269D477"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2.3</w:t>
            </w:r>
          </w:p>
        </w:tc>
        <w:tc>
          <w:tcPr>
            <w:tcW w:w="545" w:type="dxa"/>
            <w:tcBorders>
              <w:top w:val="nil"/>
              <w:left w:val="nil"/>
              <w:bottom w:val="single" w:sz="8" w:space="0" w:color="DCDDDE"/>
              <w:right w:val="nil"/>
            </w:tcBorders>
            <w:shd w:val="clear" w:color="000000" w:fill="FFFFFF"/>
            <w:noWrap/>
            <w:vAlign w:val="center"/>
            <w:hideMark/>
          </w:tcPr>
          <w:p w14:paraId="7108AFEB"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7551D0A4"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2.2</w:t>
            </w:r>
          </w:p>
        </w:tc>
        <w:tc>
          <w:tcPr>
            <w:tcW w:w="545" w:type="dxa"/>
            <w:tcBorders>
              <w:top w:val="nil"/>
              <w:left w:val="nil"/>
              <w:bottom w:val="single" w:sz="8" w:space="0" w:color="DCDDDE"/>
              <w:right w:val="nil"/>
            </w:tcBorders>
            <w:shd w:val="clear" w:color="000000" w:fill="FFFFFF"/>
            <w:noWrap/>
            <w:vAlign w:val="center"/>
            <w:hideMark/>
          </w:tcPr>
          <w:p w14:paraId="5EBE1099"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1.7</w:t>
            </w:r>
          </w:p>
        </w:tc>
        <w:tc>
          <w:tcPr>
            <w:tcW w:w="545" w:type="dxa"/>
            <w:tcBorders>
              <w:top w:val="nil"/>
              <w:left w:val="nil"/>
              <w:bottom w:val="single" w:sz="8" w:space="0" w:color="DCDDDE"/>
              <w:right w:val="nil"/>
            </w:tcBorders>
            <w:shd w:val="clear" w:color="000000" w:fill="FFFFFF"/>
            <w:noWrap/>
            <w:vAlign w:val="center"/>
            <w:hideMark/>
          </w:tcPr>
          <w:p w14:paraId="3C8FA28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6D5A48C3"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c>
          <w:tcPr>
            <w:tcW w:w="545" w:type="dxa"/>
            <w:tcBorders>
              <w:top w:val="nil"/>
              <w:left w:val="nil"/>
              <w:bottom w:val="single" w:sz="8" w:space="0" w:color="DCDDDE"/>
              <w:right w:val="nil"/>
            </w:tcBorders>
            <w:shd w:val="clear" w:color="000000" w:fill="FFFFFF"/>
            <w:noWrap/>
            <w:vAlign w:val="center"/>
            <w:hideMark/>
          </w:tcPr>
          <w:p w14:paraId="3BA6647D"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1.4</w:t>
            </w:r>
          </w:p>
        </w:tc>
        <w:tc>
          <w:tcPr>
            <w:tcW w:w="545" w:type="dxa"/>
            <w:tcBorders>
              <w:top w:val="nil"/>
              <w:left w:val="nil"/>
              <w:bottom w:val="single" w:sz="8" w:space="0" w:color="DCDDDE"/>
              <w:right w:val="nil"/>
            </w:tcBorders>
            <w:shd w:val="clear" w:color="000000" w:fill="FFFFFF"/>
            <w:noWrap/>
            <w:vAlign w:val="center"/>
            <w:hideMark/>
          </w:tcPr>
          <w:p w14:paraId="7969EECA" w14:textId="77777777" w:rsidR="002A760B" w:rsidRPr="002A760B" w:rsidRDefault="002A760B" w:rsidP="002A760B">
            <w:pPr>
              <w:spacing w:line="240" w:lineRule="auto"/>
              <w:jc w:val="right"/>
              <w:rPr>
                <w:rFonts w:ascii="Arial Narrow" w:hAnsi="Arial Narrow"/>
                <w:sz w:val="18"/>
                <w:szCs w:val="18"/>
              </w:rPr>
            </w:pPr>
            <w:r w:rsidRPr="002A760B">
              <w:rPr>
                <w:rFonts w:ascii="Arial Narrow" w:hAnsi="Arial Narrow"/>
                <w:sz w:val="18"/>
                <w:szCs w:val="18"/>
              </w:rPr>
              <w:t>1.5</w:t>
            </w:r>
          </w:p>
        </w:tc>
      </w:tr>
      <w:tr w:rsidR="002A760B" w:rsidRPr="002A760B" w14:paraId="209C3F7D" w14:textId="77777777" w:rsidTr="002A760B">
        <w:trPr>
          <w:trHeight w:val="315"/>
          <w:jc w:val="center"/>
        </w:trPr>
        <w:tc>
          <w:tcPr>
            <w:tcW w:w="1177" w:type="dxa"/>
            <w:tcBorders>
              <w:top w:val="nil"/>
              <w:left w:val="nil"/>
              <w:bottom w:val="single" w:sz="8" w:space="0" w:color="DCDDDE"/>
              <w:right w:val="nil"/>
            </w:tcBorders>
            <w:shd w:val="clear" w:color="000000" w:fill="FFFFFF"/>
            <w:vAlign w:val="center"/>
            <w:hideMark/>
          </w:tcPr>
          <w:p w14:paraId="024B8C09" w14:textId="77777777" w:rsidR="002A760B" w:rsidRPr="002A760B" w:rsidRDefault="002A760B" w:rsidP="00A43B89">
            <w:pPr>
              <w:spacing w:line="240" w:lineRule="auto"/>
              <w:rPr>
                <w:rFonts w:ascii="Arial Narrow" w:hAnsi="Arial Narrow"/>
                <w:b/>
                <w:bCs/>
                <w:sz w:val="18"/>
                <w:szCs w:val="18"/>
              </w:rPr>
            </w:pPr>
            <w:r w:rsidRPr="002A760B">
              <w:rPr>
                <w:rFonts w:ascii="Arial Narrow" w:hAnsi="Arial Narrow"/>
                <w:b/>
                <w:bCs/>
                <w:sz w:val="18"/>
                <w:szCs w:val="18"/>
              </w:rPr>
              <w:t>Total</w:t>
            </w:r>
          </w:p>
        </w:tc>
        <w:tc>
          <w:tcPr>
            <w:tcW w:w="545" w:type="dxa"/>
            <w:tcBorders>
              <w:top w:val="nil"/>
              <w:left w:val="nil"/>
              <w:bottom w:val="single" w:sz="8" w:space="0" w:color="DCDDDE"/>
              <w:right w:val="nil"/>
            </w:tcBorders>
            <w:shd w:val="clear" w:color="000000" w:fill="FFFFFF"/>
            <w:noWrap/>
            <w:vAlign w:val="center"/>
            <w:hideMark/>
          </w:tcPr>
          <w:p w14:paraId="2747F8EE"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3.8</w:t>
            </w:r>
          </w:p>
        </w:tc>
        <w:tc>
          <w:tcPr>
            <w:tcW w:w="545" w:type="dxa"/>
            <w:tcBorders>
              <w:top w:val="nil"/>
              <w:left w:val="nil"/>
              <w:bottom w:val="single" w:sz="8" w:space="0" w:color="DCDDDE"/>
              <w:right w:val="nil"/>
            </w:tcBorders>
            <w:shd w:val="clear" w:color="000000" w:fill="FFFFFF"/>
            <w:noWrap/>
            <w:vAlign w:val="center"/>
            <w:hideMark/>
          </w:tcPr>
          <w:p w14:paraId="0F259D21"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4.4</w:t>
            </w:r>
          </w:p>
        </w:tc>
        <w:tc>
          <w:tcPr>
            <w:tcW w:w="545" w:type="dxa"/>
            <w:tcBorders>
              <w:top w:val="nil"/>
              <w:left w:val="nil"/>
              <w:bottom w:val="single" w:sz="8" w:space="0" w:color="DCDDDE"/>
              <w:right w:val="nil"/>
            </w:tcBorders>
            <w:shd w:val="clear" w:color="000000" w:fill="FFFFFF"/>
            <w:noWrap/>
            <w:vAlign w:val="center"/>
            <w:hideMark/>
          </w:tcPr>
          <w:p w14:paraId="3109BD3A"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5.1</w:t>
            </w:r>
          </w:p>
        </w:tc>
        <w:tc>
          <w:tcPr>
            <w:tcW w:w="545" w:type="dxa"/>
            <w:tcBorders>
              <w:top w:val="nil"/>
              <w:left w:val="nil"/>
              <w:bottom w:val="single" w:sz="8" w:space="0" w:color="DCDDDE"/>
              <w:right w:val="nil"/>
            </w:tcBorders>
            <w:shd w:val="clear" w:color="000000" w:fill="FFFFFF"/>
            <w:noWrap/>
            <w:vAlign w:val="center"/>
            <w:hideMark/>
          </w:tcPr>
          <w:p w14:paraId="5DAD236C"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5.8</w:t>
            </w:r>
          </w:p>
        </w:tc>
        <w:tc>
          <w:tcPr>
            <w:tcW w:w="545" w:type="dxa"/>
            <w:tcBorders>
              <w:top w:val="nil"/>
              <w:left w:val="nil"/>
              <w:bottom w:val="single" w:sz="8" w:space="0" w:color="DCDDDE"/>
              <w:right w:val="nil"/>
            </w:tcBorders>
            <w:shd w:val="clear" w:color="000000" w:fill="FFFFFF"/>
            <w:noWrap/>
            <w:vAlign w:val="center"/>
            <w:hideMark/>
          </w:tcPr>
          <w:p w14:paraId="5634DFC4"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6.1</w:t>
            </w:r>
          </w:p>
        </w:tc>
        <w:tc>
          <w:tcPr>
            <w:tcW w:w="545" w:type="dxa"/>
            <w:tcBorders>
              <w:top w:val="nil"/>
              <w:left w:val="nil"/>
              <w:bottom w:val="single" w:sz="8" w:space="0" w:color="DCDDDE"/>
              <w:right w:val="nil"/>
            </w:tcBorders>
            <w:shd w:val="clear" w:color="000000" w:fill="FFFFFF"/>
            <w:noWrap/>
            <w:vAlign w:val="center"/>
            <w:hideMark/>
          </w:tcPr>
          <w:p w14:paraId="457953DF"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6.4</w:t>
            </w:r>
          </w:p>
        </w:tc>
        <w:tc>
          <w:tcPr>
            <w:tcW w:w="545" w:type="dxa"/>
            <w:tcBorders>
              <w:top w:val="nil"/>
              <w:left w:val="nil"/>
              <w:bottom w:val="single" w:sz="8" w:space="0" w:color="DCDDDE"/>
              <w:right w:val="nil"/>
            </w:tcBorders>
            <w:shd w:val="clear" w:color="000000" w:fill="FFFFFF"/>
            <w:noWrap/>
            <w:vAlign w:val="center"/>
            <w:hideMark/>
          </w:tcPr>
          <w:p w14:paraId="5A935A8A"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6.8</w:t>
            </w:r>
          </w:p>
        </w:tc>
        <w:tc>
          <w:tcPr>
            <w:tcW w:w="545" w:type="dxa"/>
            <w:tcBorders>
              <w:top w:val="nil"/>
              <w:left w:val="nil"/>
              <w:bottom w:val="single" w:sz="8" w:space="0" w:color="DCDDDE"/>
              <w:right w:val="nil"/>
            </w:tcBorders>
            <w:shd w:val="clear" w:color="000000" w:fill="FFFFFF"/>
            <w:noWrap/>
            <w:vAlign w:val="center"/>
            <w:hideMark/>
          </w:tcPr>
          <w:p w14:paraId="620559BD"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7.2</w:t>
            </w:r>
          </w:p>
        </w:tc>
        <w:tc>
          <w:tcPr>
            <w:tcW w:w="545" w:type="dxa"/>
            <w:tcBorders>
              <w:top w:val="nil"/>
              <w:left w:val="nil"/>
              <w:bottom w:val="single" w:sz="8" w:space="0" w:color="DCDDDE"/>
              <w:right w:val="nil"/>
            </w:tcBorders>
            <w:shd w:val="clear" w:color="000000" w:fill="FFFFFF"/>
            <w:noWrap/>
            <w:vAlign w:val="center"/>
            <w:hideMark/>
          </w:tcPr>
          <w:p w14:paraId="0250A04C"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6.9</w:t>
            </w:r>
          </w:p>
        </w:tc>
        <w:tc>
          <w:tcPr>
            <w:tcW w:w="545" w:type="dxa"/>
            <w:tcBorders>
              <w:top w:val="nil"/>
              <w:left w:val="nil"/>
              <w:bottom w:val="single" w:sz="8" w:space="0" w:color="DCDDDE"/>
              <w:right w:val="nil"/>
            </w:tcBorders>
            <w:shd w:val="clear" w:color="000000" w:fill="FFFFFF"/>
            <w:noWrap/>
            <w:vAlign w:val="center"/>
            <w:hideMark/>
          </w:tcPr>
          <w:p w14:paraId="6A224804"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7.0</w:t>
            </w:r>
          </w:p>
        </w:tc>
        <w:tc>
          <w:tcPr>
            <w:tcW w:w="545" w:type="dxa"/>
            <w:tcBorders>
              <w:top w:val="nil"/>
              <w:left w:val="nil"/>
              <w:bottom w:val="single" w:sz="8" w:space="0" w:color="DCDDDE"/>
              <w:right w:val="nil"/>
            </w:tcBorders>
            <w:shd w:val="clear" w:color="000000" w:fill="FFFFFF"/>
            <w:noWrap/>
            <w:vAlign w:val="center"/>
            <w:hideMark/>
          </w:tcPr>
          <w:p w14:paraId="4031BB70"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7.3</w:t>
            </w:r>
          </w:p>
        </w:tc>
        <w:tc>
          <w:tcPr>
            <w:tcW w:w="545" w:type="dxa"/>
            <w:tcBorders>
              <w:top w:val="nil"/>
              <w:left w:val="nil"/>
              <w:bottom w:val="single" w:sz="8" w:space="0" w:color="DCDDDE"/>
              <w:right w:val="nil"/>
            </w:tcBorders>
            <w:shd w:val="clear" w:color="000000" w:fill="FFFFFF"/>
            <w:noWrap/>
            <w:vAlign w:val="center"/>
            <w:hideMark/>
          </w:tcPr>
          <w:p w14:paraId="4EF09D71"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7.5</w:t>
            </w:r>
          </w:p>
        </w:tc>
        <w:tc>
          <w:tcPr>
            <w:tcW w:w="545" w:type="dxa"/>
            <w:tcBorders>
              <w:top w:val="nil"/>
              <w:left w:val="nil"/>
              <w:bottom w:val="single" w:sz="8" w:space="0" w:color="DCDDDE"/>
              <w:right w:val="nil"/>
            </w:tcBorders>
            <w:shd w:val="clear" w:color="000000" w:fill="FFFFFF"/>
            <w:noWrap/>
            <w:vAlign w:val="center"/>
            <w:hideMark/>
          </w:tcPr>
          <w:p w14:paraId="7FD4C526" w14:textId="77777777" w:rsidR="002A760B" w:rsidRPr="002A760B" w:rsidRDefault="002A760B" w:rsidP="002A760B">
            <w:pPr>
              <w:spacing w:line="240" w:lineRule="auto"/>
              <w:jc w:val="right"/>
              <w:rPr>
                <w:rFonts w:ascii="Arial Narrow" w:hAnsi="Arial Narrow"/>
                <w:b/>
                <w:bCs/>
                <w:sz w:val="18"/>
                <w:szCs w:val="18"/>
              </w:rPr>
            </w:pPr>
            <w:r w:rsidRPr="002A760B">
              <w:rPr>
                <w:rFonts w:ascii="Arial Narrow" w:hAnsi="Arial Narrow"/>
                <w:b/>
                <w:bCs/>
                <w:sz w:val="18"/>
                <w:szCs w:val="18"/>
              </w:rPr>
              <w:t>7.7</w:t>
            </w:r>
          </w:p>
        </w:tc>
      </w:tr>
    </w:tbl>
    <w:p w14:paraId="253C5B7B" w14:textId="77777777" w:rsidR="002A760B" w:rsidRPr="00D823AE" w:rsidRDefault="002A760B" w:rsidP="002A760B">
      <w:pPr>
        <w:jc w:val="center"/>
      </w:pPr>
      <w:r>
        <w:t>* Includes interactive effects</w:t>
      </w:r>
    </w:p>
    <w:p w14:paraId="178E3296" w14:textId="77777777" w:rsidR="004B4A26" w:rsidRDefault="004B4A26" w:rsidP="00B37F3E"/>
    <w:p w14:paraId="4537611C" w14:textId="77777777" w:rsidR="007D6190" w:rsidRDefault="007D6190" w:rsidP="00B37F3E"/>
    <w:p w14:paraId="789546FC" w14:textId="77777777" w:rsidR="007D6190" w:rsidRDefault="007D6190" w:rsidP="00B37F3E"/>
    <w:p w14:paraId="11D12D42" w14:textId="77777777" w:rsidR="007D6190" w:rsidRDefault="007D6190" w:rsidP="007D6190">
      <w:pPr>
        <w:pStyle w:val="Heading5"/>
      </w:pPr>
      <w:bookmarkStart w:id="1218" w:name="_Toc490225859"/>
      <w:r>
        <w:lastRenderedPageBreak/>
        <w:t>Summary of Stakeholder Inputs</w:t>
      </w:r>
      <w:bookmarkEnd w:id="1218"/>
    </w:p>
    <w:p w14:paraId="20C1EC42" w14:textId="77777777" w:rsidR="008B2441" w:rsidRDefault="008B2441" w:rsidP="00AF21BE">
      <w:r>
        <w:t>This appendix provides a summary of stakeholder comments on the June 2017 Draft Release and the Study team’s response to those comments.</w:t>
      </w:r>
    </w:p>
    <w:tbl>
      <w:tblPr>
        <w:tblStyle w:val="EnergyTable1"/>
        <w:tblW w:w="9756" w:type="dxa"/>
        <w:tblLook w:val="04A0" w:firstRow="1" w:lastRow="0" w:firstColumn="1" w:lastColumn="0" w:noHBand="0" w:noVBand="1"/>
      </w:tblPr>
      <w:tblGrid>
        <w:gridCol w:w="108"/>
        <w:gridCol w:w="108"/>
        <w:gridCol w:w="1044"/>
        <w:gridCol w:w="108"/>
        <w:gridCol w:w="108"/>
        <w:gridCol w:w="4014"/>
        <w:gridCol w:w="108"/>
        <w:gridCol w:w="108"/>
        <w:gridCol w:w="3834"/>
        <w:gridCol w:w="108"/>
        <w:gridCol w:w="108"/>
      </w:tblGrid>
      <w:tr w:rsidR="00A43B89" w:rsidRPr="007E476B" w14:paraId="1BB92CBD" w14:textId="77777777" w:rsidTr="00390151">
        <w:trPr>
          <w:gridBefore w:val="2"/>
          <w:cnfStyle w:val="100000000000" w:firstRow="1" w:lastRow="0" w:firstColumn="0" w:lastColumn="0" w:oddVBand="0" w:evenVBand="0" w:oddHBand="0" w:evenHBand="0"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4A916B0E" w14:textId="77777777" w:rsidR="00A43B89" w:rsidRPr="007E476B" w:rsidRDefault="00A43B89" w:rsidP="00390151">
            <w:pPr>
              <w:rPr>
                <w:rFonts w:ascii="Arial Narrow" w:hAnsi="Arial Narrow" w:cs="Arial"/>
                <w:snapToGrid w:val="0"/>
                <w:color w:val="FFFFFF" w:themeColor="background1"/>
              </w:rPr>
            </w:pPr>
            <w:r w:rsidRPr="007E476B">
              <w:rPr>
                <w:rFonts w:ascii="Arial Narrow" w:hAnsi="Arial Narrow" w:cs="Arial"/>
                <w:snapToGrid w:val="0"/>
                <w:color w:val="FFFFFF" w:themeColor="background1"/>
              </w:rPr>
              <w:t>Stakeholder</w:t>
            </w:r>
          </w:p>
        </w:tc>
        <w:tc>
          <w:tcPr>
            <w:tcW w:w="4230" w:type="dxa"/>
            <w:gridSpan w:val="3"/>
          </w:tcPr>
          <w:p w14:paraId="47C4D213" w14:textId="77777777" w:rsidR="00A43B89" w:rsidRPr="007E476B" w:rsidRDefault="00A43B89" w:rsidP="00390151">
            <w:pPr>
              <w:cnfStyle w:val="100000000000" w:firstRow="1" w:lastRow="0" w:firstColumn="0" w:lastColumn="0" w:oddVBand="0" w:evenVBand="0" w:oddHBand="0" w:evenHBand="0" w:firstRowFirstColumn="0" w:firstRowLastColumn="0" w:lastRowFirstColumn="0" w:lastRowLastColumn="0"/>
              <w:rPr>
                <w:rFonts w:ascii="Arial Narrow" w:hAnsi="Arial Narrow" w:cs="Arial"/>
                <w:snapToGrid w:val="0"/>
                <w:color w:val="FFFFFF" w:themeColor="background1"/>
              </w:rPr>
            </w:pPr>
            <w:r w:rsidRPr="007E476B">
              <w:rPr>
                <w:rFonts w:ascii="Arial Narrow" w:hAnsi="Arial Narrow" w:cs="Arial"/>
                <w:snapToGrid w:val="0"/>
                <w:color w:val="FFFFFF" w:themeColor="background1"/>
              </w:rPr>
              <w:t>Comment</w:t>
            </w:r>
          </w:p>
        </w:tc>
        <w:tc>
          <w:tcPr>
            <w:tcW w:w="4050" w:type="dxa"/>
            <w:gridSpan w:val="3"/>
          </w:tcPr>
          <w:p w14:paraId="64BC0282" w14:textId="77777777" w:rsidR="00A43B89" w:rsidRPr="007E476B" w:rsidRDefault="00A43B89" w:rsidP="00390151">
            <w:pPr>
              <w:cnfStyle w:val="100000000000" w:firstRow="1" w:lastRow="0" w:firstColumn="0" w:lastColumn="0" w:oddVBand="0" w:evenVBand="0" w:oddHBand="0" w:evenHBand="0" w:firstRowFirstColumn="0" w:firstRowLastColumn="0" w:lastRowFirstColumn="0" w:lastRowLastColumn="0"/>
              <w:rPr>
                <w:rFonts w:ascii="Arial Narrow" w:hAnsi="Arial Narrow" w:cs="Arial"/>
                <w:snapToGrid w:val="0"/>
                <w:color w:val="FFFFFF" w:themeColor="background1"/>
              </w:rPr>
            </w:pPr>
            <w:r w:rsidRPr="007E476B">
              <w:rPr>
                <w:rFonts w:ascii="Arial Narrow" w:hAnsi="Arial Narrow" w:cs="Arial"/>
                <w:snapToGrid w:val="0"/>
                <w:color w:val="FFFFFF" w:themeColor="background1"/>
              </w:rPr>
              <w:t>Staff Comment</w:t>
            </w:r>
          </w:p>
        </w:tc>
      </w:tr>
      <w:tr w:rsidR="00A43B89" w:rsidRPr="007E476B" w14:paraId="61DBBAEC" w14:textId="77777777" w:rsidTr="00390151">
        <w:trPr>
          <w:gridBefore w:val="2"/>
          <w:cnfStyle w:val="000000100000" w:firstRow="0" w:lastRow="0" w:firstColumn="0" w:lastColumn="0" w:oddVBand="0" w:evenVBand="0" w:oddHBand="1" w:evenHBand="0" w:firstRowFirstColumn="0" w:firstRowLastColumn="0" w:lastRowFirstColumn="0" w:lastRowLastColumn="0"/>
          <w:wBefore w:w="216" w:type="dxa"/>
          <w:trHeight w:val="447"/>
        </w:trPr>
        <w:tc>
          <w:tcPr>
            <w:cnfStyle w:val="001000000000" w:firstRow="0" w:lastRow="0" w:firstColumn="1" w:lastColumn="0" w:oddVBand="0" w:evenVBand="0" w:oddHBand="0" w:evenHBand="0" w:firstRowFirstColumn="0" w:firstRowLastColumn="0" w:lastRowFirstColumn="0" w:lastRowLastColumn="0"/>
            <w:tcW w:w="9540" w:type="dxa"/>
            <w:gridSpan w:val="9"/>
            <w:shd w:val="clear" w:color="auto" w:fill="D9D9D9" w:themeFill="background1" w:themeFillShade="D9"/>
          </w:tcPr>
          <w:p w14:paraId="29F61DA3" w14:textId="77777777" w:rsidR="00A43B89" w:rsidRPr="007E476B" w:rsidRDefault="00A43B89" w:rsidP="00390151">
            <w:pPr>
              <w:spacing w:line="240" w:lineRule="exact"/>
              <w:ind w:left="360"/>
              <w:contextualSpacing/>
              <w:rPr>
                <w:rFonts w:ascii="Arial Narrow" w:hAnsi="Arial Narrow" w:cs="Arial"/>
                <w:b/>
                <w:snapToGrid w:val="0"/>
              </w:rPr>
            </w:pPr>
            <w:r w:rsidRPr="007E476B">
              <w:rPr>
                <w:rFonts w:ascii="Arial Narrow" w:hAnsi="Arial Narrow" w:cs="Arial"/>
                <w:b/>
                <w:snapToGrid w:val="0"/>
              </w:rPr>
              <w:t>Policies, Scope</w:t>
            </w:r>
          </w:p>
        </w:tc>
      </w:tr>
      <w:tr w:rsidR="00A43B89" w:rsidRPr="007E476B" w14:paraId="01118E3A" w14:textId="77777777" w:rsidTr="00390151">
        <w:trPr>
          <w:gridBefore w:val="2"/>
          <w:cnfStyle w:val="000000010000" w:firstRow="0" w:lastRow="0" w:firstColumn="0" w:lastColumn="0" w:oddVBand="0" w:evenVBand="0" w:oddHBand="0" w:evenHBand="1"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459EDF3A" w14:textId="77777777" w:rsidR="00A43B89" w:rsidRPr="007E476B" w:rsidRDefault="00A43B89" w:rsidP="00390151">
            <w:pPr>
              <w:spacing w:line="240" w:lineRule="exact"/>
              <w:contextualSpacing/>
              <w:jc w:val="left"/>
              <w:rPr>
                <w:rFonts w:ascii="Arial Narrow" w:hAnsi="Arial Narrow" w:cs="Arial"/>
                <w:snapToGrid w:val="0"/>
              </w:rPr>
            </w:pPr>
            <w:r w:rsidRPr="007E476B">
              <w:rPr>
                <w:rFonts w:ascii="Arial Narrow" w:hAnsi="Arial Narrow" w:cs="Arial"/>
                <w:snapToGrid w:val="0"/>
              </w:rPr>
              <w:t>SCE</w:t>
            </w:r>
          </w:p>
        </w:tc>
        <w:tc>
          <w:tcPr>
            <w:tcW w:w="4230" w:type="dxa"/>
            <w:gridSpan w:val="3"/>
          </w:tcPr>
          <w:p w14:paraId="7AE698B2"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rPr>
            </w:pPr>
            <w:r w:rsidRPr="007E476B">
              <w:rPr>
                <w:rFonts w:ascii="Arial Narrow" w:hAnsi="Arial Narrow"/>
              </w:rPr>
              <w:t>Off year updates due to updates in DEER/EM&amp;V, C&amp;S, ISPs, Resolution E4818 Task 2, IDER decisions working group</w:t>
            </w:r>
            <w:r w:rsidRPr="007E476B">
              <w:rPr>
                <w:rFonts w:ascii="Arial Narrow" w:hAnsi="Arial Narrow" w:cs="Arial"/>
                <w:snapToGrid w:val="0"/>
              </w:rPr>
              <w:t>.</w:t>
            </w:r>
          </w:p>
        </w:tc>
        <w:tc>
          <w:tcPr>
            <w:tcW w:w="4050" w:type="dxa"/>
            <w:gridSpan w:val="3"/>
          </w:tcPr>
          <w:p w14:paraId="7B7CE2B1"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napToGrid w:val="0"/>
              </w:rPr>
            </w:pPr>
            <w:r w:rsidRPr="007E476B">
              <w:rPr>
                <w:rFonts w:ascii="Arial Narrow" w:hAnsi="Arial Narrow"/>
              </w:rPr>
              <w:t>The updates are due every two years. Complexity of the study does not allow for annual updates.</w:t>
            </w:r>
          </w:p>
        </w:tc>
      </w:tr>
      <w:tr w:rsidR="00A43B89" w:rsidRPr="007E476B" w14:paraId="33A4855E" w14:textId="77777777" w:rsidTr="00390151">
        <w:trPr>
          <w:gridBefore w:val="2"/>
          <w:cnfStyle w:val="000000100000" w:firstRow="0" w:lastRow="0" w:firstColumn="0" w:lastColumn="0" w:oddVBand="0" w:evenVBand="0" w:oddHBand="1" w:evenHBand="0"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1989E62B" w14:textId="77777777" w:rsidR="00A43B89" w:rsidRPr="007E476B" w:rsidRDefault="00A43B89" w:rsidP="00390151">
            <w:pPr>
              <w:spacing w:line="240" w:lineRule="exact"/>
              <w:contextualSpacing/>
              <w:jc w:val="left"/>
              <w:rPr>
                <w:rFonts w:ascii="Arial Narrow" w:hAnsi="Arial Narrow" w:cs="Arial"/>
                <w:snapToGrid w:val="0"/>
              </w:rPr>
            </w:pPr>
            <w:r w:rsidRPr="007E476B">
              <w:rPr>
                <w:rFonts w:ascii="Arial Narrow" w:hAnsi="Arial Narrow" w:cs="Arial"/>
                <w:snapToGrid w:val="0"/>
              </w:rPr>
              <w:t>SDG&amp;E</w:t>
            </w:r>
          </w:p>
        </w:tc>
        <w:tc>
          <w:tcPr>
            <w:tcW w:w="4230" w:type="dxa"/>
            <w:gridSpan w:val="3"/>
          </w:tcPr>
          <w:p w14:paraId="5A4FC1B5"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rPr>
            </w:pPr>
            <w:r w:rsidRPr="007E476B">
              <w:rPr>
                <w:rFonts w:ascii="Arial Narrow" w:hAnsi="Arial Narrow"/>
              </w:rPr>
              <w:t>PG should be adopted consistent with the needs of IEPR</w:t>
            </w:r>
          </w:p>
        </w:tc>
        <w:tc>
          <w:tcPr>
            <w:tcW w:w="4050" w:type="dxa"/>
            <w:gridSpan w:val="3"/>
          </w:tcPr>
          <w:p w14:paraId="40C72A09"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rPr>
            </w:pPr>
            <w:r w:rsidRPr="007E476B">
              <w:rPr>
                <w:rFonts w:ascii="Arial Narrow" w:hAnsi="Arial Narrow"/>
              </w:rPr>
              <w:t>It is, every two years as per RPC schedule.</w:t>
            </w:r>
          </w:p>
        </w:tc>
      </w:tr>
      <w:tr w:rsidR="00A43B89" w:rsidRPr="007E476B" w14:paraId="648CBDA1" w14:textId="77777777" w:rsidTr="00390151">
        <w:trPr>
          <w:gridBefore w:val="2"/>
          <w:cnfStyle w:val="000000010000" w:firstRow="0" w:lastRow="0" w:firstColumn="0" w:lastColumn="0" w:oddVBand="0" w:evenVBand="0" w:oddHBand="0" w:evenHBand="1"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499D48C8" w14:textId="77777777" w:rsidR="00A43B89" w:rsidRPr="007E476B" w:rsidRDefault="00A43B89" w:rsidP="00390151">
            <w:pPr>
              <w:spacing w:line="240" w:lineRule="exact"/>
              <w:contextualSpacing/>
              <w:jc w:val="left"/>
              <w:rPr>
                <w:rFonts w:ascii="Arial Narrow" w:hAnsi="Arial Narrow" w:cs="Arial"/>
                <w:snapToGrid w:val="0"/>
              </w:rPr>
            </w:pPr>
            <w:r w:rsidRPr="007E476B">
              <w:rPr>
                <w:rFonts w:ascii="Arial Narrow" w:hAnsi="Arial Narrow"/>
              </w:rPr>
              <w:t>SCE, SCG, PG&amp;E</w:t>
            </w:r>
          </w:p>
        </w:tc>
        <w:tc>
          <w:tcPr>
            <w:tcW w:w="4230" w:type="dxa"/>
            <w:gridSpan w:val="3"/>
          </w:tcPr>
          <w:p w14:paraId="31FDEE22"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Include Public Sector market potential as per business plans.</w:t>
            </w:r>
          </w:p>
        </w:tc>
        <w:tc>
          <w:tcPr>
            <w:tcW w:w="4050" w:type="dxa"/>
            <w:gridSpan w:val="3"/>
          </w:tcPr>
          <w:p w14:paraId="75A56125"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Navigant notes that there is no current definition of the public sector so it can’t be forecasted. CEUS, IEPR and IOU Customer data do not indicate how many customers or number of sq. feet are attributable to the Public sector. This is an area for future building database productions in California to start addressing.</w:t>
            </w:r>
          </w:p>
        </w:tc>
      </w:tr>
      <w:tr w:rsidR="00A43B89" w:rsidRPr="007E476B" w14:paraId="6CC2D529" w14:textId="77777777" w:rsidTr="00390151">
        <w:trPr>
          <w:gridBefore w:val="2"/>
          <w:cnfStyle w:val="000000100000" w:firstRow="0" w:lastRow="0" w:firstColumn="0" w:lastColumn="0" w:oddVBand="0" w:evenVBand="0" w:oddHBand="1" w:evenHBand="0"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0653A6A1" w14:textId="77777777" w:rsidR="00A43B89" w:rsidRPr="007E476B" w:rsidRDefault="00A43B89" w:rsidP="00390151">
            <w:pPr>
              <w:spacing w:line="240" w:lineRule="exact"/>
              <w:contextualSpacing/>
              <w:jc w:val="left"/>
              <w:rPr>
                <w:rFonts w:ascii="Arial Narrow" w:hAnsi="Arial Narrow" w:cs="Arial"/>
                <w:snapToGrid w:val="0"/>
              </w:rPr>
            </w:pPr>
            <w:r w:rsidRPr="007E476B">
              <w:rPr>
                <w:rFonts w:ascii="Arial Narrow" w:hAnsi="Arial Narrow"/>
              </w:rPr>
              <w:t>PG&amp;E</w:t>
            </w:r>
          </w:p>
        </w:tc>
        <w:tc>
          <w:tcPr>
            <w:tcW w:w="4230" w:type="dxa"/>
            <w:gridSpan w:val="3"/>
          </w:tcPr>
          <w:p w14:paraId="522C197F"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Align peak definition with Avoided Cost, not the DEER definition – causes discrepancy between measures pursued for cost-effectiveness and for peak reduction.</w:t>
            </w:r>
          </w:p>
        </w:tc>
        <w:tc>
          <w:tcPr>
            <w:tcW w:w="4050" w:type="dxa"/>
            <w:gridSpan w:val="3"/>
          </w:tcPr>
          <w:p w14:paraId="00DB0105"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Out of the scope of this study. Need updated DEER. Will align in next update.</w:t>
            </w:r>
          </w:p>
        </w:tc>
      </w:tr>
      <w:tr w:rsidR="00A43B89" w:rsidRPr="007E476B" w14:paraId="778754F6" w14:textId="77777777" w:rsidTr="00390151">
        <w:trPr>
          <w:gridBefore w:val="2"/>
          <w:cnfStyle w:val="000000010000" w:firstRow="0" w:lastRow="0" w:firstColumn="0" w:lastColumn="0" w:oddVBand="0" w:evenVBand="0" w:oddHBand="0" w:evenHBand="1"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09787684" w14:textId="77777777" w:rsidR="00A43B89" w:rsidRPr="007E476B" w:rsidRDefault="00A43B89" w:rsidP="00390151">
            <w:pPr>
              <w:spacing w:line="240" w:lineRule="exact"/>
              <w:contextualSpacing/>
              <w:jc w:val="left"/>
              <w:rPr>
                <w:rFonts w:ascii="Arial Narrow" w:hAnsi="Arial Narrow" w:cs="Arial"/>
                <w:snapToGrid w:val="0"/>
              </w:rPr>
            </w:pPr>
            <w:r w:rsidRPr="007E476B">
              <w:rPr>
                <w:rFonts w:ascii="Arial Narrow" w:hAnsi="Arial Narrow"/>
              </w:rPr>
              <w:t>CEDMC</w:t>
            </w:r>
          </w:p>
        </w:tc>
        <w:tc>
          <w:tcPr>
            <w:tcW w:w="4230" w:type="dxa"/>
            <w:gridSpan w:val="3"/>
          </w:tcPr>
          <w:p w14:paraId="6D676544"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Avoided cost should be updated as soon as possible</w:t>
            </w:r>
          </w:p>
        </w:tc>
        <w:tc>
          <w:tcPr>
            <w:tcW w:w="4050" w:type="dxa"/>
            <w:gridSpan w:val="3"/>
          </w:tcPr>
          <w:p w14:paraId="32A4CE33"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 xml:space="preserve">Avoided Costs updates are in the scope of the Integrated Distributed Resources Proceeding (IDER) </w:t>
            </w:r>
          </w:p>
        </w:tc>
      </w:tr>
      <w:tr w:rsidR="00A43B89" w:rsidRPr="007E476B" w14:paraId="4515902C" w14:textId="77777777" w:rsidTr="00390151">
        <w:trPr>
          <w:gridBefore w:val="2"/>
          <w:cnfStyle w:val="000000100000" w:firstRow="0" w:lastRow="0" w:firstColumn="0" w:lastColumn="0" w:oddVBand="0" w:evenVBand="0" w:oddHBand="1" w:evenHBand="0"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1DD36ACA" w14:textId="77777777" w:rsidR="00A43B89" w:rsidRPr="007E476B" w:rsidRDefault="00A43B89" w:rsidP="00390151">
            <w:pPr>
              <w:spacing w:line="240" w:lineRule="exact"/>
              <w:contextualSpacing/>
              <w:jc w:val="left"/>
              <w:rPr>
                <w:rFonts w:ascii="Arial Narrow" w:hAnsi="Arial Narrow" w:cs="Arial"/>
                <w:snapToGrid w:val="0"/>
              </w:rPr>
            </w:pPr>
            <w:r w:rsidRPr="007E476B">
              <w:rPr>
                <w:rFonts w:ascii="Arial Narrow" w:hAnsi="Arial Narrow"/>
              </w:rPr>
              <w:t>SCG</w:t>
            </w:r>
          </w:p>
        </w:tc>
        <w:tc>
          <w:tcPr>
            <w:tcW w:w="4230" w:type="dxa"/>
            <w:gridSpan w:val="3"/>
          </w:tcPr>
          <w:p w14:paraId="52B47FF4"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Check the IOU adder curve as it shows discrepancy on what’s proposed in IDER.</w:t>
            </w:r>
          </w:p>
        </w:tc>
        <w:tc>
          <w:tcPr>
            <w:tcW w:w="4050" w:type="dxa"/>
            <w:gridSpan w:val="3"/>
          </w:tcPr>
          <w:p w14:paraId="719D92CC"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Navigant has confirmed that the GHG adder values used in the study and provided in the final report are accurate and consisted with the IDER values.</w:t>
            </w:r>
          </w:p>
        </w:tc>
      </w:tr>
      <w:tr w:rsidR="00A43B89" w:rsidRPr="007E476B" w14:paraId="7575CB89" w14:textId="77777777" w:rsidTr="00390151">
        <w:trPr>
          <w:gridBefore w:val="2"/>
          <w:cnfStyle w:val="000000010000" w:firstRow="0" w:lastRow="0" w:firstColumn="0" w:lastColumn="0" w:oddVBand="0" w:evenVBand="0" w:oddHBand="0" w:evenHBand="1"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6748CFC2" w14:textId="77777777" w:rsidR="00A43B89" w:rsidRPr="007E476B" w:rsidRDefault="00A43B89" w:rsidP="00390151">
            <w:pPr>
              <w:spacing w:line="240" w:lineRule="exact"/>
              <w:contextualSpacing/>
              <w:jc w:val="left"/>
              <w:rPr>
                <w:rFonts w:ascii="Arial Narrow" w:hAnsi="Arial Narrow" w:cs="Arial"/>
                <w:snapToGrid w:val="0"/>
              </w:rPr>
            </w:pPr>
            <w:r w:rsidRPr="007E476B">
              <w:rPr>
                <w:rFonts w:ascii="Arial Narrow" w:hAnsi="Arial Narrow"/>
              </w:rPr>
              <w:t>SCG, PG&amp;E, NRDC</w:t>
            </w:r>
          </w:p>
        </w:tc>
        <w:tc>
          <w:tcPr>
            <w:tcW w:w="4230" w:type="dxa"/>
            <w:gridSpan w:val="3"/>
            <w:vAlign w:val="top"/>
          </w:tcPr>
          <w:p w14:paraId="6F573544" w14:textId="77777777" w:rsidR="00A43B89" w:rsidRPr="007E476B" w:rsidRDefault="00A43B89" w:rsidP="00390151">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Low income savings does not include analysis of potential as per D16-11-022 (OP8)</w:t>
            </w:r>
          </w:p>
          <w:p w14:paraId="7FA37234" w14:textId="77777777" w:rsidR="00A43B89" w:rsidRPr="007E476B" w:rsidRDefault="00A43B89" w:rsidP="00390151">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 xml:space="preserve">Method not revised since 2011, cannot be added to residential as is. </w:t>
            </w:r>
          </w:p>
        </w:tc>
        <w:tc>
          <w:tcPr>
            <w:tcW w:w="4050" w:type="dxa"/>
            <w:gridSpan w:val="3"/>
          </w:tcPr>
          <w:p w14:paraId="3C612283"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This study can’t make these changes now.</w:t>
            </w:r>
          </w:p>
        </w:tc>
      </w:tr>
      <w:tr w:rsidR="00A43B89" w:rsidRPr="007E476B" w14:paraId="14C49694" w14:textId="77777777" w:rsidTr="00390151">
        <w:trPr>
          <w:gridBefore w:val="2"/>
          <w:cnfStyle w:val="000000100000" w:firstRow="0" w:lastRow="0" w:firstColumn="0" w:lastColumn="0" w:oddVBand="0" w:evenVBand="0" w:oddHBand="1" w:evenHBand="0"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430E3FB4" w14:textId="77777777" w:rsidR="00A43B89" w:rsidRPr="007E476B" w:rsidRDefault="00A43B89" w:rsidP="00390151">
            <w:pPr>
              <w:spacing w:line="240" w:lineRule="exact"/>
              <w:contextualSpacing/>
              <w:jc w:val="left"/>
              <w:rPr>
                <w:rFonts w:ascii="Arial Narrow" w:hAnsi="Arial Narrow" w:cs="Arial"/>
                <w:snapToGrid w:val="0"/>
              </w:rPr>
            </w:pPr>
            <w:r w:rsidRPr="007E476B">
              <w:rPr>
                <w:rFonts w:ascii="Arial Narrow" w:hAnsi="Arial Narrow" w:cs="Arial"/>
                <w:snapToGrid w:val="0"/>
              </w:rPr>
              <w:t>NRDC</w:t>
            </w:r>
          </w:p>
        </w:tc>
        <w:tc>
          <w:tcPr>
            <w:tcW w:w="4230" w:type="dxa"/>
            <w:gridSpan w:val="3"/>
          </w:tcPr>
          <w:p w14:paraId="14AEBCD4"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Suggestions to carry out Low Income Potential: saturation. Use resources available in D.16-11-022 to carry out new study.</w:t>
            </w:r>
          </w:p>
        </w:tc>
        <w:tc>
          <w:tcPr>
            <w:tcW w:w="4050" w:type="dxa"/>
            <w:gridSpan w:val="3"/>
          </w:tcPr>
          <w:p w14:paraId="0E8EBBBA"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Out of the scope of this study.</w:t>
            </w:r>
          </w:p>
        </w:tc>
      </w:tr>
      <w:tr w:rsidR="00A43B89" w:rsidRPr="007E476B" w14:paraId="24BBD19B" w14:textId="77777777" w:rsidTr="00390151">
        <w:trPr>
          <w:gridBefore w:val="2"/>
          <w:cnfStyle w:val="000000010000" w:firstRow="0" w:lastRow="0" w:firstColumn="0" w:lastColumn="0" w:oddVBand="0" w:evenVBand="0" w:oddHBand="0" w:evenHBand="1"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54D17498" w14:textId="77777777" w:rsidR="00A43B89" w:rsidRPr="007E476B" w:rsidRDefault="00A43B89" w:rsidP="00390151">
            <w:pPr>
              <w:spacing w:line="240" w:lineRule="exact"/>
              <w:contextualSpacing/>
              <w:jc w:val="left"/>
              <w:rPr>
                <w:rFonts w:ascii="Arial Narrow" w:hAnsi="Arial Narrow" w:cs="Arial"/>
                <w:snapToGrid w:val="0"/>
              </w:rPr>
            </w:pPr>
            <w:r w:rsidRPr="007E476B">
              <w:rPr>
                <w:rFonts w:ascii="Arial Narrow" w:hAnsi="Arial Narrow"/>
              </w:rPr>
              <w:t>SCG</w:t>
            </w:r>
          </w:p>
        </w:tc>
        <w:tc>
          <w:tcPr>
            <w:tcW w:w="4230" w:type="dxa"/>
            <w:gridSpan w:val="3"/>
            <w:vAlign w:val="top"/>
          </w:tcPr>
          <w:p w14:paraId="0272DA57" w14:textId="77777777" w:rsidR="00A43B89" w:rsidRPr="007E476B" w:rsidRDefault="00A43B89" w:rsidP="00390151">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Include other non-resource related costs in the budget projections in the study</w:t>
            </w:r>
          </w:p>
        </w:tc>
        <w:tc>
          <w:tcPr>
            <w:tcW w:w="4050" w:type="dxa"/>
            <w:gridSpan w:val="3"/>
          </w:tcPr>
          <w:p w14:paraId="0B2EFD65"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This study does not model non-resource interventions. Out of scope.</w:t>
            </w:r>
          </w:p>
        </w:tc>
      </w:tr>
      <w:tr w:rsidR="00A43B89" w:rsidRPr="007E476B" w14:paraId="3AD983F9" w14:textId="77777777" w:rsidTr="00390151">
        <w:trPr>
          <w:gridBefore w:val="2"/>
          <w:cnfStyle w:val="000000100000" w:firstRow="0" w:lastRow="0" w:firstColumn="0" w:lastColumn="0" w:oddVBand="0" w:evenVBand="0" w:oddHBand="1" w:evenHBand="0"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5464DD79" w14:textId="77777777" w:rsidR="00A43B89" w:rsidRPr="007E476B" w:rsidRDefault="00A43B89" w:rsidP="00390151">
            <w:pPr>
              <w:spacing w:line="240" w:lineRule="exact"/>
              <w:contextualSpacing/>
              <w:jc w:val="left"/>
              <w:rPr>
                <w:rFonts w:ascii="Arial Narrow" w:hAnsi="Arial Narrow" w:cs="Arial"/>
                <w:snapToGrid w:val="0"/>
              </w:rPr>
            </w:pPr>
            <w:r w:rsidRPr="007E476B">
              <w:rPr>
                <w:rFonts w:ascii="Arial Narrow" w:hAnsi="Arial Narrow"/>
              </w:rPr>
              <w:t>ORA, TURN</w:t>
            </w:r>
          </w:p>
        </w:tc>
        <w:tc>
          <w:tcPr>
            <w:tcW w:w="4230" w:type="dxa"/>
            <w:gridSpan w:val="3"/>
          </w:tcPr>
          <w:p w14:paraId="3C914210"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PAs should include net lifecycle savings in the BPs as a metric, avoids methodological complications of cumulative savings accounting.</w:t>
            </w:r>
          </w:p>
        </w:tc>
        <w:tc>
          <w:tcPr>
            <w:tcW w:w="4050" w:type="dxa"/>
            <w:gridSpan w:val="3"/>
          </w:tcPr>
          <w:p w14:paraId="2BA02C8A"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Out of the scope of this study.</w:t>
            </w:r>
          </w:p>
        </w:tc>
      </w:tr>
      <w:tr w:rsidR="00A43B89" w:rsidRPr="007E476B" w14:paraId="03A23BFD" w14:textId="77777777" w:rsidTr="00390151">
        <w:trPr>
          <w:gridBefore w:val="2"/>
          <w:cnfStyle w:val="000000010000" w:firstRow="0" w:lastRow="0" w:firstColumn="0" w:lastColumn="0" w:oddVBand="0" w:evenVBand="0" w:oddHBand="0" w:evenHBand="1"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45A8B921" w14:textId="77777777" w:rsidR="00A43B89" w:rsidRPr="007E476B" w:rsidRDefault="00A43B89" w:rsidP="00390151">
            <w:pPr>
              <w:spacing w:line="240" w:lineRule="exact"/>
              <w:contextualSpacing/>
              <w:jc w:val="left"/>
              <w:rPr>
                <w:rFonts w:ascii="Arial Narrow" w:hAnsi="Arial Narrow" w:cs="Arial"/>
                <w:snapToGrid w:val="0"/>
              </w:rPr>
            </w:pPr>
            <w:r w:rsidRPr="007E476B">
              <w:rPr>
                <w:rFonts w:ascii="Arial Narrow" w:hAnsi="Arial Narrow"/>
              </w:rPr>
              <w:t>SCE, SCG, PG&amp;E</w:t>
            </w:r>
          </w:p>
        </w:tc>
        <w:tc>
          <w:tcPr>
            <w:tcW w:w="4230" w:type="dxa"/>
            <w:gridSpan w:val="3"/>
            <w:vAlign w:val="top"/>
          </w:tcPr>
          <w:p w14:paraId="74D30060" w14:textId="77777777" w:rsidR="00A43B89" w:rsidRPr="007E476B" w:rsidRDefault="00A43B89" w:rsidP="00390151">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 xml:space="preserve">Align with C&amp;S evaluation methods from the 2013-2015 Impact Evaluation </w:t>
            </w:r>
          </w:p>
        </w:tc>
        <w:tc>
          <w:tcPr>
            <w:tcW w:w="4050" w:type="dxa"/>
            <w:gridSpan w:val="3"/>
          </w:tcPr>
          <w:p w14:paraId="5DC25776"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The Navigant team has accounted for this update by aligning the C&amp;S model with the 2013-2015 Impact Evaluation</w:t>
            </w:r>
          </w:p>
        </w:tc>
      </w:tr>
      <w:tr w:rsidR="00A43B89" w:rsidRPr="007E476B" w14:paraId="00C1F307" w14:textId="77777777" w:rsidTr="00390151">
        <w:trPr>
          <w:gridBefore w:val="2"/>
          <w:cnfStyle w:val="000000100000" w:firstRow="0" w:lastRow="0" w:firstColumn="0" w:lastColumn="0" w:oddVBand="0" w:evenVBand="0" w:oddHBand="1" w:evenHBand="0"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01E3FE87" w14:textId="77777777" w:rsidR="00A43B89" w:rsidRPr="007E476B" w:rsidRDefault="00A43B89" w:rsidP="00390151">
            <w:pPr>
              <w:spacing w:line="240" w:lineRule="exact"/>
              <w:contextualSpacing/>
              <w:jc w:val="left"/>
              <w:rPr>
                <w:rFonts w:ascii="Arial Narrow" w:hAnsi="Arial Narrow" w:cs="Arial"/>
                <w:snapToGrid w:val="0"/>
              </w:rPr>
            </w:pPr>
            <w:r w:rsidRPr="007E476B">
              <w:rPr>
                <w:rFonts w:ascii="Arial Narrow" w:hAnsi="Arial Narrow"/>
              </w:rPr>
              <w:t>BayREN</w:t>
            </w:r>
          </w:p>
        </w:tc>
        <w:tc>
          <w:tcPr>
            <w:tcW w:w="4230" w:type="dxa"/>
            <w:gridSpan w:val="3"/>
            <w:vAlign w:val="top"/>
          </w:tcPr>
          <w:p w14:paraId="22A83B90" w14:textId="77777777" w:rsidR="00A43B89" w:rsidRPr="007E476B" w:rsidRDefault="00A43B89" w:rsidP="00390151">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 xml:space="preserve">Present potential for REN/CCA territories, not only IOU-level as in the past. </w:t>
            </w:r>
          </w:p>
        </w:tc>
        <w:tc>
          <w:tcPr>
            <w:tcW w:w="4050" w:type="dxa"/>
            <w:gridSpan w:val="3"/>
          </w:tcPr>
          <w:p w14:paraId="2B01D7D6"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Our scope has always been to look at IOU-level potential not REN/CCA. There are additional data requirements and modeling considerations that are outside the scope of this study.</w:t>
            </w:r>
          </w:p>
        </w:tc>
      </w:tr>
      <w:tr w:rsidR="00A43B89" w:rsidRPr="007E476B" w14:paraId="243F4A2F" w14:textId="77777777" w:rsidTr="00390151">
        <w:trPr>
          <w:gridBefore w:val="2"/>
          <w:cnfStyle w:val="000000010000" w:firstRow="0" w:lastRow="0" w:firstColumn="0" w:lastColumn="0" w:oddVBand="0" w:evenVBand="0" w:oddHBand="0" w:evenHBand="1"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2B95158E" w14:textId="77777777" w:rsidR="00A43B89" w:rsidRPr="007E476B" w:rsidRDefault="00A43B89" w:rsidP="00390151">
            <w:pPr>
              <w:spacing w:line="240" w:lineRule="exact"/>
              <w:contextualSpacing/>
              <w:jc w:val="left"/>
              <w:rPr>
                <w:rFonts w:ascii="Arial Narrow" w:hAnsi="Arial Narrow" w:cs="Arial"/>
                <w:snapToGrid w:val="0"/>
              </w:rPr>
            </w:pPr>
            <w:r w:rsidRPr="007E476B">
              <w:rPr>
                <w:rFonts w:ascii="Arial Narrow" w:hAnsi="Arial Narrow"/>
              </w:rPr>
              <w:lastRenderedPageBreak/>
              <w:t>SDG&amp;E</w:t>
            </w:r>
          </w:p>
        </w:tc>
        <w:tc>
          <w:tcPr>
            <w:tcW w:w="4230" w:type="dxa"/>
            <w:gridSpan w:val="3"/>
          </w:tcPr>
          <w:p w14:paraId="1168C367"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Not clear how the study dealt with increased penetration of solar and if that would impact adoption. (Incentives cannot exceed customer’s energy purchases)</w:t>
            </w:r>
          </w:p>
        </w:tc>
        <w:tc>
          <w:tcPr>
            <w:tcW w:w="4050" w:type="dxa"/>
            <w:gridSpan w:val="3"/>
          </w:tcPr>
          <w:p w14:paraId="7B1D0B16"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Out of scope of the study. May consider next round</w:t>
            </w:r>
          </w:p>
        </w:tc>
      </w:tr>
      <w:tr w:rsidR="00A43B89" w:rsidRPr="007E476B" w14:paraId="46AC9D23" w14:textId="77777777" w:rsidTr="00390151">
        <w:trPr>
          <w:gridBefore w:val="2"/>
          <w:cnfStyle w:val="000000100000" w:firstRow="0" w:lastRow="0" w:firstColumn="0" w:lastColumn="0" w:oddVBand="0" w:evenVBand="0" w:oddHBand="1" w:evenHBand="0"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2B0DC09F" w14:textId="77777777" w:rsidR="00A43B89" w:rsidRPr="007E476B" w:rsidRDefault="00A43B89" w:rsidP="00390151">
            <w:pPr>
              <w:spacing w:line="240" w:lineRule="exact"/>
              <w:contextualSpacing/>
              <w:jc w:val="left"/>
              <w:rPr>
                <w:rFonts w:ascii="Arial Narrow" w:hAnsi="Arial Narrow" w:cs="Arial"/>
                <w:snapToGrid w:val="0"/>
              </w:rPr>
            </w:pPr>
            <w:r w:rsidRPr="007E476B">
              <w:rPr>
                <w:rFonts w:ascii="Arial Narrow" w:hAnsi="Arial Narrow"/>
              </w:rPr>
              <w:t>SCE</w:t>
            </w:r>
          </w:p>
        </w:tc>
        <w:tc>
          <w:tcPr>
            <w:tcW w:w="4230" w:type="dxa"/>
            <w:gridSpan w:val="3"/>
          </w:tcPr>
          <w:p w14:paraId="49A35B8B"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Do not adopt ZNE in new construction market potential. 2019 ZNE will have to include other DER technologies in lieu of increased EE.</w:t>
            </w:r>
          </w:p>
        </w:tc>
        <w:tc>
          <w:tcPr>
            <w:tcW w:w="4050" w:type="dxa"/>
            <w:gridSpan w:val="3"/>
          </w:tcPr>
          <w:p w14:paraId="1AFBBDCA"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The ZNE measures in the Navigant study represent “ZNE-ready”. This term refers to savings achievable by EE, and does not include distributed generation</w:t>
            </w:r>
          </w:p>
        </w:tc>
      </w:tr>
      <w:tr w:rsidR="00A43B89" w:rsidRPr="007E476B" w14:paraId="32AEFF7F" w14:textId="77777777" w:rsidTr="00390151">
        <w:trPr>
          <w:gridBefore w:val="2"/>
          <w:cnfStyle w:val="000000010000" w:firstRow="0" w:lastRow="0" w:firstColumn="0" w:lastColumn="0" w:oddVBand="0" w:evenVBand="0" w:oddHBand="0" w:evenHBand="1"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9540" w:type="dxa"/>
            <w:gridSpan w:val="9"/>
            <w:shd w:val="clear" w:color="auto" w:fill="D9D9D9" w:themeFill="background1" w:themeFillShade="D9"/>
            <w:vAlign w:val="top"/>
          </w:tcPr>
          <w:p w14:paraId="67152EBD" w14:textId="77777777" w:rsidR="00A43B89" w:rsidRPr="007E476B" w:rsidRDefault="00A43B89" w:rsidP="00390151">
            <w:pPr>
              <w:keepNext/>
              <w:keepLines/>
              <w:spacing w:line="240" w:lineRule="auto"/>
              <w:rPr>
                <w:rFonts w:ascii="Arial Narrow" w:eastAsiaTheme="minorHAnsi" w:hAnsi="Arial Narrow" w:cstheme="minorBidi"/>
                <w:sz w:val="22"/>
                <w:szCs w:val="22"/>
              </w:rPr>
            </w:pPr>
            <w:r w:rsidRPr="007E476B">
              <w:rPr>
                <w:rFonts w:ascii="Arial Narrow" w:hAnsi="Arial Narrow"/>
              </w:rPr>
              <w:t>Technical Comments</w:t>
            </w:r>
          </w:p>
        </w:tc>
      </w:tr>
      <w:tr w:rsidR="00A43B89" w:rsidRPr="007E476B" w14:paraId="1D33AA2C" w14:textId="77777777" w:rsidTr="00390151">
        <w:trPr>
          <w:gridBefore w:val="2"/>
          <w:cnfStyle w:val="000000100000" w:firstRow="0" w:lastRow="0" w:firstColumn="0" w:lastColumn="0" w:oddVBand="0" w:evenVBand="0" w:oddHBand="1" w:evenHBand="0"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7E8C881F" w14:textId="77777777" w:rsidR="00A43B89" w:rsidRPr="007E476B" w:rsidRDefault="00A43B89" w:rsidP="00390151">
            <w:pPr>
              <w:spacing w:line="240" w:lineRule="exact"/>
              <w:contextualSpacing/>
              <w:jc w:val="left"/>
              <w:rPr>
                <w:rFonts w:ascii="Arial Narrow" w:hAnsi="Arial Narrow"/>
              </w:rPr>
            </w:pPr>
            <w:r w:rsidRPr="007E476B">
              <w:rPr>
                <w:rFonts w:ascii="Arial Narrow" w:hAnsi="Arial Narrow"/>
              </w:rPr>
              <w:t>SCE</w:t>
            </w:r>
          </w:p>
        </w:tc>
        <w:tc>
          <w:tcPr>
            <w:tcW w:w="4230" w:type="dxa"/>
            <w:gridSpan w:val="3"/>
          </w:tcPr>
          <w:p w14:paraId="704EF70F"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Adopt guidance from D.16-08-019 COL31 – establish code baseline for upstream programs. PG used blended baseline, which reduces market potential. Commission adopts a code baseline for lighting potential and savings.</w:t>
            </w:r>
          </w:p>
        </w:tc>
        <w:tc>
          <w:tcPr>
            <w:tcW w:w="4050" w:type="dxa"/>
            <w:gridSpan w:val="3"/>
          </w:tcPr>
          <w:p w14:paraId="2068E693"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 xml:space="preserve">No update necessary. </w:t>
            </w:r>
          </w:p>
          <w:p w14:paraId="73624D12"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The PG study uses a code baseline for lighting potential and savings and not a blended baseline.</w:t>
            </w:r>
          </w:p>
        </w:tc>
      </w:tr>
      <w:tr w:rsidR="00A43B89" w:rsidRPr="007E476B" w14:paraId="6E53AD9A" w14:textId="77777777" w:rsidTr="00390151">
        <w:trPr>
          <w:gridBefore w:val="2"/>
          <w:cnfStyle w:val="000000010000" w:firstRow="0" w:lastRow="0" w:firstColumn="0" w:lastColumn="0" w:oddVBand="0" w:evenVBand="0" w:oddHBand="0" w:evenHBand="1"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62140C8F" w14:textId="77777777" w:rsidR="00A43B89" w:rsidRPr="007E476B" w:rsidRDefault="00A43B89" w:rsidP="00390151">
            <w:pPr>
              <w:spacing w:line="240" w:lineRule="exact"/>
              <w:contextualSpacing/>
              <w:jc w:val="left"/>
              <w:rPr>
                <w:rFonts w:ascii="Arial Narrow" w:hAnsi="Arial Narrow"/>
              </w:rPr>
            </w:pPr>
            <w:r w:rsidRPr="007E476B">
              <w:rPr>
                <w:rFonts w:ascii="Arial Narrow" w:hAnsi="Arial Narrow"/>
              </w:rPr>
              <w:t>SCE</w:t>
            </w:r>
          </w:p>
        </w:tc>
        <w:tc>
          <w:tcPr>
            <w:tcW w:w="4230" w:type="dxa"/>
            <w:gridSpan w:val="3"/>
            <w:vAlign w:val="top"/>
          </w:tcPr>
          <w:p w14:paraId="3632BB18" w14:textId="77777777" w:rsidR="00A43B89" w:rsidRPr="007E476B" w:rsidRDefault="00A43B89" w:rsidP="00390151">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 xml:space="preserve">Add CFL in the competition group with LEDs due to advancements in CFL making comparable with LED. Updates can be made in off-year updates as recommended. </w:t>
            </w:r>
          </w:p>
        </w:tc>
        <w:tc>
          <w:tcPr>
            <w:tcW w:w="4050" w:type="dxa"/>
            <w:gridSpan w:val="3"/>
          </w:tcPr>
          <w:p w14:paraId="534045D5"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No update necessary.</w:t>
            </w:r>
          </w:p>
          <w:p w14:paraId="63C3EC78"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 xml:space="preserve">SCE has not provided any data or workpaper to support this request. Without this, Navigant is not able to characterize the measure. </w:t>
            </w:r>
          </w:p>
        </w:tc>
      </w:tr>
      <w:tr w:rsidR="00A43B89" w:rsidRPr="007E476B" w14:paraId="57C7CD69" w14:textId="77777777" w:rsidTr="00390151">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08"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1B37F05F" w14:textId="77777777" w:rsidR="00A43B89" w:rsidRPr="007E476B" w:rsidRDefault="00A43B89" w:rsidP="00390151">
            <w:pPr>
              <w:spacing w:line="240" w:lineRule="exact"/>
              <w:contextualSpacing/>
              <w:jc w:val="left"/>
              <w:rPr>
                <w:rFonts w:ascii="Arial Narrow" w:hAnsi="Arial Narrow"/>
              </w:rPr>
            </w:pPr>
            <w:r w:rsidRPr="007E476B">
              <w:rPr>
                <w:rFonts w:ascii="Arial Narrow" w:hAnsi="Arial Narrow"/>
              </w:rPr>
              <w:lastRenderedPageBreak/>
              <w:t>SCE, SCG, PG&amp;E</w:t>
            </w:r>
          </w:p>
        </w:tc>
        <w:tc>
          <w:tcPr>
            <w:tcW w:w="4230" w:type="dxa"/>
            <w:gridSpan w:val="3"/>
          </w:tcPr>
          <w:p w14:paraId="4C0D3711" w14:textId="77777777" w:rsidR="00A43B89" w:rsidRPr="007E476B" w:rsidRDefault="00A43B89" w:rsidP="00390151">
            <w:pPr>
              <w:pStyle w:val="ListParagraph"/>
              <w:ind w:left="36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7E476B">
              <w:rPr>
                <w:rFonts w:ascii="Arial Narrow" w:hAnsi="Arial Narrow"/>
                <w:szCs w:val="20"/>
              </w:rPr>
              <w:t xml:space="preserve">Adjust BRO market potential: </w:t>
            </w:r>
          </w:p>
          <w:p w14:paraId="320656C0" w14:textId="77777777" w:rsidR="00A43B89" w:rsidRPr="007E476B" w:rsidRDefault="00A43B89" w:rsidP="00A43B89">
            <w:pPr>
              <w:pStyle w:val="ListParagraph"/>
              <w:numPr>
                <w:ilvl w:val="0"/>
                <w:numId w:val="92"/>
              </w:numPr>
              <w:spacing w:before="40" w:line="240" w:lineRule="auto"/>
              <w:ind w:left="360"/>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7E476B">
              <w:rPr>
                <w:rFonts w:ascii="Arial Narrow" w:hAnsi="Arial Narrow"/>
                <w:szCs w:val="20"/>
              </w:rPr>
              <w:t>Commercial RCx EUL to 3 years instead of 5 years to align with program requirements. (SCE)</w:t>
            </w:r>
          </w:p>
          <w:p w14:paraId="383AD9D8" w14:textId="77777777" w:rsidR="00A43B89" w:rsidRPr="007E476B" w:rsidRDefault="00A43B89" w:rsidP="00A43B89">
            <w:pPr>
              <w:pStyle w:val="ListParagraph"/>
              <w:numPr>
                <w:ilvl w:val="0"/>
                <w:numId w:val="92"/>
              </w:numPr>
              <w:spacing w:before="40" w:line="240" w:lineRule="auto"/>
              <w:ind w:left="360"/>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7E476B">
              <w:rPr>
                <w:rFonts w:ascii="Arial Narrow" w:hAnsi="Arial Narrow"/>
                <w:szCs w:val="20"/>
              </w:rPr>
              <w:t>HERs market potential overestimated. (SCE,SCG, PG&amp;E)</w:t>
            </w:r>
          </w:p>
          <w:p w14:paraId="44C401FE" w14:textId="77777777" w:rsidR="00A43B89" w:rsidRPr="007E476B" w:rsidRDefault="00A43B89" w:rsidP="00A43B89">
            <w:pPr>
              <w:pStyle w:val="ListParagraph"/>
              <w:numPr>
                <w:ilvl w:val="0"/>
                <w:numId w:val="92"/>
              </w:numPr>
              <w:spacing w:before="40" w:line="240" w:lineRule="auto"/>
              <w:ind w:left="360"/>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7E476B">
              <w:rPr>
                <w:rFonts w:ascii="Arial Narrow" w:hAnsi="Arial Narrow"/>
                <w:szCs w:val="20"/>
              </w:rPr>
              <w:t xml:space="preserve">BER has no savings (PG&amp;E). </w:t>
            </w:r>
          </w:p>
          <w:p w14:paraId="2E8D54E7" w14:textId="77777777" w:rsidR="00A43B89" w:rsidRPr="007E476B" w:rsidRDefault="00A43B89" w:rsidP="00A43B89">
            <w:pPr>
              <w:pStyle w:val="ListParagraph"/>
              <w:numPr>
                <w:ilvl w:val="0"/>
                <w:numId w:val="92"/>
              </w:numPr>
              <w:spacing w:before="40" w:line="240" w:lineRule="auto"/>
              <w:ind w:left="360"/>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7E476B">
              <w:rPr>
                <w:rFonts w:ascii="Arial Narrow" w:hAnsi="Arial Narrow"/>
                <w:szCs w:val="20"/>
              </w:rPr>
              <w:t>Saturation increases program targets lower usage customers (market potential goes down) (SCE)</w:t>
            </w:r>
          </w:p>
          <w:p w14:paraId="7EFEDD68" w14:textId="77777777" w:rsidR="00A43B89" w:rsidRPr="007E476B" w:rsidRDefault="00A43B89" w:rsidP="00A43B89">
            <w:pPr>
              <w:pStyle w:val="ListParagraph"/>
              <w:numPr>
                <w:ilvl w:val="0"/>
                <w:numId w:val="92"/>
              </w:numPr>
              <w:spacing w:before="40" w:line="240" w:lineRule="auto"/>
              <w:ind w:left="360"/>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7E476B">
              <w:rPr>
                <w:rFonts w:ascii="Arial Narrow" w:hAnsi="Arial Narrow"/>
                <w:szCs w:val="20"/>
              </w:rPr>
              <w:t>Start year for Building Operator Training once BPs approved. (SCG)</w:t>
            </w:r>
          </w:p>
          <w:p w14:paraId="1280E787" w14:textId="77777777" w:rsidR="00A43B89" w:rsidRPr="007E476B" w:rsidRDefault="00A43B89" w:rsidP="00A43B89">
            <w:pPr>
              <w:pStyle w:val="ListParagraph"/>
              <w:numPr>
                <w:ilvl w:val="0"/>
                <w:numId w:val="92"/>
              </w:numPr>
              <w:spacing w:before="40" w:line="240" w:lineRule="auto"/>
              <w:ind w:left="360"/>
              <w:contextualSpacing/>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7E476B">
              <w:rPr>
                <w:rFonts w:ascii="Arial Narrow" w:hAnsi="Arial Narrow"/>
                <w:szCs w:val="20"/>
              </w:rPr>
              <w:t>Overall BRO savings overstated (SCG)</w:t>
            </w:r>
          </w:p>
        </w:tc>
        <w:tc>
          <w:tcPr>
            <w:tcW w:w="4050" w:type="dxa"/>
            <w:gridSpan w:val="3"/>
          </w:tcPr>
          <w:p w14:paraId="763EEC8C" w14:textId="77777777" w:rsidR="00A43B89" w:rsidRPr="007E476B" w:rsidRDefault="00A43B89" w:rsidP="00A43B89">
            <w:pPr>
              <w:pStyle w:val="ListParagraph"/>
              <w:numPr>
                <w:ilvl w:val="0"/>
                <w:numId w:val="93"/>
              </w:numPr>
              <w:spacing w:before="4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7E476B">
              <w:rPr>
                <w:rFonts w:ascii="Arial Narrow" w:hAnsi="Arial Narrow"/>
                <w:szCs w:val="20"/>
              </w:rPr>
              <w:t>EUL for RCx was updated to 3 years after the Webinar on April 20,</w:t>
            </w:r>
            <w:r w:rsidRPr="007E476B">
              <w:rPr>
                <w:rFonts w:ascii="Arial Narrow" w:hAnsi="Arial Narrow"/>
                <w:szCs w:val="20"/>
                <w:vertAlign w:val="superscript"/>
              </w:rPr>
              <w:t xml:space="preserve"> </w:t>
            </w:r>
            <w:r w:rsidRPr="007E476B">
              <w:rPr>
                <w:rFonts w:ascii="Arial Narrow" w:hAnsi="Arial Narrow"/>
                <w:szCs w:val="20"/>
              </w:rPr>
              <w:t>2017. No update necessary.</w:t>
            </w:r>
          </w:p>
          <w:p w14:paraId="6705B423" w14:textId="77777777" w:rsidR="00A43B89" w:rsidRPr="007E476B" w:rsidRDefault="00A43B89" w:rsidP="00A43B89">
            <w:pPr>
              <w:pStyle w:val="ListParagraph"/>
              <w:numPr>
                <w:ilvl w:val="0"/>
                <w:numId w:val="93"/>
              </w:numPr>
              <w:spacing w:before="4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7E476B">
              <w:rPr>
                <w:rFonts w:ascii="Arial Narrow" w:hAnsi="Arial Narrow"/>
                <w:szCs w:val="20"/>
              </w:rPr>
              <w:t xml:space="preserve">HERs: </w:t>
            </w:r>
          </w:p>
          <w:p w14:paraId="60DC9787" w14:textId="77777777" w:rsidR="00A43B89" w:rsidRPr="007E476B" w:rsidRDefault="00A43B89" w:rsidP="00390151">
            <w:pPr>
              <w:ind w:left="42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PG&amp;E: Data provided in the source PG&amp;E references does not indicate that PG&amp;E’s gas unit energy savings should be reduced. No update necessary.</w:t>
            </w:r>
          </w:p>
          <w:p w14:paraId="09ADF6B4" w14:textId="77777777" w:rsidR="00A43B89" w:rsidRPr="007E476B" w:rsidRDefault="00A43B89" w:rsidP="00390151">
            <w:pPr>
              <w:ind w:left="42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SCE: SCE forecast was updated to &lt;1% savings per participant and 17% penetration (up from 3%) to reflect data SCE provided in response to the April 20th webinar. No update necessary.</w:t>
            </w:r>
          </w:p>
          <w:p w14:paraId="71DE1701" w14:textId="77777777" w:rsidR="00A43B89" w:rsidRPr="007E476B" w:rsidRDefault="00A43B89" w:rsidP="00390151">
            <w:pPr>
              <w:ind w:left="42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SCG: HERs start date was pushed to 2018 in response to comments to the Webinar on April 20, 2017. Starting penetration reflects the total of pilot populations, and is in line with SCG’s provided penetration rate. No update necessary.</w:t>
            </w:r>
          </w:p>
          <w:p w14:paraId="7025635E" w14:textId="77777777" w:rsidR="00A43B89" w:rsidRPr="007E476B" w:rsidRDefault="00A43B89" w:rsidP="00A43B89">
            <w:pPr>
              <w:pStyle w:val="ListParagraph"/>
              <w:numPr>
                <w:ilvl w:val="0"/>
                <w:numId w:val="93"/>
              </w:numPr>
              <w:spacing w:before="4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7E476B">
              <w:rPr>
                <w:rFonts w:ascii="Arial Narrow" w:hAnsi="Arial Narrow"/>
                <w:szCs w:val="20"/>
              </w:rPr>
              <w:t>BERs will be removed from the reference scenario to reflect data PG&amp;E has provided on recent program trials. Study updated.</w:t>
            </w:r>
          </w:p>
          <w:p w14:paraId="6561FD77" w14:textId="77777777" w:rsidR="00A43B89" w:rsidRPr="007E476B" w:rsidRDefault="00A43B89" w:rsidP="00A43B89">
            <w:pPr>
              <w:pStyle w:val="ListParagraph"/>
              <w:numPr>
                <w:ilvl w:val="0"/>
                <w:numId w:val="93"/>
              </w:numPr>
              <w:spacing w:before="4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7E476B">
              <w:rPr>
                <w:rFonts w:ascii="Arial Narrow" w:hAnsi="Arial Narrow"/>
                <w:szCs w:val="20"/>
              </w:rPr>
              <w:t xml:space="preserve">HERs market potential is based on percent savings per average customer, so targeting customers with high consumption first would result in front-loading savings, but not reduce total savings over time. Navigant also limits penetration to account for utilities not offering the program to customers with consumption in the bottom quartile. No update necessary. </w:t>
            </w:r>
          </w:p>
          <w:p w14:paraId="7B45A2DB" w14:textId="77777777" w:rsidR="00A43B89" w:rsidRPr="007E476B" w:rsidRDefault="00A43B89" w:rsidP="00390151">
            <w:pPr>
              <w:ind w:left="6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5+6. SCG BOC, BEIMS, and RCx program start dates will be pushed to 2018 to reflect that SCG is not claiming savings from these efforts until this time. Study updated.</w:t>
            </w:r>
          </w:p>
          <w:p w14:paraId="3985A997"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A43B89" w:rsidRPr="007E476B" w14:paraId="2530FFA0" w14:textId="77777777" w:rsidTr="00390151">
        <w:trPr>
          <w:gridBefore w:val="2"/>
          <w:cnfStyle w:val="000000010000" w:firstRow="0" w:lastRow="0" w:firstColumn="0" w:lastColumn="0" w:oddVBand="0" w:evenVBand="0" w:oddHBand="0" w:evenHBand="1"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272020E5" w14:textId="77777777" w:rsidR="00A43B89" w:rsidRPr="007E476B" w:rsidRDefault="00A43B89" w:rsidP="00390151">
            <w:pPr>
              <w:spacing w:line="240" w:lineRule="exact"/>
              <w:contextualSpacing/>
              <w:jc w:val="left"/>
              <w:rPr>
                <w:rFonts w:ascii="Arial Narrow" w:hAnsi="Arial Narrow"/>
              </w:rPr>
            </w:pPr>
            <w:r w:rsidRPr="007E476B">
              <w:rPr>
                <w:rFonts w:ascii="Arial Narrow" w:hAnsi="Arial Narrow"/>
              </w:rPr>
              <w:t>SCE</w:t>
            </w:r>
          </w:p>
        </w:tc>
        <w:tc>
          <w:tcPr>
            <w:tcW w:w="4230" w:type="dxa"/>
            <w:gridSpan w:val="3"/>
          </w:tcPr>
          <w:p w14:paraId="169AAC50"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Reevaluate Peak-to-energy ratio for HVAC as per SCE program performance and PG PTE ratio.</w:t>
            </w:r>
          </w:p>
        </w:tc>
        <w:tc>
          <w:tcPr>
            <w:tcW w:w="4050" w:type="dxa"/>
            <w:gridSpan w:val="3"/>
          </w:tcPr>
          <w:p w14:paraId="46D1389A" w14:textId="77777777" w:rsidR="00A43B89" w:rsidRPr="007E476B" w:rsidRDefault="00A43B89" w:rsidP="00390151">
            <w:pPr>
              <w:pStyle w:val="CommentText"/>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The peak to energy (kW/kWh) ratios for the individual technologies in the measure characterization database are sourced from DEER and the IOU Workpapers. The difference in the peak to energy ratios in the IOU programs and those reported in the PG study are due to 2016 avoided cost updates. The PTE ratios in the PG study are low because high demand impact measures are not cost-effective under the new avoided costs. The PTE ratios under scenarios 2-5 are higher and more aligned with previously reported program savings. No update necessary.</w:t>
            </w:r>
          </w:p>
          <w:p w14:paraId="637546FB"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p>
        </w:tc>
      </w:tr>
      <w:tr w:rsidR="00A43B89" w:rsidRPr="007E476B" w14:paraId="0E2F5A98" w14:textId="77777777" w:rsidTr="00390151">
        <w:trPr>
          <w:gridBefore w:val="2"/>
          <w:cnfStyle w:val="000000100000" w:firstRow="0" w:lastRow="0" w:firstColumn="0" w:lastColumn="0" w:oddVBand="0" w:evenVBand="0" w:oddHBand="1" w:evenHBand="0"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63CB5AF0" w14:textId="77777777" w:rsidR="00A43B89" w:rsidRPr="007E476B" w:rsidRDefault="00A43B89" w:rsidP="00390151">
            <w:pPr>
              <w:spacing w:line="240" w:lineRule="exact"/>
              <w:contextualSpacing/>
              <w:jc w:val="left"/>
              <w:rPr>
                <w:rFonts w:ascii="Arial Narrow" w:hAnsi="Arial Narrow"/>
              </w:rPr>
            </w:pPr>
            <w:r w:rsidRPr="007E476B">
              <w:rPr>
                <w:rFonts w:ascii="Arial Narrow" w:hAnsi="Arial Narrow"/>
              </w:rPr>
              <w:lastRenderedPageBreak/>
              <w:t>SCE</w:t>
            </w:r>
          </w:p>
        </w:tc>
        <w:tc>
          <w:tcPr>
            <w:tcW w:w="4230" w:type="dxa"/>
            <w:gridSpan w:val="3"/>
            <w:vAlign w:val="top"/>
          </w:tcPr>
          <w:p w14:paraId="0B6CA3C6" w14:textId="77777777" w:rsidR="00A43B89" w:rsidRPr="007E476B" w:rsidRDefault="00A43B89" w:rsidP="00390151">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 xml:space="preserve">Provide competition groups definition </w:t>
            </w:r>
          </w:p>
        </w:tc>
        <w:tc>
          <w:tcPr>
            <w:tcW w:w="4050" w:type="dxa"/>
            <w:gridSpan w:val="3"/>
          </w:tcPr>
          <w:p w14:paraId="61D39CB3"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This information is provided in the MICS database. Please see the “technology group” column. No update necessary.</w:t>
            </w:r>
          </w:p>
        </w:tc>
      </w:tr>
      <w:tr w:rsidR="00A43B89" w:rsidRPr="007E476B" w14:paraId="34F08781" w14:textId="77777777" w:rsidTr="00390151">
        <w:trPr>
          <w:gridBefore w:val="2"/>
          <w:cnfStyle w:val="000000010000" w:firstRow="0" w:lastRow="0" w:firstColumn="0" w:lastColumn="0" w:oddVBand="0" w:evenVBand="0" w:oddHBand="0" w:evenHBand="1"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49B32B58" w14:textId="77777777" w:rsidR="00A43B89" w:rsidRPr="007E476B" w:rsidRDefault="00A43B89" w:rsidP="00390151">
            <w:pPr>
              <w:spacing w:line="240" w:lineRule="exact"/>
              <w:contextualSpacing/>
              <w:jc w:val="left"/>
              <w:rPr>
                <w:rFonts w:ascii="Arial Narrow" w:hAnsi="Arial Narrow"/>
              </w:rPr>
            </w:pPr>
            <w:r w:rsidRPr="007E476B">
              <w:rPr>
                <w:rFonts w:ascii="Arial Narrow" w:hAnsi="Arial Narrow"/>
              </w:rPr>
              <w:t>SCE</w:t>
            </w:r>
          </w:p>
        </w:tc>
        <w:tc>
          <w:tcPr>
            <w:tcW w:w="4230" w:type="dxa"/>
            <w:gridSpan w:val="3"/>
            <w:vAlign w:val="top"/>
          </w:tcPr>
          <w:p w14:paraId="7992BCA9" w14:textId="77777777" w:rsidR="00A43B89" w:rsidRPr="007E476B" w:rsidRDefault="00A43B89" w:rsidP="00390151">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 xml:space="preserve">Update definition of Potential, Economic, Achievable and Naturally Occurring – update the meaning of results, not changing the meaning. </w:t>
            </w:r>
          </w:p>
        </w:tc>
        <w:tc>
          <w:tcPr>
            <w:tcW w:w="4050" w:type="dxa"/>
            <w:gridSpan w:val="3"/>
          </w:tcPr>
          <w:p w14:paraId="0D5C9C9A"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SCE’s definition of potential is consistent with how Navigant defines these terms in the report. No update necessary.</w:t>
            </w:r>
          </w:p>
        </w:tc>
      </w:tr>
      <w:tr w:rsidR="00A43B89" w:rsidRPr="007E476B" w14:paraId="4AF474C3" w14:textId="77777777" w:rsidTr="00390151">
        <w:trPr>
          <w:gridBefore w:val="2"/>
          <w:cnfStyle w:val="000000100000" w:firstRow="0" w:lastRow="0" w:firstColumn="0" w:lastColumn="0" w:oddVBand="0" w:evenVBand="0" w:oddHBand="1" w:evenHBand="0"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0A8B2540" w14:textId="77777777" w:rsidR="00A43B89" w:rsidRPr="007E476B" w:rsidRDefault="00A43B89" w:rsidP="00390151">
            <w:pPr>
              <w:spacing w:line="240" w:lineRule="exact"/>
              <w:contextualSpacing/>
              <w:jc w:val="left"/>
              <w:rPr>
                <w:rFonts w:ascii="Arial Narrow" w:hAnsi="Arial Narrow"/>
              </w:rPr>
            </w:pPr>
            <w:r w:rsidRPr="007E476B">
              <w:rPr>
                <w:rFonts w:ascii="Arial Narrow" w:hAnsi="Arial Narrow"/>
              </w:rPr>
              <w:t>SCG</w:t>
            </w:r>
          </w:p>
        </w:tc>
        <w:tc>
          <w:tcPr>
            <w:tcW w:w="4230" w:type="dxa"/>
            <w:gridSpan w:val="3"/>
            <w:shd w:val="clear" w:color="auto" w:fill="auto"/>
          </w:tcPr>
          <w:p w14:paraId="1720C35F"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Increase cost-effectiveness screen for measures to 1.0 from 0.85 in PG. Lower threshold impacts overall cost-effectiveness.</w:t>
            </w:r>
          </w:p>
        </w:tc>
        <w:tc>
          <w:tcPr>
            <w:tcW w:w="4050" w:type="dxa"/>
            <w:gridSpan w:val="3"/>
            <w:shd w:val="clear" w:color="auto" w:fill="auto"/>
          </w:tcPr>
          <w:p w14:paraId="5EF3D30D"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The rationale for including individual measures with TRC of 0.85 is based on cost-effectiveness calculated at portfolio level instead of measure level. A 0.85 TRC will ensure that a broader set of measures are considered for the market potential calculation, including measures included in the existing portfolios. No update necessary.</w:t>
            </w:r>
          </w:p>
        </w:tc>
      </w:tr>
      <w:tr w:rsidR="00A43B89" w:rsidRPr="007E476B" w14:paraId="68CCDFE5" w14:textId="77777777" w:rsidTr="00390151">
        <w:trPr>
          <w:gridBefore w:val="2"/>
          <w:cnfStyle w:val="000000010000" w:firstRow="0" w:lastRow="0" w:firstColumn="0" w:lastColumn="0" w:oddVBand="0" w:evenVBand="0" w:oddHBand="0" w:evenHBand="1"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1F302AEB" w14:textId="77777777" w:rsidR="00A43B89" w:rsidRPr="007E476B" w:rsidRDefault="00A43B89" w:rsidP="00390151">
            <w:pPr>
              <w:spacing w:line="240" w:lineRule="exact"/>
              <w:contextualSpacing/>
              <w:jc w:val="left"/>
              <w:rPr>
                <w:rFonts w:ascii="Arial Narrow" w:hAnsi="Arial Narrow"/>
              </w:rPr>
            </w:pPr>
            <w:r w:rsidRPr="007E476B">
              <w:rPr>
                <w:rFonts w:ascii="Arial Narrow" w:hAnsi="Arial Narrow"/>
              </w:rPr>
              <w:t>SCG</w:t>
            </w:r>
          </w:p>
        </w:tc>
        <w:tc>
          <w:tcPr>
            <w:tcW w:w="4230" w:type="dxa"/>
            <w:gridSpan w:val="3"/>
          </w:tcPr>
          <w:p w14:paraId="15EB3731"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Update ISP baseline for AIMS sector; update use of shell improvement in Ag as per ex-ante review guideline</w:t>
            </w:r>
          </w:p>
        </w:tc>
        <w:tc>
          <w:tcPr>
            <w:tcW w:w="4050" w:type="dxa"/>
            <w:gridSpan w:val="3"/>
          </w:tcPr>
          <w:p w14:paraId="7BB100A7" w14:textId="77777777" w:rsidR="00A43B89" w:rsidRPr="007E476B" w:rsidRDefault="00A43B89" w:rsidP="00390151">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b/>
                <w:bCs/>
              </w:rPr>
              <w:t>ISP baseline:</w:t>
            </w:r>
            <w:r w:rsidRPr="007E476B">
              <w:rPr>
                <w:rFonts w:ascii="Arial Narrow" w:hAnsi="Arial Narrow"/>
              </w:rPr>
              <w:t xml:space="preserve"> The AIMS sector portion of the study relied primarily on the most recent EEStats ex-ante program data to inform measure selection and characterization. These data represent approved measures after any screening for ISP, and the forecast would therefore exclude any measures currently designated as ISP. The analysis assumes the most current interpretations of ISP are reflected in EEStats.  The model does not attempt to identify, or modify the forecast for any measures that might convert to ISP in the future. No update necessary.</w:t>
            </w:r>
          </w:p>
          <w:p w14:paraId="50730D2A"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b/>
                <w:bCs/>
              </w:rPr>
              <w:t>Ag shell improvement:</w:t>
            </w:r>
            <w:r w:rsidRPr="007E476B">
              <w:rPr>
                <w:rFonts w:ascii="Arial Narrow" w:hAnsi="Arial Narrow"/>
              </w:rPr>
              <w:t xml:space="preserve"> The AIMS sector inputs were updated based on the most current information available including California specific sources such as EEStats, DEER, and IOU workpapers. These measures were also presented and vetted by stakeholders during initial public workshops. The team strived to use these California specific sources and feedback in order to align with regulatory guidance. The Greenhouse Process Improvement (Shell Improvements) measure relates to the entire stock of applicable greenhouses- those above and below 1 million square feet in size (Energy Division’s moratorium relates to facilities over 1 million square feet). Additionally, the measure includes improvements beyond curtain measures such as insulation improvements for greenhouse process/HVAC equipment. No update necessary. </w:t>
            </w:r>
          </w:p>
        </w:tc>
      </w:tr>
      <w:tr w:rsidR="00A43B89" w:rsidRPr="007E476B" w14:paraId="63A5E0F6" w14:textId="77777777" w:rsidTr="00390151">
        <w:trPr>
          <w:gridBefore w:val="2"/>
          <w:cnfStyle w:val="000000100000" w:firstRow="0" w:lastRow="0" w:firstColumn="0" w:lastColumn="0" w:oddVBand="0" w:evenVBand="0" w:oddHBand="1" w:evenHBand="0"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16B633A7" w14:textId="77777777" w:rsidR="00A43B89" w:rsidRPr="007E476B" w:rsidRDefault="00A43B89" w:rsidP="00390151">
            <w:pPr>
              <w:spacing w:line="240" w:lineRule="exact"/>
              <w:contextualSpacing/>
              <w:jc w:val="left"/>
              <w:rPr>
                <w:rFonts w:ascii="Arial Narrow" w:hAnsi="Arial Narrow"/>
              </w:rPr>
            </w:pPr>
            <w:r w:rsidRPr="007E476B">
              <w:rPr>
                <w:rFonts w:ascii="Arial Narrow" w:hAnsi="Arial Narrow"/>
              </w:rPr>
              <w:t>SCG</w:t>
            </w:r>
          </w:p>
        </w:tc>
        <w:tc>
          <w:tcPr>
            <w:tcW w:w="4230" w:type="dxa"/>
            <w:gridSpan w:val="3"/>
            <w:vAlign w:val="top"/>
          </w:tcPr>
          <w:p w14:paraId="66E850E0"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PG should not establish sub-targets for savings (BRO, Incentive, etc.)</w:t>
            </w:r>
          </w:p>
        </w:tc>
        <w:tc>
          <w:tcPr>
            <w:tcW w:w="4050" w:type="dxa"/>
            <w:gridSpan w:val="3"/>
          </w:tcPr>
          <w:p w14:paraId="79739EF4"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 xml:space="preserve">Out of the scope of this study. </w:t>
            </w:r>
          </w:p>
        </w:tc>
      </w:tr>
      <w:tr w:rsidR="00A43B89" w:rsidRPr="007E476B" w14:paraId="3C00253D" w14:textId="77777777" w:rsidTr="00390151">
        <w:trPr>
          <w:gridBefore w:val="2"/>
          <w:cnfStyle w:val="000000010000" w:firstRow="0" w:lastRow="0" w:firstColumn="0" w:lastColumn="0" w:oddVBand="0" w:evenVBand="0" w:oddHBand="0" w:evenHBand="1"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6DB433FA" w14:textId="77777777" w:rsidR="00A43B89" w:rsidRPr="007E476B" w:rsidRDefault="00A43B89" w:rsidP="00390151">
            <w:pPr>
              <w:spacing w:line="240" w:lineRule="exact"/>
              <w:contextualSpacing/>
              <w:jc w:val="left"/>
              <w:rPr>
                <w:rFonts w:ascii="Arial Narrow" w:hAnsi="Arial Narrow"/>
              </w:rPr>
            </w:pPr>
            <w:r w:rsidRPr="007E476B">
              <w:rPr>
                <w:rFonts w:ascii="Arial Narrow" w:hAnsi="Arial Narrow"/>
              </w:rPr>
              <w:t>SCG</w:t>
            </w:r>
          </w:p>
        </w:tc>
        <w:tc>
          <w:tcPr>
            <w:tcW w:w="4230" w:type="dxa"/>
            <w:gridSpan w:val="3"/>
            <w:vAlign w:val="top"/>
          </w:tcPr>
          <w:p w14:paraId="353AEC44"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Include Gross and Net savings to help track historic savings</w:t>
            </w:r>
          </w:p>
        </w:tc>
        <w:tc>
          <w:tcPr>
            <w:tcW w:w="4050" w:type="dxa"/>
            <w:gridSpan w:val="3"/>
          </w:tcPr>
          <w:p w14:paraId="3086BCA7"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The results viewer does include a view of Gross savings at the end-use level</w:t>
            </w:r>
          </w:p>
        </w:tc>
      </w:tr>
      <w:tr w:rsidR="00A43B89" w:rsidRPr="007E476B" w14:paraId="473DB810" w14:textId="77777777" w:rsidTr="00390151">
        <w:trPr>
          <w:gridAfter w:val="2"/>
          <w:cnfStyle w:val="000000100000" w:firstRow="0" w:lastRow="0" w:firstColumn="0" w:lastColumn="0" w:oddVBand="0" w:evenVBand="0" w:oddHBand="1" w:evenHBand="0" w:firstRowFirstColumn="0" w:firstRowLastColumn="0" w:lastRowFirstColumn="0" w:lastRowLastColumn="0"/>
          <w:wAfter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6CA17571" w14:textId="77777777" w:rsidR="00A43B89" w:rsidRPr="007E476B" w:rsidRDefault="00A43B89" w:rsidP="00390151">
            <w:pPr>
              <w:spacing w:line="240" w:lineRule="exact"/>
              <w:contextualSpacing/>
              <w:jc w:val="left"/>
              <w:rPr>
                <w:rFonts w:ascii="Arial Narrow" w:hAnsi="Arial Narrow"/>
              </w:rPr>
            </w:pPr>
            <w:r w:rsidRPr="007E476B">
              <w:rPr>
                <w:rFonts w:ascii="Arial Narrow" w:hAnsi="Arial Narrow"/>
              </w:rPr>
              <w:lastRenderedPageBreak/>
              <w:t>PG&amp;E</w:t>
            </w:r>
          </w:p>
        </w:tc>
        <w:tc>
          <w:tcPr>
            <w:tcW w:w="4230" w:type="dxa"/>
            <w:gridSpan w:val="3"/>
          </w:tcPr>
          <w:p w14:paraId="0923598E"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 xml:space="preserve">Correct discrepancies in Res Lighting: CFL measure potential; </w:t>
            </w:r>
          </w:p>
        </w:tc>
        <w:tc>
          <w:tcPr>
            <w:tcW w:w="4050" w:type="dxa"/>
            <w:gridSpan w:val="3"/>
          </w:tcPr>
          <w:p w14:paraId="2C2F4679" w14:textId="77777777" w:rsidR="00A43B89" w:rsidRPr="007E476B" w:rsidRDefault="00A43B89" w:rsidP="00390151">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7E476B">
              <w:rPr>
                <w:rFonts w:ascii="Arial Narrow" w:hAnsi="Arial Narrow" w:cs="Arial"/>
              </w:rPr>
              <w:t xml:space="preserve">CFL Measure Potential </w:t>
            </w:r>
          </w:p>
          <w:p w14:paraId="2CAF580A" w14:textId="77777777" w:rsidR="00A43B89" w:rsidRPr="007E476B" w:rsidRDefault="00A43B89" w:rsidP="00390151">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7E476B">
              <w:rPr>
                <w:rFonts w:ascii="Arial Narrow" w:hAnsi="Arial Narrow" w:cs="Arial"/>
              </w:rPr>
              <w:t xml:space="preserve">PG&amp;E asked why CFL specialty bulbs show up in the potential when EISA standards should apply. Navigant consulted its codes &amp; standards expert and notes the following timeline: </w:t>
            </w:r>
          </w:p>
          <w:p w14:paraId="5DD1476E" w14:textId="77777777" w:rsidR="00A43B89" w:rsidRPr="007E476B" w:rsidRDefault="00A43B89" w:rsidP="00A43B89">
            <w:pPr>
              <w:numPr>
                <w:ilvl w:val="0"/>
                <w:numId w:val="94"/>
              </w:numPr>
              <w:spacing w:line="240" w:lineRule="auto"/>
              <w:ind w:left="3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7E476B">
              <w:rPr>
                <w:rFonts w:ascii="Arial Narrow" w:hAnsi="Arial Narrow" w:cs="Arial"/>
              </w:rPr>
              <w:t>Title 20 adopted new standards for general service lamps starting in 2018. Based on the Title 20 definition, specialty lamps are exempt from the standard.</w:t>
            </w:r>
          </w:p>
          <w:p w14:paraId="40AE31F5" w14:textId="77777777" w:rsidR="00A43B89" w:rsidRPr="007E476B" w:rsidRDefault="00A43B89" w:rsidP="00A43B89">
            <w:pPr>
              <w:numPr>
                <w:ilvl w:val="0"/>
                <w:numId w:val="94"/>
              </w:numPr>
              <w:spacing w:line="240" w:lineRule="auto"/>
              <w:ind w:left="3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7E476B">
              <w:rPr>
                <w:rFonts w:ascii="Arial Narrow" w:hAnsi="Arial Narrow" w:cs="Arial"/>
              </w:rPr>
              <w:t>Concurrently, there was an ongoing federal rulemaking that concluded most specialty lamps will be subject to the EISA standard. This standard will supersede state standards starting in 2020.</w:t>
            </w:r>
          </w:p>
          <w:p w14:paraId="75BF6C87" w14:textId="77777777" w:rsidR="00A43B89" w:rsidRPr="007E476B" w:rsidRDefault="00A43B89" w:rsidP="00A43B89">
            <w:pPr>
              <w:numPr>
                <w:ilvl w:val="0"/>
                <w:numId w:val="94"/>
              </w:numPr>
              <w:spacing w:line="240" w:lineRule="auto"/>
              <w:ind w:left="3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7E476B">
              <w:rPr>
                <w:rFonts w:ascii="Arial Narrow" w:hAnsi="Arial Narrow" w:cs="Arial"/>
              </w:rPr>
              <w:t xml:space="preserve">The federal rulemaking was only finalized in January 2017. Since our measure characterization work concluded in 2016, and our general policy regarding standards is not to include them until they are finalized, specialty lamps continued to be exempt from the standard in our draft results. </w:t>
            </w:r>
          </w:p>
          <w:p w14:paraId="4BB35FCB" w14:textId="77777777" w:rsidR="00A43B89" w:rsidRPr="007E476B" w:rsidRDefault="00A43B89" w:rsidP="00390151">
            <w:pPr>
              <w:ind w:left="72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rPr>
            </w:pPr>
          </w:p>
          <w:p w14:paraId="3B6EC630" w14:textId="77777777" w:rsidR="00A43B89" w:rsidRPr="007E476B" w:rsidRDefault="00A43B89" w:rsidP="00390151">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7E476B">
              <w:rPr>
                <w:rFonts w:ascii="Arial Narrow" w:hAnsi="Arial Narrow" w:cs="Arial"/>
              </w:rPr>
              <w:t>Navigant has applied the standard to CFL specialty bulbs for the final release. Study updated.</w:t>
            </w:r>
          </w:p>
          <w:p w14:paraId="23B5F84E" w14:textId="77777777" w:rsidR="00A43B89" w:rsidRPr="007E476B" w:rsidRDefault="00A43B89" w:rsidP="00390151">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rPr>
            </w:pPr>
          </w:p>
          <w:p w14:paraId="17038C26" w14:textId="77777777" w:rsidR="00A43B89" w:rsidRPr="007E476B" w:rsidRDefault="00A43B89" w:rsidP="00390151">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rPr>
            </w:pPr>
          </w:p>
          <w:p w14:paraId="7E24500A" w14:textId="77777777" w:rsidR="00A43B89" w:rsidRPr="007E476B" w:rsidRDefault="00A43B89" w:rsidP="00390151">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7E476B">
              <w:rPr>
                <w:rFonts w:ascii="Arial Narrow" w:hAnsi="Arial Narrow" w:cs="Arial"/>
              </w:rPr>
              <w:t>LED- align baseline with staff LED disposition direction</w:t>
            </w:r>
          </w:p>
          <w:p w14:paraId="521F7F5A" w14:textId="77777777" w:rsidR="00A43B89" w:rsidRPr="007E476B" w:rsidRDefault="00A43B89" w:rsidP="00390151">
            <w:pPr>
              <w:ind w:left="360"/>
              <w:cnfStyle w:val="000000100000" w:firstRow="0" w:lastRow="0" w:firstColumn="0" w:lastColumn="0" w:oddVBand="0" w:evenVBand="0" w:oddHBand="1" w:evenHBand="0" w:firstRowFirstColumn="0" w:firstRowLastColumn="0" w:lastRowFirstColumn="0" w:lastRowLastColumn="0"/>
              <w:rPr>
                <w:rFonts w:ascii="Arial Narrow" w:hAnsi="Arial Narrow" w:cs="Arial"/>
              </w:rPr>
            </w:pPr>
          </w:p>
          <w:p w14:paraId="1D6572F1" w14:textId="77777777" w:rsidR="00A43B89" w:rsidRPr="007E476B" w:rsidRDefault="00A43B89" w:rsidP="00390151">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rPr>
            </w:pPr>
          </w:p>
          <w:p w14:paraId="57F759D2" w14:textId="77777777" w:rsidR="00A43B89" w:rsidRPr="007E476B" w:rsidRDefault="00A43B89" w:rsidP="00390151">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7E476B">
              <w:rPr>
                <w:rFonts w:ascii="Arial Narrow" w:hAnsi="Arial Narrow" w:cs="Arial"/>
              </w:rPr>
              <w:t xml:space="preserve"> </w:t>
            </w:r>
          </w:p>
        </w:tc>
      </w:tr>
      <w:tr w:rsidR="00A43B89" w:rsidRPr="007E476B" w14:paraId="7E86292E" w14:textId="77777777" w:rsidTr="00390151">
        <w:trPr>
          <w:gridAfter w:val="2"/>
          <w:cnfStyle w:val="000000010000" w:firstRow="0" w:lastRow="0" w:firstColumn="0" w:lastColumn="0" w:oddVBand="0" w:evenVBand="0" w:oddHBand="0" w:evenHBand="1" w:firstRowFirstColumn="0" w:firstRowLastColumn="0" w:lastRowFirstColumn="0" w:lastRowLastColumn="0"/>
          <w:wAfter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25CB116F" w14:textId="77777777" w:rsidR="00A43B89" w:rsidRPr="007E476B" w:rsidRDefault="00A43B89" w:rsidP="00390151">
            <w:pPr>
              <w:spacing w:line="240" w:lineRule="exact"/>
              <w:contextualSpacing/>
              <w:rPr>
                <w:rFonts w:ascii="Arial Narrow" w:hAnsi="Arial Narrow"/>
              </w:rPr>
            </w:pPr>
            <w:r w:rsidRPr="007E476B">
              <w:rPr>
                <w:rFonts w:ascii="Arial Narrow" w:hAnsi="Arial Narrow"/>
              </w:rPr>
              <w:lastRenderedPageBreak/>
              <w:t>PG&amp;E</w:t>
            </w:r>
          </w:p>
        </w:tc>
        <w:tc>
          <w:tcPr>
            <w:tcW w:w="4230" w:type="dxa"/>
            <w:gridSpan w:val="3"/>
          </w:tcPr>
          <w:p w14:paraId="7A689E12"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LED – align baseline with staff LED disposition direction</w:t>
            </w:r>
          </w:p>
        </w:tc>
        <w:tc>
          <w:tcPr>
            <w:tcW w:w="4050" w:type="dxa"/>
            <w:gridSpan w:val="3"/>
          </w:tcPr>
          <w:p w14:paraId="1A851513" w14:textId="37046532" w:rsidR="00A43B89" w:rsidRPr="007E476B" w:rsidRDefault="00A43B89" w:rsidP="00390151">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rPr>
            </w:pPr>
            <w:r w:rsidRPr="007E476B">
              <w:rPr>
                <w:rFonts w:ascii="Arial Narrow" w:hAnsi="Arial Narrow" w:cs="Arial"/>
              </w:rPr>
              <w:t>Commission staff acknowledges that the technology baseline of 100% CFLs is inconsistent with the recent screw-in lamp disposition directing a revised gross savings baseline for LED lamp measures. The baseline directed in the disposition represents a mixture of normally occurring sales of halogen, compact fluorescent and LED lamps. The recent disposition also raised the NTG for LEDs under the assumption that normally occurring sales of LEDs should represent a reduction in gross savings, rather than net savings. The P&amp;G baseline removes any portion of halogen sales due to Title 20 revisions that are effective 1/1/2018, but does not consider in the gross baseline any normally occurring sales of LEDs. The P&amp;G baseline shifts the normally occurring LED sales back into net savings, rather than a gross savings adjustment as directed in the recent disposition. Therefore, the NTG of 0.91 included in the disposition would be too high when assuming a baseline of all CFLs. With the rapid changes in the market and the upcoming 2018 federal standard, it is likely that the adjustments directed in the disposition would soon become outdated and not reflective of the future baseline mix. In order to account for some of the uncertainty, Navigant consulted with Commission staff and the ex-ante consultants and agreed that the best way to reduce the impact of the uncertainty in future forecast in this study would be to apply the default DEER NTG (</w:t>
            </w:r>
            <w:r w:rsidR="00141388">
              <w:rPr>
                <w:rFonts w:ascii="Arial Narrow" w:hAnsi="Arial Narrow" w:cs="Arial"/>
              </w:rPr>
              <w:t xml:space="preserve">Non-Res </w:t>
            </w:r>
            <w:r w:rsidRPr="007E476B">
              <w:rPr>
                <w:rFonts w:ascii="Arial Narrow" w:hAnsi="Arial Narrow" w:cs="Arial"/>
              </w:rPr>
              <w:t>=</w:t>
            </w:r>
            <w:r w:rsidR="00141388">
              <w:rPr>
                <w:rFonts w:ascii="Arial Narrow" w:hAnsi="Arial Narrow" w:cs="Arial"/>
              </w:rPr>
              <w:t xml:space="preserve"> 0</w:t>
            </w:r>
            <w:r w:rsidRPr="007E476B">
              <w:rPr>
                <w:rFonts w:ascii="Arial Narrow" w:hAnsi="Arial Narrow" w:cs="Arial"/>
              </w:rPr>
              <w:t>.6 and Res</w:t>
            </w:r>
            <w:r w:rsidR="00141388">
              <w:rPr>
                <w:rFonts w:ascii="Arial Narrow" w:hAnsi="Arial Narrow" w:cs="Arial"/>
              </w:rPr>
              <w:t xml:space="preserve"> </w:t>
            </w:r>
            <w:r w:rsidRPr="007E476B">
              <w:rPr>
                <w:rFonts w:ascii="Arial Narrow" w:hAnsi="Arial Narrow" w:cs="Arial"/>
              </w:rPr>
              <w:t>=</w:t>
            </w:r>
            <w:r w:rsidR="00141388">
              <w:rPr>
                <w:rFonts w:ascii="Arial Narrow" w:hAnsi="Arial Narrow" w:cs="Arial"/>
              </w:rPr>
              <w:t xml:space="preserve"> 0</w:t>
            </w:r>
            <w:r w:rsidRPr="007E476B">
              <w:rPr>
                <w:rFonts w:ascii="Arial Narrow" w:hAnsi="Arial Narrow" w:cs="Arial"/>
              </w:rPr>
              <w:t>.55). As ex-ante review will continue to update the baseline mix and calculate a corresponding NTG adjustment, in absence of better information, reverting to the default assumption was a reasonable approach. Study updated.</w:t>
            </w:r>
          </w:p>
        </w:tc>
      </w:tr>
      <w:tr w:rsidR="00A43B89" w:rsidRPr="007E476B" w14:paraId="20559B58" w14:textId="77777777" w:rsidTr="00390151">
        <w:trPr>
          <w:gridAfter w:val="2"/>
          <w:cnfStyle w:val="000000100000" w:firstRow="0" w:lastRow="0" w:firstColumn="0" w:lastColumn="0" w:oddVBand="0" w:evenVBand="0" w:oddHBand="1" w:evenHBand="0" w:firstRowFirstColumn="0" w:firstRowLastColumn="0" w:lastRowFirstColumn="0" w:lastRowLastColumn="0"/>
          <w:wAfter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7BE6BB26" w14:textId="77777777" w:rsidR="00A43B89" w:rsidRPr="007E476B" w:rsidRDefault="00A43B89" w:rsidP="00390151">
            <w:pPr>
              <w:spacing w:line="240" w:lineRule="exact"/>
              <w:contextualSpacing/>
              <w:jc w:val="left"/>
              <w:rPr>
                <w:rFonts w:ascii="Arial Narrow" w:hAnsi="Arial Narrow"/>
              </w:rPr>
            </w:pPr>
            <w:r w:rsidRPr="007E476B">
              <w:rPr>
                <w:rFonts w:ascii="Arial Narrow" w:hAnsi="Arial Narrow"/>
              </w:rPr>
              <w:t>PG&amp;E</w:t>
            </w:r>
          </w:p>
        </w:tc>
        <w:tc>
          <w:tcPr>
            <w:tcW w:w="4230" w:type="dxa"/>
            <w:gridSpan w:val="3"/>
          </w:tcPr>
          <w:p w14:paraId="5DA6A14E"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No savings indicated for conventional ducted split HVAC but in PAC scenario</w:t>
            </w:r>
          </w:p>
        </w:tc>
        <w:tc>
          <w:tcPr>
            <w:tcW w:w="4050" w:type="dxa"/>
            <w:gridSpan w:val="3"/>
          </w:tcPr>
          <w:p w14:paraId="5C871AF4" w14:textId="77777777" w:rsidR="00A43B89" w:rsidRPr="007E476B" w:rsidRDefault="00A43B89" w:rsidP="00390151">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7E476B">
              <w:rPr>
                <w:rFonts w:ascii="Arial Narrow" w:hAnsi="Arial Narrow" w:cs="Arial"/>
              </w:rPr>
              <w:t xml:space="preserve">Navigant included a comprehensive list of conventional ducted split HVAC systems in the measure list. These technologies have high upfront costs and do not pass the cost-effective screen under TRC and mTRC. These pass the PAC test which does not include equipment cost as a cost stream. </w:t>
            </w:r>
          </w:p>
          <w:p w14:paraId="4621F8E1" w14:textId="77777777" w:rsidR="00A43B89" w:rsidRPr="007E476B" w:rsidRDefault="00A43B89" w:rsidP="00390151">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7E476B">
              <w:rPr>
                <w:rFonts w:ascii="Arial Narrow" w:hAnsi="Arial Narrow" w:cs="Arial"/>
              </w:rPr>
              <w:t>Navigant also recognizes that utilities may choose to rebate measures that at minimum contribute towards a cost-effective program or portfolio, while the PG study screens measures strictly on a measure-by-measure basis. No update necessary.</w:t>
            </w:r>
          </w:p>
        </w:tc>
      </w:tr>
      <w:tr w:rsidR="00A43B89" w:rsidRPr="007E476B" w14:paraId="6E9E746A" w14:textId="77777777" w:rsidTr="00390151">
        <w:trPr>
          <w:gridAfter w:val="2"/>
          <w:cnfStyle w:val="000000010000" w:firstRow="0" w:lastRow="0" w:firstColumn="0" w:lastColumn="0" w:oddVBand="0" w:evenVBand="0" w:oddHBand="0" w:evenHBand="1" w:firstRowFirstColumn="0" w:firstRowLastColumn="0" w:lastRowFirstColumn="0" w:lastRowLastColumn="0"/>
          <w:wAfter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0F353D03" w14:textId="77777777" w:rsidR="00A43B89" w:rsidRPr="007E476B" w:rsidRDefault="00A43B89" w:rsidP="00390151">
            <w:pPr>
              <w:spacing w:line="240" w:lineRule="exact"/>
              <w:contextualSpacing/>
              <w:jc w:val="left"/>
              <w:rPr>
                <w:rFonts w:ascii="Arial Narrow" w:hAnsi="Arial Narrow"/>
              </w:rPr>
            </w:pPr>
            <w:r w:rsidRPr="007E476B">
              <w:rPr>
                <w:rFonts w:ascii="Arial Narrow" w:hAnsi="Arial Narrow"/>
              </w:rPr>
              <w:lastRenderedPageBreak/>
              <w:t>PG&amp;E</w:t>
            </w:r>
          </w:p>
        </w:tc>
        <w:tc>
          <w:tcPr>
            <w:tcW w:w="4230" w:type="dxa"/>
            <w:gridSpan w:val="3"/>
          </w:tcPr>
          <w:p w14:paraId="08725EDB"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HVAC controls – smart thermostats should have increased potential and cost-effective</w:t>
            </w:r>
          </w:p>
        </w:tc>
        <w:tc>
          <w:tcPr>
            <w:tcW w:w="4050" w:type="dxa"/>
            <w:gridSpan w:val="3"/>
          </w:tcPr>
          <w:p w14:paraId="26ADA4F8" w14:textId="77777777" w:rsidR="00A43B89" w:rsidRPr="007E476B" w:rsidRDefault="00A43B89" w:rsidP="00390151">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u w:val="single"/>
              </w:rPr>
            </w:pPr>
            <w:r w:rsidRPr="007E476B">
              <w:rPr>
                <w:rFonts w:ascii="Arial Narrow" w:hAnsi="Arial Narrow"/>
              </w:rPr>
              <w:t>Residential thermostats are not cost-effective in our model with the 2016 avoided costs. No update necessary.</w:t>
            </w:r>
          </w:p>
        </w:tc>
      </w:tr>
      <w:tr w:rsidR="00A43B89" w:rsidRPr="007E476B" w14:paraId="23BD6842" w14:textId="77777777" w:rsidTr="00390151">
        <w:trPr>
          <w:gridAfter w:val="2"/>
          <w:cnfStyle w:val="000000100000" w:firstRow="0" w:lastRow="0" w:firstColumn="0" w:lastColumn="0" w:oddVBand="0" w:evenVBand="0" w:oddHBand="1" w:evenHBand="0" w:firstRowFirstColumn="0" w:firstRowLastColumn="0" w:lastRowFirstColumn="0" w:lastRowLastColumn="0"/>
          <w:wAfter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4FE4FACC" w14:textId="77777777" w:rsidR="00A43B89" w:rsidRPr="007E476B" w:rsidRDefault="00A43B89" w:rsidP="00390151">
            <w:pPr>
              <w:spacing w:line="240" w:lineRule="exact"/>
              <w:contextualSpacing/>
              <w:jc w:val="left"/>
              <w:rPr>
                <w:rFonts w:ascii="Arial Narrow" w:hAnsi="Arial Narrow"/>
              </w:rPr>
            </w:pPr>
            <w:r w:rsidRPr="007E476B">
              <w:rPr>
                <w:rFonts w:ascii="Arial Narrow" w:hAnsi="Arial Narrow"/>
              </w:rPr>
              <w:lastRenderedPageBreak/>
              <w:t>PG&amp;E</w:t>
            </w:r>
          </w:p>
        </w:tc>
        <w:tc>
          <w:tcPr>
            <w:tcW w:w="4230" w:type="dxa"/>
            <w:gridSpan w:val="3"/>
          </w:tcPr>
          <w:p w14:paraId="1E763A5B"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HVAC: study missing potential for various measures</w:t>
            </w:r>
          </w:p>
        </w:tc>
        <w:tc>
          <w:tcPr>
            <w:tcW w:w="4050" w:type="dxa"/>
            <w:gridSpan w:val="3"/>
          </w:tcPr>
          <w:p w14:paraId="38A96B28" w14:textId="77777777" w:rsidR="00A43B89" w:rsidRPr="007E476B" w:rsidRDefault="00A43B89" w:rsidP="00390151">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b/>
              </w:rPr>
              <w:t>Economizers</w:t>
            </w:r>
            <w:r w:rsidRPr="007E476B">
              <w:rPr>
                <w:rFonts w:ascii="Arial Narrow" w:hAnsi="Arial Narrow"/>
              </w:rPr>
              <w:t>: Savings for economizers were taken in accordance with Workpaper SCE13HC046 R3 - Commercial Economizer - Packaged DX Unit and weather normalized to each IOU. Note that SCE retired this workpaper on 12/31/2016 after characterization activities for the measure were complete. Based on the WP the assumed EUL is 10 years and RUL follows as EUL/3. No update necessary.</w:t>
            </w:r>
          </w:p>
          <w:p w14:paraId="5680BCEA" w14:textId="77777777" w:rsidR="00A43B89" w:rsidRPr="007E476B" w:rsidRDefault="00A43B89" w:rsidP="00390151">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23DC3F9E" w14:textId="77777777" w:rsidR="00A43B89" w:rsidRPr="007E476B" w:rsidRDefault="00A43B89" w:rsidP="00390151">
            <w:pPr>
              <w:pStyle w:val="CommentTex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Per our model calculations, economizers are not cost-effective in existing building retrofit applications, where the benefits are taken over the RUL of the existing equipment (~3 years per the workpaper cited). However, they are cost-effective in new buildings, where the benefits are calculated over the lifetime of the measure (10 years per the workpaper cited). This is what is contributing to the high potential in the results. No update necessary.</w:t>
            </w:r>
          </w:p>
          <w:p w14:paraId="5381455F" w14:textId="77777777" w:rsidR="00A43B89" w:rsidRPr="007E476B" w:rsidRDefault="00A43B89" w:rsidP="00390151">
            <w:pPr>
              <w:pStyle w:val="CommentTex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214F3776" w14:textId="77777777" w:rsidR="00A43B89" w:rsidRPr="007E476B" w:rsidRDefault="00A43B89" w:rsidP="00390151">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b/>
              </w:rPr>
              <w:t>HVAC Quality Maintenance</w:t>
            </w:r>
            <w:r w:rsidRPr="007E476B">
              <w:rPr>
                <w:rFonts w:ascii="Arial Narrow" w:hAnsi="Arial Narrow"/>
              </w:rPr>
              <w:t>: The HVAC QM &amp; QM+ measures are available in the model in accordance with Workpaper SCE13HC037 Revision 3 – Comprehensive Commercial HVAC Rooftop Unit Quality Maintenance weather normalized to each IOU. HVAC Quality Maintenance is not cost-effective under 2016 updated avoided costs.  No update necessary.</w:t>
            </w:r>
          </w:p>
          <w:p w14:paraId="770F7D8F" w14:textId="77777777" w:rsidR="00A43B89" w:rsidRPr="007E476B" w:rsidRDefault="00A43B89" w:rsidP="00390151">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2850D308" w14:textId="77777777" w:rsidR="00A43B89" w:rsidRPr="007E476B" w:rsidRDefault="00A43B89" w:rsidP="00390151">
            <w:pPr>
              <w:pStyle w:val="CommentTex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b/>
              </w:rPr>
              <w:t xml:space="preserve">HVAC Controls: </w:t>
            </w:r>
            <w:r w:rsidRPr="007E476B">
              <w:rPr>
                <w:rFonts w:ascii="Arial Narrow" w:hAnsi="Arial Narrow"/>
              </w:rPr>
              <w:t>The measure list included a comprehensive list of HVAC Controls, which includes PTAC upgrades and Demand Controlled Ventilation (DCV). We do show a small amount of savings from PTAC controls (it is not very cost-effective for most of the market). DCV is not cost-effective at all under 2016 updated avoided costs. Under BROS, we show significant potential with Building Energy Management System, which includes savings associated with HVAC controls. No update necessary.</w:t>
            </w:r>
          </w:p>
          <w:p w14:paraId="3FBCABF4" w14:textId="77777777" w:rsidR="00A43B89" w:rsidRPr="007E476B" w:rsidRDefault="00A43B89" w:rsidP="00390151">
            <w:pPr>
              <w:jc w:val="left"/>
              <w:cnfStyle w:val="000000100000" w:firstRow="0" w:lastRow="0" w:firstColumn="0" w:lastColumn="0" w:oddVBand="0" w:evenVBand="0" w:oddHBand="1" w:evenHBand="0" w:firstRowFirstColumn="0" w:firstRowLastColumn="0" w:lastRowFirstColumn="0" w:lastRowLastColumn="0"/>
              <w:rPr>
                <w:rFonts w:ascii="Arial Narrow" w:hAnsi="Arial Narrow"/>
                <w:b/>
              </w:rPr>
            </w:pPr>
          </w:p>
          <w:p w14:paraId="441D8582" w14:textId="77777777" w:rsidR="00A43B89" w:rsidRPr="007E476B" w:rsidRDefault="00A43B89" w:rsidP="00390151">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b/>
              </w:rPr>
              <w:t xml:space="preserve">HVAC Ducts/Air Side Systems: </w:t>
            </w:r>
            <w:r w:rsidRPr="007E476B">
              <w:rPr>
                <w:rFonts w:ascii="Arial Narrow" w:hAnsi="Arial Narrow"/>
              </w:rPr>
              <w:t xml:space="preserve">The study characterized commercial duct insulation measures which were cost-effective in most building types.  Savings and costs were based on a review of Title 24 and existing DEER data. The unit energy savings associated with these duct insulation measures are relatively low and therefore potential levels are not significant. On the air side, the study included </w:t>
            </w:r>
            <w:r w:rsidRPr="007E476B">
              <w:rPr>
                <w:rFonts w:ascii="Arial Narrow" w:hAnsi="Arial Narrow"/>
              </w:rPr>
              <w:lastRenderedPageBreak/>
              <w:t>Constant Air Volume and Variable Air Volume systems. However, these are not cost-effective.  No update necessary.</w:t>
            </w:r>
          </w:p>
          <w:p w14:paraId="3B97AC36" w14:textId="77777777" w:rsidR="00A43B89" w:rsidRPr="007E476B" w:rsidRDefault="00A43B89" w:rsidP="00390151">
            <w:pPr>
              <w:jc w:val="left"/>
              <w:cnfStyle w:val="000000100000" w:firstRow="0" w:lastRow="0" w:firstColumn="0" w:lastColumn="0" w:oddVBand="0" w:evenVBand="0" w:oddHBand="1" w:evenHBand="0" w:firstRowFirstColumn="0" w:firstRowLastColumn="0" w:lastRowFirstColumn="0" w:lastRowLastColumn="0"/>
              <w:rPr>
                <w:rFonts w:ascii="Arial Narrow" w:hAnsi="Arial Narrow"/>
                <w:b/>
              </w:rPr>
            </w:pPr>
          </w:p>
          <w:p w14:paraId="44B6613E" w14:textId="77777777" w:rsidR="00A43B89" w:rsidRPr="007E476B" w:rsidRDefault="00A43B89" w:rsidP="00390151">
            <w:pPr>
              <w:pStyle w:val="CommentTex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A43B89" w:rsidRPr="007E476B" w14:paraId="740A9C91" w14:textId="77777777" w:rsidTr="00390151">
        <w:trPr>
          <w:gridAfter w:val="2"/>
          <w:cnfStyle w:val="000000010000" w:firstRow="0" w:lastRow="0" w:firstColumn="0" w:lastColumn="0" w:oddVBand="0" w:evenVBand="0" w:oddHBand="0" w:evenHBand="1" w:firstRowFirstColumn="0" w:firstRowLastColumn="0" w:lastRowFirstColumn="0" w:lastRowLastColumn="0"/>
          <w:wAfter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3455728F" w14:textId="77777777" w:rsidR="00A43B89" w:rsidRPr="007E476B" w:rsidRDefault="00A43B89" w:rsidP="00390151">
            <w:pPr>
              <w:spacing w:line="240" w:lineRule="exact"/>
              <w:contextualSpacing/>
              <w:rPr>
                <w:rFonts w:ascii="Arial Narrow" w:hAnsi="Arial Narrow"/>
              </w:rPr>
            </w:pPr>
          </w:p>
        </w:tc>
        <w:tc>
          <w:tcPr>
            <w:tcW w:w="4230" w:type="dxa"/>
            <w:gridSpan w:val="3"/>
          </w:tcPr>
          <w:p w14:paraId="4D18B5D5" w14:textId="77777777" w:rsidR="00A43B89" w:rsidRPr="007E476B" w:rsidRDefault="00A43B89" w:rsidP="00390151">
            <w:pPr>
              <w:spacing w:line="240" w:lineRule="exact"/>
              <w:contextualSpacing/>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4050" w:type="dxa"/>
            <w:gridSpan w:val="3"/>
          </w:tcPr>
          <w:p w14:paraId="48049D12" w14:textId="77777777" w:rsidR="00A43B89" w:rsidRPr="007E476B" w:rsidRDefault="00A43B89" w:rsidP="00390151">
            <w:pPr>
              <w:cnfStyle w:val="000000010000" w:firstRow="0" w:lastRow="0" w:firstColumn="0" w:lastColumn="0" w:oddVBand="0" w:evenVBand="0" w:oddHBand="0" w:evenHBand="1" w:firstRowFirstColumn="0" w:firstRowLastColumn="0" w:lastRowFirstColumn="0" w:lastRowLastColumn="0"/>
              <w:rPr>
                <w:rFonts w:ascii="Arial Narrow" w:hAnsi="Arial Narrow"/>
              </w:rPr>
            </w:pPr>
          </w:p>
        </w:tc>
      </w:tr>
      <w:tr w:rsidR="00A43B89" w:rsidRPr="007E476B" w14:paraId="6C8FE13E" w14:textId="77777777" w:rsidTr="00390151">
        <w:trPr>
          <w:gridAfter w:val="2"/>
          <w:cnfStyle w:val="000000100000" w:firstRow="0" w:lastRow="0" w:firstColumn="0" w:lastColumn="0" w:oddVBand="0" w:evenVBand="0" w:oddHBand="1" w:evenHBand="0" w:firstRowFirstColumn="0" w:firstRowLastColumn="0" w:lastRowFirstColumn="0" w:lastRowLastColumn="0"/>
          <w:wAfter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56256F7E" w14:textId="77777777" w:rsidR="00A43B89" w:rsidRPr="007E476B" w:rsidRDefault="00A43B89" w:rsidP="00390151">
            <w:pPr>
              <w:spacing w:line="240" w:lineRule="exact"/>
              <w:contextualSpacing/>
              <w:jc w:val="left"/>
              <w:rPr>
                <w:rFonts w:ascii="Arial Narrow" w:hAnsi="Arial Narrow"/>
              </w:rPr>
            </w:pPr>
            <w:r w:rsidRPr="007E476B">
              <w:rPr>
                <w:rFonts w:ascii="Arial Narrow" w:hAnsi="Arial Narrow"/>
              </w:rPr>
              <w:t>PG&amp;E</w:t>
            </w:r>
          </w:p>
        </w:tc>
        <w:tc>
          <w:tcPr>
            <w:tcW w:w="4230" w:type="dxa"/>
            <w:gridSpan w:val="3"/>
          </w:tcPr>
          <w:p w14:paraId="753328AF"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Whole building (commercial): finds 15% assumption too high, 10% is more in line with ASHRAE. Potential also dependent on the opportunities and tools available.</w:t>
            </w:r>
          </w:p>
        </w:tc>
        <w:tc>
          <w:tcPr>
            <w:tcW w:w="4050" w:type="dxa"/>
            <w:gridSpan w:val="3"/>
          </w:tcPr>
          <w:p w14:paraId="46ACC1B4" w14:textId="77777777" w:rsidR="00A43B89" w:rsidRPr="007E476B" w:rsidRDefault="00A43B89" w:rsidP="00390151">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 xml:space="preserve">In line with AB802 mandates and additional opportunities to capture multi-measure deeper savings opportunities, including BROs, 15% seems a reasonable expectation. No updates necessary. </w:t>
            </w:r>
          </w:p>
        </w:tc>
      </w:tr>
      <w:tr w:rsidR="00A43B89" w:rsidRPr="007E476B" w14:paraId="4CD70ABE" w14:textId="77777777" w:rsidTr="00390151">
        <w:trPr>
          <w:gridAfter w:val="2"/>
          <w:cnfStyle w:val="000000010000" w:firstRow="0" w:lastRow="0" w:firstColumn="0" w:lastColumn="0" w:oddVBand="0" w:evenVBand="0" w:oddHBand="0" w:evenHBand="1" w:firstRowFirstColumn="0" w:firstRowLastColumn="0" w:lastRowFirstColumn="0" w:lastRowLastColumn="0"/>
          <w:wAfter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66C0F2F8" w14:textId="77777777" w:rsidR="00A43B89" w:rsidRPr="007E476B" w:rsidRDefault="00A43B89" w:rsidP="00390151">
            <w:pPr>
              <w:spacing w:line="240" w:lineRule="exact"/>
              <w:contextualSpacing/>
              <w:jc w:val="left"/>
              <w:rPr>
                <w:rFonts w:ascii="Arial Narrow" w:hAnsi="Arial Narrow"/>
              </w:rPr>
            </w:pPr>
            <w:r w:rsidRPr="007E476B">
              <w:rPr>
                <w:rFonts w:ascii="Arial Narrow" w:hAnsi="Arial Narrow"/>
              </w:rPr>
              <w:t>PG&amp;E</w:t>
            </w:r>
          </w:p>
        </w:tc>
        <w:tc>
          <w:tcPr>
            <w:tcW w:w="4230" w:type="dxa"/>
            <w:gridSpan w:val="3"/>
            <w:shd w:val="clear" w:color="auto" w:fill="auto"/>
          </w:tcPr>
          <w:p w14:paraId="13360038"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Ind/Ag: study overstates potential for non-LEDs, under-estimates for LEDs; more support for custom generic assumptions.</w:t>
            </w:r>
          </w:p>
        </w:tc>
        <w:tc>
          <w:tcPr>
            <w:tcW w:w="4050" w:type="dxa"/>
            <w:gridSpan w:val="3"/>
          </w:tcPr>
          <w:p w14:paraId="19B31BF1" w14:textId="77777777" w:rsidR="00A43B89" w:rsidRPr="007E476B" w:rsidRDefault="00A43B89" w:rsidP="00390151">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b/>
                <w:bCs/>
              </w:rPr>
              <w:t>Overstated non-LED lighting savings and understated LED lighting savings:</w:t>
            </w:r>
            <w:r w:rsidRPr="007E476B">
              <w:rPr>
                <w:rFonts w:ascii="Arial Narrow" w:hAnsi="Arial Narrow"/>
              </w:rPr>
              <w:t xml:space="preserve"> Navigant acknowledges that for Ind, non-LED lighting savings are overstated and has made updates to reflect more savings from LEDs instead of non-LEDs. Study updated.</w:t>
            </w:r>
          </w:p>
          <w:p w14:paraId="0743BDDA" w14:textId="77777777" w:rsidR="00A43B89" w:rsidRPr="007E476B" w:rsidRDefault="00A43B89" w:rsidP="00390151">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u w:val="single"/>
              </w:rPr>
            </w:pPr>
            <w:r w:rsidRPr="007E476B">
              <w:rPr>
                <w:rFonts w:ascii="Arial Narrow" w:hAnsi="Arial Narrow"/>
                <w:b/>
                <w:bCs/>
              </w:rPr>
              <w:t>More details on generic custom assumptions:</w:t>
            </w:r>
            <w:r w:rsidRPr="007E476B">
              <w:rPr>
                <w:rFonts w:ascii="Arial Narrow" w:hAnsi="Arial Narrow"/>
              </w:rPr>
              <w:t xml:space="preserve"> The generic custom analysis is consistent with previous study findings that assumed similar consistent incremental market potential over time. The generic custom analysis is also informed by historic program activities data (e.g., EEStats) that showed similar consistent savings year-over-year. No updates necessary.</w:t>
            </w:r>
          </w:p>
        </w:tc>
      </w:tr>
      <w:tr w:rsidR="00A43B89" w:rsidRPr="007E476B" w14:paraId="5B4003FD" w14:textId="77777777" w:rsidTr="00390151">
        <w:trPr>
          <w:gridAfter w:val="2"/>
          <w:cnfStyle w:val="000000100000" w:firstRow="0" w:lastRow="0" w:firstColumn="0" w:lastColumn="0" w:oddVBand="0" w:evenVBand="0" w:oddHBand="1" w:evenHBand="0" w:firstRowFirstColumn="0" w:firstRowLastColumn="0" w:lastRowFirstColumn="0" w:lastRowLastColumn="0"/>
          <w:wAfter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70C3FDDA" w14:textId="77777777" w:rsidR="00A43B89" w:rsidRPr="007E476B" w:rsidRDefault="00A43B89" w:rsidP="00390151">
            <w:pPr>
              <w:spacing w:line="240" w:lineRule="exact"/>
              <w:contextualSpacing/>
              <w:jc w:val="left"/>
              <w:rPr>
                <w:rFonts w:ascii="Arial Narrow" w:hAnsi="Arial Narrow"/>
              </w:rPr>
            </w:pPr>
            <w:r w:rsidRPr="007E476B">
              <w:rPr>
                <w:rFonts w:ascii="Arial Narrow" w:hAnsi="Arial Narrow"/>
              </w:rPr>
              <w:t>PG&amp;E</w:t>
            </w:r>
          </w:p>
        </w:tc>
        <w:tc>
          <w:tcPr>
            <w:tcW w:w="4230" w:type="dxa"/>
            <w:gridSpan w:val="3"/>
          </w:tcPr>
          <w:p w14:paraId="29EE8471"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Finance: consider results of OBF impact evaluation released March 2017.</w:t>
            </w:r>
          </w:p>
        </w:tc>
        <w:tc>
          <w:tcPr>
            <w:tcW w:w="4050" w:type="dxa"/>
            <w:gridSpan w:val="3"/>
          </w:tcPr>
          <w:p w14:paraId="3E5B9A6C" w14:textId="77777777" w:rsidR="00A43B89" w:rsidRPr="007E476B" w:rsidRDefault="00A43B89" w:rsidP="00390151">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u w:val="single"/>
              </w:rPr>
            </w:pPr>
            <w:r w:rsidRPr="007E476B">
              <w:rPr>
                <w:rFonts w:ascii="Arial Narrow" w:hAnsi="Arial Narrow"/>
              </w:rPr>
              <w:t xml:space="preserve">Navigant has reviewed the OBF impact evaluation and doesn’t think there is any information that would warrant changing the data we currently use to model the impacts of financing. At a high-level, the impact evaluation findings (specifically the overall incremental NTGR is 0.09) confirm what we’ve modeled in the study – that financing yields a small but not insignificant increase in savings, above and beyond the traditional incentive programs.  Finally, PG&amp;E requested that Financing be included in the TRC Reference Case scenario and not just the Aggressive. Navigant consulted with CPUC staff and was instructed to not add Finance to the Reference scenario in this study. No update necessary </w:t>
            </w:r>
          </w:p>
        </w:tc>
      </w:tr>
      <w:tr w:rsidR="00A43B89" w:rsidRPr="007E476B" w14:paraId="26390B1F" w14:textId="77777777" w:rsidTr="00390151">
        <w:trPr>
          <w:gridAfter w:val="2"/>
          <w:cnfStyle w:val="000000010000" w:firstRow="0" w:lastRow="0" w:firstColumn="0" w:lastColumn="0" w:oddVBand="0" w:evenVBand="0" w:oddHBand="0" w:evenHBand="1" w:firstRowFirstColumn="0" w:firstRowLastColumn="0" w:lastRowFirstColumn="0" w:lastRowLastColumn="0"/>
          <w:wAfter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41E5EA2F" w14:textId="77777777" w:rsidR="00A43B89" w:rsidRPr="007E476B" w:rsidRDefault="00A43B89" w:rsidP="00390151">
            <w:pPr>
              <w:spacing w:line="240" w:lineRule="exact"/>
              <w:contextualSpacing/>
              <w:jc w:val="left"/>
              <w:rPr>
                <w:rFonts w:ascii="Arial Narrow" w:hAnsi="Arial Narrow"/>
              </w:rPr>
            </w:pPr>
            <w:r w:rsidRPr="007E476B">
              <w:rPr>
                <w:rFonts w:ascii="Arial Narrow" w:hAnsi="Arial Narrow"/>
              </w:rPr>
              <w:lastRenderedPageBreak/>
              <w:t>NRDC</w:t>
            </w:r>
          </w:p>
        </w:tc>
        <w:tc>
          <w:tcPr>
            <w:tcW w:w="4230" w:type="dxa"/>
            <w:gridSpan w:val="3"/>
          </w:tcPr>
          <w:p w14:paraId="2C55EEC8"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Calibrate to most up-to-date budget information (2016)</w:t>
            </w:r>
          </w:p>
        </w:tc>
        <w:tc>
          <w:tcPr>
            <w:tcW w:w="4050" w:type="dxa"/>
            <w:gridSpan w:val="3"/>
          </w:tcPr>
          <w:p w14:paraId="77B64319" w14:textId="77777777" w:rsidR="00A43B89" w:rsidRPr="007E476B" w:rsidRDefault="00A43B89" w:rsidP="00390151">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u w:val="single"/>
              </w:rPr>
            </w:pPr>
            <w:r w:rsidRPr="007E476B">
              <w:rPr>
                <w:rFonts w:ascii="Arial Narrow" w:hAnsi="Arial Narrow"/>
              </w:rPr>
              <w:t>Navigant did use the most up-to-update budget information from EE stats for calibration during the 2013-15-time frame and ensured alignment with that data.  When calibration for the model was done in early 2017, there was no complete data from 2016. Navigant used expenditures to check that calibration ensured that the starting point of the forecast was in line with where the market was; that’s what calibration does. Furthermore, the 2013-2016 budgets used the old avoided cost and the forecasted scenarios use the new. Thus, even though we calibrate to old budgets to make sure the starting point of the forecast was in line with historical levels, simulated expenditures in 2018 (as pointed out by NRDC) is lower in the TRC reference scenario because of the updated avoided costs. No update necessary.</w:t>
            </w:r>
          </w:p>
        </w:tc>
      </w:tr>
      <w:tr w:rsidR="00A43B89" w:rsidRPr="007E476B" w14:paraId="3D87E576" w14:textId="77777777" w:rsidTr="00390151">
        <w:trPr>
          <w:gridAfter w:val="2"/>
          <w:cnfStyle w:val="000000100000" w:firstRow="0" w:lastRow="0" w:firstColumn="0" w:lastColumn="0" w:oddVBand="0" w:evenVBand="0" w:oddHBand="1" w:evenHBand="0" w:firstRowFirstColumn="0" w:firstRowLastColumn="0" w:lastRowFirstColumn="0" w:lastRowLastColumn="0"/>
          <w:wAfter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756C739C" w14:textId="77777777" w:rsidR="00A43B89" w:rsidRPr="007E476B" w:rsidRDefault="00A43B89" w:rsidP="00390151">
            <w:pPr>
              <w:spacing w:line="240" w:lineRule="exact"/>
              <w:contextualSpacing/>
              <w:jc w:val="left"/>
              <w:rPr>
                <w:rFonts w:ascii="Arial Narrow" w:hAnsi="Arial Narrow"/>
              </w:rPr>
            </w:pPr>
            <w:r w:rsidRPr="007E476B">
              <w:rPr>
                <w:rFonts w:ascii="Arial Narrow" w:hAnsi="Arial Narrow"/>
              </w:rPr>
              <w:t>SDG&amp;E</w:t>
            </w:r>
          </w:p>
        </w:tc>
        <w:tc>
          <w:tcPr>
            <w:tcW w:w="4230" w:type="dxa"/>
            <w:gridSpan w:val="3"/>
          </w:tcPr>
          <w:p w14:paraId="5C9C0F39"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Seeks further discussion on market potential and willingness to adopt impacts market potential</w:t>
            </w:r>
          </w:p>
        </w:tc>
        <w:tc>
          <w:tcPr>
            <w:tcW w:w="4050" w:type="dxa"/>
            <w:gridSpan w:val="3"/>
          </w:tcPr>
          <w:p w14:paraId="6A00D8BE" w14:textId="77777777" w:rsidR="00A43B89" w:rsidRPr="007E476B" w:rsidRDefault="00A43B89" w:rsidP="00390151">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u w:val="single"/>
              </w:rPr>
            </w:pPr>
            <w:r w:rsidRPr="007E476B">
              <w:rPr>
                <w:rFonts w:ascii="Arial Narrow" w:hAnsi="Arial Narrow"/>
              </w:rPr>
              <w:t>Section 2.1.1.4 in the report includes details on how willingness is calculated and the impacts it has on market potential. No update necessary.</w:t>
            </w:r>
          </w:p>
        </w:tc>
      </w:tr>
      <w:tr w:rsidR="00A43B89" w:rsidRPr="007E476B" w14:paraId="31FA8031" w14:textId="77777777" w:rsidTr="00390151">
        <w:trPr>
          <w:gridAfter w:val="2"/>
          <w:cnfStyle w:val="000000010000" w:firstRow="0" w:lastRow="0" w:firstColumn="0" w:lastColumn="0" w:oddVBand="0" w:evenVBand="0" w:oddHBand="0" w:evenHBand="1" w:firstRowFirstColumn="0" w:firstRowLastColumn="0" w:lastRowFirstColumn="0" w:lastRowLastColumn="0"/>
          <w:wAfter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217AC40C" w14:textId="77777777" w:rsidR="00A43B89" w:rsidRPr="007E476B" w:rsidRDefault="00A43B89" w:rsidP="00390151">
            <w:pPr>
              <w:spacing w:line="240" w:lineRule="exact"/>
              <w:contextualSpacing/>
              <w:jc w:val="left"/>
              <w:rPr>
                <w:rFonts w:ascii="Arial Narrow" w:hAnsi="Arial Narrow"/>
              </w:rPr>
            </w:pPr>
            <w:r w:rsidRPr="007E476B">
              <w:rPr>
                <w:rFonts w:ascii="Arial Narrow" w:hAnsi="Arial Narrow"/>
              </w:rPr>
              <w:t>SDG&amp;E</w:t>
            </w:r>
          </w:p>
        </w:tc>
        <w:tc>
          <w:tcPr>
            <w:tcW w:w="4230" w:type="dxa"/>
            <w:gridSpan w:val="3"/>
          </w:tcPr>
          <w:p w14:paraId="7DBFD493" w14:textId="77777777" w:rsidR="00A43B89" w:rsidRPr="007E476B" w:rsidRDefault="00A43B89" w:rsidP="00390151">
            <w:pPr>
              <w:spacing w:line="240" w:lineRule="exact"/>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E476B">
              <w:rPr>
                <w:rFonts w:ascii="Arial Narrow" w:hAnsi="Arial Narrow"/>
              </w:rPr>
              <w:t>Need more information on ‘split-incentive’ barrier and how the model accounts for this factor</w:t>
            </w:r>
          </w:p>
        </w:tc>
        <w:tc>
          <w:tcPr>
            <w:tcW w:w="4050" w:type="dxa"/>
            <w:gridSpan w:val="3"/>
          </w:tcPr>
          <w:p w14:paraId="434B11E6" w14:textId="77777777" w:rsidR="00A43B89" w:rsidRPr="007E476B" w:rsidRDefault="00A43B89" w:rsidP="00390151">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u w:val="single"/>
              </w:rPr>
            </w:pPr>
            <w:r w:rsidRPr="007E476B">
              <w:rPr>
                <w:rFonts w:ascii="Arial Narrow" w:hAnsi="Arial Narrow"/>
              </w:rPr>
              <w:t>The Navigant model uses the concept of the iDR as part of its calculation of willingness to adopt. Implicit in the iDR are market barriers including the likes of split incentives as described in section 2.1.7. No update necessary.</w:t>
            </w:r>
          </w:p>
        </w:tc>
      </w:tr>
      <w:tr w:rsidR="00A43B89" w:rsidRPr="007E476B" w14:paraId="4CE732E2" w14:textId="77777777" w:rsidTr="00390151">
        <w:trPr>
          <w:gridAfter w:val="2"/>
          <w:cnfStyle w:val="000000100000" w:firstRow="0" w:lastRow="0" w:firstColumn="0" w:lastColumn="0" w:oddVBand="0" w:evenVBand="0" w:oddHBand="1" w:evenHBand="0" w:firstRowFirstColumn="0" w:firstRowLastColumn="0" w:lastRowFirstColumn="0" w:lastRowLastColumn="0"/>
          <w:wAfter w:w="216" w:type="dxa"/>
        </w:trPr>
        <w:tc>
          <w:tcPr>
            <w:cnfStyle w:val="001000000000" w:firstRow="0" w:lastRow="0" w:firstColumn="1" w:lastColumn="0" w:oddVBand="0" w:evenVBand="0" w:oddHBand="0" w:evenHBand="0" w:firstRowFirstColumn="0" w:firstRowLastColumn="0" w:lastRowFirstColumn="0" w:lastRowLastColumn="0"/>
            <w:tcW w:w="1260" w:type="dxa"/>
            <w:gridSpan w:val="3"/>
          </w:tcPr>
          <w:p w14:paraId="7214B742" w14:textId="77777777" w:rsidR="00A43B89" w:rsidRPr="007E476B" w:rsidRDefault="00A43B89" w:rsidP="00390151">
            <w:pPr>
              <w:spacing w:line="240" w:lineRule="exact"/>
              <w:contextualSpacing/>
              <w:jc w:val="left"/>
              <w:rPr>
                <w:rFonts w:ascii="Arial Narrow" w:hAnsi="Arial Narrow"/>
              </w:rPr>
            </w:pPr>
            <w:r w:rsidRPr="007E476B">
              <w:rPr>
                <w:rFonts w:ascii="Arial Narrow" w:hAnsi="Arial Narrow"/>
              </w:rPr>
              <w:t>SDG&amp;E</w:t>
            </w:r>
          </w:p>
        </w:tc>
        <w:tc>
          <w:tcPr>
            <w:tcW w:w="4230" w:type="dxa"/>
            <w:gridSpan w:val="3"/>
          </w:tcPr>
          <w:p w14:paraId="1FC7488E" w14:textId="77777777" w:rsidR="00A43B89" w:rsidRPr="007E476B" w:rsidRDefault="00A43B89" w:rsidP="00390151">
            <w:pPr>
              <w:spacing w:line="240" w:lineRule="exact"/>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How the study treats potential increased marginal costs of additional units of stranded potential.</w:t>
            </w:r>
          </w:p>
        </w:tc>
        <w:tc>
          <w:tcPr>
            <w:tcW w:w="4050" w:type="dxa"/>
            <w:gridSpan w:val="3"/>
          </w:tcPr>
          <w:p w14:paraId="3B372084" w14:textId="77777777" w:rsidR="00A43B89" w:rsidRPr="007E476B" w:rsidRDefault="00A43B89" w:rsidP="00390151">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76B">
              <w:rPr>
                <w:rFonts w:ascii="Arial Narrow" w:hAnsi="Arial Narrow"/>
              </w:rPr>
              <w:t>For measures that contribute to stranded potential, we use full cost of the measure and savings relative to a</w:t>
            </w:r>
            <w:r>
              <w:rPr>
                <w:rFonts w:ascii="Arial Narrow" w:hAnsi="Arial Narrow"/>
              </w:rPr>
              <w:t>n</w:t>
            </w:r>
            <w:r w:rsidRPr="007E476B">
              <w:rPr>
                <w:rFonts w:ascii="Arial Narrow" w:hAnsi="Arial Narrow"/>
              </w:rPr>
              <w:t xml:space="preserve"> existing baseline to assess cost-effectiveness. Both incentive and non-incentive costs are scaled according to these savings, so the spending associated with rebating a measure that contributes to stranded potential is higher than that associated with rebating a regular measure. No update necessary. </w:t>
            </w:r>
          </w:p>
        </w:tc>
      </w:tr>
      <w:tr w:rsidR="00A43B89" w:rsidRPr="007E476B" w14:paraId="747247FF" w14:textId="77777777" w:rsidTr="00390151">
        <w:trPr>
          <w:gridAfter w:val="2"/>
          <w:cnfStyle w:val="000000010000" w:firstRow="0" w:lastRow="0" w:firstColumn="0" w:lastColumn="0" w:oddVBand="0" w:evenVBand="0" w:oddHBand="0" w:evenHBand="1" w:firstRowFirstColumn="0" w:firstRowLastColumn="0" w:lastRowFirstColumn="0" w:lastRowLastColumn="0"/>
          <w:wAfter w:w="216" w:type="dxa"/>
          <w:trHeight w:val="836"/>
        </w:trPr>
        <w:tc>
          <w:tcPr>
            <w:cnfStyle w:val="001000000000" w:firstRow="0" w:lastRow="0" w:firstColumn="1" w:lastColumn="0" w:oddVBand="0" w:evenVBand="0" w:oddHBand="0" w:evenHBand="0" w:firstRowFirstColumn="0" w:firstRowLastColumn="0" w:lastRowFirstColumn="0" w:lastRowLastColumn="0"/>
            <w:tcW w:w="0" w:type="dxa"/>
            <w:gridSpan w:val="3"/>
          </w:tcPr>
          <w:p w14:paraId="5C97D427" w14:textId="77777777" w:rsidR="00A43B89" w:rsidRPr="007E476B" w:rsidRDefault="00A43B89" w:rsidP="00A43B89">
            <w:pPr>
              <w:spacing w:line="240" w:lineRule="exact"/>
              <w:contextualSpacing/>
              <w:jc w:val="left"/>
              <w:rPr>
                <w:rFonts w:ascii="Arial Narrow" w:hAnsi="Arial Narrow"/>
              </w:rPr>
            </w:pPr>
            <w:r>
              <w:rPr>
                <w:rFonts w:ascii="Arial Narrow" w:hAnsi="Arial Narrow"/>
              </w:rPr>
              <w:t>PG&amp;E</w:t>
            </w:r>
          </w:p>
        </w:tc>
        <w:tc>
          <w:tcPr>
            <w:tcW w:w="0" w:type="dxa"/>
            <w:gridSpan w:val="3"/>
          </w:tcPr>
          <w:p w14:paraId="47B2C405" w14:textId="77777777" w:rsidR="00A43B89" w:rsidRPr="00A43B89" w:rsidRDefault="00A43B89" w:rsidP="003901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43B89">
              <w:rPr>
                <w:rFonts w:ascii="Arial Narrow" w:hAnsi="Arial Narrow"/>
                <w:szCs w:val="20"/>
              </w:rPr>
              <w:t>Review the Avoided Costs for impacts the GHG adder may have on other value streams.</w:t>
            </w:r>
          </w:p>
        </w:tc>
        <w:tc>
          <w:tcPr>
            <w:tcW w:w="0" w:type="dxa"/>
            <w:gridSpan w:val="3"/>
          </w:tcPr>
          <w:p w14:paraId="3016C437" w14:textId="77777777" w:rsidR="00A43B89" w:rsidRPr="00A43B89" w:rsidRDefault="00A43B89" w:rsidP="00390151">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43B89">
              <w:rPr>
                <w:rFonts w:ascii="Arial Narrow" w:hAnsi="Arial Narrow"/>
                <w:szCs w:val="20"/>
              </w:rPr>
              <w:t>Navigant consulted with Commission staff and their consultant E3 to make necessary adjustments to the RPS values to avoid overestimation of benefits.</w:t>
            </w:r>
          </w:p>
        </w:tc>
      </w:tr>
    </w:tbl>
    <w:p w14:paraId="5F40EF8E" w14:textId="77777777" w:rsidR="008B2441" w:rsidRPr="008B2441" w:rsidRDefault="008B2441" w:rsidP="00AF21BE"/>
    <w:p w14:paraId="59330668" w14:textId="77777777" w:rsidR="007D6190" w:rsidRDefault="007D6190" w:rsidP="00B37F3E"/>
    <w:p w14:paraId="1589AC3C" w14:textId="77777777" w:rsidR="007D6190" w:rsidRDefault="007D6190" w:rsidP="00B37F3E"/>
    <w:p w14:paraId="5DA13537" w14:textId="77777777" w:rsidR="007D6190" w:rsidRDefault="007D6190" w:rsidP="00B37F3E"/>
    <w:p w14:paraId="0C835A65" w14:textId="77777777" w:rsidR="007D6190" w:rsidRDefault="007D6190" w:rsidP="00B37F3E"/>
    <w:p w14:paraId="262F9F3F" w14:textId="77777777" w:rsidR="007D6190" w:rsidRDefault="007D6190" w:rsidP="00B37F3E"/>
    <w:p w14:paraId="0BFD0377" w14:textId="77777777" w:rsidR="007D6190" w:rsidRDefault="007D6190" w:rsidP="00B37F3E"/>
    <w:p w14:paraId="047A9BF7" w14:textId="77777777" w:rsidR="007D6190" w:rsidRDefault="007D6190" w:rsidP="00B37F3E"/>
    <w:p w14:paraId="6EBDFAE4" w14:textId="77777777" w:rsidR="007D6190" w:rsidRPr="00B37F3E" w:rsidRDefault="007D6190" w:rsidP="00B37F3E"/>
    <w:sectPr w:rsidR="007D6190" w:rsidRPr="00B37F3E" w:rsidSect="00146A54">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9A29F" w14:textId="77777777" w:rsidR="00AE2BA6" w:rsidRDefault="00AE2BA6">
      <w:r>
        <w:separator/>
      </w:r>
    </w:p>
  </w:endnote>
  <w:endnote w:type="continuationSeparator" w:id="0">
    <w:p w14:paraId="7F8F45E2" w14:textId="77777777" w:rsidR="00AE2BA6" w:rsidRDefault="00AE2BA6">
      <w:r>
        <w:continuationSeparator/>
      </w:r>
    </w:p>
  </w:endnote>
  <w:endnote w:type="continuationNotice" w:id="1">
    <w:p w14:paraId="59674ABC" w14:textId="77777777" w:rsidR="00AE2BA6" w:rsidRDefault="00AE2B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59"/>
    <w:family w:val="auto"/>
    <w:pitch w:val="variable"/>
    <w:sig w:usb0="00000201" w:usb1="00000000" w:usb2="00000000" w:usb3="00000000" w:csb0="00000004"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PalatinoLinotype">
    <w:altName w:val="Palatino Linotype"/>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1D29C" w14:textId="77777777" w:rsidR="00260768" w:rsidRPr="00F26F14" w:rsidRDefault="00260768" w:rsidP="005D1C57">
    <w:pPr>
      <w:pStyle w:val="Footer"/>
      <w:rPr>
        <w:color w:val="555759"/>
      </w:rPr>
    </w:pPr>
  </w:p>
  <w:p w14:paraId="35F99E70" w14:textId="6C5B24EC" w:rsidR="00260768" w:rsidRPr="00F26F14" w:rsidRDefault="00260768" w:rsidP="005D1C57">
    <w:pPr>
      <w:pStyle w:val="Footer"/>
      <w:rPr>
        <w:color w:val="555759"/>
      </w:rPr>
    </w:pPr>
    <w:r w:rsidRPr="00F26F14">
      <w:rPr>
        <w:color w:val="555759"/>
      </w:rPr>
      <w:tab/>
    </w:r>
    <w:r w:rsidRPr="00F26F14">
      <w:rPr>
        <w:color w:val="555759"/>
      </w:rPr>
      <w:tab/>
      <w:t xml:space="preserve">Page </w:t>
    </w:r>
    <w:r w:rsidRPr="00F26F14">
      <w:rPr>
        <w:color w:val="555759"/>
      </w:rPr>
      <w:fldChar w:fldCharType="begin"/>
    </w:r>
    <w:r w:rsidRPr="00F26F14">
      <w:rPr>
        <w:color w:val="555759"/>
      </w:rPr>
      <w:instrText xml:space="preserve"> PAGE </w:instrText>
    </w:r>
    <w:r w:rsidRPr="00F26F14">
      <w:rPr>
        <w:color w:val="555759"/>
      </w:rPr>
      <w:fldChar w:fldCharType="separate"/>
    </w:r>
    <w:r w:rsidR="00462374">
      <w:rPr>
        <w:noProof/>
        <w:color w:val="555759"/>
      </w:rPr>
      <w:t>136</w:t>
    </w:r>
    <w:r w:rsidRPr="00F26F14">
      <w:rPr>
        <w:color w:val="555759"/>
      </w:rPr>
      <w:fldChar w:fldCharType="end"/>
    </w:r>
  </w:p>
  <w:p w14:paraId="443FFA84" w14:textId="77777777" w:rsidR="00260768" w:rsidRPr="00F26F14" w:rsidRDefault="00260768" w:rsidP="005D1C57">
    <w:pPr>
      <w:pStyle w:val="Footer"/>
      <w:rPr>
        <w:color w:val="555759"/>
      </w:rPr>
    </w:pPr>
    <w:r>
      <w:rPr>
        <w:rFonts w:cs="Arial"/>
        <w:color w:val="555759"/>
      </w:rPr>
      <w:t>©2017</w:t>
    </w:r>
    <w:r w:rsidRPr="00F26F14">
      <w:rPr>
        <w:rFonts w:cs="Arial"/>
        <w:color w:val="555759"/>
      </w:rPr>
      <w:t xml:space="preserve"> Navigant Consulting, Inc.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C43E9" w14:textId="77777777" w:rsidR="00260768" w:rsidRPr="00495F1E" w:rsidRDefault="00260768" w:rsidP="00495F1E">
    <w:pPr>
      <w:pStyle w:val="Footer"/>
      <w:tabs>
        <w:tab w:val="right" w:pos="9270"/>
      </w:tabs>
      <w:ind w:right="18"/>
      <w:rPr>
        <w:rFonts w:cs="Arial"/>
        <w:color w:val="555759"/>
      </w:rPr>
    </w:pPr>
    <w:r>
      <w:rPr>
        <w:rFonts w:cs="Arial"/>
        <w:color w:val="555759"/>
      </w:rPr>
      <w:t>©2017</w:t>
    </w:r>
    <w:r w:rsidRPr="00FE3230">
      <w:rPr>
        <w:rFonts w:cs="Arial"/>
        <w:color w:val="555759"/>
      </w:rPr>
      <w:t xml:space="preserve"> Navigant Consulting, Inc.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C308B" w14:textId="77777777" w:rsidR="00260768" w:rsidRPr="00F26F14" w:rsidRDefault="00260768" w:rsidP="005D1C57">
    <w:pPr>
      <w:pStyle w:val="Footer"/>
      <w:rPr>
        <w:color w:val="555759"/>
      </w:rPr>
    </w:pPr>
  </w:p>
  <w:p w14:paraId="43DF38DC" w14:textId="783F4564" w:rsidR="00260768" w:rsidRPr="00F26F14" w:rsidRDefault="00260768" w:rsidP="005D1C57">
    <w:pPr>
      <w:pStyle w:val="Footer"/>
      <w:rPr>
        <w:color w:val="555759"/>
      </w:rPr>
    </w:pPr>
    <w:r w:rsidRPr="00F26F14">
      <w:rPr>
        <w:color w:val="555759"/>
      </w:rPr>
      <w:tab/>
    </w:r>
    <w:r w:rsidRPr="00F26F14">
      <w:rPr>
        <w:color w:val="555759"/>
      </w:rPr>
      <w:tab/>
      <w:t xml:space="preserve">Page </w:t>
    </w:r>
    <w:r w:rsidRPr="00F26F14">
      <w:rPr>
        <w:color w:val="555759"/>
      </w:rPr>
      <w:fldChar w:fldCharType="begin"/>
    </w:r>
    <w:r w:rsidRPr="00F26F14">
      <w:rPr>
        <w:color w:val="555759"/>
      </w:rPr>
      <w:instrText xml:space="preserve"> PAGE </w:instrText>
    </w:r>
    <w:r w:rsidRPr="00F26F14">
      <w:rPr>
        <w:color w:val="555759"/>
      </w:rPr>
      <w:fldChar w:fldCharType="separate"/>
    </w:r>
    <w:r w:rsidR="00462374">
      <w:rPr>
        <w:noProof/>
        <w:color w:val="555759"/>
      </w:rPr>
      <w:t>H-13</w:t>
    </w:r>
    <w:r w:rsidRPr="00F26F14">
      <w:rPr>
        <w:color w:val="555759"/>
      </w:rPr>
      <w:fldChar w:fldCharType="end"/>
    </w:r>
  </w:p>
  <w:p w14:paraId="65952D35" w14:textId="77777777" w:rsidR="00260768" w:rsidRPr="00F26F14" w:rsidRDefault="00260768" w:rsidP="005D1C57">
    <w:pPr>
      <w:pStyle w:val="Footer"/>
      <w:rPr>
        <w:color w:val="555759"/>
      </w:rPr>
    </w:pPr>
    <w:r>
      <w:rPr>
        <w:rFonts w:cs="Arial"/>
        <w:color w:val="555759"/>
      </w:rPr>
      <w:t>©2017</w:t>
    </w:r>
    <w:r w:rsidRPr="00F26F14">
      <w:rPr>
        <w:rFonts w:cs="Arial"/>
        <w:color w:val="555759"/>
      </w:rPr>
      <w:t xml:space="preserve"> Navigant Consulting,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5DF50" w14:textId="77777777" w:rsidR="00AE2BA6" w:rsidRDefault="00AE2BA6">
      <w:r>
        <w:separator/>
      </w:r>
    </w:p>
  </w:footnote>
  <w:footnote w:type="continuationSeparator" w:id="0">
    <w:p w14:paraId="1C49AF54" w14:textId="77777777" w:rsidR="00AE2BA6" w:rsidRDefault="00AE2BA6">
      <w:r>
        <w:continuationSeparator/>
      </w:r>
    </w:p>
  </w:footnote>
  <w:footnote w:type="continuationNotice" w:id="1">
    <w:p w14:paraId="60B8F448" w14:textId="77777777" w:rsidR="00AE2BA6" w:rsidRDefault="00AE2BA6"/>
  </w:footnote>
  <w:footnote w:id="2">
    <w:p w14:paraId="582FF2D2" w14:textId="77777777" w:rsidR="00260768" w:rsidRDefault="00260768" w:rsidP="00903000">
      <w:pPr>
        <w:pStyle w:val="FootnoteText"/>
      </w:pPr>
      <w:r>
        <w:rPr>
          <w:rStyle w:val="FootnoteReference"/>
        </w:rPr>
        <w:footnoteRef/>
      </w:r>
      <w:r>
        <w:t xml:space="preserve"> “Below code” is synonymous with “to code” throughout this document. They can be used interchangeably.</w:t>
      </w:r>
    </w:p>
  </w:footnote>
  <w:footnote w:id="3">
    <w:p w14:paraId="428349C4" w14:textId="77777777" w:rsidR="00260768" w:rsidRDefault="00260768" w:rsidP="00A9318F">
      <w:pPr>
        <w:pStyle w:val="FootnoteText"/>
      </w:pPr>
      <w:r>
        <w:rPr>
          <w:rStyle w:val="FootnoteReference"/>
        </w:rPr>
        <w:footnoteRef/>
      </w:r>
      <w:r>
        <w:t xml:space="preserve"> SCT staff proposal (</w:t>
      </w:r>
      <w:hyperlink r:id="rId1" w:history="1">
        <w:r w:rsidRPr="00C807E4">
          <w:rPr>
            <w:rStyle w:val="Hyperlink"/>
            <w:sz w:val="16"/>
          </w:rPr>
          <w:t>http://docs.cpuc.ca.gov/SearchRes.aspx?DocFormat=ALL&amp;DocID=173203676</w:t>
        </w:r>
      </w:hyperlink>
      <w:r>
        <w:t>); GHG adder (</w:t>
      </w:r>
      <w:r w:rsidRPr="00762872">
        <w:t>http://docs.cpuc.ca.gov/PublishedDocs/Efile/G000/M182/K363/182363230.PDF</w:t>
      </w:r>
      <w:r>
        <w:t>)</w:t>
      </w:r>
    </w:p>
  </w:footnote>
  <w:footnote w:id="4">
    <w:p w14:paraId="41B1B81F" w14:textId="77777777" w:rsidR="00260768" w:rsidRDefault="00260768">
      <w:pPr>
        <w:pStyle w:val="FootnoteText"/>
      </w:pPr>
      <w:r>
        <w:rPr>
          <w:rStyle w:val="FootnoteReference"/>
        </w:rPr>
        <w:footnoteRef/>
      </w:r>
      <w:r>
        <w:t xml:space="preserve"> Decision 16-08-019 (</w:t>
      </w:r>
      <w:hyperlink r:id="rId2" w:history="1">
        <w:r w:rsidRPr="004F3F5F">
          <w:rPr>
            <w:rStyle w:val="Hyperlink"/>
            <w:sz w:val="16"/>
          </w:rPr>
          <w:t>http://docs.cpuc.ca.gov/SearchRes.aspx?DocFormat=ALL&amp;DocID=166232537</w:t>
        </w:r>
      </w:hyperlink>
      <w:r>
        <w:t xml:space="preserve">) </w:t>
      </w:r>
    </w:p>
  </w:footnote>
  <w:footnote w:id="5">
    <w:p w14:paraId="59F167E2" w14:textId="77777777" w:rsidR="00260768" w:rsidRDefault="00260768" w:rsidP="00903000">
      <w:pPr>
        <w:pStyle w:val="FootnoteText"/>
      </w:pPr>
      <w:r>
        <w:rPr>
          <w:rStyle w:val="FootnoteReference"/>
        </w:rPr>
        <w:footnoteRef/>
      </w:r>
      <w:r>
        <w:t xml:space="preserve"> The default assumption for this study includes all non-emerging technologies </w:t>
      </w:r>
      <w:r w:rsidRPr="00045431">
        <w:t xml:space="preserve">with a </w:t>
      </w:r>
      <w:r>
        <w:t>TRC</w:t>
      </w:r>
      <w:r w:rsidRPr="00045431">
        <w:t xml:space="preserve"> test </w:t>
      </w:r>
      <w:r>
        <w:t>threshold</w:t>
      </w:r>
      <w:r w:rsidRPr="00045431">
        <w:t xml:space="preserve"> of 0.85; emerging technologies are included if they meet a </w:t>
      </w:r>
      <w:r>
        <w:t xml:space="preserve">TRC test </w:t>
      </w:r>
      <w:r w:rsidRPr="00045431">
        <w:t>threshold of 0.</w:t>
      </w:r>
      <w:r>
        <w:t xml:space="preserve">5 </w:t>
      </w:r>
      <w:r w:rsidRPr="00045431">
        <w:t>in a given year and also achieve</w:t>
      </w:r>
      <w:r>
        <w:t>d</w:t>
      </w:r>
      <w:r w:rsidRPr="00045431">
        <w:t xml:space="preserve"> </w:t>
      </w:r>
      <w:r>
        <w:t xml:space="preserve">a TRC test equivalent to the 0.85 threshold for </w:t>
      </w:r>
      <w:r w:rsidRPr="00045431">
        <w:t>non-emerging technologies within ten years of market introduction.</w:t>
      </w:r>
      <w:r>
        <w:t xml:space="preserve"> </w:t>
      </w:r>
    </w:p>
  </w:footnote>
  <w:footnote w:id="6">
    <w:p w14:paraId="1D2B3527" w14:textId="77777777" w:rsidR="00260768" w:rsidRDefault="00260768" w:rsidP="00903000">
      <w:pPr>
        <w:pStyle w:val="FootnoteText"/>
      </w:pPr>
      <w:r>
        <w:rPr>
          <w:rStyle w:val="FootnoteReference"/>
        </w:rPr>
        <w:footnoteRef/>
      </w:r>
      <w:r>
        <w:t xml:space="preserve"> </w:t>
      </w:r>
      <w:hyperlink r:id="rId3" w:history="1">
        <w:r w:rsidRPr="00FC691B">
          <w:rPr>
            <w:rStyle w:val="Hyperlink"/>
            <w:sz w:val="16"/>
          </w:rPr>
          <w:t>http://demandanalysisworkinggroup.org/</w:t>
        </w:r>
      </w:hyperlink>
    </w:p>
  </w:footnote>
  <w:footnote w:id="7">
    <w:p w14:paraId="1DA2C9CD" w14:textId="77777777" w:rsidR="00260768" w:rsidRPr="000575D0" w:rsidRDefault="00260768">
      <w:pPr>
        <w:pStyle w:val="FootnoteText"/>
      </w:pPr>
      <w:r>
        <w:rPr>
          <w:rStyle w:val="FootnoteReference"/>
        </w:rPr>
        <w:footnoteRef/>
      </w:r>
      <w:r>
        <w:t xml:space="preserve"> Note that this study categorizes the following EE program areas: (1) Rebates; (2) Behavior, Retro-commissioning and Operational Efficiency (BROs); (3) Low Income (LI); and (4) Codes and Standards (C&amp;S).  The first three program categories (Equipment Rebates, BROs, and LI) are bundled into a broader category referred to as </w:t>
      </w:r>
      <w:r>
        <w:rPr>
          <w:i/>
        </w:rPr>
        <w:t>Incentive Programs</w:t>
      </w:r>
      <w:r>
        <w:t xml:space="preserve">. </w:t>
      </w:r>
    </w:p>
  </w:footnote>
  <w:footnote w:id="8">
    <w:p w14:paraId="09246C88" w14:textId="77777777" w:rsidR="00260768" w:rsidRDefault="00260768">
      <w:pPr>
        <w:pStyle w:val="FootnoteText"/>
      </w:pPr>
      <w:r>
        <w:rPr>
          <w:rStyle w:val="FootnoteReference"/>
        </w:rPr>
        <w:footnoteRef/>
      </w:r>
      <w:r>
        <w:t xml:space="preserve"> Equipment rebate program savings include savings from discrete equipment, whole building and shell measures.</w:t>
      </w:r>
    </w:p>
  </w:footnote>
  <w:footnote w:id="9">
    <w:p w14:paraId="55645394" w14:textId="77777777" w:rsidR="00260768" w:rsidRDefault="00260768">
      <w:pPr>
        <w:pStyle w:val="FootnoteText"/>
      </w:pPr>
      <w:r>
        <w:rPr>
          <w:rStyle w:val="FootnoteReference"/>
        </w:rPr>
        <w:footnoteRef/>
      </w:r>
      <w:r>
        <w:t xml:space="preserve"> It should be noted that this is the first time that the PG study has reported expenditures. As such, these cost outputs are for reference purposes and should not be used to determine budget requirements. </w:t>
      </w:r>
    </w:p>
  </w:footnote>
  <w:footnote w:id="10">
    <w:p w14:paraId="04E73B1F" w14:textId="77777777" w:rsidR="00260768" w:rsidRPr="00AF2906" w:rsidRDefault="00260768" w:rsidP="00557792">
      <w:pPr>
        <w:pStyle w:val="FootnoteText"/>
      </w:pPr>
      <w:r>
        <w:rPr>
          <w:rStyle w:val="FootnoteReference"/>
        </w:rPr>
        <w:footnoteRef/>
      </w:r>
      <w:r>
        <w:t xml:space="preserve"> Navigant. </w:t>
      </w:r>
      <w:r w:rsidRPr="00AF2906">
        <w:rPr>
          <w:i/>
        </w:rPr>
        <w:t>Analysis to Update Energy Efficiency Potential, Goals, and Targets for 2013 and Beyond</w:t>
      </w:r>
      <w:r>
        <w:rPr>
          <w:i/>
        </w:rPr>
        <w:t xml:space="preserve"> - </w:t>
      </w:r>
      <w:r w:rsidRPr="00AF2906">
        <w:rPr>
          <w:i/>
        </w:rPr>
        <w:t>Track 1</w:t>
      </w:r>
      <w:r>
        <w:rPr>
          <w:i/>
        </w:rPr>
        <w:t xml:space="preserve">. </w:t>
      </w:r>
      <w:r>
        <w:t>May</w:t>
      </w:r>
      <w:r w:rsidRPr="00AF2906">
        <w:t xml:space="preserve"> 2012</w:t>
      </w:r>
      <w:r>
        <w:t>.</w:t>
      </w:r>
    </w:p>
  </w:footnote>
  <w:footnote w:id="11">
    <w:p w14:paraId="35D3CC62" w14:textId="77777777" w:rsidR="00260768" w:rsidRPr="00AF2906" w:rsidRDefault="00260768" w:rsidP="00557792">
      <w:pPr>
        <w:pStyle w:val="FootnoteText"/>
      </w:pPr>
      <w:r>
        <w:rPr>
          <w:rStyle w:val="FootnoteReference"/>
        </w:rPr>
        <w:footnoteRef/>
      </w:r>
      <w:r>
        <w:t xml:space="preserve"> Navigant. </w:t>
      </w:r>
      <w:r w:rsidRPr="00AF2906">
        <w:rPr>
          <w:i/>
        </w:rPr>
        <w:t>2013 California Energy Efficiency Potential and Goals Study</w:t>
      </w:r>
      <w:r>
        <w:t>. February 2014.</w:t>
      </w:r>
    </w:p>
  </w:footnote>
  <w:footnote w:id="12">
    <w:p w14:paraId="1954A751" w14:textId="77777777" w:rsidR="00260768" w:rsidRDefault="00260768" w:rsidP="00557792">
      <w:pPr>
        <w:pStyle w:val="FootnoteText"/>
      </w:pPr>
      <w:r>
        <w:rPr>
          <w:rStyle w:val="FootnoteReference"/>
        </w:rPr>
        <w:footnoteRef/>
      </w:r>
      <w:r>
        <w:t xml:space="preserve"> Navigant. </w:t>
      </w:r>
      <w:r w:rsidRPr="003745E5">
        <w:rPr>
          <w:i/>
        </w:rPr>
        <w:t>Energy Efficiency Potential and Goals Study for 2015 and Beyond.</w:t>
      </w:r>
      <w:r>
        <w:t xml:space="preserve"> September 2015</w:t>
      </w:r>
    </w:p>
  </w:footnote>
  <w:footnote w:id="13">
    <w:p w14:paraId="5FA38E7D" w14:textId="77777777" w:rsidR="00260768" w:rsidRDefault="00260768" w:rsidP="00557792">
      <w:pPr>
        <w:pStyle w:val="FootnoteText"/>
      </w:pPr>
      <w:r>
        <w:rPr>
          <w:rStyle w:val="FootnoteReference"/>
        </w:rPr>
        <w:footnoteRef/>
      </w:r>
      <w:r>
        <w:t xml:space="preserve"> “Above code savings” also refers to savings from energy efficiency equipment that exceeded the minimum efficiency appliance standards. “Above code” thus means “above building code or appliance standard”</w:t>
      </w:r>
    </w:p>
  </w:footnote>
  <w:footnote w:id="14">
    <w:p w14:paraId="209E36DE" w14:textId="77777777" w:rsidR="00260768" w:rsidRDefault="00260768" w:rsidP="00557792">
      <w:pPr>
        <w:pStyle w:val="FootnoteText"/>
      </w:pPr>
      <w:r>
        <w:rPr>
          <w:rStyle w:val="FootnoteReference"/>
        </w:rPr>
        <w:footnoteRef/>
      </w:r>
      <w:r>
        <w:t xml:space="preserve"> “Below code” is synonymous with “to code” throughout this document. They can be used interchangeably.</w:t>
      </w:r>
    </w:p>
  </w:footnote>
  <w:footnote w:id="15">
    <w:p w14:paraId="70AB93E0" w14:textId="77777777" w:rsidR="00260768" w:rsidRDefault="00260768" w:rsidP="00762872">
      <w:pPr>
        <w:pStyle w:val="FootnoteText"/>
      </w:pPr>
      <w:r>
        <w:rPr>
          <w:rStyle w:val="FootnoteReference"/>
        </w:rPr>
        <w:footnoteRef/>
      </w:r>
      <w:r>
        <w:t xml:space="preserve"> Due to lower natural gas prices and GHG Cap-and-Trade prices.  (</w:t>
      </w:r>
      <w:r w:rsidRPr="00762872">
        <w:t>http://www.cpuc.ca.gov/WorkArea/DownloadAsset.aspx?id=12504</w:t>
      </w:r>
      <w:r>
        <w:t>)</w:t>
      </w:r>
    </w:p>
  </w:footnote>
  <w:footnote w:id="16">
    <w:p w14:paraId="0154DF2E" w14:textId="77777777" w:rsidR="00260768" w:rsidRDefault="00260768">
      <w:pPr>
        <w:pStyle w:val="FootnoteText"/>
      </w:pPr>
      <w:r>
        <w:rPr>
          <w:rStyle w:val="FootnoteReference"/>
        </w:rPr>
        <w:footnoteRef/>
      </w:r>
      <w:r>
        <w:t xml:space="preserve"> SCT staff proposal (</w:t>
      </w:r>
      <w:hyperlink r:id="rId4" w:history="1">
        <w:r w:rsidRPr="00C807E4">
          <w:rPr>
            <w:rStyle w:val="Hyperlink"/>
            <w:sz w:val="16"/>
          </w:rPr>
          <w:t>http://docs.cpuc.ca.gov/SearchRes.aspx?DocFormat=ALL&amp;DocID=173203676</w:t>
        </w:r>
      </w:hyperlink>
      <w:r>
        <w:t>); GHG adder (</w:t>
      </w:r>
      <w:r w:rsidRPr="00762872">
        <w:t>http://docs.cpuc.ca.gov/PublishedDocs/Efile/G000/M182/K363/182363230.PDF</w:t>
      </w:r>
      <w:r>
        <w:t>)</w:t>
      </w:r>
    </w:p>
  </w:footnote>
  <w:footnote w:id="17">
    <w:p w14:paraId="00FB4362" w14:textId="77777777" w:rsidR="00260768" w:rsidRDefault="00260768" w:rsidP="006406EC">
      <w:pPr>
        <w:pStyle w:val="FootnoteText"/>
      </w:pPr>
      <w:r>
        <w:rPr>
          <w:rStyle w:val="FootnoteReference"/>
        </w:rPr>
        <w:footnoteRef/>
      </w:r>
      <w:r>
        <w:t xml:space="preserve"> Decision 16-08-019 (</w:t>
      </w:r>
      <w:hyperlink r:id="rId5" w:history="1">
        <w:r w:rsidRPr="004F3F5F">
          <w:rPr>
            <w:rStyle w:val="Hyperlink"/>
            <w:sz w:val="16"/>
          </w:rPr>
          <w:t>http://docs.cpuc.ca.gov/SearchRes.aspx?DocFormat=ALL&amp;DocID=166232537</w:t>
        </w:r>
      </w:hyperlink>
      <w:r>
        <w:t xml:space="preserve">) </w:t>
      </w:r>
    </w:p>
  </w:footnote>
  <w:footnote w:id="18">
    <w:p w14:paraId="3002A348" w14:textId="77777777" w:rsidR="00260768" w:rsidRDefault="00260768" w:rsidP="00A459FB">
      <w:pPr>
        <w:pStyle w:val="FootnoteText"/>
      </w:pPr>
      <w:r>
        <w:rPr>
          <w:rStyle w:val="FootnoteReference"/>
        </w:rPr>
        <w:footnoteRef/>
      </w:r>
      <w:r>
        <w:t xml:space="preserve"> The default assumption for this study includes all non-emerging technologies </w:t>
      </w:r>
      <w:r w:rsidRPr="00045431">
        <w:t>with a C-E test result of 0.85 or greater; emerging technologies are included if they meet a threshold of 0.5 in a given year and also achieve the threshold for non-emerging technologies (0.85) within ten years of market introduction.</w:t>
      </w:r>
      <w:r>
        <w:t xml:space="preserve"> </w:t>
      </w:r>
    </w:p>
  </w:footnote>
  <w:footnote w:id="19">
    <w:p w14:paraId="703EC424" w14:textId="77777777" w:rsidR="00260768" w:rsidRDefault="00260768">
      <w:pPr>
        <w:pStyle w:val="FootnoteText"/>
      </w:pPr>
      <w:r>
        <w:rPr>
          <w:rStyle w:val="FootnoteReference"/>
        </w:rPr>
        <w:footnoteRef/>
      </w:r>
      <w:r>
        <w:t xml:space="preserve"> Decision Providing Guidance for Initial Energy Efficiency Rolling Portfolio Business Plan Filings (D.16-08-019)</w:t>
      </w:r>
    </w:p>
  </w:footnote>
  <w:footnote w:id="20">
    <w:p w14:paraId="32F78D41" w14:textId="77777777" w:rsidR="00260768" w:rsidRDefault="00260768">
      <w:pPr>
        <w:pStyle w:val="FootnoteText"/>
      </w:pPr>
      <w:r>
        <w:rPr>
          <w:rStyle w:val="FootnoteReference"/>
        </w:rPr>
        <w:footnoteRef/>
      </w:r>
      <w:r>
        <w:t xml:space="preserve"> </w:t>
      </w:r>
      <w:hyperlink r:id="rId6" w:history="1">
        <w:r w:rsidRPr="00FC691B">
          <w:rPr>
            <w:rStyle w:val="Hyperlink"/>
            <w:sz w:val="16"/>
          </w:rPr>
          <w:t>http://demandanalysisworkinggroup.org/</w:t>
        </w:r>
      </w:hyperlink>
    </w:p>
  </w:footnote>
  <w:footnote w:id="21">
    <w:p w14:paraId="5DF2D5B2" w14:textId="77777777" w:rsidR="00260768" w:rsidRDefault="00260768" w:rsidP="00CD1669">
      <w:pPr>
        <w:pStyle w:val="FootnoteText"/>
      </w:pPr>
      <w:r>
        <w:rPr>
          <w:rStyle w:val="FootnoteReference"/>
        </w:rPr>
        <w:footnoteRef/>
      </w:r>
      <w:r>
        <w:t xml:space="preserve"> </w:t>
      </w:r>
      <w:hyperlink r:id="rId7" w:history="1">
        <w:r w:rsidRPr="002C6F7E">
          <w:rPr>
            <w:rStyle w:val="Hyperlink"/>
            <w:sz w:val="16"/>
          </w:rPr>
          <w:t>http://www.cpuc.ca.gov/General.aspx?id=6442452619</w:t>
        </w:r>
      </w:hyperlink>
    </w:p>
    <w:p w14:paraId="47FCFAC2" w14:textId="77777777" w:rsidR="00260768" w:rsidRDefault="00260768" w:rsidP="00CD1669">
      <w:pPr>
        <w:pStyle w:val="FootnoteText"/>
      </w:pPr>
    </w:p>
  </w:footnote>
  <w:footnote w:id="22">
    <w:p w14:paraId="4F2CD04C" w14:textId="77777777" w:rsidR="00260768" w:rsidRDefault="00260768">
      <w:pPr>
        <w:pStyle w:val="FootnoteText"/>
      </w:pPr>
      <w:r>
        <w:rPr>
          <w:rStyle w:val="FootnoteReference"/>
        </w:rPr>
        <w:footnoteRef/>
      </w:r>
      <w:r>
        <w:t xml:space="preserve"> Adapted from </w:t>
      </w:r>
      <w:r w:rsidRPr="00102771">
        <w:rPr>
          <w:szCs w:val="16"/>
        </w:rPr>
        <w:t xml:space="preserve">John Sterman. 2000. </w:t>
      </w:r>
      <w:r w:rsidRPr="00102771">
        <w:rPr>
          <w:i/>
          <w:iCs/>
          <w:szCs w:val="16"/>
        </w:rPr>
        <w:t>Business Dynamics: Systems Thinking and Modeling for a Complex World</w:t>
      </w:r>
      <w:r w:rsidRPr="00102771">
        <w:rPr>
          <w:szCs w:val="16"/>
        </w:rPr>
        <w:t>. McGraw-Hill.</w:t>
      </w:r>
      <w:r>
        <w:rPr>
          <w:sz w:val="18"/>
          <w:szCs w:val="18"/>
        </w:rPr>
        <w:t xml:space="preserve"> </w:t>
      </w:r>
      <w:r>
        <w:t xml:space="preserve"> </w:t>
      </w:r>
    </w:p>
  </w:footnote>
  <w:footnote w:id="23">
    <w:p w14:paraId="053FDC10" w14:textId="77777777" w:rsidR="00260768" w:rsidRDefault="00260768">
      <w:pPr>
        <w:pStyle w:val="FootnoteText"/>
      </w:pPr>
      <w:r>
        <w:rPr>
          <w:rStyle w:val="FootnoteReference"/>
        </w:rPr>
        <w:footnoteRef/>
      </w:r>
      <w:r>
        <w:t xml:space="preserve"> See 2015 PG Study for details on the iDR</w:t>
      </w:r>
    </w:p>
  </w:footnote>
  <w:footnote w:id="24">
    <w:p w14:paraId="7DEA0D3A" w14:textId="77777777" w:rsidR="00260768" w:rsidRDefault="00260768">
      <w:pPr>
        <w:pStyle w:val="FootnoteText"/>
      </w:pPr>
      <w:r>
        <w:rPr>
          <w:rStyle w:val="FootnoteReference"/>
        </w:rPr>
        <w:footnoteRef/>
      </w:r>
      <w:r>
        <w:t xml:space="preserve"> </w:t>
      </w:r>
      <w:r w:rsidRPr="00372465">
        <w:rPr>
          <w:i/>
          <w:iCs/>
        </w:rPr>
        <w:t xml:space="preserve">McFadden, Daniel, Train, K. “Mixed MNL Models for Discrete Response.” </w:t>
      </w:r>
      <w:r>
        <w:t xml:space="preserve"> </w:t>
      </w:r>
      <w:r w:rsidRPr="00372465">
        <w:rPr>
          <w:i/>
          <w:iCs/>
        </w:rPr>
        <w:t>2000. Journal of Applied Econometrics, Vol. 15, No. 5, pp. 447-470.</w:t>
      </w:r>
    </w:p>
  </w:footnote>
  <w:footnote w:id="25">
    <w:p w14:paraId="170A6BD9" w14:textId="77777777" w:rsidR="00260768" w:rsidRPr="00372465" w:rsidRDefault="00260768" w:rsidP="00372465">
      <w:pPr>
        <w:pStyle w:val="FootnoteText"/>
      </w:pPr>
      <w:r>
        <w:rPr>
          <w:rStyle w:val="FootnoteReference"/>
        </w:rPr>
        <w:footnoteRef/>
      </w:r>
      <w:r>
        <w:t xml:space="preserve"> </w:t>
      </w:r>
      <w:r w:rsidRPr="00372465">
        <w:rPr>
          <w:i/>
          <w:iCs/>
        </w:rPr>
        <w:t>Train, Ken. "Discrete Choice Methods with Simulation." 2003.  Cambridge University Press.</w:t>
      </w:r>
    </w:p>
    <w:p w14:paraId="05D82E64" w14:textId="77777777" w:rsidR="00260768" w:rsidRDefault="00260768">
      <w:pPr>
        <w:pStyle w:val="FootnoteText"/>
      </w:pPr>
    </w:p>
  </w:footnote>
  <w:footnote w:id="26">
    <w:p w14:paraId="51785B8A" w14:textId="77777777" w:rsidR="00260768" w:rsidRDefault="00260768">
      <w:pPr>
        <w:pStyle w:val="FootnoteText"/>
      </w:pPr>
      <w:r>
        <w:rPr>
          <w:rStyle w:val="FootnoteReference"/>
        </w:rPr>
        <w:footnoteRef/>
      </w:r>
      <w:r>
        <w:t xml:space="preserve"> In this equation, W is the willingness, </w:t>
      </w:r>
      <w:r w:rsidRPr="002F3182">
        <w:rPr>
          <w:i/>
          <w:iCs/>
          <w:lang w:val="el-GR"/>
        </w:rPr>
        <w:t>β</w:t>
      </w:r>
      <w:r w:rsidRPr="002F3182">
        <w:t xml:space="preserve"> </w:t>
      </w:r>
      <w:r>
        <w:t xml:space="preserve">is a sensitivity factor fit to willingness survey results, n is the number of competing technologies, and LMC is the levelized measure cost. </w:t>
      </w:r>
    </w:p>
  </w:footnote>
  <w:footnote w:id="27">
    <w:p w14:paraId="115C933B" w14:textId="77777777" w:rsidR="00260768" w:rsidRDefault="00260768">
      <w:pPr>
        <w:pStyle w:val="FootnoteText"/>
      </w:pPr>
      <w:r>
        <w:rPr>
          <w:rStyle w:val="FootnoteReference"/>
        </w:rPr>
        <w:footnoteRef/>
      </w:r>
      <w:r>
        <w:t xml:space="preserve"> </w:t>
      </w:r>
      <w:r w:rsidRPr="007E5E22">
        <w:rPr>
          <w:rStyle w:val="FootnoteReference"/>
          <w:szCs w:val="18"/>
        </w:rPr>
        <w:footnoteRef/>
      </w:r>
      <w:r w:rsidRPr="007E5E22">
        <w:rPr>
          <w:szCs w:val="18"/>
        </w:rPr>
        <w:t xml:space="preserve"> A detailed discussion of the methodology and findings of this research are contained in “Demand Side Resource Potential Study,” prepared for Kansas City Power and Light, August 2013.</w:t>
      </w:r>
    </w:p>
  </w:footnote>
  <w:footnote w:id="28">
    <w:p w14:paraId="2788E699" w14:textId="77777777" w:rsidR="00260768" w:rsidRPr="002E311C" w:rsidRDefault="00260768" w:rsidP="00D72B7E">
      <w:pPr>
        <w:pStyle w:val="FootnoteText"/>
      </w:pPr>
      <w:r>
        <w:rPr>
          <w:rStyle w:val="FootnoteReference"/>
          <w:rFonts w:eastAsiaTheme="majorEastAsia"/>
        </w:rPr>
        <w:footnoteRef/>
      </w:r>
      <w:r>
        <w:t xml:space="preserve"> Sirkin, H. et al. </w:t>
      </w:r>
      <w:r>
        <w:rPr>
          <w:i/>
        </w:rPr>
        <w:t>U.S. Manufacturing Nears the Tipping Point</w:t>
      </w:r>
      <w:r>
        <w:t>, The Boston Consulting Group, March 2012.</w:t>
      </w:r>
    </w:p>
  </w:footnote>
  <w:footnote w:id="29">
    <w:p w14:paraId="4A033CD8" w14:textId="77777777" w:rsidR="00260768" w:rsidRDefault="00260768" w:rsidP="008016FC">
      <w:pPr>
        <w:pStyle w:val="FootnoteText"/>
      </w:pPr>
      <w:r>
        <w:rPr>
          <w:rStyle w:val="FootnoteReference"/>
        </w:rPr>
        <w:footnoteRef/>
      </w:r>
      <w:r>
        <w:t xml:space="preserve"> </w:t>
      </w:r>
      <w:r w:rsidRPr="001E6C86">
        <w:t>November 10, 2016</w:t>
      </w:r>
    </w:p>
  </w:footnote>
  <w:footnote w:id="30">
    <w:p w14:paraId="79420C52" w14:textId="77777777" w:rsidR="00260768" w:rsidRPr="003C0771" w:rsidRDefault="00260768" w:rsidP="006B44D0">
      <w:pPr>
        <w:pStyle w:val="FootnoteText"/>
      </w:pPr>
      <w:r>
        <w:rPr>
          <w:rStyle w:val="FootnoteReference"/>
        </w:rPr>
        <w:footnoteRef/>
      </w:r>
      <w:r>
        <w:t xml:space="preserve"> </w:t>
      </w:r>
      <w:r w:rsidRPr="00CF1057">
        <w:t>Cadmus and DNV GL</w:t>
      </w:r>
      <w:r w:rsidRPr="00C7205C">
        <w:rPr>
          <w:i/>
        </w:rPr>
        <w:t>. Integrated Standards Savings Model (ISSM).</w:t>
      </w:r>
      <w:r>
        <w:t xml:space="preserve"> 2017.</w:t>
      </w:r>
    </w:p>
  </w:footnote>
  <w:footnote w:id="31">
    <w:p w14:paraId="75DFAE88" w14:textId="77777777" w:rsidR="00260768" w:rsidRDefault="00260768" w:rsidP="00947B1F">
      <w:pPr>
        <w:pStyle w:val="FootnoteText"/>
      </w:pPr>
      <w:r>
        <w:rPr>
          <w:rStyle w:val="FootnoteReference"/>
        </w:rPr>
        <w:footnoteRef/>
      </w:r>
      <w:r>
        <w:t xml:space="preserve"> Jaffe, Newell, and Stavins. </w:t>
      </w:r>
      <w:r w:rsidRPr="00D16D3F">
        <w:t>Economics of Energy Efficiency.</w:t>
      </w:r>
      <w:r>
        <w:t xml:space="preserve"> </w:t>
      </w:r>
      <w:r w:rsidRPr="00D16D3F">
        <w:t>Encyclopedia of Energy Vol. 2: 79-89.</w:t>
      </w:r>
      <w:r>
        <w:t xml:space="preserve"> 2004. </w:t>
      </w:r>
    </w:p>
  </w:footnote>
  <w:footnote w:id="32">
    <w:p w14:paraId="21378447" w14:textId="77777777" w:rsidR="00260768" w:rsidRDefault="00260768" w:rsidP="00947B1F">
      <w:pPr>
        <w:pStyle w:val="FootnoteText"/>
      </w:pPr>
      <w:r>
        <w:rPr>
          <w:rStyle w:val="FootnoteReference"/>
        </w:rPr>
        <w:footnoteRef/>
      </w:r>
      <w:r>
        <w:t xml:space="preserve"> </w:t>
      </w:r>
      <w:r w:rsidRPr="00027109">
        <w:rPr>
          <w:bCs/>
        </w:rPr>
        <w:t>PY2014 Finance Residential Market Baseline Study Report</w:t>
      </w:r>
      <w:r>
        <w:rPr>
          <w:bCs/>
        </w:rPr>
        <w:t>. Opinion Dynamics Corporation and Dunsky Energy Consulting. March 2016</w:t>
      </w:r>
    </w:p>
  </w:footnote>
  <w:footnote w:id="33">
    <w:p w14:paraId="69DA6EC8" w14:textId="77777777" w:rsidR="00260768" w:rsidRDefault="00260768" w:rsidP="00947B1F">
      <w:pPr>
        <w:pStyle w:val="FootnoteText"/>
      </w:pPr>
      <w:r>
        <w:rPr>
          <w:rStyle w:val="FootnoteReference"/>
        </w:rPr>
        <w:footnoteRef/>
      </w:r>
      <w:r>
        <w:t xml:space="preserve"> Southwest Energy Efficiency Project. Energy Efficiency Finance Options and Roles for Utilities. October 2011. </w:t>
      </w:r>
    </w:p>
  </w:footnote>
  <w:footnote w:id="34">
    <w:p w14:paraId="7BD8EA6F" w14:textId="77777777" w:rsidR="00260768" w:rsidRDefault="00260768" w:rsidP="00947B1F">
      <w:pPr>
        <w:pStyle w:val="FootnoteText"/>
      </w:pPr>
      <w:r>
        <w:rPr>
          <w:rStyle w:val="FootnoteReference"/>
        </w:rPr>
        <w:footnoteRef/>
      </w:r>
      <w:r>
        <w:t xml:space="preserve"> </w:t>
      </w:r>
      <w:r w:rsidRPr="00027109">
        <w:rPr>
          <w:bCs/>
        </w:rPr>
        <w:t>PY2014 Finance Residential Market Baseline Study Report</w:t>
      </w:r>
      <w:r>
        <w:rPr>
          <w:bCs/>
        </w:rPr>
        <w:t>. Opinion Dynamics Corporation and Dunsky Energy Consulting. March 2016</w:t>
      </w:r>
    </w:p>
  </w:footnote>
  <w:footnote w:id="35">
    <w:p w14:paraId="4BA6A739" w14:textId="77777777" w:rsidR="00260768" w:rsidRDefault="00260768" w:rsidP="00947B1F">
      <w:pPr>
        <w:pStyle w:val="FootnoteText"/>
      </w:pPr>
      <w:r>
        <w:rPr>
          <w:rStyle w:val="FootnoteReference"/>
        </w:rPr>
        <w:footnoteRef/>
      </w:r>
      <w:r>
        <w:t xml:space="preserve"> Disposition approving Advice Letter 3697-G /4812-E, 3697-G-A/4812-E-A, PG&amp;E’s On Bill Financing Alternative Pathway Program, as a High Opportunity Program. July 12, 2016. </w:t>
      </w:r>
    </w:p>
  </w:footnote>
  <w:footnote w:id="36">
    <w:p w14:paraId="536A1C22" w14:textId="77777777" w:rsidR="00260768" w:rsidRDefault="00260768" w:rsidP="00947B1F">
      <w:pPr>
        <w:pStyle w:val="FootnoteText"/>
      </w:pPr>
      <w:r>
        <w:rPr>
          <w:rStyle w:val="FootnoteReference"/>
        </w:rPr>
        <w:footnoteRef/>
      </w:r>
      <w:r>
        <w:t xml:space="preserve"> </w:t>
      </w:r>
      <w:r w:rsidRPr="00027109">
        <w:rPr>
          <w:bCs/>
        </w:rPr>
        <w:t>PY2014 Finance Residential Market Baseline Study Report</w:t>
      </w:r>
      <w:r>
        <w:rPr>
          <w:bCs/>
        </w:rPr>
        <w:t>. Opinion Dynamics Corporation and Dunsky Energy Consulting. March 2016</w:t>
      </w:r>
    </w:p>
  </w:footnote>
  <w:footnote w:id="37">
    <w:p w14:paraId="28C629CE" w14:textId="77777777" w:rsidR="00260768" w:rsidRDefault="00260768" w:rsidP="00947B1F">
      <w:pPr>
        <w:pStyle w:val="FootnoteText"/>
      </w:pPr>
      <w:r>
        <w:rPr>
          <w:rStyle w:val="FootnoteReference"/>
        </w:rPr>
        <w:footnoteRef/>
      </w:r>
      <w:r>
        <w:t xml:space="preserve"> Financing Energy Improvements on Utility Bills.  Technical Appendix Case Studies. State and Local Energy Efficiency Action Network (SEE Action).  May 2014.</w:t>
      </w:r>
    </w:p>
  </w:footnote>
  <w:footnote w:id="38">
    <w:p w14:paraId="553E9B6D" w14:textId="77777777" w:rsidR="00260768" w:rsidRDefault="00260768" w:rsidP="00947B1F">
      <w:pPr>
        <w:autoSpaceDE w:val="0"/>
        <w:autoSpaceDN w:val="0"/>
        <w:adjustRightInd w:val="0"/>
        <w:spacing w:line="240" w:lineRule="auto"/>
      </w:pPr>
      <w:r>
        <w:rPr>
          <w:rStyle w:val="FootnoteReference"/>
        </w:rPr>
        <w:footnoteRef/>
      </w:r>
      <w:r>
        <w:t xml:space="preserve"> </w:t>
      </w:r>
      <w:r w:rsidRPr="004B7BF5">
        <w:rPr>
          <w:sz w:val="16"/>
          <w:szCs w:val="20"/>
        </w:rPr>
        <w:t>California 2010-2012 On-Bill Financing Process Evaluation and Market Assessment (CALMAC ID CPU0056.01),</w:t>
      </w:r>
    </w:p>
  </w:footnote>
  <w:footnote w:id="39">
    <w:p w14:paraId="5DDD8B66" w14:textId="77777777" w:rsidR="00260768" w:rsidRDefault="00260768" w:rsidP="00947B1F">
      <w:pPr>
        <w:pStyle w:val="FootnoteText"/>
        <w:spacing w:after="0"/>
      </w:pPr>
      <w:r>
        <w:rPr>
          <w:rStyle w:val="FootnoteReference"/>
        </w:rPr>
        <w:footnoteRef/>
      </w:r>
      <w:r>
        <w:t xml:space="preserve"> Commercial customers can receive up to a $100,000 loan for five years, and government can receive up to a $250,000 loan for</w:t>
      </w:r>
    </w:p>
    <w:p w14:paraId="1739A9FD" w14:textId="77777777" w:rsidR="00260768" w:rsidRDefault="00260768" w:rsidP="00947B1F">
      <w:pPr>
        <w:pStyle w:val="FootnoteText"/>
        <w:spacing w:after="0"/>
      </w:pPr>
      <w:r>
        <w:t>ten years. The alternative path will leverage existing infrastructure as well as the existing on bill financing program’s revolving loan fund.</w:t>
      </w:r>
    </w:p>
  </w:footnote>
  <w:footnote w:id="40">
    <w:p w14:paraId="1A3B11E6" w14:textId="77777777" w:rsidR="00260768" w:rsidRDefault="00260768" w:rsidP="00947B1F">
      <w:pPr>
        <w:pStyle w:val="FootnoteText"/>
      </w:pPr>
      <w:r>
        <w:rPr>
          <w:rStyle w:val="FootnoteReference"/>
        </w:rPr>
        <w:footnoteRef/>
      </w:r>
      <w:r>
        <w:t xml:space="preserve"> 2010-2012 CA IOU On-bill Financing Process Evaluation and Market Assessment. May 2012. </w:t>
      </w:r>
    </w:p>
  </w:footnote>
  <w:footnote w:id="41">
    <w:p w14:paraId="672A66DD" w14:textId="77777777" w:rsidR="00260768" w:rsidRDefault="00260768" w:rsidP="00947B1F">
      <w:pPr>
        <w:pStyle w:val="FootnoteText"/>
      </w:pPr>
      <w:r>
        <w:rPr>
          <w:rStyle w:val="FootnoteReference"/>
        </w:rPr>
        <w:footnoteRef/>
      </w:r>
      <w:r>
        <w:t xml:space="preserve"> OMB Circular A-94. Available at: </w:t>
      </w:r>
      <w:hyperlink r:id="rId8" w:history="1">
        <w:r w:rsidRPr="008E222B">
          <w:rPr>
            <w:rStyle w:val="Hyperlink"/>
            <w:sz w:val="16"/>
          </w:rPr>
          <w:t>https://www.wbdg.org/FFC/FED/OMB/OMB-Circular-A94.pdf</w:t>
        </w:r>
      </w:hyperlink>
      <w:r>
        <w:t xml:space="preserve"> </w:t>
      </w:r>
    </w:p>
  </w:footnote>
  <w:footnote w:id="42">
    <w:p w14:paraId="60B922F8" w14:textId="77777777" w:rsidR="00260768" w:rsidRPr="00EB1158" w:rsidRDefault="00260768" w:rsidP="00C77DD5">
      <w:pPr>
        <w:pStyle w:val="FootnoteText"/>
        <w:rPr>
          <w:sz w:val="18"/>
        </w:rPr>
      </w:pPr>
      <w:r w:rsidRPr="00EB1158">
        <w:rPr>
          <w:rStyle w:val="FootnoteReference"/>
          <w:sz w:val="18"/>
        </w:rPr>
        <w:footnoteRef/>
      </w:r>
      <w:r w:rsidRPr="00EB1158">
        <w:rPr>
          <w:sz w:val="18"/>
        </w:rPr>
        <w:t xml:space="preserve"> Slides available at: </w:t>
      </w:r>
      <w:hyperlink r:id="rId9" w:history="1">
        <w:r w:rsidRPr="00EB1158">
          <w:rPr>
            <w:rStyle w:val="Hyperlink"/>
            <w:sz w:val="18"/>
          </w:rPr>
          <w:t>http://demandanalysisworkinggroup.org/event/energy-savings-pup-cpuc-2018-beyond-ee-potential-goals-study-model-calibration-and-forecasting-scenarios/?instance_id=445</w:t>
        </w:r>
      </w:hyperlink>
    </w:p>
  </w:footnote>
  <w:footnote w:id="43">
    <w:p w14:paraId="397F7982" w14:textId="77777777" w:rsidR="00260768" w:rsidRDefault="00260768" w:rsidP="00C77DD5">
      <w:pPr>
        <w:pStyle w:val="FootnoteText"/>
      </w:pPr>
      <w:r w:rsidRPr="00EB1158">
        <w:rPr>
          <w:rStyle w:val="FootnoteReference"/>
          <w:sz w:val="18"/>
        </w:rPr>
        <w:footnoteRef/>
      </w:r>
      <w:r w:rsidRPr="00EB1158">
        <w:rPr>
          <w:sz w:val="18"/>
        </w:rPr>
        <w:t xml:space="preserve"> Navigant. </w:t>
      </w:r>
      <w:r w:rsidRPr="00EB1158">
        <w:rPr>
          <w:i/>
          <w:sz w:val="18"/>
        </w:rPr>
        <w:t>AB802 Technical Analysis - Potential Savings Analysis</w:t>
      </w:r>
      <w:r w:rsidRPr="00EB1158">
        <w:rPr>
          <w:sz w:val="18"/>
        </w:rPr>
        <w:t xml:space="preserve">. Prepared for the CPUC. March 2016. </w:t>
      </w:r>
    </w:p>
  </w:footnote>
  <w:footnote w:id="44">
    <w:p w14:paraId="6A653BE7" w14:textId="77777777" w:rsidR="00260768" w:rsidRPr="00EB1158" w:rsidRDefault="00260768" w:rsidP="00C77DD5">
      <w:pPr>
        <w:pStyle w:val="FootnoteText"/>
        <w:rPr>
          <w:sz w:val="18"/>
        </w:rPr>
      </w:pPr>
      <w:r w:rsidRPr="00EB1158">
        <w:rPr>
          <w:rStyle w:val="FootnoteReference"/>
          <w:sz w:val="18"/>
        </w:rPr>
        <w:footnoteRef/>
      </w:r>
      <w:r w:rsidRPr="00EB1158">
        <w:rPr>
          <w:sz w:val="18"/>
        </w:rPr>
        <w:t xml:space="preserve"> Financing impacts are modeled as reductions in consumer iDR and change in customer payment structure, building off work done in the 2015 Potential and Goals Study.</w:t>
      </w:r>
    </w:p>
  </w:footnote>
  <w:footnote w:id="45">
    <w:p w14:paraId="48B7F84A" w14:textId="77777777" w:rsidR="00260768" w:rsidRPr="00A432FD" w:rsidRDefault="00260768" w:rsidP="00D84DAE">
      <w:pPr>
        <w:rPr>
          <w:rFonts w:ascii="Arial Narrow" w:hAnsi="Arial Narrow"/>
          <w:sz w:val="16"/>
          <w:szCs w:val="16"/>
        </w:rPr>
      </w:pPr>
      <w:r w:rsidRPr="00A432FD">
        <w:rPr>
          <w:rStyle w:val="FootnoteReference"/>
          <w:rFonts w:ascii="Arial Narrow" w:hAnsi="Arial Narrow"/>
          <w:sz w:val="16"/>
          <w:szCs w:val="16"/>
        </w:rPr>
        <w:footnoteRef/>
      </w:r>
      <w:r w:rsidRPr="00A432FD">
        <w:rPr>
          <w:rFonts w:ascii="Arial Narrow" w:hAnsi="Arial Narrow"/>
          <w:sz w:val="16"/>
          <w:szCs w:val="16"/>
        </w:rPr>
        <w:t xml:space="preserve"> Joint Opening GHG Adder Comments, page 6 (</w:t>
      </w:r>
      <w:hyperlink r:id="rId10" w:tgtFrame="_blank" w:history="1">
        <w:r w:rsidRPr="00A432FD">
          <w:rPr>
            <w:rStyle w:val="Hyperlink"/>
            <w:rFonts w:ascii="Arial Narrow" w:hAnsi="Arial Narrow"/>
            <w:color w:val="auto"/>
            <w:sz w:val="16"/>
            <w:szCs w:val="16"/>
          </w:rPr>
          <w:t>http://docs.cpuc.ca.gov/PublishedDocs/Efile/G000/M185/K576/185576217.PDF</w:t>
        </w:r>
      </w:hyperlink>
      <w:r w:rsidRPr="00A432FD">
        <w:rPr>
          <w:rFonts w:ascii="Arial Narrow" w:hAnsi="Arial Narrow"/>
          <w:sz w:val="16"/>
          <w:szCs w:val="16"/>
        </w:rPr>
        <w:t>)</w:t>
      </w:r>
    </w:p>
    <w:p w14:paraId="54BD13E3" w14:textId="77777777" w:rsidR="00260768" w:rsidRPr="00A432FD" w:rsidRDefault="00260768" w:rsidP="00D84DAE">
      <w:pPr>
        <w:rPr>
          <w:rFonts w:ascii="Arial Narrow" w:hAnsi="Arial Narrow"/>
          <w:sz w:val="16"/>
          <w:szCs w:val="16"/>
        </w:rPr>
      </w:pPr>
      <w:r w:rsidRPr="00A432FD">
        <w:rPr>
          <w:rFonts w:ascii="Arial Narrow" w:hAnsi="Arial Narrow"/>
          <w:sz w:val="16"/>
          <w:szCs w:val="16"/>
        </w:rPr>
        <w:t>The curve is an extrapolation of the prices on ARB Staff Report, “Initial Statement of Reasons,” Appendix C, August 2, 2016, Table 5. Available at: https://www.arb.ca.gov/regact/2016/capandtrade16/appc.pdf.</w:t>
      </w:r>
    </w:p>
    <w:p w14:paraId="74B0BF9B" w14:textId="77777777" w:rsidR="00260768" w:rsidRDefault="00260768" w:rsidP="00D84DAE">
      <w:pPr>
        <w:pStyle w:val="FootnoteText"/>
      </w:pPr>
    </w:p>
  </w:footnote>
  <w:footnote w:id="46">
    <w:p w14:paraId="3BB39CD6" w14:textId="77777777" w:rsidR="00260768" w:rsidRPr="00EB1158" w:rsidRDefault="00260768" w:rsidP="00C77DD5">
      <w:pPr>
        <w:pStyle w:val="FootnoteText"/>
        <w:rPr>
          <w:sz w:val="18"/>
        </w:rPr>
      </w:pPr>
      <w:r w:rsidRPr="004610B0">
        <w:rPr>
          <w:vertAlign w:val="superscript"/>
        </w:rPr>
        <w:footnoteRef/>
      </w:r>
      <w:r w:rsidRPr="004610B0">
        <w:t xml:space="preserve"> Consistent with the 2015 Potential and Goals Study. Financing was modeled in the 2015 study but it did not inform the goals or AAEE forecast.</w:t>
      </w:r>
      <w:r w:rsidRPr="00EB1158">
        <w:rPr>
          <w:sz w:val="18"/>
        </w:rPr>
        <w:t xml:space="preserve"> </w:t>
      </w:r>
    </w:p>
  </w:footnote>
  <w:footnote w:id="47">
    <w:p w14:paraId="74949D93" w14:textId="77777777" w:rsidR="00260768" w:rsidRDefault="00260768">
      <w:pPr>
        <w:pStyle w:val="FootnoteText"/>
      </w:pPr>
      <w:r>
        <w:rPr>
          <w:rStyle w:val="FootnoteReference"/>
        </w:rPr>
        <w:footnoteRef/>
      </w:r>
      <w:r>
        <w:t xml:space="preserve"> California Energy Consumption Database.  Accessed April 2017: </w:t>
      </w:r>
      <w:hyperlink r:id="rId11" w:history="1">
        <w:r w:rsidRPr="002543F6">
          <w:rPr>
            <w:rStyle w:val="Hyperlink"/>
            <w:sz w:val="16"/>
          </w:rPr>
          <w:t>http://ecdms.energy.ca.gov/</w:t>
        </w:r>
      </w:hyperlink>
      <w:r>
        <w:t xml:space="preserve"> </w:t>
      </w:r>
    </w:p>
  </w:footnote>
  <w:footnote w:id="48">
    <w:p w14:paraId="046DF675" w14:textId="77777777" w:rsidR="00260768" w:rsidRDefault="00260768">
      <w:pPr>
        <w:pStyle w:val="FootnoteText"/>
      </w:pPr>
      <w:r>
        <w:rPr>
          <w:rStyle w:val="FootnoteReference"/>
        </w:rPr>
        <w:footnoteRef/>
      </w:r>
      <w:r>
        <w:t xml:space="preserve"> CPUC Rulemaking 14-10-003.  Downloadable from </w:t>
      </w:r>
      <w:hyperlink r:id="rId12" w:history="1">
        <w:r w:rsidRPr="00CD5BF4">
          <w:rPr>
            <w:rStyle w:val="Hyperlink"/>
            <w:sz w:val="16"/>
            <w:szCs w:val="16"/>
          </w:rPr>
          <w:t>http://docs.cpuc.ca.gov/PublishedDocs/Efile/G000/M182/K363/182363230.PDF</w:t>
        </w:r>
      </w:hyperlink>
      <w:r>
        <w:rPr>
          <w:rStyle w:val="Hyperlink"/>
        </w:rPr>
        <w:t xml:space="preserve"> </w:t>
      </w:r>
    </w:p>
  </w:footnote>
  <w:footnote w:id="49">
    <w:p w14:paraId="0994A945" w14:textId="77777777" w:rsidR="00260768" w:rsidRPr="00A432FD" w:rsidRDefault="00260768" w:rsidP="003822EF">
      <w:pPr>
        <w:rPr>
          <w:rFonts w:ascii="Calibri" w:hAnsi="Calibri"/>
          <w:sz w:val="16"/>
          <w:szCs w:val="16"/>
        </w:rPr>
      </w:pPr>
      <w:r w:rsidRPr="00A432FD">
        <w:rPr>
          <w:rStyle w:val="FootnoteReference"/>
          <w:sz w:val="16"/>
          <w:szCs w:val="16"/>
        </w:rPr>
        <w:footnoteRef/>
      </w:r>
      <w:r w:rsidRPr="00A432FD">
        <w:rPr>
          <w:sz w:val="16"/>
          <w:szCs w:val="16"/>
        </w:rPr>
        <w:t xml:space="preserve"> </w:t>
      </w:r>
      <w:r w:rsidRPr="00A432FD">
        <w:rPr>
          <w:rFonts w:ascii="Calibri" w:hAnsi="Calibri"/>
          <w:sz w:val="16"/>
          <w:szCs w:val="16"/>
        </w:rPr>
        <w:t>Joint Opening GHG Adder Comments, page 6 (</w:t>
      </w:r>
      <w:hyperlink r:id="rId13" w:tgtFrame="_blank" w:history="1">
        <w:r w:rsidRPr="00A432FD">
          <w:rPr>
            <w:rStyle w:val="Hyperlink"/>
            <w:rFonts w:ascii="Calibri" w:hAnsi="Calibri"/>
            <w:color w:val="auto"/>
            <w:sz w:val="16"/>
            <w:szCs w:val="16"/>
          </w:rPr>
          <w:t>http://docs.cpuc.ca.gov/PublishedDocs/Efile/G000/M185/K576/185576217.PDF</w:t>
        </w:r>
      </w:hyperlink>
      <w:r w:rsidRPr="00A432FD">
        <w:rPr>
          <w:rFonts w:ascii="Calibri" w:hAnsi="Calibri"/>
          <w:sz w:val="16"/>
          <w:szCs w:val="16"/>
        </w:rPr>
        <w:t>)</w:t>
      </w:r>
    </w:p>
    <w:p w14:paraId="272E697A" w14:textId="77777777" w:rsidR="00260768" w:rsidRPr="00A432FD" w:rsidRDefault="00260768" w:rsidP="003822EF">
      <w:pPr>
        <w:rPr>
          <w:rFonts w:ascii="Calibri" w:hAnsi="Calibri"/>
          <w:sz w:val="16"/>
          <w:szCs w:val="16"/>
        </w:rPr>
      </w:pPr>
      <w:r w:rsidRPr="00A432FD">
        <w:rPr>
          <w:rFonts w:ascii="Calibri" w:hAnsi="Calibri"/>
          <w:sz w:val="16"/>
          <w:szCs w:val="16"/>
        </w:rPr>
        <w:t>The curve is an extrapolation of the prices on ARB Staff Report, “Initial Statement of Reasons,” Appendix C, August 2, 2016, Table 5. Available at: https://www.arb.ca.gov/regact/2016/capandtrade16/appc.pdf.</w:t>
      </w:r>
    </w:p>
    <w:p w14:paraId="3A9123A5" w14:textId="77777777" w:rsidR="00260768" w:rsidRDefault="00260768" w:rsidP="003822EF">
      <w:pPr>
        <w:pStyle w:val="FootnoteText"/>
      </w:pPr>
    </w:p>
  </w:footnote>
  <w:footnote w:id="50">
    <w:p w14:paraId="6D113EDD" w14:textId="77777777" w:rsidR="00260768" w:rsidRDefault="00260768">
      <w:pPr>
        <w:pStyle w:val="FootnoteText"/>
      </w:pPr>
      <w:r>
        <w:rPr>
          <w:rStyle w:val="FootnoteReference"/>
        </w:rPr>
        <w:footnoteRef/>
      </w:r>
      <w:r>
        <w:t xml:space="preserve"> The forecast assumes a 2% inflation rate when converting real 2016 dollars into nominal cost. </w:t>
      </w:r>
    </w:p>
  </w:footnote>
  <w:footnote w:id="51">
    <w:p w14:paraId="49A5A0E4" w14:textId="77777777" w:rsidR="00260768" w:rsidRPr="00E74AEB" w:rsidRDefault="00260768" w:rsidP="001326E6">
      <w:pPr>
        <w:pStyle w:val="FootnoteText"/>
        <w:rPr>
          <w:szCs w:val="16"/>
        </w:rPr>
      </w:pPr>
      <w:r>
        <w:rPr>
          <w:rStyle w:val="FootnoteReference"/>
        </w:rPr>
        <w:footnoteRef/>
      </w:r>
      <w:r>
        <w:t xml:space="preserve"> EEstats database downloadable at </w:t>
      </w:r>
      <w:hyperlink r:id="rId14" w:history="1">
        <w:r w:rsidRPr="00E74AEB">
          <w:rPr>
            <w:rStyle w:val="Hyperlink"/>
            <w:rFonts w:cs="Arial"/>
            <w:sz w:val="16"/>
            <w:szCs w:val="16"/>
          </w:rPr>
          <w:t>http://eestats.cpuc.ca.gov/Views/EEDataPortal.aspx</w:t>
        </w:r>
      </w:hyperlink>
    </w:p>
  </w:footnote>
  <w:footnote w:id="52">
    <w:p w14:paraId="721A275D" w14:textId="77777777" w:rsidR="00260768" w:rsidRDefault="00260768" w:rsidP="001326E6">
      <w:pPr>
        <w:pStyle w:val="FootnoteText"/>
      </w:pPr>
      <w:r>
        <w:rPr>
          <w:rStyle w:val="FootnoteReference"/>
        </w:rPr>
        <w:footnoteRef/>
      </w:r>
      <w:r>
        <w:t xml:space="preserve"> Navigant obtained database of IOU programs with savings and cost information from 2013 to Q1. 2016 from Itron.</w:t>
      </w:r>
    </w:p>
  </w:footnote>
  <w:footnote w:id="53">
    <w:p w14:paraId="70650122" w14:textId="77777777" w:rsidR="00260768" w:rsidRDefault="00260768" w:rsidP="001326E6">
      <w:pPr>
        <w:pStyle w:val="FootnoteText"/>
      </w:pPr>
      <w:r>
        <w:rPr>
          <w:rStyle w:val="FootnoteReference"/>
        </w:rPr>
        <w:footnoteRef/>
      </w:r>
      <w:r>
        <w:t xml:space="preserve"> Navigant reviewed EEStats and IOU program data to determine the share in savings from each technology group by enduse for the residential and commercial sectors, and included all technology groups that constituted 98% of the total savings by enduse for these two sectors.   </w:t>
      </w:r>
    </w:p>
  </w:footnote>
  <w:footnote w:id="54">
    <w:p w14:paraId="6DE97A59" w14:textId="77777777" w:rsidR="00260768" w:rsidRDefault="00260768" w:rsidP="001326E6">
      <w:pPr>
        <w:pStyle w:val="FootnoteText"/>
      </w:pPr>
      <w:r>
        <w:rPr>
          <w:rStyle w:val="FootnoteReference"/>
        </w:rPr>
        <w:footnoteRef/>
      </w:r>
      <w:r>
        <w:t xml:space="preserve"> Navigant described the approach for technology selection and presented the list of “selected” and “other reviewed” technologies during a DAWG workshop held on August 29, 2016. </w:t>
      </w:r>
    </w:p>
  </w:footnote>
  <w:footnote w:id="55">
    <w:p w14:paraId="3107920F" w14:textId="77777777" w:rsidR="00260768" w:rsidRDefault="00260768" w:rsidP="001326E6">
      <w:pPr>
        <w:pStyle w:val="FootnoteText"/>
      </w:pPr>
      <w:r>
        <w:rPr>
          <w:rStyle w:val="FootnoteReference"/>
        </w:rPr>
        <w:footnoteRef/>
      </w:r>
      <w:r>
        <w:t xml:space="preserve"> Please refer to the MICS database for additional details.</w:t>
      </w:r>
    </w:p>
  </w:footnote>
  <w:footnote w:id="56">
    <w:p w14:paraId="0A7B0851" w14:textId="77777777" w:rsidR="00260768" w:rsidRDefault="00260768" w:rsidP="001326E6">
      <w:pPr>
        <w:pStyle w:val="FootnoteText"/>
      </w:pPr>
      <w:r>
        <w:rPr>
          <w:rStyle w:val="FootnoteReference"/>
        </w:rPr>
        <w:footnoteRef/>
      </w:r>
      <w:r>
        <w:t xml:space="preserve"> The complete list of technology groups is presented in the MICS database. </w:t>
      </w:r>
    </w:p>
  </w:footnote>
  <w:footnote w:id="57">
    <w:p w14:paraId="2CFACE1D" w14:textId="77777777" w:rsidR="00260768" w:rsidRPr="002C5474" w:rsidRDefault="00260768" w:rsidP="001326E6">
      <w:pPr>
        <w:rPr>
          <w:sz w:val="18"/>
          <w:szCs w:val="18"/>
        </w:rPr>
      </w:pPr>
      <w:r w:rsidRPr="005613E0">
        <w:rPr>
          <w:rStyle w:val="FootnoteReference"/>
          <w:sz w:val="16"/>
          <w:szCs w:val="16"/>
        </w:rPr>
        <w:footnoteRef/>
      </w:r>
      <w:r w:rsidRPr="005613E0">
        <w:rPr>
          <w:sz w:val="16"/>
          <w:szCs w:val="16"/>
        </w:rPr>
        <w:t xml:space="preserve"> </w:t>
      </w:r>
      <w:r w:rsidRPr="002C5474">
        <w:rPr>
          <w:sz w:val="16"/>
          <w:szCs w:val="16"/>
        </w:rPr>
        <w:t>Note that the technology list does not include “Whole Building Packages” and</w:t>
      </w:r>
      <w:r>
        <w:rPr>
          <w:sz w:val="16"/>
          <w:szCs w:val="16"/>
        </w:rPr>
        <w:t xml:space="preserve"> BROs </w:t>
      </w:r>
      <w:r w:rsidRPr="002C5474">
        <w:rPr>
          <w:sz w:val="16"/>
          <w:szCs w:val="16"/>
        </w:rPr>
        <w:t xml:space="preserve">Interventions The approach used for selection and characterization of these measures are discussed in separate sections of this report. </w:t>
      </w:r>
      <w:r w:rsidRPr="005613E0">
        <w:rPr>
          <w:sz w:val="16"/>
          <w:szCs w:val="16"/>
        </w:rPr>
        <w:t>Please refer to the MICS database for a complete list of technologies included in the study.</w:t>
      </w:r>
      <w:r>
        <w:rPr>
          <w:sz w:val="18"/>
          <w:szCs w:val="18"/>
        </w:rPr>
        <w:t xml:space="preserve"> </w:t>
      </w:r>
    </w:p>
  </w:footnote>
  <w:footnote w:id="58">
    <w:p w14:paraId="2CC1FB57" w14:textId="77777777" w:rsidR="00260768" w:rsidRDefault="00260768" w:rsidP="001326E6">
      <w:pPr>
        <w:pStyle w:val="FootnoteText"/>
      </w:pPr>
      <w:r>
        <w:rPr>
          <w:rStyle w:val="FootnoteReference"/>
        </w:rPr>
        <w:footnoteRef/>
      </w:r>
      <w:r>
        <w:t xml:space="preserve"> </w:t>
      </w:r>
      <w:hyperlink r:id="rId15" w:history="1">
        <w:r w:rsidRPr="00CD5BF4">
          <w:rPr>
            <w:rStyle w:val="Hyperlink"/>
            <w:rFonts w:cs="Arial"/>
            <w:sz w:val="16"/>
            <w:szCs w:val="16"/>
          </w:rPr>
          <w:t>http://eestats.cpuc.ca.gov/Views/EEDataPortal.aspx</w:t>
        </w:r>
      </w:hyperlink>
    </w:p>
  </w:footnote>
  <w:footnote w:id="59">
    <w:p w14:paraId="28D3F30D" w14:textId="77777777" w:rsidR="00260768" w:rsidRDefault="00260768" w:rsidP="001326E6">
      <w:pPr>
        <w:pStyle w:val="FootnoteText"/>
      </w:pPr>
      <w:r>
        <w:rPr>
          <w:rStyle w:val="FootnoteReference"/>
        </w:rPr>
        <w:footnoteRef/>
      </w:r>
      <w:r>
        <w:t xml:space="preserve"> Navigant obtained the database of IOU programs with savings and cost information from Itron under CPUC’s directive. </w:t>
      </w:r>
    </w:p>
  </w:footnote>
  <w:footnote w:id="60">
    <w:p w14:paraId="66200745" w14:textId="77777777" w:rsidR="00260768" w:rsidRPr="00DD47AE" w:rsidRDefault="00260768" w:rsidP="001326E6">
      <w:pPr>
        <w:rPr>
          <w:sz w:val="16"/>
          <w:szCs w:val="16"/>
        </w:rPr>
      </w:pPr>
      <w:r>
        <w:rPr>
          <w:rStyle w:val="FootnoteReference"/>
        </w:rPr>
        <w:footnoteRef/>
      </w:r>
      <w:r>
        <w:t xml:space="preserve"> </w:t>
      </w:r>
      <w:r w:rsidRPr="00DD47AE">
        <w:rPr>
          <w:sz w:val="16"/>
          <w:szCs w:val="16"/>
        </w:rPr>
        <w:t xml:space="preserve">Downloadable from </w:t>
      </w:r>
      <w:hyperlink r:id="rId16" w:history="1">
        <w:r w:rsidRPr="00DD47AE">
          <w:rPr>
            <w:rStyle w:val="Hyperlink"/>
            <w:sz w:val="16"/>
            <w:szCs w:val="16"/>
          </w:rPr>
          <w:t>http://apps1.eere.energy.gov/buildings/publications/pdfs/ssl/2010-lmc-final-jan-2012.pdf</w:t>
        </w:r>
      </w:hyperlink>
      <w:r w:rsidRPr="00DD47AE">
        <w:rPr>
          <w:sz w:val="16"/>
          <w:szCs w:val="16"/>
        </w:rPr>
        <w:t xml:space="preserve">. </w:t>
      </w:r>
    </w:p>
  </w:footnote>
  <w:footnote w:id="61">
    <w:p w14:paraId="75C3E231" w14:textId="77777777" w:rsidR="00260768" w:rsidRDefault="00260768" w:rsidP="004D5A3E">
      <w:pPr>
        <w:pStyle w:val="FootnoteText"/>
      </w:pPr>
      <w:r>
        <w:rPr>
          <w:rStyle w:val="FootnoteReference"/>
        </w:rPr>
        <w:footnoteRef/>
      </w:r>
      <w:r>
        <w:t xml:space="preserve"> Navigant. </w:t>
      </w:r>
      <w:r w:rsidRPr="004D5A3E">
        <w:rPr>
          <w:i/>
        </w:rPr>
        <w:t>Energy Savings Forecast of Solid-State Lighting in General Illumination Applications</w:t>
      </w:r>
      <w:r>
        <w:t xml:space="preserve">. Prepared for the U.S. DOE. 2016. </w:t>
      </w:r>
      <w:r w:rsidRPr="00DD47AE">
        <w:rPr>
          <w:szCs w:val="16"/>
        </w:rPr>
        <w:t xml:space="preserve">Downloadable from </w:t>
      </w:r>
      <w:hyperlink r:id="rId17" w:history="1">
        <w:r w:rsidRPr="00DD47AE">
          <w:rPr>
            <w:rStyle w:val="Hyperlink"/>
            <w:sz w:val="16"/>
            <w:szCs w:val="16"/>
          </w:rPr>
          <w:t>http://apps1.eere.energy.gov/buildings/publications/pdfs/ssl/2010-lmc-final-jan-2012.pdf</w:t>
        </w:r>
      </w:hyperlink>
    </w:p>
  </w:footnote>
  <w:footnote w:id="62">
    <w:p w14:paraId="76C962DD" w14:textId="77777777" w:rsidR="00260768" w:rsidRDefault="00260768" w:rsidP="001326E6">
      <w:pPr>
        <w:pStyle w:val="FootnoteText"/>
      </w:pPr>
      <w:r>
        <w:rPr>
          <w:rStyle w:val="FootnoteReference"/>
        </w:rPr>
        <w:footnoteRef/>
      </w:r>
      <w:r>
        <w:t xml:space="preserve"> Navigant referred to this source only in cases where CLASS and CSS did not have the required data.</w:t>
      </w:r>
    </w:p>
  </w:footnote>
  <w:footnote w:id="63">
    <w:p w14:paraId="26E2BC3C" w14:textId="77777777" w:rsidR="00260768" w:rsidRDefault="00260768" w:rsidP="001326E6">
      <w:pPr>
        <w:pStyle w:val="FootnoteText"/>
      </w:pPr>
      <w:r w:rsidRPr="00074DC1">
        <w:rPr>
          <w:rStyle w:val="FootnoteReference"/>
        </w:rPr>
        <w:footnoteRef/>
      </w:r>
      <w:r w:rsidRPr="00074DC1">
        <w:t xml:space="preserve"> </w:t>
      </w:r>
      <w:hyperlink r:id="rId18" w:history="1">
        <w:r w:rsidRPr="00074DC1">
          <w:rPr>
            <w:rStyle w:val="Hyperlink"/>
            <w:sz w:val="16"/>
          </w:rPr>
          <w:t>http://www.cpuc.ca.gov/General.aspx?id=6442452619</w:t>
        </w:r>
      </w:hyperlink>
    </w:p>
  </w:footnote>
  <w:footnote w:id="64">
    <w:p w14:paraId="635C1EB0" w14:textId="77777777" w:rsidR="00260768" w:rsidRDefault="00260768" w:rsidP="001C1CDC">
      <w:pPr>
        <w:pStyle w:val="FootnoteText"/>
      </w:pPr>
      <w:r>
        <w:rPr>
          <w:rStyle w:val="FootnoteReference"/>
        </w:rPr>
        <w:footnoteRef/>
      </w:r>
      <w:r>
        <w:t xml:space="preserve"> Navigant defined a record as a unique EEStats program identification or ProgramID field, e.g., PGE21021.</w:t>
      </w:r>
    </w:p>
  </w:footnote>
  <w:footnote w:id="65">
    <w:p w14:paraId="60123E6C" w14:textId="77777777" w:rsidR="00260768" w:rsidRDefault="00260768" w:rsidP="0088698C">
      <w:pPr>
        <w:pStyle w:val="FootnoteText"/>
      </w:pPr>
      <w:r>
        <w:rPr>
          <w:rStyle w:val="FootnoteReference"/>
        </w:rPr>
        <w:footnoteRef/>
      </w:r>
      <w:r>
        <w:t xml:space="preserve"> The complete list of technology groups is presented in the MICS database. </w:t>
      </w:r>
    </w:p>
  </w:footnote>
  <w:footnote w:id="66">
    <w:p w14:paraId="36F19212" w14:textId="77777777" w:rsidR="00260768" w:rsidRPr="002C5474" w:rsidRDefault="00260768" w:rsidP="0088698C">
      <w:pPr>
        <w:rPr>
          <w:sz w:val="18"/>
          <w:szCs w:val="18"/>
        </w:rPr>
      </w:pPr>
      <w:r w:rsidRPr="005613E0">
        <w:rPr>
          <w:rStyle w:val="FootnoteReference"/>
          <w:sz w:val="16"/>
          <w:szCs w:val="16"/>
        </w:rPr>
        <w:footnoteRef/>
      </w:r>
      <w:r w:rsidRPr="005613E0">
        <w:rPr>
          <w:sz w:val="16"/>
          <w:szCs w:val="16"/>
        </w:rPr>
        <w:t xml:space="preserve"> </w:t>
      </w:r>
      <w:r w:rsidRPr="002C5474">
        <w:rPr>
          <w:sz w:val="16"/>
          <w:szCs w:val="16"/>
        </w:rPr>
        <w:t>Note that the technology list does not include “</w:t>
      </w:r>
      <w:r>
        <w:rPr>
          <w:sz w:val="16"/>
          <w:szCs w:val="16"/>
        </w:rPr>
        <w:t>Emerging Technologies,</w:t>
      </w:r>
      <w:r w:rsidRPr="002C5474">
        <w:rPr>
          <w:sz w:val="16"/>
          <w:szCs w:val="16"/>
        </w:rPr>
        <w:t>” “Interventions (BROS)</w:t>
      </w:r>
      <w:r>
        <w:rPr>
          <w:sz w:val="16"/>
          <w:szCs w:val="16"/>
        </w:rPr>
        <w:t>,</w:t>
      </w:r>
      <w:r w:rsidRPr="002C5474">
        <w:rPr>
          <w:sz w:val="16"/>
          <w:szCs w:val="16"/>
        </w:rPr>
        <w:t>”</w:t>
      </w:r>
      <w:r>
        <w:rPr>
          <w:sz w:val="16"/>
          <w:szCs w:val="16"/>
        </w:rPr>
        <w:t xml:space="preserve"> or “Generic Custom” technologies.</w:t>
      </w:r>
      <w:r w:rsidRPr="002C5474">
        <w:rPr>
          <w:sz w:val="16"/>
          <w:szCs w:val="16"/>
        </w:rPr>
        <w:t xml:space="preserve"> The approach used for selection and characterization of the</w:t>
      </w:r>
      <w:r>
        <w:rPr>
          <w:sz w:val="16"/>
          <w:szCs w:val="16"/>
        </w:rPr>
        <w:t xml:space="preserve"> non-diffusion</w:t>
      </w:r>
      <w:r w:rsidRPr="002C5474">
        <w:rPr>
          <w:sz w:val="16"/>
          <w:szCs w:val="16"/>
        </w:rPr>
        <w:t xml:space="preserve"> measures are discussed in separate sections of this report. </w:t>
      </w:r>
      <w:r w:rsidRPr="005613E0">
        <w:rPr>
          <w:sz w:val="16"/>
          <w:szCs w:val="16"/>
        </w:rPr>
        <w:t>Please refer to the MICS database for a complete list of technologies included in the study.</w:t>
      </w:r>
      <w:r>
        <w:rPr>
          <w:sz w:val="18"/>
          <w:szCs w:val="18"/>
        </w:rPr>
        <w:t xml:space="preserve"> </w:t>
      </w:r>
    </w:p>
  </w:footnote>
  <w:footnote w:id="67">
    <w:p w14:paraId="6C7D9866" w14:textId="77777777" w:rsidR="00260768" w:rsidRDefault="00260768" w:rsidP="00FB21C6">
      <w:pPr>
        <w:pStyle w:val="FootnoteText"/>
      </w:pPr>
      <w:r>
        <w:rPr>
          <w:rStyle w:val="FootnoteReference"/>
        </w:rPr>
        <w:footnoteRef/>
      </w:r>
      <w:r>
        <w:t xml:space="preserve"> </w:t>
      </w:r>
      <w:r w:rsidRPr="007E3E76">
        <w:rPr>
          <w:szCs w:val="16"/>
        </w:rPr>
        <w:t>https://energy.gov/eere/amo/industrial-assessment-centers-iacs</w:t>
      </w:r>
    </w:p>
  </w:footnote>
  <w:footnote w:id="68">
    <w:p w14:paraId="294C756C" w14:textId="77777777" w:rsidR="00260768" w:rsidRDefault="00260768">
      <w:pPr>
        <w:pStyle w:val="FootnoteText"/>
      </w:pPr>
      <w:r>
        <w:rPr>
          <w:rStyle w:val="FootnoteReference"/>
        </w:rPr>
        <w:footnoteRef/>
      </w:r>
      <w:r>
        <w:t xml:space="preserve"> Other sources include the Pennsylvania TRM (</w:t>
      </w:r>
      <w:r w:rsidRPr="006F2766">
        <w:t>http://www.puc.pa.gov/filing_resources/issues_laws_regulations/act_129_information/technical_reference_manual.aspx</w:t>
      </w:r>
      <w:r>
        <w:t>); the Illinois TRM (</w:t>
      </w:r>
      <w:hyperlink r:id="rId19" w:history="1">
        <w:r w:rsidRPr="00AD4D3D">
          <w:rPr>
            <w:rStyle w:val="Hyperlink"/>
            <w:sz w:val="16"/>
          </w:rPr>
          <w:t>http://www.ilsag.info/technical-reference-manual.html</w:t>
        </w:r>
      </w:hyperlink>
      <w:r>
        <w:t>); the Michigan Energy Measures Database (</w:t>
      </w:r>
      <w:hyperlink r:id="rId20" w:history="1">
        <w:r w:rsidRPr="00AD4D3D">
          <w:rPr>
            <w:rStyle w:val="Hyperlink"/>
            <w:sz w:val="16"/>
          </w:rPr>
          <w:t>http://www.michigan.gov/mpsc/0,4639,7-159-52495_55129---,00.html</w:t>
        </w:r>
      </w:hyperlink>
      <w:r>
        <w:t>); and the Wisconsin TRM (</w:t>
      </w:r>
      <w:r w:rsidRPr="004472AB">
        <w:t>http://dsmexplorer.esource.com/documents/Wisconsin%20-%2010.22.2015%20-%202016%20TRM.pdf</w:t>
      </w:r>
      <w:r>
        <w:t>). See the Agriculture MICS for more detail on which measures these sources informed.</w:t>
      </w:r>
    </w:p>
  </w:footnote>
  <w:footnote w:id="69">
    <w:p w14:paraId="75416727" w14:textId="77777777" w:rsidR="00260768" w:rsidRDefault="00260768" w:rsidP="00FB21C6">
      <w:pPr>
        <w:pStyle w:val="FootnoteText"/>
      </w:pPr>
      <w:r>
        <w:rPr>
          <w:rStyle w:val="FootnoteReference"/>
        </w:rPr>
        <w:footnoteRef/>
      </w:r>
      <w:r>
        <w:t xml:space="preserve"> The IAC recommendations cover upgrades to</w:t>
      </w:r>
      <w:r w:rsidRPr="00F60B5F">
        <w:t xml:space="preserve"> inefficient equipment</w:t>
      </w:r>
      <w:r>
        <w:t>, the addition of energy reducing technologies to existing equipment, and improvements to</w:t>
      </w:r>
      <w:r w:rsidRPr="00F60B5F">
        <w:t xml:space="preserve"> industrial processes through controls</w:t>
      </w:r>
      <w:r>
        <w:t>.</w:t>
      </w:r>
    </w:p>
  </w:footnote>
  <w:footnote w:id="70">
    <w:p w14:paraId="691F48D6" w14:textId="77777777" w:rsidR="00260768" w:rsidRDefault="00260768" w:rsidP="00FB21C6">
      <w:pPr>
        <w:pStyle w:val="FootnoteText"/>
      </w:pPr>
      <w:r>
        <w:rPr>
          <w:rStyle w:val="FootnoteReference"/>
        </w:rPr>
        <w:footnoteRef/>
      </w:r>
      <w:r>
        <w:t xml:space="preserve"> The final percentages of savings by building type are a nationwide value. The IAC data does not contain enough assessment data points to calculate these values on a state or region level with any degree of statistical confidence. Further, Navigant’s vetting of IAC data during previous PG Study efforts determined that national-level IAC data is representative of California industrial sector activities.</w:t>
      </w:r>
    </w:p>
  </w:footnote>
  <w:footnote w:id="71">
    <w:p w14:paraId="703A3BBD" w14:textId="77777777" w:rsidR="00260768" w:rsidRPr="00595A79" w:rsidRDefault="00260768" w:rsidP="00952591">
      <w:pPr>
        <w:pStyle w:val="FootnoteText"/>
        <w:rPr>
          <w:szCs w:val="16"/>
        </w:rPr>
      </w:pPr>
      <w:r>
        <w:rPr>
          <w:rStyle w:val="FootnoteReference"/>
        </w:rPr>
        <w:footnoteRef/>
      </w:r>
      <w:r>
        <w:t xml:space="preserve"> </w:t>
      </w:r>
      <w:r w:rsidRPr="00595A79">
        <w:rPr>
          <w:szCs w:val="16"/>
        </w:rPr>
        <w:t xml:space="preserve">The </w:t>
      </w:r>
      <w:r>
        <w:rPr>
          <w:szCs w:val="16"/>
        </w:rPr>
        <w:t>50% suitability factor</w:t>
      </w:r>
      <w:r w:rsidRPr="00595A79">
        <w:rPr>
          <w:szCs w:val="16"/>
        </w:rPr>
        <w:t xml:space="preserve"> identifies the amount of lighting that is available for controls. Based on professional judgement, Navigant assumes that </w:t>
      </w:r>
      <w:r>
        <w:rPr>
          <w:szCs w:val="16"/>
        </w:rPr>
        <w:t>half</w:t>
      </w:r>
      <w:r w:rsidRPr="00595A79">
        <w:rPr>
          <w:szCs w:val="16"/>
        </w:rPr>
        <w:t xml:space="preserve">25% of industrial </w:t>
      </w:r>
      <w:r>
        <w:rPr>
          <w:szCs w:val="16"/>
        </w:rPr>
        <w:t xml:space="preserve">and agriculture </w:t>
      </w:r>
      <w:r w:rsidRPr="00595A79">
        <w:rPr>
          <w:szCs w:val="16"/>
        </w:rPr>
        <w:t xml:space="preserve">lighting cannot be controlled due to various </w:t>
      </w:r>
      <w:r>
        <w:rPr>
          <w:szCs w:val="16"/>
        </w:rPr>
        <w:t>operational considerations</w:t>
      </w:r>
      <w:r w:rsidRPr="00595A79">
        <w:rPr>
          <w:szCs w:val="16"/>
        </w:rPr>
        <w:t xml:space="preserve">. </w:t>
      </w:r>
    </w:p>
  </w:footnote>
  <w:footnote w:id="72">
    <w:p w14:paraId="0512C77C" w14:textId="77777777" w:rsidR="00260768" w:rsidRDefault="00260768">
      <w:pPr>
        <w:pStyle w:val="FootnoteText"/>
      </w:pPr>
      <w:r>
        <w:rPr>
          <w:rStyle w:val="FootnoteReference"/>
        </w:rPr>
        <w:footnoteRef/>
      </w:r>
      <w:r>
        <w:t xml:space="preserve"> The costs in EEStats include labor to represent the full incremental cost of implementation. Lighting end use relied on a cost per kWh consumed rather than cost per kWh saved because the team relied on commercial data for the industrial lighting end use measures.</w:t>
      </w:r>
    </w:p>
  </w:footnote>
  <w:footnote w:id="73">
    <w:p w14:paraId="3C7BA368" w14:textId="77777777" w:rsidR="00260768" w:rsidRPr="00C34F94" w:rsidRDefault="00260768" w:rsidP="00952591">
      <w:pPr>
        <w:pStyle w:val="FootnoteText"/>
        <w:rPr>
          <w:szCs w:val="16"/>
        </w:rPr>
      </w:pPr>
      <w:r>
        <w:rPr>
          <w:rStyle w:val="FootnoteReference"/>
        </w:rPr>
        <w:footnoteRef/>
      </w:r>
      <w:r>
        <w:t xml:space="preserve"> </w:t>
      </w:r>
      <w:r w:rsidRPr="00C34F94">
        <w:rPr>
          <w:szCs w:val="16"/>
        </w:rPr>
        <w:t>The IAC recommendations do not provide a density of efficient equipment in the marketplace because the inverse of the assumption regarding recommendations is not true (i.e., just because an industrial facility did not receive a recommendation, does not mean they already have the efficient version of the recommendation installed).</w:t>
      </w:r>
    </w:p>
  </w:footnote>
  <w:footnote w:id="74">
    <w:p w14:paraId="6E38B1EF" w14:textId="77777777" w:rsidR="00260768" w:rsidRDefault="00260768" w:rsidP="00874242">
      <w:pPr>
        <w:pStyle w:val="FootnoteText"/>
      </w:pPr>
      <w:r>
        <w:rPr>
          <w:rStyle w:val="FootnoteReference"/>
        </w:rPr>
        <w:footnoteRef/>
      </w:r>
      <w:r>
        <w:t xml:space="preserve"> </w:t>
      </w:r>
      <w:r w:rsidRPr="00081959">
        <w:t>http://www.cpuc.ca.gov/General.aspx?id=2013</w:t>
      </w:r>
    </w:p>
  </w:footnote>
  <w:footnote w:id="75">
    <w:p w14:paraId="100EFFE9" w14:textId="77777777" w:rsidR="00260768" w:rsidRDefault="00260768" w:rsidP="00874242">
      <w:pPr>
        <w:pStyle w:val="FootnoteText"/>
      </w:pPr>
      <w:r>
        <w:rPr>
          <w:rStyle w:val="FootnoteReference"/>
        </w:rPr>
        <w:footnoteRef/>
      </w:r>
      <w:r>
        <w:t xml:space="preserve"> </w:t>
      </w:r>
      <w:r w:rsidRPr="00081959">
        <w:t>http://www.conservation.ca.gov/dog</w:t>
      </w:r>
    </w:p>
  </w:footnote>
  <w:footnote w:id="76">
    <w:p w14:paraId="2A7C3848" w14:textId="77777777" w:rsidR="00260768" w:rsidRDefault="00260768" w:rsidP="00874242">
      <w:pPr>
        <w:pStyle w:val="FootnoteText"/>
      </w:pPr>
      <w:r>
        <w:rPr>
          <w:rStyle w:val="FootnoteReference"/>
        </w:rPr>
        <w:footnoteRef/>
      </w:r>
      <w:r>
        <w:t xml:space="preserve"> </w:t>
      </w:r>
      <w:r w:rsidRPr="00081959">
        <w:t>http://www.conservation.ca.gov/dog/pubs_stats/annual_reports/Pages/annual_reports.aspx</w:t>
      </w:r>
    </w:p>
  </w:footnote>
  <w:footnote w:id="77">
    <w:p w14:paraId="7A87E331" w14:textId="77777777" w:rsidR="00260768" w:rsidRDefault="00260768" w:rsidP="00874242">
      <w:pPr>
        <w:pStyle w:val="FootnoteText"/>
      </w:pPr>
      <w:r>
        <w:rPr>
          <w:rStyle w:val="FootnoteReference"/>
        </w:rPr>
        <w:footnoteRef/>
      </w:r>
      <w:r>
        <w:t xml:space="preserve"> </w:t>
      </w:r>
      <w:r w:rsidRPr="00081959">
        <w:t>http://www.cpuc.ca.gov/General.aspx?id=2013</w:t>
      </w:r>
    </w:p>
  </w:footnote>
  <w:footnote w:id="78">
    <w:p w14:paraId="4A23C21D" w14:textId="77777777" w:rsidR="00260768" w:rsidRDefault="00260768" w:rsidP="00874242">
      <w:pPr>
        <w:pStyle w:val="FootnoteText"/>
      </w:pPr>
      <w:r>
        <w:rPr>
          <w:rStyle w:val="FootnoteReference"/>
        </w:rPr>
        <w:footnoteRef/>
      </w:r>
      <w:r>
        <w:t xml:space="preserve"> Example from SCE: </w:t>
      </w:r>
      <w:r w:rsidRPr="00860882">
        <w:t>https://www.sce.com/NR/sc3/tm2/pdf/ce37-12.pdf</w:t>
      </w:r>
    </w:p>
  </w:footnote>
  <w:footnote w:id="79">
    <w:p w14:paraId="58DAC15A" w14:textId="77777777" w:rsidR="00260768" w:rsidRDefault="00260768" w:rsidP="00874242">
      <w:pPr>
        <w:pStyle w:val="FootnoteText"/>
      </w:pPr>
      <w:r>
        <w:rPr>
          <w:rStyle w:val="FootnoteReference"/>
        </w:rPr>
        <w:footnoteRef/>
      </w:r>
      <w:r>
        <w:t xml:space="preserve"> 2014 report: </w:t>
      </w:r>
      <w:hyperlink r:id="rId21" w:history="1">
        <w:r w:rsidRPr="001359BA">
          <w:rPr>
            <w:rStyle w:val="Hyperlink"/>
            <w:sz w:val="16"/>
          </w:rPr>
          <w:t>https://energy.gov/sites/prod/files/2015/05/f22/energysavingsforecast14.pdf</w:t>
        </w:r>
      </w:hyperlink>
      <w:r>
        <w:t xml:space="preserve">; 2016 report: </w:t>
      </w:r>
      <w:r w:rsidRPr="000D7F3A">
        <w:t>https://energy.gov/sites/prod/files/2016/10/f33/energysavingsforecast16_0.pdf</w:t>
      </w:r>
    </w:p>
  </w:footnote>
  <w:footnote w:id="80">
    <w:p w14:paraId="5B388C56" w14:textId="77777777" w:rsidR="00260768" w:rsidRDefault="00260768" w:rsidP="0097308A">
      <w:pPr>
        <w:pStyle w:val="FootnoteText"/>
      </w:pPr>
      <w:r>
        <w:rPr>
          <w:rStyle w:val="FootnoteReference"/>
        </w:rPr>
        <w:footnoteRef/>
      </w:r>
      <w:r>
        <w:t xml:space="preserve"> </w:t>
      </w:r>
      <w:hyperlink r:id="rId22" w:history="1">
        <w:r w:rsidRPr="007D4A2A">
          <w:rPr>
            <w:rStyle w:val="Hyperlink"/>
            <w:sz w:val="16"/>
            <w:szCs w:val="16"/>
          </w:rPr>
          <w:t>http://eestats.cpuc.ca.gov/Default.aspx</w:t>
        </w:r>
      </w:hyperlink>
    </w:p>
  </w:footnote>
  <w:footnote w:id="81">
    <w:p w14:paraId="236C95A3" w14:textId="77777777" w:rsidR="00260768" w:rsidRDefault="00260768" w:rsidP="002D74A6">
      <w:pPr>
        <w:pStyle w:val="FootnoteText"/>
      </w:pPr>
      <w:r>
        <w:rPr>
          <w:rStyle w:val="FootnoteReference"/>
        </w:rPr>
        <w:footnoteRef/>
      </w:r>
      <w:r>
        <w:t xml:space="preserve"> The emerging “technologies” represent a process for reducing energy consumption and not necessarily a specific technology. </w:t>
      </w:r>
    </w:p>
  </w:footnote>
  <w:footnote w:id="82">
    <w:p w14:paraId="17B55241" w14:textId="77777777" w:rsidR="00260768" w:rsidRDefault="00260768" w:rsidP="0055163F">
      <w:pPr>
        <w:pStyle w:val="FootnoteText"/>
      </w:pPr>
      <w:r>
        <w:rPr>
          <w:rStyle w:val="FootnoteReference"/>
        </w:rPr>
        <w:footnoteRef/>
      </w:r>
      <w:r>
        <w:t xml:space="preserve"> Decision Approving 2013-2014 Energy Efficiency Programs and Budgets, p. 77; AB802 </w:t>
      </w:r>
    </w:p>
  </w:footnote>
  <w:footnote w:id="83">
    <w:p w14:paraId="22213865" w14:textId="77777777" w:rsidR="00260768" w:rsidRDefault="00260768">
      <w:pPr>
        <w:pStyle w:val="FootnoteText"/>
      </w:pPr>
      <w:r>
        <w:rPr>
          <w:rStyle w:val="FootnoteReference"/>
        </w:rPr>
        <w:footnoteRef/>
      </w:r>
      <w:r>
        <w:t xml:space="preserve"> With the exception of gas savings at dual fuel utilities for the following building types: office, retail, school, and health</w:t>
      </w:r>
    </w:p>
  </w:footnote>
  <w:footnote w:id="84">
    <w:p w14:paraId="6F7D37AE" w14:textId="77777777" w:rsidR="00260768" w:rsidRPr="003C0771" w:rsidRDefault="00260768" w:rsidP="006B44D0">
      <w:pPr>
        <w:pStyle w:val="FootnoteText"/>
      </w:pPr>
      <w:r>
        <w:rPr>
          <w:rStyle w:val="FootnoteReference"/>
        </w:rPr>
        <w:footnoteRef/>
      </w:r>
      <w:r>
        <w:t xml:space="preserve"> </w:t>
      </w:r>
      <w:r w:rsidRPr="00CF1057">
        <w:t>Cadmus and DNV GL</w:t>
      </w:r>
      <w:r w:rsidRPr="00C7205C">
        <w:rPr>
          <w:i/>
        </w:rPr>
        <w:t>. Integrated Standards Savings Model (ISSM).</w:t>
      </w:r>
      <w:r>
        <w:t xml:space="preserve"> 2017.</w:t>
      </w:r>
    </w:p>
  </w:footnote>
  <w:footnote w:id="85">
    <w:p w14:paraId="31CE08DF" w14:textId="77777777" w:rsidR="00260768" w:rsidRDefault="00260768" w:rsidP="006B44D0">
      <w:pPr>
        <w:pStyle w:val="FootnoteText"/>
      </w:pPr>
      <w:r>
        <w:rPr>
          <w:rStyle w:val="FootnoteReference"/>
        </w:rPr>
        <w:footnoteRef/>
      </w:r>
      <w:r>
        <w:t xml:space="preserve"> Julie Liberzon. PG&amp;E. January 3, 2017. Personal email communication in response to CPUC data request.</w:t>
      </w:r>
    </w:p>
  </w:footnote>
  <w:footnote w:id="86">
    <w:p w14:paraId="483713D3" w14:textId="77777777" w:rsidR="00260768" w:rsidRDefault="00260768" w:rsidP="006B44D0">
      <w:pPr>
        <w:pStyle w:val="FootnoteText"/>
      </w:pPr>
      <w:r>
        <w:rPr>
          <w:rStyle w:val="FootnoteReference"/>
        </w:rPr>
        <w:footnoteRef/>
      </w:r>
      <w:r>
        <w:t xml:space="preserve"> </w:t>
      </w:r>
      <w:r w:rsidRPr="00CF1057">
        <w:t xml:space="preserve">Navigant Consulting, Inc. </w:t>
      </w:r>
      <w:r>
        <w:rPr>
          <w:i/>
        </w:rPr>
        <w:t>Energy Efficiency Potential and Goals Study for 2015 and Beyond</w:t>
      </w:r>
      <w:r w:rsidRPr="00CF1057">
        <w:t xml:space="preserve">. </w:t>
      </w:r>
      <w:r>
        <w:t>September</w:t>
      </w:r>
      <w:r w:rsidRPr="00CF1057">
        <w:t xml:space="preserve"> 201</w:t>
      </w:r>
      <w:r>
        <w:t>5</w:t>
      </w:r>
      <w:r w:rsidRPr="00CF1057">
        <w:t>.</w:t>
      </w:r>
    </w:p>
  </w:footnote>
  <w:footnote w:id="87">
    <w:p w14:paraId="04006411" w14:textId="77777777" w:rsidR="00260768" w:rsidRDefault="00260768" w:rsidP="00827540">
      <w:pPr>
        <w:pStyle w:val="FootnoteText"/>
      </w:pPr>
      <w:r>
        <w:rPr>
          <w:rStyle w:val="FootnoteReference"/>
        </w:rPr>
        <w:footnoteRef/>
      </w:r>
      <w:r>
        <w:t xml:space="preserve"> Cadmus and DNV GL. California Statewide Codes and Standards Program Impact Evaluation Phase Two, Volume Two: 2013 Title 24. August 2017.</w:t>
      </w:r>
    </w:p>
  </w:footnote>
  <w:footnote w:id="88">
    <w:p w14:paraId="1E0B8E8F" w14:textId="77777777" w:rsidR="00260768" w:rsidRDefault="00260768">
      <w:pPr>
        <w:pStyle w:val="FootnoteText"/>
      </w:pPr>
      <w:r>
        <w:rPr>
          <w:rStyle w:val="FootnoteReference"/>
        </w:rPr>
        <w:footnoteRef/>
      </w:r>
      <w:r>
        <w:t xml:space="preserve"> Cadmus and DNV GL. California Statewide Codes and Standards Program Impact Evaluation Phase Two, Volume Two: 2013 Title 24. August 2017.</w:t>
      </w:r>
    </w:p>
  </w:footnote>
  <w:footnote w:id="89">
    <w:p w14:paraId="3C68C822" w14:textId="77777777" w:rsidR="00260768" w:rsidRDefault="00260768" w:rsidP="006B44D0">
      <w:pPr>
        <w:pStyle w:val="FootnoteText"/>
      </w:pPr>
      <w:r>
        <w:rPr>
          <w:rStyle w:val="FootnoteReference"/>
        </w:rPr>
        <w:footnoteRef/>
      </w:r>
      <w:r>
        <w:t xml:space="preserve"> </w:t>
      </w:r>
      <w:r w:rsidRPr="00B433A3">
        <w:t xml:space="preserve">Cadmus, Energy Services Division and DNV GL. Statewide Codes and Standards Program </w:t>
      </w:r>
      <w:r>
        <w:t xml:space="preserve">Appendices to </w:t>
      </w:r>
      <w:r w:rsidRPr="00B433A3">
        <w:t>Impact Evaluation Report for Program Years 2010-2012. August 2014</w:t>
      </w:r>
      <w:r>
        <w:t>.</w:t>
      </w:r>
    </w:p>
  </w:footnote>
  <w:footnote w:id="90">
    <w:p w14:paraId="1AD2A56F" w14:textId="77777777" w:rsidR="00260768" w:rsidRDefault="00260768">
      <w:pPr>
        <w:pStyle w:val="FootnoteText"/>
      </w:pPr>
      <w:r>
        <w:rPr>
          <w:rStyle w:val="FootnoteReference"/>
        </w:rPr>
        <w:footnoteRef/>
      </w:r>
      <w:r>
        <w:t xml:space="preserve"> Cadmus </w:t>
      </w:r>
      <w:r w:rsidRPr="00CF1057">
        <w:t>and DNV GL</w:t>
      </w:r>
      <w:r w:rsidRPr="00C7205C">
        <w:t>. Integrated</w:t>
      </w:r>
      <w:r>
        <w:t xml:space="preserve"> Standards Savings Model (ISSM). 2017.</w:t>
      </w:r>
    </w:p>
  </w:footnote>
  <w:footnote w:id="91">
    <w:p w14:paraId="1E214813" w14:textId="77777777" w:rsidR="00260768" w:rsidRDefault="00260768" w:rsidP="00B56A32">
      <w:pPr>
        <w:pStyle w:val="FootnoteText"/>
      </w:pPr>
      <w:r>
        <w:rPr>
          <w:rStyle w:val="FootnoteReference"/>
        </w:rPr>
        <w:footnoteRef/>
      </w:r>
      <w:r>
        <w:t xml:space="preserve"> CPUC Decision 12-05-2015, May 8, 2012 and Decision Approving 2013-14 Energy Efficiency Programs and Budgets, October 9, 2012</w:t>
      </w:r>
    </w:p>
  </w:footnote>
  <w:footnote w:id="92">
    <w:p w14:paraId="7DD6D5F1" w14:textId="77777777" w:rsidR="00260768" w:rsidRDefault="00260768" w:rsidP="007370A3">
      <w:pPr>
        <w:pStyle w:val="FootnoteText"/>
      </w:pPr>
      <w:r>
        <w:rPr>
          <w:rStyle w:val="FootnoteReference"/>
        </w:rPr>
        <w:footnoteRef/>
      </w:r>
      <w:r>
        <w:t xml:space="preserve"> REEL Lenders Chart. Available at: </w:t>
      </w:r>
      <w:hyperlink r:id="rId23" w:history="1">
        <w:r w:rsidRPr="008E222B">
          <w:rPr>
            <w:rStyle w:val="Hyperlink"/>
            <w:sz w:val="16"/>
          </w:rPr>
          <w:t>http://www.thecheef.com/lender-chart</w:t>
        </w:r>
      </w:hyperlink>
      <w:r>
        <w:t xml:space="preserve"> </w:t>
      </w:r>
    </w:p>
  </w:footnote>
  <w:footnote w:id="93">
    <w:p w14:paraId="35DA84F9" w14:textId="77777777" w:rsidR="00260768" w:rsidRDefault="00260768" w:rsidP="007370A3">
      <w:pPr>
        <w:pStyle w:val="FootnoteText"/>
      </w:pPr>
      <w:r>
        <w:rPr>
          <w:rStyle w:val="FootnoteReference"/>
        </w:rPr>
        <w:footnoteRef/>
      </w:r>
      <w:r>
        <w:t xml:space="preserve"> Ibid. </w:t>
      </w:r>
    </w:p>
  </w:footnote>
  <w:footnote w:id="94">
    <w:p w14:paraId="1B2C1934" w14:textId="77777777" w:rsidR="00260768" w:rsidRDefault="00260768" w:rsidP="007370A3">
      <w:pPr>
        <w:pStyle w:val="FootnoteText"/>
      </w:pPr>
      <w:r>
        <w:rPr>
          <w:rStyle w:val="FootnoteReference"/>
        </w:rPr>
        <w:footnoteRef/>
      </w:r>
      <w:r>
        <w:t xml:space="preserve"> For example, see: </w:t>
      </w:r>
      <w:hyperlink r:id="rId24" w:history="1">
        <w:r w:rsidRPr="008E222B">
          <w:rPr>
            <w:rStyle w:val="Hyperlink"/>
            <w:sz w:val="16"/>
          </w:rPr>
          <w:t>http://www.gao.gov/assets/690/682586.pdf</w:t>
        </w:r>
      </w:hyperlink>
      <w:r>
        <w:t xml:space="preserve"> </w:t>
      </w:r>
    </w:p>
  </w:footnote>
  <w:footnote w:id="95">
    <w:p w14:paraId="05CFA414" w14:textId="77777777" w:rsidR="00260768" w:rsidRDefault="00260768" w:rsidP="007370A3">
      <w:pPr>
        <w:pStyle w:val="FootnoteText"/>
        <w:spacing w:after="0"/>
      </w:pPr>
      <w:r>
        <w:rPr>
          <w:rStyle w:val="FootnoteReference"/>
        </w:rPr>
        <w:footnoteRef/>
      </w:r>
      <w:r>
        <w:t xml:space="preserve"> Hausman, Jerry. </w:t>
      </w:r>
      <w:r>
        <w:rPr>
          <w:rFonts w:cs="Arial"/>
          <w:bCs/>
        </w:rPr>
        <w:t xml:space="preserve">Individual Discount Rates and the Purchase and Utilization of Energy-Using Durables. The Bell Journal of Economics, Vol. 10, No. 1. Spring 1979. </w:t>
      </w:r>
    </w:p>
  </w:footnote>
  <w:footnote w:id="96">
    <w:p w14:paraId="09D651FC" w14:textId="77777777" w:rsidR="00260768" w:rsidRDefault="00260768" w:rsidP="007370A3">
      <w:pPr>
        <w:pStyle w:val="FootnoteText"/>
        <w:spacing w:after="0"/>
      </w:pPr>
      <w:r>
        <w:rPr>
          <w:rStyle w:val="FootnoteReference"/>
        </w:rPr>
        <w:footnoteRef/>
      </w:r>
      <w:r>
        <w:t xml:space="preserve"> The affordable housing market segment is the current focus of the proposed EE financing programs. Due to legal and regulatory</w:t>
      </w:r>
    </w:p>
    <w:p w14:paraId="7E13E54B" w14:textId="77777777" w:rsidR="00260768" w:rsidRDefault="00260768" w:rsidP="007370A3">
      <w:pPr>
        <w:pStyle w:val="FootnoteText"/>
        <w:spacing w:after="0"/>
      </w:pPr>
      <w:r>
        <w:t>issues, OBR is not a viable option except master-metered properties.</w:t>
      </w:r>
    </w:p>
  </w:footnote>
  <w:footnote w:id="97">
    <w:p w14:paraId="5C5069A7" w14:textId="77777777" w:rsidR="00260768" w:rsidRDefault="00260768" w:rsidP="007370A3">
      <w:pPr>
        <w:pStyle w:val="FootnoteText"/>
      </w:pPr>
      <w:r>
        <w:rPr>
          <w:rStyle w:val="FootnoteReference"/>
        </w:rPr>
        <w:footnoteRef/>
      </w:r>
      <w:r>
        <w:t xml:space="preserve"> SEEaction OBF report, Appendix A </w:t>
      </w:r>
      <w:hyperlink r:id="rId25" w:history="1">
        <w:r w:rsidRPr="008E222B">
          <w:rPr>
            <w:rStyle w:val="Hyperlink"/>
            <w:sz w:val="16"/>
          </w:rPr>
          <w:t>https://www4.eere.energy.gov/seeaction/system/files/documents/publications/chapters/onbill_financing_appendix.pdf</w:t>
        </w:r>
      </w:hyperlink>
      <w:r>
        <w:t xml:space="preserve"> </w:t>
      </w:r>
    </w:p>
    <w:p w14:paraId="13F20BCE" w14:textId="77777777" w:rsidR="00260768" w:rsidRDefault="00260768" w:rsidP="007370A3">
      <w:pPr>
        <w:pStyle w:val="FootnoteText"/>
      </w:pPr>
    </w:p>
  </w:footnote>
  <w:footnote w:id="98">
    <w:p w14:paraId="47BB9309" w14:textId="77777777" w:rsidR="00260768" w:rsidRDefault="00260768">
      <w:pPr>
        <w:pStyle w:val="FootnoteText"/>
      </w:pPr>
      <w:r>
        <w:rPr>
          <w:rStyle w:val="FootnoteReference"/>
        </w:rPr>
        <w:footnoteRef/>
      </w:r>
      <w:r>
        <w:t xml:space="preserve"> See </w:t>
      </w:r>
      <w:hyperlink r:id="rId26" w:history="1">
        <w:r w:rsidRPr="002A012E">
          <w:rPr>
            <w:rStyle w:val="Hyperlink"/>
            <w:sz w:val="16"/>
          </w:rPr>
          <w:t>http://eestats.cpuc.ca.gov</w:t>
        </w:r>
      </w:hyperlink>
    </w:p>
  </w:footnote>
  <w:footnote w:id="99">
    <w:p w14:paraId="020498C4" w14:textId="77777777" w:rsidR="00260768" w:rsidRDefault="00260768" w:rsidP="00E01C42">
      <w:pPr>
        <w:pStyle w:val="FootnoteText"/>
      </w:pPr>
      <w:r>
        <w:rPr>
          <w:rStyle w:val="FootnoteReference"/>
        </w:rPr>
        <w:footnoteRef/>
      </w:r>
      <w:r>
        <w:t xml:space="preserve"> </w:t>
      </w:r>
      <w:r w:rsidRPr="00DF089C">
        <w:t>Kate Johnson and Eric Mackres, Scaling up Multifamily Energy Efficiency Programs: A Metropolitan Area Assessment, Report Number E135, March 2013, American Council for an Energy Efficient Economy, from http://www.prezcat.org/sites/default/files/Scaling%20up%20MF%20Energy%20Efficiency%20Programs_0.pdf</w:t>
      </w:r>
    </w:p>
  </w:footnote>
  <w:footnote w:id="100">
    <w:p w14:paraId="0565382D" w14:textId="77777777" w:rsidR="00260768" w:rsidRDefault="00260768" w:rsidP="00AA5F34">
      <w:pPr>
        <w:pStyle w:val="FootnoteText"/>
      </w:pPr>
      <w:r>
        <w:rPr>
          <w:rStyle w:val="FootnoteReference"/>
        </w:rPr>
        <w:footnoteRef/>
      </w:r>
      <w:r>
        <w:t xml:space="preserve"> PG&amp;E, Application of Pacific Gas and Electric Company for Approval of 2018-2025 Rolling Portfolio Energy Efficiency Business Plan and Budget, Public Utilities Commission of the State of California, January 17, 2017</w:t>
      </w:r>
    </w:p>
    <w:p w14:paraId="1728C6D5" w14:textId="77777777" w:rsidR="00260768" w:rsidRDefault="00260768" w:rsidP="00AA5F34">
      <w:pPr>
        <w:pStyle w:val="FootnoteText"/>
      </w:pPr>
      <w:r>
        <w:t>SCE, Southern California Edison Company’s Energy Efficiency Rolling Portfolio Business Plan Application, Statewide Administration Approach, Public Utilities Commission of the State of California, January 17, 2017</w:t>
      </w:r>
    </w:p>
    <w:p w14:paraId="1260917E" w14:textId="77777777" w:rsidR="00260768" w:rsidRDefault="00260768" w:rsidP="00AA5F34">
      <w:pPr>
        <w:pStyle w:val="FootnoteText"/>
      </w:pPr>
      <w:r>
        <w:t>SDG&amp;E, Application of San Diego Gas &amp; Electric Company (U 902-M) to adopt Energy Efficiency Rolling Portfolio Business Plan Pursuant to Decision 16-08-019, Public Utilities Commission of the State of California, January 17, 2017</w:t>
      </w:r>
    </w:p>
    <w:p w14:paraId="1DBA5B3D" w14:textId="77777777" w:rsidR="00260768" w:rsidRDefault="00260768" w:rsidP="00AA5F34">
      <w:pPr>
        <w:pStyle w:val="FootnoteText"/>
      </w:pPr>
      <w:r>
        <w:t>SCG, Energy Efficiency Business Plan for Southern California Gas Company, Public Utilities Commission of the State of California, January 17, 2017</w:t>
      </w:r>
    </w:p>
  </w:footnote>
  <w:footnote w:id="101">
    <w:p w14:paraId="114B07CB" w14:textId="77777777" w:rsidR="00260768" w:rsidRDefault="00260768" w:rsidP="00E01C42">
      <w:pPr>
        <w:pStyle w:val="FootnoteText"/>
      </w:pPr>
      <w:r>
        <w:rPr>
          <w:rStyle w:val="FootnoteReference"/>
        </w:rPr>
        <w:footnoteRef/>
      </w:r>
      <w:r>
        <w:t xml:space="preserve"> </w:t>
      </w:r>
      <w:r w:rsidRPr="00DF089C">
        <w:t>DNV-GL, Review and Validation of 2014 Pacific Gas &amp; Electric Home Energy Reports Program Impacts (Final Report)</w:t>
      </w:r>
      <w:r>
        <w:t xml:space="preserve"> </w:t>
      </w:r>
      <w:r w:rsidRPr="00DF089C">
        <w:t>04/01/2016, California Public Utilities Commission, page 4, 19</w:t>
      </w:r>
    </w:p>
  </w:footnote>
  <w:footnote w:id="102">
    <w:p w14:paraId="0676C3AA" w14:textId="77777777" w:rsidR="00260768" w:rsidRDefault="00260768" w:rsidP="00E01C42">
      <w:pPr>
        <w:pStyle w:val="FootnoteText"/>
      </w:pPr>
      <w:r>
        <w:rPr>
          <w:rStyle w:val="FootnoteReference"/>
        </w:rPr>
        <w:footnoteRef/>
      </w:r>
      <w:r>
        <w:t xml:space="preserve"> </w:t>
      </w:r>
      <w:r w:rsidRPr="00DF089C">
        <w:t>DNV-GL,2013 PG&amp;E Home Energy Reports Program Review and Validation of Impact Evaluation ED Res 3.1, April 06, 2015, California Public Utility Commission</w:t>
      </w:r>
    </w:p>
  </w:footnote>
  <w:footnote w:id="103">
    <w:p w14:paraId="153D027A" w14:textId="77777777" w:rsidR="00260768" w:rsidRDefault="00260768" w:rsidP="00E01C42">
      <w:pPr>
        <w:pStyle w:val="FootnoteText"/>
      </w:pPr>
      <w:r>
        <w:rPr>
          <w:rStyle w:val="FootnoteReference"/>
        </w:rPr>
        <w:footnoteRef/>
      </w:r>
      <w:r>
        <w:t xml:space="preserve"> </w:t>
      </w:r>
      <w:r w:rsidRPr="00DF089C">
        <w:t>DNV KEMA, Review of PG&amp;E Home Energy Reports Initiative Evaluation, 5-31-2013,</w:t>
      </w:r>
      <w:r>
        <w:t xml:space="preserve"> </w:t>
      </w:r>
      <w:r w:rsidRPr="00DF089C">
        <w:t>CPUC Energy Division</w:t>
      </w:r>
    </w:p>
  </w:footnote>
  <w:footnote w:id="104">
    <w:p w14:paraId="6094B682" w14:textId="77777777" w:rsidR="00260768" w:rsidRDefault="00260768" w:rsidP="00E01C42">
      <w:pPr>
        <w:pStyle w:val="FootnoteText"/>
      </w:pPr>
      <w:r>
        <w:rPr>
          <w:rStyle w:val="FootnoteReference"/>
        </w:rPr>
        <w:footnoteRef/>
      </w:r>
      <w:r>
        <w:t xml:space="preserve"> </w:t>
      </w:r>
      <w:r w:rsidRPr="00DF089C">
        <w:t>Freeman Sullivan and Company, Evaluation of Pacific Gas and Electric Company's Home Energy Report Initiative for the 2010–2012 Program, April 25, 2013, Pacific Gas and Electric Company, p 8, 26-31</w:t>
      </w:r>
    </w:p>
  </w:footnote>
  <w:footnote w:id="105">
    <w:p w14:paraId="442A738D" w14:textId="77777777" w:rsidR="00260768" w:rsidRDefault="00260768" w:rsidP="00E01C42">
      <w:pPr>
        <w:pStyle w:val="FootnoteText"/>
      </w:pPr>
      <w:r>
        <w:rPr>
          <w:rStyle w:val="FootnoteReference"/>
        </w:rPr>
        <w:footnoteRef/>
      </w:r>
      <w:r>
        <w:t xml:space="preserve"> </w:t>
      </w:r>
      <w:r w:rsidRPr="00DF089C">
        <w:t>DNV-GL, Review and Validation of 2014 Southern California Edison Home Energy Reports Program Impacts (Final Report)</w:t>
      </w:r>
      <w:r>
        <w:t xml:space="preserve"> </w:t>
      </w:r>
      <w:r w:rsidRPr="00DF089C">
        <w:t>04/01/2016, California Public Utilities Commission, page 3, 13</w:t>
      </w:r>
    </w:p>
  </w:footnote>
  <w:footnote w:id="106">
    <w:p w14:paraId="2B9FD3F9" w14:textId="77777777" w:rsidR="00260768" w:rsidRDefault="00260768" w:rsidP="00E01C42">
      <w:pPr>
        <w:pStyle w:val="FootnoteText"/>
      </w:pPr>
      <w:r>
        <w:rPr>
          <w:rStyle w:val="FootnoteReference"/>
        </w:rPr>
        <w:footnoteRef/>
      </w:r>
      <w:r>
        <w:t xml:space="preserve"> </w:t>
      </w:r>
      <w:r w:rsidRPr="00DF089C">
        <w:t>DNV-GL, 2013 SCE Home Energy Reports Program Review and Validation of Impact Evaluation ED Res 3.2, April 06, 2015, California Public Utilities Commission, p 3, 8</w:t>
      </w:r>
    </w:p>
  </w:footnote>
  <w:footnote w:id="107">
    <w:p w14:paraId="2D93B294" w14:textId="77777777" w:rsidR="00260768" w:rsidRDefault="00260768" w:rsidP="00E01C42">
      <w:pPr>
        <w:pStyle w:val="FootnoteText"/>
      </w:pPr>
      <w:r>
        <w:rPr>
          <w:rStyle w:val="FootnoteReference"/>
        </w:rPr>
        <w:footnoteRef/>
      </w:r>
      <w:r>
        <w:t xml:space="preserve"> </w:t>
      </w:r>
      <w:r w:rsidRPr="00DF089C">
        <w:t xml:space="preserve">August 2015 Advanced Metering Semi-Annual report provided by SCG staff. Appendix E </w:t>
      </w:r>
      <w:r w:rsidRPr="00DF089C">
        <w:rPr>
          <w:rFonts w:ascii="Cambria Math" w:hAnsi="Cambria Math" w:cs="Cambria Math"/>
        </w:rPr>
        <w:t>‐</w:t>
      </w:r>
      <w:r w:rsidRPr="00DF089C">
        <w:t xml:space="preserve"> Nexant, Evaluation of Southern California Gas Company</w:t>
      </w:r>
      <w:r w:rsidRPr="00DF089C">
        <w:rPr>
          <w:rFonts w:cs="Arial"/>
        </w:rPr>
        <w:t>’</w:t>
      </w:r>
      <w:r w:rsidRPr="00DF089C">
        <w:t>s 2015</w:t>
      </w:r>
      <w:r w:rsidRPr="00DF089C">
        <w:rPr>
          <w:rFonts w:ascii="Cambria Math" w:hAnsi="Cambria Math" w:cs="Cambria Math"/>
        </w:rPr>
        <w:t>‐</w:t>
      </w:r>
      <w:r w:rsidRPr="00DF089C">
        <w:t>2016 Conservation Campaign, August 2016, August 31, 2016, page E3</w:t>
      </w:r>
    </w:p>
  </w:footnote>
  <w:footnote w:id="108">
    <w:p w14:paraId="1636974F" w14:textId="77777777" w:rsidR="00260768" w:rsidRDefault="00260768" w:rsidP="00E01C42">
      <w:pPr>
        <w:pStyle w:val="FootnoteText"/>
      </w:pPr>
      <w:r>
        <w:rPr>
          <w:rStyle w:val="FootnoteReference"/>
        </w:rPr>
        <w:footnoteRef/>
      </w:r>
      <w:r>
        <w:t xml:space="preserve"> </w:t>
      </w:r>
      <w:r w:rsidRPr="00DF089C">
        <w:t>DNV-GL, Impact Evaluation of 2014 San Diego Gas &amp; Electric Home Energy Reports Program (Final Report), 04/01/2016, California Public Utilities Commission, page 3, 24</w:t>
      </w:r>
    </w:p>
  </w:footnote>
  <w:footnote w:id="109">
    <w:p w14:paraId="47576660" w14:textId="77777777" w:rsidR="00260768" w:rsidRDefault="00260768" w:rsidP="00E01C42">
      <w:pPr>
        <w:pStyle w:val="FootnoteText"/>
      </w:pPr>
      <w:r>
        <w:rPr>
          <w:rStyle w:val="FootnoteReference"/>
        </w:rPr>
        <w:footnoteRef/>
      </w:r>
      <w:r>
        <w:t xml:space="preserve"> </w:t>
      </w:r>
      <w:r w:rsidRPr="00DF089C">
        <w:t>DNV-GL,</w:t>
      </w:r>
      <w:r>
        <w:t xml:space="preserve"> </w:t>
      </w:r>
      <w:r w:rsidRPr="00DF089C">
        <w:t>SDG&amp;E Home Energy Reports Program 2013 Impact Evaluation ED Res 3.3, October 17, 2014, California Public Utility Commission</w:t>
      </w:r>
    </w:p>
  </w:footnote>
  <w:footnote w:id="110">
    <w:p w14:paraId="7EFF3EF2" w14:textId="77777777" w:rsidR="00260768" w:rsidRDefault="00260768">
      <w:pPr>
        <w:pStyle w:val="FootnoteText"/>
      </w:pPr>
      <w:r>
        <w:rPr>
          <w:rStyle w:val="FootnoteReference"/>
        </w:rPr>
        <w:footnoteRef/>
      </w:r>
      <w:r>
        <w:t xml:space="preserve"> Informal comments on the webinar presented on April 20, 2017. </w:t>
      </w:r>
    </w:p>
  </w:footnote>
  <w:footnote w:id="111">
    <w:p w14:paraId="211ED475" w14:textId="77777777" w:rsidR="00260768" w:rsidRDefault="00260768" w:rsidP="00E01C42">
      <w:pPr>
        <w:pStyle w:val="FootnoteText"/>
      </w:pPr>
      <w:r>
        <w:rPr>
          <w:rStyle w:val="FootnoteReference"/>
        </w:rPr>
        <w:footnoteRef/>
      </w:r>
      <w:r>
        <w:t xml:space="preserve"> </w:t>
      </w:r>
      <w:r w:rsidRPr="00E63387">
        <w:t>KEMA, SDG&amp;E Home Energy Reports Program Savings Results,</w:t>
      </w:r>
      <w:r>
        <w:t xml:space="preserve"> </w:t>
      </w:r>
      <w:r w:rsidRPr="00E63387">
        <w:t>August 23, 2013, San Diego Gas and Electric</w:t>
      </w:r>
    </w:p>
  </w:footnote>
  <w:footnote w:id="112">
    <w:p w14:paraId="36C960CD" w14:textId="77777777" w:rsidR="00260768" w:rsidRDefault="00260768" w:rsidP="00E01C42">
      <w:pPr>
        <w:pStyle w:val="FootnoteText"/>
      </w:pPr>
      <w:r>
        <w:rPr>
          <w:rStyle w:val="FootnoteReference"/>
        </w:rPr>
        <w:footnoteRef/>
      </w:r>
      <w:r>
        <w:t xml:space="preserve"> </w:t>
      </w:r>
      <w:r w:rsidRPr="00DF089C">
        <w:t>Southern California Gas Company, 2013 Program Implementation Plan, California Public Utility Commission, sourced from http://eestats.cpuc.ca.gov/EEGA2010Files/SCG/PIP/2013/Clean/1.3%20Energy%20Advisor%20Attachment.pdf</w:t>
      </w:r>
    </w:p>
  </w:footnote>
  <w:footnote w:id="113">
    <w:p w14:paraId="66935935" w14:textId="77777777" w:rsidR="00260768" w:rsidRDefault="00260768">
      <w:pPr>
        <w:pStyle w:val="FootnoteText"/>
      </w:pPr>
      <w:r>
        <w:rPr>
          <w:rStyle w:val="FootnoteReference"/>
        </w:rPr>
        <w:footnoteRef/>
      </w:r>
      <w:r>
        <w:t xml:space="preserve"> Informal comments on the webinar presented on April 20, 2017.</w:t>
      </w:r>
    </w:p>
  </w:footnote>
  <w:footnote w:id="114">
    <w:p w14:paraId="3DD2440F" w14:textId="77777777" w:rsidR="00260768" w:rsidRPr="00387C9B" w:rsidRDefault="00260768" w:rsidP="00E01C42">
      <w:pPr>
        <w:rPr>
          <w:sz w:val="16"/>
          <w:szCs w:val="20"/>
        </w:rPr>
      </w:pPr>
      <w:r w:rsidRPr="005F4903">
        <w:rPr>
          <w:sz w:val="16"/>
          <w:szCs w:val="20"/>
          <w:vertAlign w:val="superscript"/>
        </w:rPr>
        <w:footnoteRef/>
      </w:r>
      <w:r w:rsidRPr="005F4903">
        <w:rPr>
          <w:sz w:val="16"/>
          <w:szCs w:val="20"/>
        </w:rPr>
        <w:t xml:space="preserve"> </w:t>
      </w:r>
      <w:r w:rsidRPr="00387C9B">
        <w:rPr>
          <w:sz w:val="16"/>
          <w:szCs w:val="20"/>
        </w:rPr>
        <w:t>U.S. EIA Residential Energy Consumption Survey (RECS). “Table CE2.5 – Household Site Fuel Consumption in the West Region, Totals and Averages.” (2009). Available at: http://www.eia.gov/consumption/residential/data/2009/index.php?view=consumption#fuel-consumption</w:t>
      </w:r>
    </w:p>
  </w:footnote>
  <w:footnote w:id="115">
    <w:p w14:paraId="4689CC50" w14:textId="77777777" w:rsidR="00260768" w:rsidRDefault="00260768">
      <w:pPr>
        <w:pStyle w:val="FootnoteText"/>
      </w:pPr>
      <w:r>
        <w:rPr>
          <w:rStyle w:val="FootnoteReference"/>
        </w:rPr>
        <w:footnoteRef/>
      </w:r>
      <w:r>
        <w:t xml:space="preserve"> Informal comments on the webinar presented on April 20, 2017.</w:t>
      </w:r>
    </w:p>
  </w:footnote>
  <w:footnote w:id="116">
    <w:p w14:paraId="2F70033D" w14:textId="77777777" w:rsidR="00260768" w:rsidRDefault="00260768">
      <w:pPr>
        <w:pStyle w:val="FootnoteText"/>
      </w:pPr>
      <w:r>
        <w:rPr>
          <w:rStyle w:val="FootnoteReference"/>
        </w:rPr>
        <w:footnoteRef/>
      </w:r>
      <w:r>
        <w:t xml:space="preserve"> Ibid.</w:t>
      </w:r>
    </w:p>
  </w:footnote>
  <w:footnote w:id="117">
    <w:p w14:paraId="7738FD65" w14:textId="77777777" w:rsidR="00260768" w:rsidRPr="00387C9B" w:rsidRDefault="00260768" w:rsidP="00E01C42">
      <w:pPr>
        <w:rPr>
          <w:sz w:val="16"/>
          <w:szCs w:val="20"/>
        </w:rPr>
      </w:pPr>
      <w:r>
        <w:rPr>
          <w:rStyle w:val="FootnoteReference"/>
        </w:rPr>
        <w:footnoteRef/>
      </w:r>
      <w:r>
        <w:t xml:space="preserve"> </w:t>
      </w:r>
      <w:r w:rsidRPr="00387C9B">
        <w:rPr>
          <w:sz w:val="16"/>
          <w:szCs w:val="20"/>
        </w:rPr>
        <w:t>Kira Ashby, 2016 Behavior Program Summary, 2016, Consortium for Energy Efficiency, from https://library.cee1.org/content/2016-behavior-program-summary-public</w:t>
      </w:r>
    </w:p>
  </w:footnote>
  <w:footnote w:id="118">
    <w:p w14:paraId="605DFB68" w14:textId="77777777" w:rsidR="00260768" w:rsidRDefault="00260768" w:rsidP="00E01C42">
      <w:pPr>
        <w:pStyle w:val="FootnoteText"/>
      </w:pPr>
      <w:r>
        <w:rPr>
          <w:rStyle w:val="FootnoteReference"/>
        </w:rPr>
        <w:footnoteRef/>
      </w:r>
      <w:r>
        <w:t xml:space="preserve"> </w:t>
      </w:r>
      <w:r w:rsidRPr="00387C9B">
        <w:t>Susan Mazur-Stommen and Kate Farley, ACEEE Field Guide to Utility-Run Behavior Programs, 2013, American Council for an Energy-Efficient Economy, from http://aceee.org/research-report/b132</w:t>
      </w:r>
    </w:p>
  </w:footnote>
  <w:footnote w:id="119">
    <w:p w14:paraId="1082BE65" w14:textId="77777777" w:rsidR="00260768" w:rsidRPr="00387C9B" w:rsidRDefault="00260768" w:rsidP="00E01C42">
      <w:pPr>
        <w:rPr>
          <w:sz w:val="16"/>
          <w:szCs w:val="20"/>
        </w:rPr>
      </w:pPr>
      <w:r>
        <w:rPr>
          <w:rStyle w:val="FootnoteReference"/>
        </w:rPr>
        <w:footnoteRef/>
      </w:r>
      <w:r w:rsidRPr="00775E71">
        <w:rPr>
          <w:sz w:val="16"/>
          <w:szCs w:val="16"/>
        </w:rPr>
        <w:t xml:space="preserve"> </w:t>
      </w:r>
      <w:r w:rsidRPr="00387C9B">
        <w:rPr>
          <w:sz w:val="16"/>
          <w:szCs w:val="20"/>
        </w:rPr>
        <w:t>Illume Advising, Energy Efficiency Behavioral Programs: Literature Review, Benchmarking Analysis, and Evaluation Guidelines, Conservation Applied Research &amp; Development (CARD) FINAL REPORT, Prepared for: Minnesota Department of Commerce, Division of Energy Resources, May 4, 2015</w:t>
      </w:r>
    </w:p>
  </w:footnote>
  <w:footnote w:id="120">
    <w:p w14:paraId="02CED49A" w14:textId="77777777" w:rsidR="00260768" w:rsidRDefault="00260768" w:rsidP="00E01C42">
      <w:pPr>
        <w:pStyle w:val="FootnoteText"/>
      </w:pPr>
      <w:r>
        <w:rPr>
          <w:rStyle w:val="FootnoteReference"/>
        </w:rPr>
        <w:footnoteRef/>
      </w:r>
      <w:r>
        <w:t xml:space="preserve"> </w:t>
      </w:r>
      <w:r w:rsidRPr="00387C9B">
        <w:t xml:space="preserve">Ben Foster and Susan Mazur-Stommen. 2012. “Results from Real-Time Feedback Studies.” American </w:t>
      </w:r>
      <w:r>
        <w:t>C</w:t>
      </w:r>
      <w:r w:rsidRPr="00387C9B">
        <w:t>ouncil for an Energy Efficient Economy. Report Number B122</w:t>
      </w:r>
    </w:p>
  </w:footnote>
  <w:footnote w:id="121">
    <w:p w14:paraId="53BEDC5B" w14:textId="77777777" w:rsidR="00260768" w:rsidRDefault="00260768" w:rsidP="00E01C42">
      <w:pPr>
        <w:pStyle w:val="FootnoteText"/>
      </w:pPr>
      <w:r>
        <w:rPr>
          <w:rStyle w:val="FootnoteReference"/>
        </w:rPr>
        <w:footnoteRef/>
      </w:r>
      <w:r>
        <w:t xml:space="preserve"> </w:t>
      </w:r>
      <w:r w:rsidRPr="00387C9B">
        <w:t>Reuven Sussman and Maxine Chikumbo. 2016. “Behavior Change Programs: Status and Impact.” American Council for an Energy Efficient Economy. Report Number B1601</w:t>
      </w:r>
    </w:p>
  </w:footnote>
  <w:footnote w:id="122">
    <w:p w14:paraId="5C1862AE" w14:textId="77777777" w:rsidR="00260768" w:rsidRDefault="00260768" w:rsidP="00E01C42">
      <w:pPr>
        <w:pStyle w:val="FootnoteText"/>
      </w:pPr>
      <w:r>
        <w:rPr>
          <w:rStyle w:val="FootnoteReference"/>
        </w:rPr>
        <w:footnoteRef/>
      </w:r>
      <w:r>
        <w:t xml:space="preserve"> </w:t>
      </w:r>
      <w:r w:rsidRPr="00387C9B">
        <w:t>Opinion Dynamics. “PY2013-2014 California Energy Efficiency and Demand Response Residential Behavior Market Characterization Study Report: Volume 1. Prepared for the California Public Utilities Commission Energy Division. July 2015.</w:t>
      </w:r>
    </w:p>
  </w:footnote>
  <w:footnote w:id="123">
    <w:p w14:paraId="2E8E92F7" w14:textId="77777777" w:rsidR="00260768" w:rsidRDefault="00260768">
      <w:pPr>
        <w:pStyle w:val="FootnoteText"/>
      </w:pPr>
      <w:r>
        <w:rPr>
          <w:rStyle w:val="FootnoteReference"/>
        </w:rPr>
        <w:footnoteRef/>
      </w:r>
      <w:r>
        <w:t xml:space="preserve"> PG&amp;E provided this reference in response to the webinar on April 20: </w:t>
      </w:r>
      <w:r w:rsidRPr="00FA172B">
        <w:t>https://www.amazon.com/Rainforest-Energy-Monitor-ZigBee-Gateway/dp/B00AII248U</w:t>
      </w:r>
    </w:p>
  </w:footnote>
  <w:footnote w:id="124">
    <w:p w14:paraId="2EA8DAD5" w14:textId="77777777" w:rsidR="00260768" w:rsidRDefault="00260768" w:rsidP="00E01C42">
      <w:pPr>
        <w:pStyle w:val="FootnoteText"/>
      </w:pPr>
      <w:r>
        <w:rPr>
          <w:rStyle w:val="FootnoteReference"/>
        </w:rPr>
        <w:footnoteRef/>
      </w:r>
      <w:r>
        <w:t xml:space="preserve"> Alberta Energy Efficiency Alliance, Energy Savings through Consumer Feedback Programs, Feb 2014, City of Calgary</w:t>
      </w:r>
    </w:p>
  </w:footnote>
  <w:footnote w:id="125">
    <w:p w14:paraId="1EDFF3B3" w14:textId="77777777" w:rsidR="00260768" w:rsidRDefault="00260768">
      <w:pPr>
        <w:pStyle w:val="FootnoteText"/>
      </w:pPr>
      <w:r>
        <w:rPr>
          <w:rStyle w:val="FootnoteReference"/>
        </w:rPr>
        <w:footnoteRef/>
      </w:r>
      <w:r>
        <w:t xml:space="preserve"> Grossberg, Frederick; Wolfson, Mariel; Mazur-Stommen, Susan; Farley, Kate; and Steven Nadel. 2015.(February) “Gamified Energy Efficiency Programs.” ACEEE Report B1501.</w:t>
      </w:r>
    </w:p>
  </w:footnote>
  <w:footnote w:id="126">
    <w:p w14:paraId="1094D719" w14:textId="77777777" w:rsidR="00260768" w:rsidRDefault="00260768" w:rsidP="00B76510">
      <w:pPr>
        <w:pStyle w:val="FootnoteText"/>
      </w:pPr>
      <w:r>
        <w:rPr>
          <w:rStyle w:val="FootnoteReference"/>
        </w:rPr>
        <w:footnoteRef/>
      </w:r>
      <w:r>
        <w:t xml:space="preserve"> PG&amp;E provided the following reference: Jones, Christopher M. and Kammen, Daniel M. 2014 “The CoolCalifornia Challenge: A Pilot Inter-City Household Carbon Footprint Reduction Competition.” Contract Number: 10-325, California Air Resources Board. </w:t>
      </w:r>
      <w:r w:rsidRPr="00F944B0">
        <w:t>https://www.arb.ca.gov/research/apr/past/10-325.pdf</w:t>
      </w:r>
    </w:p>
  </w:footnote>
  <w:footnote w:id="127">
    <w:p w14:paraId="390C8EFB" w14:textId="77777777" w:rsidR="00260768" w:rsidRPr="003D09EA" w:rsidRDefault="00260768" w:rsidP="00E01C42">
      <w:pPr>
        <w:rPr>
          <w:sz w:val="16"/>
          <w:szCs w:val="20"/>
        </w:rPr>
      </w:pPr>
      <w:r>
        <w:rPr>
          <w:rStyle w:val="FootnoteReference"/>
        </w:rPr>
        <w:footnoteRef/>
      </w:r>
      <w:r>
        <w:t xml:space="preserve"> </w:t>
      </w:r>
      <w:r w:rsidRPr="003D09EA">
        <w:rPr>
          <w:sz w:val="16"/>
          <w:szCs w:val="20"/>
        </w:rPr>
        <w:t>Kira Ashby, 2016 Behavior Program Summary, 2016, Consortium for Energy Efficiency, from https://library.cee1.org/content/2016-behavior-program-summary-public</w:t>
      </w:r>
    </w:p>
  </w:footnote>
  <w:footnote w:id="128">
    <w:p w14:paraId="31D6162A" w14:textId="77777777" w:rsidR="00260768" w:rsidRPr="003D09EA" w:rsidRDefault="00260768" w:rsidP="00E01C42">
      <w:pPr>
        <w:rPr>
          <w:sz w:val="16"/>
          <w:szCs w:val="20"/>
        </w:rPr>
      </w:pPr>
      <w:r>
        <w:rPr>
          <w:rStyle w:val="FootnoteReference"/>
        </w:rPr>
        <w:footnoteRef/>
      </w:r>
      <w:r>
        <w:t xml:space="preserve"> </w:t>
      </w:r>
      <w:r w:rsidRPr="003D09EA">
        <w:rPr>
          <w:sz w:val="16"/>
          <w:szCs w:val="20"/>
        </w:rPr>
        <w:t>Susan Mazur-Stommen and Kate Farley, ACEEE Field Guide to Utility-Run Behavior Programs, 2013, American Council for an Energy-Efficient Economy, from http://aceee.org/research-report/b132</w:t>
      </w:r>
    </w:p>
  </w:footnote>
  <w:footnote w:id="129">
    <w:p w14:paraId="7D1D2112" w14:textId="77777777" w:rsidR="00260768" w:rsidRDefault="00260768" w:rsidP="00E01C42">
      <w:pPr>
        <w:pStyle w:val="FootnoteText"/>
      </w:pPr>
      <w:r>
        <w:rPr>
          <w:rStyle w:val="FootnoteReference"/>
        </w:rPr>
        <w:footnoteRef/>
      </w:r>
      <w:r>
        <w:t xml:space="preserve"> </w:t>
      </w:r>
      <w:r w:rsidRPr="00163486">
        <w:t>Illume Advising, Energy Efficiency Behavioral Programs: Literature Review, Benchmarking Analysis, and Evaluation Guidelines Conservation Applied Research &amp; Development (CARD) FINAL REPORT, Prepared for: Minnesota Department of Commerce, Division of Energy Resources, May 4, 2015</w:t>
      </w:r>
      <w:r>
        <w:t>.</w:t>
      </w:r>
    </w:p>
  </w:footnote>
  <w:footnote w:id="130">
    <w:p w14:paraId="618AAB3E" w14:textId="77777777" w:rsidR="00260768" w:rsidRDefault="00260768">
      <w:pPr>
        <w:pStyle w:val="FootnoteText"/>
      </w:pPr>
      <w:r>
        <w:rPr>
          <w:rStyle w:val="FootnoteReference"/>
        </w:rPr>
        <w:footnoteRef/>
      </w:r>
      <w:r>
        <w:t xml:space="preserve"> PG&amp;E provided the following reference: Jones, Christopher M. and Kammen, Daniel M. 2014 “The CoolCalifornia Challenge: A Pilot Inter-City Household Carbon Footprint Reduction Competition.” Contract Number: 10-325, California Air Resources Board. </w:t>
      </w:r>
      <w:r w:rsidRPr="00F944B0">
        <w:t>https://www.arb.ca.gov/research/apr/past/10-325.pdf</w:t>
      </w:r>
    </w:p>
  </w:footnote>
  <w:footnote w:id="131">
    <w:p w14:paraId="1FD86588" w14:textId="77777777" w:rsidR="00260768" w:rsidRDefault="00260768" w:rsidP="00E01C42">
      <w:pPr>
        <w:pStyle w:val="FootnoteText"/>
      </w:pPr>
      <w:r>
        <w:rPr>
          <w:rStyle w:val="FootnoteReference"/>
        </w:rPr>
        <w:footnoteRef/>
      </w:r>
      <w:r>
        <w:t xml:space="preserve"> Grossberg, Frederick; Wolfson, Mariel; Mazur-Stommen, Susan; Farley, Kate; and Steven Nadel. 2015.(February) “Gamified Energy Efficiency Programs.” ACEEE Report B1501.</w:t>
      </w:r>
    </w:p>
  </w:footnote>
  <w:footnote w:id="132">
    <w:p w14:paraId="4BBBDD7C" w14:textId="77777777" w:rsidR="00260768" w:rsidRDefault="00260768" w:rsidP="00E01C42">
      <w:pPr>
        <w:pStyle w:val="FootnoteText"/>
      </w:pPr>
      <w:r>
        <w:rPr>
          <w:rStyle w:val="FootnoteReference"/>
        </w:rPr>
        <w:footnoteRef/>
      </w:r>
      <w:r>
        <w:t xml:space="preserve"> Grossberg, Frederick; Wolfson, Mariel; Mazur-Stommen, Susan; Farley, Kate; and Steven Nadel. 2015.(February) “Gamified Energy Efficiency Programs.” ACEEE Report B1501.</w:t>
      </w:r>
    </w:p>
  </w:footnote>
  <w:footnote w:id="133">
    <w:p w14:paraId="012CB80A" w14:textId="77777777" w:rsidR="00260768" w:rsidRDefault="00260768" w:rsidP="00E01C42">
      <w:pPr>
        <w:pStyle w:val="FootnoteText"/>
      </w:pPr>
      <w:r>
        <w:rPr>
          <w:rStyle w:val="FootnoteReference"/>
        </w:rPr>
        <w:footnoteRef/>
      </w:r>
      <w:r>
        <w:t xml:space="preserve"> Healthcare participation estimates are based on the ‘Hospitals and Healthcare Initiative Market Progress Evaluation Report 7, </w:t>
      </w:r>
      <w:r w:rsidRPr="004F148F">
        <w:t>Northwest Energy Efficiency Alliance</w:t>
      </w:r>
      <w:r>
        <w:t>. March 26, 2015. REPORT #E15-310. Participation estimates for other market segments are based on professional judgement.</w:t>
      </w:r>
    </w:p>
  </w:footnote>
  <w:footnote w:id="134">
    <w:p w14:paraId="2B9D10E1" w14:textId="77777777" w:rsidR="00260768" w:rsidRDefault="00260768">
      <w:pPr>
        <w:pStyle w:val="FootnoteText"/>
      </w:pPr>
      <w:r>
        <w:rPr>
          <w:rStyle w:val="FootnoteReference"/>
        </w:rPr>
        <w:footnoteRef/>
      </w:r>
      <w:r>
        <w:t xml:space="preserve"> Informal comments in response to the webinar held April 20, 2017.</w:t>
      </w:r>
    </w:p>
  </w:footnote>
  <w:footnote w:id="135">
    <w:p w14:paraId="439D58E3" w14:textId="77777777" w:rsidR="00260768" w:rsidRDefault="00260768" w:rsidP="00E01C42">
      <w:pPr>
        <w:pStyle w:val="FootnoteText"/>
      </w:pPr>
      <w:r>
        <w:rPr>
          <w:rStyle w:val="FootnoteReference"/>
        </w:rPr>
        <w:footnoteRef/>
      </w:r>
      <w:r>
        <w:t xml:space="preserve"> Joint Strategic Energy Management Plan for Listowel Wingham Hospitals Alliance, 2014</w:t>
      </w:r>
    </w:p>
  </w:footnote>
  <w:footnote w:id="136">
    <w:p w14:paraId="0667D6F2" w14:textId="77777777" w:rsidR="00260768" w:rsidRDefault="00260768" w:rsidP="00E01C42">
      <w:pPr>
        <w:pStyle w:val="FootnoteText"/>
      </w:pPr>
      <w:r>
        <w:rPr>
          <w:rStyle w:val="FootnoteReference"/>
        </w:rPr>
        <w:footnoteRef/>
      </w:r>
      <w:r>
        <w:t xml:space="preserve"> Hospitals and Healthcare Initiative Market Progress Evaluation Report 7, </w:t>
      </w:r>
      <w:r w:rsidRPr="004F148F">
        <w:t>Northwest Energy Efficiency Alliance</w:t>
      </w:r>
      <w:r>
        <w:t>. March 26, 2015. REPORT #E15-310</w:t>
      </w:r>
    </w:p>
  </w:footnote>
  <w:footnote w:id="137">
    <w:p w14:paraId="58ADAEDF" w14:textId="77777777" w:rsidR="00260768" w:rsidRDefault="00260768">
      <w:pPr>
        <w:pStyle w:val="FootnoteText"/>
      </w:pPr>
      <w:r>
        <w:rPr>
          <w:rStyle w:val="FootnoteReference"/>
        </w:rPr>
        <w:footnoteRef/>
      </w:r>
      <w:r>
        <w:t xml:space="preserve"> </w:t>
      </w:r>
      <w:r w:rsidRPr="005F4903">
        <w:t>Personal communication with Kay Hardy, CPUC. May 9, 2017</w:t>
      </w:r>
      <w:r>
        <w:t>.</w:t>
      </w:r>
    </w:p>
  </w:footnote>
  <w:footnote w:id="138">
    <w:p w14:paraId="1A1A7A41" w14:textId="77777777" w:rsidR="00260768" w:rsidRDefault="00260768">
      <w:pPr>
        <w:pStyle w:val="FootnoteText"/>
      </w:pPr>
      <w:r>
        <w:rPr>
          <w:rStyle w:val="FootnoteReference"/>
        </w:rPr>
        <w:footnoteRef/>
      </w:r>
      <w:r>
        <w:t xml:space="preserve"> </w:t>
      </w:r>
      <w:r w:rsidRPr="00963FD0">
        <w:t xml:space="preserve">Analysis to Update Potential Goals and Targets for 2013 and Beyond, literature search results </w:t>
      </w:r>
      <w:r>
        <w:t xml:space="preserve">provided in Appendix C. </w:t>
      </w:r>
      <w:r w:rsidRPr="00963FD0">
        <w:t>Navigant Consulting Inc., March 19, 2012</w:t>
      </w:r>
    </w:p>
  </w:footnote>
  <w:footnote w:id="139">
    <w:p w14:paraId="04D0CFE8" w14:textId="77777777" w:rsidR="00260768" w:rsidRDefault="00260768" w:rsidP="00E01C42">
      <w:pPr>
        <w:pStyle w:val="FootnoteText"/>
      </w:pPr>
      <w:r>
        <w:rPr>
          <w:rStyle w:val="FootnoteReference"/>
        </w:rPr>
        <w:footnoteRef/>
      </w:r>
      <w:r>
        <w:t xml:space="preserve"> California Energy Commission (CEC), California Commercial End-Use Survey, CEC-400-2006-005, Prepared by Itron, Inc., March 2006, Final report available at: http://www.energy.ca.gov/ceus/index.html. Data available at:</w:t>
      </w:r>
    </w:p>
    <w:p w14:paraId="59C4A4E9" w14:textId="77777777" w:rsidR="00260768" w:rsidRDefault="00260768" w:rsidP="00E01C42">
      <w:pPr>
        <w:pStyle w:val="FootnoteText"/>
      </w:pPr>
      <w:r>
        <w:t>http://capabilities.itron.com/ceusweb/.</w:t>
      </w:r>
    </w:p>
  </w:footnote>
  <w:footnote w:id="140">
    <w:p w14:paraId="67F7703C" w14:textId="77777777" w:rsidR="00260768" w:rsidRDefault="00260768">
      <w:pPr>
        <w:pStyle w:val="FootnoteText"/>
      </w:pPr>
      <w:r>
        <w:rPr>
          <w:rStyle w:val="FootnoteReference"/>
        </w:rPr>
        <w:footnoteRef/>
      </w:r>
      <w:r>
        <w:t xml:space="preserve"> </w:t>
      </w:r>
      <w:r w:rsidRPr="00963FD0">
        <w:t>Energy Efficiency Potential and Goals Study for 2015 and Beyond Stage 1.  Final Report Section 3.7.1 Non-Residential Behavior Model Updates. Navigant Consulting Inc., September 25, 2015</w:t>
      </w:r>
    </w:p>
  </w:footnote>
  <w:footnote w:id="141">
    <w:p w14:paraId="1A9995BA" w14:textId="77777777" w:rsidR="00260768" w:rsidRDefault="00260768" w:rsidP="00E01C42">
      <w:pPr>
        <w:pStyle w:val="FootnoteText"/>
      </w:pPr>
      <w:r>
        <w:rPr>
          <w:rStyle w:val="FootnoteReference"/>
        </w:rPr>
        <w:footnoteRef/>
      </w:r>
      <w:r>
        <w:t xml:space="preserve"> AB802 Technical Analysis, Potential Savings Analysis. </w:t>
      </w:r>
      <w:r w:rsidRPr="008E3E0D">
        <w:t>Navigant Consulting, Inc.</w:t>
      </w:r>
      <w:r>
        <w:t>,</w:t>
      </w:r>
      <w:r w:rsidRPr="008E3E0D">
        <w:t xml:space="preserve"> </w:t>
      </w:r>
      <w:r>
        <w:t>Reference No.: 174655. March 31, 2016</w:t>
      </w:r>
    </w:p>
  </w:footnote>
  <w:footnote w:id="142">
    <w:p w14:paraId="1111B194" w14:textId="77777777" w:rsidR="00260768" w:rsidRDefault="00260768">
      <w:pPr>
        <w:pStyle w:val="FootnoteText"/>
      </w:pPr>
      <w:r>
        <w:rPr>
          <w:rStyle w:val="FootnoteReference"/>
        </w:rPr>
        <w:footnoteRef/>
      </w:r>
      <w:r>
        <w:t xml:space="preserve"> </w:t>
      </w:r>
      <w:r w:rsidRPr="00963FD0">
        <w:t>AB802 Technical Analysis, Potential Savings Analysis. Navigant Consulting, Inc.  Reference No.: 174655, March 31, 2016</w:t>
      </w:r>
    </w:p>
  </w:footnote>
  <w:footnote w:id="143">
    <w:p w14:paraId="6ED6264C" w14:textId="77777777" w:rsidR="00260768" w:rsidRDefault="00260768">
      <w:pPr>
        <w:pStyle w:val="FootnoteText"/>
      </w:pPr>
      <w:r>
        <w:rPr>
          <w:rStyle w:val="FootnoteReference"/>
        </w:rPr>
        <w:footnoteRef/>
      </w:r>
      <w:r>
        <w:t xml:space="preserve"> Ibid.</w:t>
      </w:r>
    </w:p>
  </w:footnote>
  <w:footnote w:id="144">
    <w:p w14:paraId="28881FE8" w14:textId="77777777" w:rsidR="00260768" w:rsidRDefault="00260768" w:rsidP="00E01C42">
      <w:pPr>
        <w:pStyle w:val="FootnoteText"/>
      </w:pPr>
      <w:r>
        <w:rPr>
          <w:rStyle w:val="FootnoteReference"/>
        </w:rPr>
        <w:footnoteRef/>
      </w:r>
      <w:r>
        <w:t xml:space="preserve"> Ibid.</w:t>
      </w:r>
    </w:p>
  </w:footnote>
  <w:footnote w:id="145">
    <w:p w14:paraId="093CC926" w14:textId="77777777" w:rsidR="00260768" w:rsidRPr="00387C9B" w:rsidRDefault="00260768" w:rsidP="00E01C42">
      <w:pPr>
        <w:pStyle w:val="FootnoteText"/>
      </w:pPr>
      <w:r>
        <w:rPr>
          <w:rStyle w:val="FootnoteReference"/>
        </w:rPr>
        <w:footnoteRef/>
      </w:r>
      <w:r>
        <w:t xml:space="preserve"> </w:t>
      </w:r>
      <w:r w:rsidRPr="00387C9B">
        <w:t>Jim Stewart, Energy Savings from Business Energy Feedback [for Xcel Energy], Cadmus, October 21, 2015, Behavior, Energy, and Climate Change Conference 2015</w:t>
      </w:r>
    </w:p>
  </w:footnote>
  <w:footnote w:id="146">
    <w:p w14:paraId="7BFD5D51" w14:textId="77777777" w:rsidR="00260768" w:rsidRDefault="00260768" w:rsidP="00E01C42">
      <w:pPr>
        <w:pStyle w:val="FootnoteText"/>
      </w:pPr>
      <w:r>
        <w:rPr>
          <w:rStyle w:val="FootnoteReference"/>
        </w:rPr>
        <w:footnoteRef/>
      </w:r>
      <w:r>
        <w:t xml:space="preserve"> </w:t>
      </w:r>
      <w:r w:rsidRPr="00387C9B">
        <w:t>Gajus Miknaitis, John Lux and Deb Dynako, Mark Hamann and William Burns, Tapping Energy Savings from an Overlooked Source: Results from Behavioral Change Pilot Program Targeting Mid-Sized Commercial Customers, 2014 ACEEE Summer Study on Energy Efficiency in Buildings, Commonwealth Edison and Agentis Energy, from: http://aceee.org/files/proceedings/2014/data/papers/7-153.pdf</w:t>
      </w:r>
    </w:p>
  </w:footnote>
  <w:footnote w:id="147">
    <w:p w14:paraId="41F1D434" w14:textId="77777777" w:rsidR="00260768" w:rsidRPr="00387C9B" w:rsidRDefault="00260768" w:rsidP="00E01C42">
      <w:pPr>
        <w:rPr>
          <w:sz w:val="16"/>
          <w:szCs w:val="20"/>
        </w:rPr>
      </w:pPr>
      <w:r>
        <w:rPr>
          <w:rStyle w:val="FootnoteReference"/>
        </w:rPr>
        <w:footnoteRef/>
      </w:r>
      <w:r>
        <w:t xml:space="preserve"> </w:t>
      </w:r>
      <w:r w:rsidRPr="00387C9B">
        <w:rPr>
          <w:sz w:val="16"/>
          <w:szCs w:val="20"/>
        </w:rPr>
        <w:t>U.S. Energy Information Administration, Commercial Building Energy Consumption Survey, http://www.eia.gov/consumption/commercial/data/2012/index.php?view=consumption#c13-c22</w:t>
      </w:r>
    </w:p>
  </w:footnote>
  <w:footnote w:id="148">
    <w:p w14:paraId="75669864" w14:textId="77777777" w:rsidR="00260768" w:rsidRDefault="00260768">
      <w:pPr>
        <w:pStyle w:val="FootnoteText"/>
      </w:pPr>
      <w:r>
        <w:rPr>
          <w:rStyle w:val="FootnoteReference"/>
        </w:rPr>
        <w:footnoteRef/>
      </w:r>
      <w:r>
        <w:t xml:space="preserve"> Informal comments on the webinar presented on April 20, 2017 from PG&amp;E cite results of a trial that ran </w:t>
      </w:r>
      <w:r w:rsidRPr="00724837">
        <w:t xml:space="preserve">January </w:t>
      </w:r>
      <w:r>
        <w:t>to</w:t>
      </w:r>
      <w:r w:rsidRPr="00724837">
        <w:t xml:space="preserve"> October </w:t>
      </w:r>
      <w:r>
        <w:t xml:space="preserve">in </w:t>
      </w:r>
      <w:r w:rsidRPr="00724837">
        <w:t>2014</w:t>
      </w:r>
      <w:r>
        <w:t>.</w:t>
      </w:r>
    </w:p>
  </w:footnote>
  <w:footnote w:id="149">
    <w:p w14:paraId="7BF13BCC" w14:textId="77777777" w:rsidR="00260768" w:rsidRDefault="00260768" w:rsidP="0020306B">
      <w:pPr>
        <w:pStyle w:val="FootnoteText"/>
      </w:pPr>
      <w:r>
        <w:rPr>
          <w:rStyle w:val="FootnoteReference"/>
        </w:rPr>
        <w:footnoteRef/>
      </w:r>
      <w:r>
        <w:t xml:space="preserve"> U.S. EIA. Commercial Building Energy Consumption Survey (CBECS) “Table B6. Building size, number of buildings, 2012.” (May 2016).</w:t>
      </w:r>
    </w:p>
  </w:footnote>
  <w:footnote w:id="150">
    <w:p w14:paraId="708FEA88" w14:textId="77777777" w:rsidR="00260768" w:rsidRPr="00387C9B" w:rsidRDefault="00260768" w:rsidP="00E01C42">
      <w:pPr>
        <w:rPr>
          <w:sz w:val="16"/>
          <w:szCs w:val="20"/>
        </w:rPr>
      </w:pPr>
      <w:r>
        <w:rPr>
          <w:rStyle w:val="FootnoteReference"/>
        </w:rPr>
        <w:footnoteRef/>
      </w:r>
      <w:r>
        <w:t xml:space="preserve"> </w:t>
      </w:r>
      <w:r w:rsidRPr="00387C9B">
        <w:rPr>
          <w:sz w:val="16"/>
          <w:szCs w:val="20"/>
        </w:rPr>
        <w:t xml:space="preserve">U.S. EIA. Commercial Building Energy Consumption Survey (CBECS) “Table C1. Total energy consumption by major fuel, 2012.” (May 2016). </w:t>
      </w:r>
    </w:p>
  </w:footnote>
  <w:footnote w:id="151">
    <w:p w14:paraId="5C25531F" w14:textId="77777777" w:rsidR="00260768" w:rsidRPr="00387C9B" w:rsidRDefault="00260768" w:rsidP="00E01C42">
      <w:pPr>
        <w:rPr>
          <w:sz w:val="16"/>
          <w:szCs w:val="20"/>
        </w:rPr>
      </w:pPr>
      <w:r>
        <w:rPr>
          <w:rStyle w:val="FootnoteReference"/>
        </w:rPr>
        <w:footnoteRef/>
      </w:r>
      <w:r>
        <w:t xml:space="preserve"> </w:t>
      </w:r>
      <w:r w:rsidRPr="00387C9B">
        <w:rPr>
          <w:sz w:val="16"/>
          <w:szCs w:val="20"/>
        </w:rPr>
        <w:t xml:space="preserve">SF Environment and ULI Greenprint Center for Building Performance. “San Francisco Existing Commercial Buildings Performance Report: 2010-2014.” (2015) </w:t>
      </w:r>
    </w:p>
  </w:footnote>
  <w:footnote w:id="152">
    <w:p w14:paraId="1EF2C5DF" w14:textId="77777777" w:rsidR="00260768" w:rsidRDefault="00260768" w:rsidP="00E01C42">
      <w:pPr>
        <w:pStyle w:val="FootnoteText"/>
      </w:pPr>
      <w:r>
        <w:rPr>
          <w:rStyle w:val="FootnoteReference"/>
        </w:rPr>
        <w:footnoteRef/>
      </w:r>
      <w:r>
        <w:t xml:space="preserve"> </w:t>
      </w:r>
      <w:r w:rsidRPr="00387C9B">
        <w:t>Katherine Tweed. “Benchmarking Drives 7 Percent Cut in Building Energy. (October 2012) Greentech Media</w:t>
      </w:r>
    </w:p>
  </w:footnote>
  <w:footnote w:id="153">
    <w:p w14:paraId="629DCE48" w14:textId="77777777" w:rsidR="00260768" w:rsidRDefault="00260768" w:rsidP="00E01C42">
      <w:pPr>
        <w:pStyle w:val="FootnoteText"/>
      </w:pPr>
      <w:r>
        <w:rPr>
          <w:rStyle w:val="FootnoteReference"/>
        </w:rPr>
        <w:footnoteRef/>
      </w:r>
      <w:r>
        <w:t xml:space="preserve"> </w:t>
      </w:r>
      <w:r w:rsidRPr="00387C9B">
        <w:t>City of Chicago. “City of Chicago Energy Benchmarking Report 2016.”</w:t>
      </w:r>
    </w:p>
  </w:footnote>
  <w:footnote w:id="154">
    <w:p w14:paraId="5AFF8AEE" w14:textId="77777777" w:rsidR="00260768" w:rsidRPr="00387C9B" w:rsidRDefault="00260768" w:rsidP="00E01C42">
      <w:pPr>
        <w:rPr>
          <w:sz w:val="16"/>
          <w:szCs w:val="20"/>
        </w:rPr>
      </w:pPr>
      <w:r>
        <w:rPr>
          <w:rStyle w:val="FootnoteReference"/>
        </w:rPr>
        <w:footnoteRef/>
      </w:r>
      <w:r>
        <w:t xml:space="preserve"> </w:t>
      </w:r>
      <w:r w:rsidRPr="0090497D">
        <w:rPr>
          <w:sz w:val="16"/>
          <w:szCs w:val="20"/>
        </w:rPr>
        <w:t>J</w:t>
      </w:r>
      <w:r w:rsidRPr="00387C9B">
        <w:rPr>
          <w:sz w:val="16"/>
          <w:szCs w:val="20"/>
        </w:rPr>
        <w:t>ewel, Amy; Kimmel, Jamie; Palmer, Doug; Pigg, Scott; Ponce, Jamie; Vigliotta, David; and Weigert, Karen. “Using Nudges and Energy Benchmarking to Drive Behavior Change in Commercial, Institutional, and Multifamily Residential Buildings.” 2016. Proceedings of the ACEEE Summer Study on Energy Efficiency in Buildings.</w:t>
      </w:r>
    </w:p>
  </w:footnote>
  <w:footnote w:id="155">
    <w:p w14:paraId="1881A015" w14:textId="77777777" w:rsidR="00260768" w:rsidRDefault="00260768" w:rsidP="00E01C42">
      <w:pPr>
        <w:pStyle w:val="FootnoteText"/>
      </w:pPr>
      <w:r>
        <w:rPr>
          <w:rStyle w:val="FootnoteReference"/>
        </w:rPr>
        <w:footnoteRef/>
      </w:r>
      <w:r>
        <w:t xml:space="preserve"> </w:t>
      </w:r>
      <w:r w:rsidRPr="00387C9B">
        <w:t>Navigant Consulting. “New York City Benchmarking and Transparency Policy and Impact Evaluation Report.” (May 2015). Prepared for the U.S. Department of Energy by Navigant Consulting, Inc., Steven Winter Associates, Inc., and Newport Partners, LLC.</w:t>
      </w:r>
    </w:p>
  </w:footnote>
  <w:footnote w:id="156">
    <w:p w14:paraId="3FE71461" w14:textId="77777777" w:rsidR="00260768" w:rsidRDefault="00260768" w:rsidP="00E01C42">
      <w:pPr>
        <w:pStyle w:val="FootnoteText"/>
      </w:pPr>
      <w:r>
        <w:rPr>
          <w:rStyle w:val="FootnoteReference"/>
        </w:rPr>
        <w:footnoteRef/>
      </w:r>
      <w:r>
        <w:t xml:space="preserve"> </w:t>
      </w:r>
      <w:r w:rsidRPr="002D5BA8">
        <w:t>CPUC, Statewide Benchmarking Process Evaluation, Volume 1, CPU0055.01, Submitted by NMR Group and Optimal Energy, April 2012.</w:t>
      </w:r>
    </w:p>
  </w:footnote>
  <w:footnote w:id="157">
    <w:p w14:paraId="1F05A368" w14:textId="77777777" w:rsidR="00260768" w:rsidRDefault="00260768" w:rsidP="00E01C42">
      <w:pPr>
        <w:pStyle w:val="FootnoteText"/>
      </w:pPr>
      <w:r>
        <w:rPr>
          <w:rStyle w:val="FootnoteReference"/>
        </w:rPr>
        <w:footnoteRef/>
      </w:r>
      <w:r>
        <w:t xml:space="preserve"> </w:t>
      </w:r>
      <w:r w:rsidRPr="005033D7">
        <w:t>Kira Ashby, 2016 Behavior Program Summary, 2016, Consortium for Energy Efficiency, from https://library.cee1.org/content/2016-behavior-program-summary-public</w:t>
      </w:r>
    </w:p>
  </w:footnote>
  <w:footnote w:id="158">
    <w:p w14:paraId="365AA246" w14:textId="77777777" w:rsidR="00260768" w:rsidRDefault="00260768" w:rsidP="00E01C42">
      <w:pPr>
        <w:pStyle w:val="FootnoteText"/>
      </w:pPr>
      <w:r>
        <w:rPr>
          <w:rStyle w:val="FootnoteReference"/>
        </w:rPr>
        <w:footnoteRef/>
      </w:r>
      <w:r>
        <w:t xml:space="preserve"> </w:t>
      </w:r>
      <w:r w:rsidRPr="005033D7">
        <w:t>Susan Mazur-Stommen and Kate Farley, ACEEE Field Guide to Utility-Run Behavior Programs, 2013, American Council for an Energy-Efficient Economy, from http://aceee.org/research-report/b132</w:t>
      </w:r>
    </w:p>
  </w:footnote>
  <w:footnote w:id="159">
    <w:p w14:paraId="4E103AEF" w14:textId="77777777" w:rsidR="00260768" w:rsidRDefault="00260768" w:rsidP="00E01C42">
      <w:pPr>
        <w:pStyle w:val="FootnoteText"/>
      </w:pPr>
      <w:r>
        <w:rPr>
          <w:rStyle w:val="FootnoteReference"/>
        </w:rPr>
        <w:footnoteRef/>
      </w:r>
      <w:r>
        <w:t xml:space="preserve"> Edward Vine and Christopher Jones, A Review of Energy Reduction Competitions. What Have We Learned?, 2015 (May), California Institute for Energy and Environment. Report sponsored by the California Public Utilities Commission.  Available at: </w:t>
      </w:r>
      <w:r w:rsidRPr="00317F3F">
        <w:rPr>
          <w:rFonts w:ascii="ArialMT" w:hAnsi="ArialMT" w:cs="ArialMT"/>
          <w:color w:val="315478"/>
          <w:szCs w:val="18"/>
        </w:rPr>
        <w:t>http://escholarship.org/uc/item/30x859hv</w:t>
      </w:r>
    </w:p>
  </w:footnote>
  <w:footnote w:id="160">
    <w:p w14:paraId="5FB1C50E" w14:textId="77777777" w:rsidR="00260768" w:rsidRPr="00317F3F" w:rsidRDefault="00260768" w:rsidP="00E01C42">
      <w:pPr>
        <w:pStyle w:val="FootnoteText"/>
      </w:pPr>
      <w:r>
        <w:rPr>
          <w:rStyle w:val="FootnoteReference"/>
        </w:rPr>
        <w:footnoteRef/>
      </w:r>
      <w:r>
        <w:t xml:space="preserve"> Edward L. Vine and Christopher M. Jones. Competition, carbon, and conservation: Assessing the energy savings potential of energy efficiency competitions. 2016. Vol 19: 158-176.  </w:t>
      </w:r>
      <w:r>
        <w:rPr>
          <w:i/>
        </w:rPr>
        <w:t>Energy Research and Social Science</w:t>
      </w:r>
      <w:r>
        <w:t xml:space="preserve">. </w:t>
      </w:r>
    </w:p>
  </w:footnote>
  <w:footnote w:id="161">
    <w:p w14:paraId="41E188F2" w14:textId="77777777" w:rsidR="00260768" w:rsidRDefault="00260768" w:rsidP="00E01C42">
      <w:pPr>
        <w:pStyle w:val="FootnoteText"/>
      </w:pPr>
      <w:r>
        <w:rPr>
          <w:rStyle w:val="FootnoteReference"/>
        </w:rPr>
        <w:footnoteRef/>
      </w:r>
      <w:r>
        <w:t xml:space="preserve"> TecMarket Works, Impact Evaluation of the Smart Energy Now Program (NC) (Pilot) for Duke Energy, February 21, 2014. </w:t>
      </w:r>
    </w:p>
  </w:footnote>
  <w:footnote w:id="162">
    <w:p w14:paraId="044F841C" w14:textId="77777777" w:rsidR="00260768" w:rsidRDefault="00260768" w:rsidP="00E01C42">
      <w:pPr>
        <w:pStyle w:val="FootnoteText"/>
      </w:pPr>
      <w:r>
        <w:rPr>
          <w:rStyle w:val="FootnoteReference"/>
        </w:rPr>
        <w:footnoteRef/>
      </w:r>
      <w:r>
        <w:t xml:space="preserve"> Linda Dethman, Brian Arthur Smith, Jillian Rich, and James Russell. Engaging Small and Medium Businesses in Behavior Change through a Multifaceted Marketing Campaign. 2016. Proceedings of the ACEEE Summer Study on Energy Efficiency in Buildings.</w:t>
      </w:r>
    </w:p>
  </w:footnote>
  <w:footnote w:id="163">
    <w:p w14:paraId="798BD1A1" w14:textId="77777777" w:rsidR="00260768" w:rsidRDefault="00260768" w:rsidP="00E01C42">
      <w:pPr>
        <w:pStyle w:val="FootnoteText"/>
      </w:pPr>
      <w:r>
        <w:rPr>
          <w:rStyle w:val="FootnoteReference"/>
        </w:rPr>
        <w:footnoteRef/>
      </w:r>
      <w:r>
        <w:t xml:space="preserve"> Kat A. Donnelly. Workplace Engagement: Finding and Filling the Gaps for Fruitful Energy Savings. 2016 (October). Presentation at the 2016 Behavior, Energy and Climate Change Conference. Baltimore, MD.</w:t>
      </w:r>
    </w:p>
  </w:footnote>
  <w:footnote w:id="164">
    <w:p w14:paraId="03F5F4D2" w14:textId="77777777" w:rsidR="00260768" w:rsidRDefault="00260768">
      <w:pPr>
        <w:pStyle w:val="FootnoteText"/>
      </w:pPr>
      <w:r>
        <w:rPr>
          <w:rStyle w:val="FootnoteReference"/>
        </w:rPr>
        <w:footnoteRef/>
      </w:r>
      <w:r>
        <w:t xml:space="preserve"> Informal comments received in response to the webinar on April 20, 2017 from PG&amp;E indicate a limited willingness to participate in commercial competitions. </w:t>
      </w:r>
    </w:p>
  </w:footnote>
  <w:footnote w:id="165">
    <w:p w14:paraId="0DBDBBFD" w14:textId="77777777" w:rsidR="00260768" w:rsidRDefault="00260768" w:rsidP="00BF2ED6">
      <w:pPr>
        <w:pStyle w:val="FootnoteText"/>
      </w:pPr>
      <w:r>
        <w:rPr>
          <w:rStyle w:val="FootnoteReference"/>
        </w:rPr>
        <w:footnoteRef/>
      </w:r>
      <w:r>
        <w:t xml:space="preserve"> TecMarket Works, Impact Evaluation of the Smart Energy Now Program (NC) (Pilot) for Duke Energy, February 21, 2014. </w:t>
      </w:r>
    </w:p>
  </w:footnote>
  <w:footnote w:id="166">
    <w:p w14:paraId="42E18604" w14:textId="77777777" w:rsidR="00260768" w:rsidRDefault="00260768" w:rsidP="00E01C42">
      <w:pPr>
        <w:pStyle w:val="FootnoteText"/>
      </w:pPr>
      <w:r>
        <w:rPr>
          <w:rStyle w:val="FootnoteReference"/>
        </w:rPr>
        <w:footnoteRef/>
      </w:r>
      <w:r>
        <w:t xml:space="preserve"> 2016 Statewide Retrocommissioning Policy &amp; Procedures Manual, Version 1.0. Effective Date: July 19, 2016</w:t>
      </w:r>
    </w:p>
  </w:footnote>
  <w:footnote w:id="167">
    <w:p w14:paraId="60DF2EA1" w14:textId="77777777" w:rsidR="00260768" w:rsidRDefault="00260768">
      <w:pPr>
        <w:pStyle w:val="FootnoteText"/>
      </w:pPr>
      <w:r>
        <w:rPr>
          <w:rStyle w:val="FootnoteReference"/>
        </w:rPr>
        <w:footnoteRef/>
      </w:r>
      <w:r>
        <w:t xml:space="preserve"> </w:t>
      </w:r>
      <w:r w:rsidRPr="00963FD0">
        <w:t>2014 Retro-Commissioning (RCx) Program Extreme Makeover, CenterPoint Energy at http://www.centerpointenergy.com/en-us/Documents/2014%20RCx%20Kickoff%20Slides.pdf</w:t>
      </w:r>
    </w:p>
  </w:footnote>
  <w:footnote w:id="168">
    <w:p w14:paraId="6D0CB4E5" w14:textId="77777777" w:rsidR="00260768" w:rsidRDefault="00260768">
      <w:pPr>
        <w:pStyle w:val="FootnoteText"/>
      </w:pPr>
      <w:r>
        <w:rPr>
          <w:rStyle w:val="FootnoteReference"/>
        </w:rPr>
        <w:footnoteRef/>
      </w:r>
      <w:r>
        <w:t xml:space="preserve"> EPA. </w:t>
      </w:r>
      <w:r w:rsidRPr="00963FD0">
        <w:t>http://www.epa.gov/statelocalclimate/documents/pdf/table_rules_of_thumb.pdf</w:t>
      </w:r>
    </w:p>
  </w:footnote>
  <w:footnote w:id="169">
    <w:p w14:paraId="1B84B04D" w14:textId="77777777" w:rsidR="00260768" w:rsidRDefault="00260768">
      <w:pPr>
        <w:pStyle w:val="FootnoteText"/>
      </w:pPr>
      <w:r>
        <w:rPr>
          <w:rStyle w:val="FootnoteReference"/>
        </w:rPr>
        <w:footnoteRef/>
      </w:r>
      <w:r>
        <w:t xml:space="preserve"> </w:t>
      </w:r>
      <w:r w:rsidRPr="00963FD0">
        <w:t>DEER ExAnte2013 - RTU-Retro, Rooftop Unit retrocommissioning COM IOU Workpaper</w:t>
      </w:r>
    </w:p>
  </w:footnote>
  <w:footnote w:id="170">
    <w:p w14:paraId="4C6C3E3B" w14:textId="77777777" w:rsidR="00260768" w:rsidRDefault="00260768">
      <w:pPr>
        <w:pStyle w:val="FootnoteText"/>
      </w:pPr>
      <w:r>
        <w:rPr>
          <w:rStyle w:val="FootnoteReference"/>
        </w:rPr>
        <w:footnoteRef/>
      </w:r>
      <w:r>
        <w:t xml:space="preserve"> Informal comment received in response to webinar held April 20, 2017. </w:t>
      </w:r>
    </w:p>
  </w:footnote>
  <w:footnote w:id="171">
    <w:p w14:paraId="6F9C497A" w14:textId="77777777" w:rsidR="00260768" w:rsidRDefault="00260768">
      <w:pPr>
        <w:pStyle w:val="FootnoteText"/>
      </w:pPr>
      <w:r>
        <w:rPr>
          <w:rStyle w:val="FootnoteReference"/>
        </w:rPr>
        <w:footnoteRef/>
      </w:r>
      <w:r>
        <w:t xml:space="preserve"> </w:t>
      </w:r>
      <w:r w:rsidRPr="00110EF9">
        <w:t>Version 1.0, February 8, 2017. Prepared by Sergio Dias Consulting LLC</w:t>
      </w:r>
    </w:p>
  </w:footnote>
  <w:footnote w:id="172">
    <w:p w14:paraId="59BBCAAD" w14:textId="77777777" w:rsidR="00260768" w:rsidRPr="005F4903" w:rsidRDefault="00260768" w:rsidP="00F93ED8">
      <w:pPr>
        <w:pStyle w:val="FootnoteText"/>
      </w:pPr>
      <w:r w:rsidRPr="005F4903">
        <w:rPr>
          <w:vertAlign w:val="superscript"/>
        </w:rPr>
        <w:footnoteRef/>
      </w:r>
      <w:r w:rsidRPr="005F4903">
        <w:t xml:space="preserve"> Strategic Energy Management -- Comments and Responses on Design and EMV Guides, </w:t>
      </w:r>
      <w:hyperlink r:id="rId27" w:history="1">
        <w:r w:rsidRPr="005F4903">
          <w:t>http://www.energydataweb.com/cpuc/search.aspx</w:t>
        </w:r>
      </w:hyperlink>
    </w:p>
  </w:footnote>
  <w:footnote w:id="173">
    <w:p w14:paraId="145B2458" w14:textId="77777777" w:rsidR="00260768" w:rsidRPr="008C4F8B" w:rsidRDefault="00260768" w:rsidP="00D522CA">
      <w:pPr>
        <w:pStyle w:val="FootnoteText"/>
      </w:pPr>
      <w:r w:rsidRPr="005F4903">
        <w:rPr>
          <w:vertAlign w:val="superscript"/>
        </w:rPr>
        <w:footnoteRef/>
      </w:r>
      <w:r w:rsidRPr="008C4F8B">
        <w:t xml:space="preserve"> Energy Efficiency Business Plan, 2018–2025</w:t>
      </w:r>
    </w:p>
  </w:footnote>
  <w:footnote w:id="174">
    <w:p w14:paraId="078E011D" w14:textId="77777777" w:rsidR="00260768" w:rsidRPr="008C4F8B" w:rsidRDefault="00260768" w:rsidP="00D522CA">
      <w:pPr>
        <w:pStyle w:val="FootnoteText"/>
      </w:pPr>
      <w:r w:rsidRPr="005F4903">
        <w:rPr>
          <w:vertAlign w:val="superscript"/>
        </w:rPr>
        <w:footnoteRef/>
      </w:r>
      <w:r w:rsidRPr="008C4F8B">
        <w:t xml:space="preserve"> Southern California Edison Company’s Energy Efficiency Rolling Portfolio Business Plan For 2018-2025, January 17, 2017</w:t>
      </w:r>
    </w:p>
  </w:footnote>
  <w:footnote w:id="175">
    <w:p w14:paraId="6DCD7167" w14:textId="77777777" w:rsidR="00260768" w:rsidRDefault="00260768" w:rsidP="00D522CA">
      <w:pPr>
        <w:pStyle w:val="FootnoteText"/>
      </w:pPr>
      <w:r w:rsidRPr="005F4903">
        <w:rPr>
          <w:vertAlign w:val="superscript"/>
        </w:rPr>
        <w:footnoteRef/>
      </w:r>
      <w:r w:rsidRPr="008C4F8B">
        <w:t xml:space="preserve"> Southern California Gas Company’s Energy Efficiency Rolling Portfolio Business Plan For 2018-2025, January 2017</w:t>
      </w:r>
    </w:p>
  </w:footnote>
  <w:footnote w:id="176">
    <w:p w14:paraId="7D845B46" w14:textId="77777777" w:rsidR="00260768" w:rsidRDefault="00260768">
      <w:pPr>
        <w:pStyle w:val="FootnoteText"/>
      </w:pPr>
      <w:r>
        <w:rPr>
          <w:rStyle w:val="FootnoteReference"/>
        </w:rPr>
        <w:footnoteRef/>
      </w:r>
      <w:r>
        <w:t xml:space="preserve"> </w:t>
      </w:r>
      <w:r>
        <w:rPr>
          <w:sz w:val="20"/>
        </w:rPr>
        <w:t>Electric (</w:t>
      </w:r>
      <w:r w:rsidRPr="004C3E4D">
        <w:rPr>
          <w:sz w:val="20"/>
        </w:rPr>
        <w:t>GWh</w:t>
      </w:r>
      <w:r>
        <w:rPr>
          <w:sz w:val="20"/>
        </w:rPr>
        <w:t>)</w:t>
      </w:r>
      <w:r w:rsidRPr="004C3E4D">
        <w:rPr>
          <w:sz w:val="20"/>
        </w:rPr>
        <w:t xml:space="preserve"> and </w:t>
      </w:r>
      <w:r>
        <w:rPr>
          <w:sz w:val="20"/>
        </w:rPr>
        <w:t>natural gas (t</w:t>
      </w:r>
      <w:r w:rsidRPr="004C3E4D">
        <w:rPr>
          <w:sz w:val="20"/>
        </w:rPr>
        <w:t>herm) from the 2017 IEPR Forecast</w:t>
      </w:r>
    </w:p>
  </w:footnote>
  <w:footnote w:id="177">
    <w:p w14:paraId="59AE8B22" w14:textId="77777777" w:rsidR="00260768" w:rsidRDefault="00260768" w:rsidP="006B44D0">
      <w:pPr>
        <w:pStyle w:val="FootnoteText"/>
      </w:pPr>
      <w:r>
        <w:rPr>
          <w:rStyle w:val="FootnoteReference"/>
        </w:rPr>
        <w:footnoteRef/>
      </w:r>
      <w:r>
        <w:t xml:space="preserve"> Compliance rates are specific to 2016 for electric energy savings. Full details are available in the model.</w:t>
      </w:r>
    </w:p>
  </w:footnote>
  <w:footnote w:id="178">
    <w:p w14:paraId="181C7730" w14:textId="77777777" w:rsidR="00260768" w:rsidRPr="00325203" w:rsidRDefault="00260768" w:rsidP="002A4C2F">
      <w:pPr>
        <w:pStyle w:val="FootnoteText"/>
        <w:rPr>
          <w:sz w:val="20"/>
        </w:rPr>
      </w:pPr>
      <w:r w:rsidRPr="00325203">
        <w:rPr>
          <w:rStyle w:val="FootnoteReference"/>
          <w:sz w:val="20"/>
        </w:rPr>
        <w:footnoteRef/>
      </w:r>
      <w:r w:rsidRPr="00325203">
        <w:rPr>
          <w:sz w:val="20"/>
        </w:rPr>
        <w:t xml:space="preserve"> California Public Utilities Commission. Itron, Inc. CALMAC Study ID: SCE0220.01</w:t>
      </w:r>
    </w:p>
  </w:footnote>
  <w:footnote w:id="179">
    <w:p w14:paraId="17152C21" w14:textId="77777777" w:rsidR="00260768" w:rsidRPr="00325203" w:rsidRDefault="00260768" w:rsidP="002A4C2F">
      <w:pPr>
        <w:pStyle w:val="FootnoteText"/>
        <w:rPr>
          <w:sz w:val="20"/>
        </w:rPr>
      </w:pPr>
      <w:r w:rsidRPr="00325203">
        <w:rPr>
          <w:rStyle w:val="FootnoteReference"/>
          <w:sz w:val="20"/>
        </w:rPr>
        <w:footnoteRef/>
      </w:r>
      <w:r w:rsidRPr="00325203">
        <w:rPr>
          <w:sz w:val="20"/>
        </w:rPr>
        <w:t xml:space="preserve"> California Public Utilities Commission. Itron, Inc. February 3, 2010. CALMAC Study ID: CPU0017.01 </w:t>
      </w:r>
    </w:p>
  </w:footnote>
  <w:footnote w:id="180">
    <w:p w14:paraId="224AB09A" w14:textId="77777777" w:rsidR="00260768" w:rsidRPr="00325203" w:rsidRDefault="00260768" w:rsidP="002A4C2F">
      <w:pPr>
        <w:pStyle w:val="FootnoteText"/>
        <w:rPr>
          <w:sz w:val="20"/>
        </w:rPr>
      </w:pPr>
      <w:r w:rsidRPr="00325203">
        <w:rPr>
          <w:rStyle w:val="FootnoteReference"/>
          <w:sz w:val="20"/>
        </w:rPr>
        <w:footnoteRef/>
      </w:r>
      <w:r w:rsidRPr="00325203">
        <w:rPr>
          <w:sz w:val="20"/>
        </w:rPr>
        <w:t xml:space="preserve"> California Public Utilities Commission. Itron, Inc. February 3, 2010, CALMAC Study ID: CPU0018.01</w:t>
      </w:r>
    </w:p>
  </w:footnote>
  <w:footnote w:id="181">
    <w:p w14:paraId="2665C9C8" w14:textId="77777777" w:rsidR="00260768" w:rsidRPr="00325203" w:rsidRDefault="00260768" w:rsidP="002A4C2F">
      <w:pPr>
        <w:pStyle w:val="FootnoteText"/>
        <w:rPr>
          <w:sz w:val="20"/>
        </w:rPr>
      </w:pPr>
      <w:r w:rsidRPr="00325203">
        <w:rPr>
          <w:rStyle w:val="FootnoteReference"/>
          <w:sz w:val="20"/>
        </w:rPr>
        <w:footnoteRef/>
      </w:r>
      <w:r w:rsidRPr="00325203">
        <w:rPr>
          <w:sz w:val="20"/>
        </w:rPr>
        <w:t xml:space="preserve"> California Public Utilities Commission. Itron, Inc. July 14, 2014. 2010-12 WO033. CALMAC Study ID: CPU0072.01</w:t>
      </w:r>
    </w:p>
  </w:footnote>
  <w:footnote w:id="182">
    <w:p w14:paraId="29FABC39" w14:textId="77777777" w:rsidR="00260768" w:rsidRPr="00325203" w:rsidRDefault="00260768" w:rsidP="002A4C2F">
      <w:pPr>
        <w:pStyle w:val="FootnoteText"/>
        <w:rPr>
          <w:sz w:val="20"/>
        </w:rPr>
      </w:pPr>
      <w:r w:rsidRPr="00325203">
        <w:rPr>
          <w:rStyle w:val="FootnoteReference"/>
          <w:sz w:val="20"/>
        </w:rPr>
        <w:footnoteRef/>
      </w:r>
      <w:r w:rsidRPr="00325203">
        <w:rPr>
          <w:sz w:val="20"/>
        </w:rPr>
        <w:t xml:space="preserve"> California Public Utilities Commission. Itron, Inc. September 24, 2014. CALMAC Study ID: CPU0072.03</w:t>
      </w:r>
    </w:p>
  </w:footnote>
  <w:footnote w:id="183">
    <w:p w14:paraId="1313A3E3" w14:textId="77777777" w:rsidR="00260768" w:rsidRPr="00325203" w:rsidRDefault="00260768" w:rsidP="002A4C2F">
      <w:pPr>
        <w:pStyle w:val="FootnoteText"/>
        <w:rPr>
          <w:sz w:val="20"/>
        </w:rPr>
      </w:pPr>
      <w:r w:rsidRPr="00325203">
        <w:rPr>
          <w:rStyle w:val="FootnoteReference"/>
          <w:sz w:val="20"/>
        </w:rPr>
        <w:footnoteRef/>
      </w:r>
      <w:r w:rsidRPr="00325203">
        <w:rPr>
          <w:sz w:val="20"/>
        </w:rPr>
        <w:t xml:space="preserve"> California Public Utilities Commission. Itron, Inc. July 17, 2015. CALMAC Study ID: CPU0147.01</w:t>
      </w:r>
    </w:p>
  </w:footnote>
  <w:footnote w:id="184">
    <w:p w14:paraId="7382F262" w14:textId="77777777" w:rsidR="00260768" w:rsidRPr="00325203" w:rsidRDefault="00260768" w:rsidP="002A4C2F">
      <w:pPr>
        <w:pStyle w:val="FootnoteText"/>
        <w:rPr>
          <w:sz w:val="20"/>
        </w:rPr>
      </w:pPr>
      <w:r w:rsidRPr="00325203">
        <w:rPr>
          <w:rStyle w:val="FootnoteReference"/>
          <w:sz w:val="20"/>
        </w:rPr>
        <w:footnoteRef/>
      </w:r>
      <w:r w:rsidRPr="00325203">
        <w:rPr>
          <w:sz w:val="20"/>
        </w:rPr>
        <w:t xml:space="preserve"> California Public Utilities Commission. Itron, Inc. April 29, 2016. CALMAC Study ID:</w:t>
      </w:r>
    </w:p>
  </w:footnote>
  <w:footnote w:id="185">
    <w:p w14:paraId="01999F47" w14:textId="77777777" w:rsidR="00260768" w:rsidRPr="00325203" w:rsidRDefault="00260768" w:rsidP="002A4C2F">
      <w:pPr>
        <w:pStyle w:val="FootnoteText"/>
        <w:rPr>
          <w:sz w:val="20"/>
        </w:rPr>
      </w:pPr>
      <w:r w:rsidRPr="00325203">
        <w:rPr>
          <w:rStyle w:val="FootnoteReference"/>
          <w:sz w:val="20"/>
        </w:rPr>
        <w:footnoteRef/>
      </w:r>
      <w:r w:rsidRPr="00325203">
        <w:rPr>
          <w:sz w:val="20"/>
        </w:rPr>
        <w:t xml:space="preserve"> CPUC, June 15, 2015</w:t>
      </w:r>
    </w:p>
  </w:footnote>
  <w:footnote w:id="186">
    <w:p w14:paraId="7D801C10" w14:textId="77777777" w:rsidR="00260768" w:rsidRPr="00325203" w:rsidRDefault="00260768" w:rsidP="002A4C2F">
      <w:pPr>
        <w:pStyle w:val="FootnoteText"/>
        <w:rPr>
          <w:sz w:val="20"/>
        </w:rPr>
      </w:pPr>
      <w:r w:rsidRPr="00325203">
        <w:rPr>
          <w:rStyle w:val="FootnoteReference"/>
          <w:sz w:val="20"/>
        </w:rPr>
        <w:footnoteRef/>
      </w:r>
      <w:r w:rsidRPr="00325203">
        <w:rPr>
          <w:sz w:val="20"/>
        </w:rPr>
        <w:t xml:space="preserve"> CPUC, August 1, 2016 </w:t>
      </w:r>
    </w:p>
  </w:footnote>
  <w:footnote w:id="187">
    <w:p w14:paraId="36C197A3" w14:textId="77777777" w:rsidR="00260768" w:rsidRDefault="00260768" w:rsidP="002A4C2F">
      <w:pPr>
        <w:pStyle w:val="FootnoteText"/>
      </w:pPr>
      <w:r w:rsidRPr="00325203">
        <w:rPr>
          <w:rStyle w:val="FootnoteReference"/>
          <w:sz w:val="20"/>
        </w:rPr>
        <w:footnoteRef/>
      </w:r>
      <w:r w:rsidRPr="00325203">
        <w:rPr>
          <w:sz w:val="20"/>
        </w:rPr>
        <w:t xml:space="preserve"> Resolution E-4807, CPUC, December 15, 2016</w:t>
      </w:r>
    </w:p>
  </w:footnote>
  <w:footnote w:id="188">
    <w:p w14:paraId="3BE316F7" w14:textId="77777777" w:rsidR="00260768" w:rsidRDefault="00260768">
      <w:pPr>
        <w:pStyle w:val="FootnoteText"/>
      </w:pPr>
      <w:r>
        <w:rPr>
          <w:rStyle w:val="FootnoteReference"/>
        </w:rPr>
        <w:footnoteRef/>
      </w:r>
      <w:r>
        <w:t xml:space="preserve"> </w:t>
      </w:r>
      <w:r>
        <w:rPr>
          <w:sz w:val="20"/>
        </w:rPr>
        <w:t>Electric (</w:t>
      </w:r>
      <w:r w:rsidRPr="004C3E4D">
        <w:rPr>
          <w:sz w:val="20"/>
        </w:rPr>
        <w:t>GWh</w:t>
      </w:r>
      <w:r>
        <w:rPr>
          <w:sz w:val="20"/>
        </w:rPr>
        <w:t>)</w:t>
      </w:r>
      <w:r w:rsidRPr="004C3E4D">
        <w:rPr>
          <w:sz w:val="20"/>
        </w:rPr>
        <w:t xml:space="preserve"> and </w:t>
      </w:r>
      <w:r>
        <w:rPr>
          <w:sz w:val="20"/>
        </w:rPr>
        <w:t>natural gas (t</w:t>
      </w:r>
      <w:r w:rsidRPr="004C3E4D">
        <w:rPr>
          <w:sz w:val="20"/>
        </w:rPr>
        <w:t>herm) from the 2017 IEPR Forecast</w:t>
      </w:r>
    </w:p>
  </w:footnote>
  <w:footnote w:id="189">
    <w:p w14:paraId="11F4D7E7" w14:textId="77777777" w:rsidR="00260768" w:rsidRPr="007E4FF4" w:rsidRDefault="00260768" w:rsidP="002A4C2F">
      <w:pPr>
        <w:pStyle w:val="FootnoteText"/>
        <w:rPr>
          <w:sz w:val="20"/>
        </w:rPr>
      </w:pPr>
      <w:r w:rsidRPr="007E4FF4">
        <w:rPr>
          <w:rStyle w:val="FootnoteReference"/>
          <w:sz w:val="20"/>
        </w:rPr>
        <w:footnoteRef/>
      </w:r>
      <w:r w:rsidRPr="007E4FF4">
        <w:rPr>
          <w:sz w:val="20"/>
        </w:rPr>
        <w:t xml:space="preserve"> http://www.etcc-ca.com/reports</w:t>
      </w:r>
    </w:p>
  </w:footnote>
  <w:footnote w:id="190">
    <w:p w14:paraId="790B680B" w14:textId="77777777" w:rsidR="00260768" w:rsidRPr="007E4FF4" w:rsidRDefault="00260768" w:rsidP="002A4C2F">
      <w:pPr>
        <w:pStyle w:val="FootnoteText"/>
        <w:rPr>
          <w:sz w:val="20"/>
        </w:rPr>
      </w:pPr>
      <w:r w:rsidRPr="007E4FF4">
        <w:rPr>
          <w:rStyle w:val="FootnoteReference"/>
          <w:sz w:val="20"/>
        </w:rPr>
        <w:footnoteRef/>
      </w:r>
      <w:r w:rsidRPr="007E4FF4">
        <w:rPr>
          <w:sz w:val="20"/>
        </w:rPr>
        <w:t xml:space="preserve"> http://www.energy.ca.gov/publications/searchReports.php?pier1=Buildings%20End-Use%20Energy%20Efficiency</w:t>
      </w:r>
    </w:p>
  </w:footnote>
  <w:footnote w:id="191">
    <w:p w14:paraId="45A377DD" w14:textId="77777777" w:rsidR="00260768" w:rsidRPr="007E4FF4" w:rsidRDefault="00260768" w:rsidP="002A4C2F">
      <w:pPr>
        <w:pStyle w:val="FootnoteText"/>
        <w:rPr>
          <w:sz w:val="20"/>
        </w:rPr>
      </w:pPr>
      <w:r w:rsidRPr="007E4FF4">
        <w:rPr>
          <w:rStyle w:val="FootnoteReference"/>
          <w:sz w:val="20"/>
        </w:rPr>
        <w:footnoteRef/>
      </w:r>
      <w:r w:rsidRPr="007E4FF4">
        <w:rPr>
          <w:sz w:val="20"/>
        </w:rPr>
        <w:t xml:space="preserve"> https://energy.gov/eere/amo/research-development-projects</w:t>
      </w:r>
    </w:p>
  </w:footnote>
  <w:footnote w:id="192">
    <w:p w14:paraId="2B3A3B85" w14:textId="77777777" w:rsidR="00260768" w:rsidRDefault="00260768" w:rsidP="002A4C2F">
      <w:pPr>
        <w:pStyle w:val="FootnoteText"/>
      </w:pPr>
      <w:r w:rsidRPr="007E4FF4">
        <w:rPr>
          <w:rStyle w:val="FootnoteReference"/>
          <w:sz w:val="20"/>
        </w:rPr>
        <w:footnoteRef/>
      </w:r>
      <w:r w:rsidRPr="007E4FF4">
        <w:rPr>
          <w:sz w:val="20"/>
        </w:rPr>
        <w:t xml:space="preserve"> https://energy.gov/eere/buildings/emerging-technologies</w:t>
      </w:r>
    </w:p>
  </w:footnote>
  <w:footnote w:id="193">
    <w:p w14:paraId="740A15CF" w14:textId="77777777" w:rsidR="00260768" w:rsidRDefault="00260768" w:rsidP="00742FC0">
      <w:pPr>
        <w:pStyle w:val="FootnoteText"/>
      </w:pPr>
      <w:r>
        <w:rPr>
          <w:rStyle w:val="FootnoteReference"/>
          <w:rFonts w:eastAsiaTheme="majorEastAsia"/>
        </w:rPr>
        <w:footnoteRef/>
      </w:r>
      <w:r>
        <w:t xml:space="preserve"> Energy use trend analysis provided by CEC.</w:t>
      </w:r>
    </w:p>
  </w:footnote>
  <w:footnote w:id="194">
    <w:p w14:paraId="41F3A4C1" w14:textId="77777777" w:rsidR="00260768" w:rsidRDefault="00260768" w:rsidP="00A40F34">
      <w:pPr>
        <w:pStyle w:val="FootnoteText"/>
      </w:pPr>
      <w:r>
        <w:rPr>
          <w:rStyle w:val="FootnoteReference"/>
          <w:rFonts w:eastAsiaTheme="majorEastAsia"/>
        </w:rPr>
        <w:footnoteRef/>
      </w:r>
      <w:r>
        <w:t xml:space="preserve"> Sirkin, H. et al. </w:t>
      </w:r>
      <w:r>
        <w:rPr>
          <w:i/>
        </w:rPr>
        <w:t>U.S. Manufacturing Nears the Tipping Point</w:t>
      </w:r>
      <w:r>
        <w:t>, The Boston Consulting Group, March 2012.</w:t>
      </w:r>
    </w:p>
  </w:footnote>
  <w:footnote w:id="195">
    <w:p w14:paraId="3B045203" w14:textId="77777777" w:rsidR="00260768" w:rsidRDefault="00260768" w:rsidP="00064586">
      <w:pPr>
        <w:pStyle w:val="FootnoteText"/>
      </w:pPr>
      <w:r>
        <w:rPr>
          <w:rStyle w:val="FootnoteReference"/>
        </w:rPr>
        <w:footnoteRef/>
      </w:r>
      <w:r>
        <w:t xml:space="preserve"> </w:t>
      </w:r>
      <w:r>
        <w:rPr>
          <w:sz w:val="20"/>
        </w:rPr>
        <w:t>Electric (</w:t>
      </w:r>
      <w:r w:rsidRPr="004C3E4D">
        <w:rPr>
          <w:sz w:val="20"/>
        </w:rPr>
        <w:t>GWh</w:t>
      </w:r>
      <w:r>
        <w:rPr>
          <w:sz w:val="20"/>
        </w:rPr>
        <w:t>)</w:t>
      </w:r>
      <w:r w:rsidRPr="004C3E4D">
        <w:rPr>
          <w:sz w:val="20"/>
        </w:rPr>
        <w:t xml:space="preserve"> and </w:t>
      </w:r>
      <w:r>
        <w:rPr>
          <w:sz w:val="20"/>
        </w:rPr>
        <w:t>natural gas (t</w:t>
      </w:r>
      <w:r w:rsidRPr="004C3E4D">
        <w:rPr>
          <w:sz w:val="20"/>
        </w:rPr>
        <w:t>herm) from the 2017 IEPR Forecast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700"/>
      <w:gridCol w:w="6650"/>
    </w:tblGrid>
    <w:tr w:rsidR="00260768" w14:paraId="7FC12AFD" w14:textId="77777777" w:rsidTr="00AF21BE">
      <w:tc>
        <w:tcPr>
          <w:tcW w:w="2700" w:type="dxa"/>
          <w:shd w:val="clear" w:color="auto" w:fill="auto"/>
          <w:vAlign w:val="center"/>
        </w:tcPr>
        <w:p w14:paraId="77FBD052" w14:textId="77777777" w:rsidR="00260768" w:rsidRDefault="00260768" w:rsidP="00263755">
          <w:pPr>
            <w:pStyle w:val="Header"/>
          </w:pPr>
        </w:p>
      </w:tc>
      <w:tc>
        <w:tcPr>
          <w:tcW w:w="6650" w:type="dxa"/>
          <w:shd w:val="clear" w:color="auto" w:fill="555759"/>
          <w:vAlign w:val="center"/>
        </w:tcPr>
        <w:p w14:paraId="1273CE61" w14:textId="359714A3" w:rsidR="00260768" w:rsidRPr="00FE3230" w:rsidRDefault="00260768" w:rsidP="00E37696">
          <w:pPr>
            <w:pStyle w:val="ProposalTitleGreen"/>
            <w:rPr>
              <w:b w:val="0"/>
              <w:color w:val="FFFFFF"/>
              <w:sz w:val="24"/>
            </w:rPr>
          </w:pPr>
          <w:r w:rsidRPr="00FE3230">
            <w:rPr>
              <w:b w:val="0"/>
              <w:color w:val="FFFFFF"/>
              <w:sz w:val="24"/>
            </w:rPr>
            <w:fldChar w:fldCharType="begin"/>
          </w:r>
          <w:r w:rsidRPr="00FE3230">
            <w:rPr>
              <w:b w:val="0"/>
              <w:color w:val="FFFFFF"/>
              <w:sz w:val="24"/>
            </w:rPr>
            <w:instrText xml:space="preserve"> STYLEREF  "Title,Proposal Title"  \* MERGEFORMAT </w:instrText>
          </w:r>
          <w:r w:rsidRPr="00FE3230">
            <w:rPr>
              <w:b w:val="0"/>
              <w:color w:val="FFFFFF"/>
              <w:sz w:val="24"/>
            </w:rPr>
            <w:fldChar w:fldCharType="separate"/>
          </w:r>
          <w:r w:rsidR="00462374" w:rsidRPr="00462374">
            <w:rPr>
              <w:b w:val="0"/>
              <w:bCs/>
              <w:noProof/>
              <w:color w:val="FFFFFF"/>
              <w:sz w:val="24"/>
            </w:rPr>
            <w:t>Energy Efficiency</w:t>
          </w:r>
          <w:r w:rsidR="00462374">
            <w:rPr>
              <w:b w:val="0"/>
              <w:noProof/>
              <w:color w:val="FFFFFF"/>
              <w:sz w:val="24"/>
            </w:rPr>
            <w:t xml:space="preserve"> Potential and Goals Study for 2018 and Beyond</w:t>
          </w:r>
          <w:r w:rsidRPr="00FE3230">
            <w:rPr>
              <w:b w:val="0"/>
              <w:noProof/>
              <w:color w:val="FFFFFF"/>
              <w:sz w:val="24"/>
            </w:rPr>
            <w:fldChar w:fldCharType="end"/>
          </w:r>
        </w:p>
      </w:tc>
    </w:tr>
  </w:tbl>
  <w:p w14:paraId="309B1E41" w14:textId="77777777" w:rsidR="00260768" w:rsidRDefault="00260768" w:rsidP="00263755">
    <w:pPr>
      <w:pStyle w:val="NoSpacing"/>
    </w:pPr>
    <w:r>
      <w:rPr>
        <w:noProof/>
      </w:rPr>
      <w:drawing>
        <wp:anchor distT="0" distB="0" distL="114300" distR="114300" simplePos="0" relativeHeight="251658240" behindDoc="0" locked="0" layoutInCell="1" allowOverlap="1" wp14:anchorId="0226CDBD" wp14:editId="25AF8F06">
          <wp:simplePos x="0" y="0"/>
          <wp:positionH relativeFrom="column">
            <wp:posOffset>0</wp:posOffset>
          </wp:positionH>
          <wp:positionV relativeFrom="paragraph">
            <wp:posOffset>-376555</wp:posOffset>
          </wp:positionV>
          <wp:extent cx="1490345" cy="255905"/>
          <wp:effectExtent l="0" t="0" r="0" b="0"/>
          <wp:wrapNone/>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0345" cy="255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09051" w14:textId="77777777" w:rsidR="00260768" w:rsidRDefault="00260768" w:rsidP="00495F1E">
    <w:pPr>
      <w:pStyle w:val="Header"/>
    </w:pPr>
    <w:r>
      <w:rPr>
        <w:noProof/>
      </w:rPr>
      <w:drawing>
        <wp:anchor distT="0" distB="0" distL="114300" distR="114300" simplePos="0" relativeHeight="251658242" behindDoc="0" locked="0" layoutInCell="1" allowOverlap="1" wp14:anchorId="5B0E97F8" wp14:editId="59E8FE2D">
          <wp:simplePos x="0" y="0"/>
          <wp:positionH relativeFrom="margin">
            <wp:posOffset>0</wp:posOffset>
          </wp:positionH>
          <wp:positionV relativeFrom="paragraph">
            <wp:posOffset>0</wp:posOffset>
          </wp:positionV>
          <wp:extent cx="1935480" cy="332740"/>
          <wp:effectExtent l="0" t="0" r="7620" b="0"/>
          <wp:wrapNone/>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5480" cy="332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5A6BF291" wp14:editId="7A4585EE">
          <wp:simplePos x="0" y="0"/>
          <wp:positionH relativeFrom="page">
            <wp:posOffset>253420</wp:posOffset>
          </wp:positionH>
          <wp:positionV relativeFrom="page">
            <wp:posOffset>-212698</wp:posOffset>
          </wp:positionV>
          <wp:extent cx="7886700" cy="10277475"/>
          <wp:effectExtent l="0" t="0" r="0" b="9525"/>
          <wp:wrapNone/>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86700" cy="102774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36AB"/>
    <w:multiLevelType w:val="hybridMultilevel"/>
    <w:tmpl w:val="3580B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3E44E5"/>
    <w:multiLevelType w:val="hybridMultilevel"/>
    <w:tmpl w:val="7FB24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A72463"/>
    <w:multiLevelType w:val="hybridMultilevel"/>
    <w:tmpl w:val="361AC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C35D3"/>
    <w:multiLevelType w:val="hybridMultilevel"/>
    <w:tmpl w:val="616247F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15:restartNumberingAfterBreak="0">
    <w:nsid w:val="04642A77"/>
    <w:multiLevelType w:val="hybridMultilevel"/>
    <w:tmpl w:val="30768752"/>
    <w:lvl w:ilvl="0" w:tplc="A9D609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C073AA"/>
    <w:multiLevelType w:val="hybridMultilevel"/>
    <w:tmpl w:val="089A4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106C82"/>
    <w:multiLevelType w:val="hybridMultilevel"/>
    <w:tmpl w:val="22AA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312F8C"/>
    <w:multiLevelType w:val="hybridMultilevel"/>
    <w:tmpl w:val="7610BB5C"/>
    <w:lvl w:ilvl="0" w:tplc="44B2E45C">
      <w:start w:val="1"/>
      <w:numFmt w:val="bullet"/>
      <w:lvlText w:val="o"/>
      <w:lvlJc w:val="left"/>
      <w:pPr>
        <w:tabs>
          <w:tab w:val="num" w:pos="720"/>
        </w:tabs>
        <w:ind w:left="720" w:hanging="360"/>
      </w:pPr>
      <w:rPr>
        <w:rFonts w:ascii="Courier New" w:hAnsi="Courier New" w:hint="default"/>
      </w:rPr>
    </w:lvl>
    <w:lvl w:ilvl="1" w:tplc="5AD87ED2" w:tentative="1">
      <w:start w:val="1"/>
      <w:numFmt w:val="bullet"/>
      <w:lvlText w:val="o"/>
      <w:lvlJc w:val="left"/>
      <w:pPr>
        <w:tabs>
          <w:tab w:val="num" w:pos="1440"/>
        </w:tabs>
        <w:ind w:left="1440" w:hanging="360"/>
      </w:pPr>
      <w:rPr>
        <w:rFonts w:ascii="Courier New" w:hAnsi="Courier New" w:hint="default"/>
      </w:rPr>
    </w:lvl>
    <w:lvl w:ilvl="2" w:tplc="AE80185C" w:tentative="1">
      <w:start w:val="1"/>
      <w:numFmt w:val="bullet"/>
      <w:lvlText w:val="o"/>
      <w:lvlJc w:val="left"/>
      <w:pPr>
        <w:tabs>
          <w:tab w:val="num" w:pos="2160"/>
        </w:tabs>
        <w:ind w:left="2160" w:hanging="360"/>
      </w:pPr>
      <w:rPr>
        <w:rFonts w:ascii="Courier New" w:hAnsi="Courier New" w:hint="default"/>
      </w:rPr>
    </w:lvl>
    <w:lvl w:ilvl="3" w:tplc="00D68A5A" w:tentative="1">
      <w:start w:val="1"/>
      <w:numFmt w:val="bullet"/>
      <w:lvlText w:val="o"/>
      <w:lvlJc w:val="left"/>
      <w:pPr>
        <w:tabs>
          <w:tab w:val="num" w:pos="2880"/>
        </w:tabs>
        <w:ind w:left="2880" w:hanging="360"/>
      </w:pPr>
      <w:rPr>
        <w:rFonts w:ascii="Courier New" w:hAnsi="Courier New" w:hint="default"/>
      </w:rPr>
    </w:lvl>
    <w:lvl w:ilvl="4" w:tplc="34D09694" w:tentative="1">
      <w:start w:val="1"/>
      <w:numFmt w:val="bullet"/>
      <w:lvlText w:val="o"/>
      <w:lvlJc w:val="left"/>
      <w:pPr>
        <w:tabs>
          <w:tab w:val="num" w:pos="3600"/>
        </w:tabs>
        <w:ind w:left="3600" w:hanging="360"/>
      </w:pPr>
      <w:rPr>
        <w:rFonts w:ascii="Courier New" w:hAnsi="Courier New" w:hint="default"/>
      </w:rPr>
    </w:lvl>
    <w:lvl w:ilvl="5" w:tplc="2D0C7B26" w:tentative="1">
      <w:start w:val="1"/>
      <w:numFmt w:val="bullet"/>
      <w:lvlText w:val="o"/>
      <w:lvlJc w:val="left"/>
      <w:pPr>
        <w:tabs>
          <w:tab w:val="num" w:pos="4320"/>
        </w:tabs>
        <w:ind w:left="4320" w:hanging="360"/>
      </w:pPr>
      <w:rPr>
        <w:rFonts w:ascii="Courier New" w:hAnsi="Courier New" w:hint="default"/>
      </w:rPr>
    </w:lvl>
    <w:lvl w:ilvl="6" w:tplc="0214377A" w:tentative="1">
      <w:start w:val="1"/>
      <w:numFmt w:val="bullet"/>
      <w:lvlText w:val="o"/>
      <w:lvlJc w:val="left"/>
      <w:pPr>
        <w:tabs>
          <w:tab w:val="num" w:pos="5040"/>
        </w:tabs>
        <w:ind w:left="5040" w:hanging="360"/>
      </w:pPr>
      <w:rPr>
        <w:rFonts w:ascii="Courier New" w:hAnsi="Courier New" w:hint="default"/>
      </w:rPr>
    </w:lvl>
    <w:lvl w:ilvl="7" w:tplc="8F6E0940" w:tentative="1">
      <w:start w:val="1"/>
      <w:numFmt w:val="bullet"/>
      <w:lvlText w:val="o"/>
      <w:lvlJc w:val="left"/>
      <w:pPr>
        <w:tabs>
          <w:tab w:val="num" w:pos="5760"/>
        </w:tabs>
        <w:ind w:left="5760" w:hanging="360"/>
      </w:pPr>
      <w:rPr>
        <w:rFonts w:ascii="Courier New" w:hAnsi="Courier New" w:hint="default"/>
      </w:rPr>
    </w:lvl>
    <w:lvl w:ilvl="8" w:tplc="3AA413AC"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065179FF"/>
    <w:multiLevelType w:val="multilevel"/>
    <w:tmpl w:val="C1820B64"/>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720" w:hanging="720"/>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9144" w:hanging="864"/>
      </w:pPr>
      <w:rPr>
        <w:rFonts w:ascii="Arial Bold" w:hAnsi="Arial Bold" w:hint="default"/>
        <w:b/>
        <w:i/>
        <w:color w:val="555759"/>
        <w:kern w:val="0"/>
        <w:position w:val="0"/>
        <w:sz w:val="20"/>
      </w:rPr>
    </w:lvl>
    <w:lvl w:ilvl="4">
      <w:start w:val="1"/>
      <w:numFmt w:val="upperLetter"/>
      <w:pStyle w:val="Heading5"/>
      <w:suff w:val="space"/>
      <w:lvlText w:val="Appendix %5."/>
      <w:lvlJc w:val="left"/>
      <w:pPr>
        <w:ind w:left="1098" w:hanging="1098"/>
      </w:pPr>
      <w:rPr>
        <w:rFonts w:ascii="Arial Bold" w:hAnsi="Arial Bold" w:hint="default"/>
        <w:b/>
        <w:bCs w:val="0"/>
        <w:i w:val="0"/>
        <w:iCs w:val="0"/>
        <w:caps/>
        <w:smallCaps w:val="0"/>
        <w:strike w:val="0"/>
        <w:dstrike w:val="0"/>
        <w:noProof w:val="0"/>
        <w:vanish w:val="0"/>
        <w:color w:val="95D600" w:themeColor="accen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Bold" w:hAnsi="Arial Bold" w:hint="default"/>
        <w:b/>
        <w:i w:val="0"/>
        <w:color w:val="555759"/>
        <w:kern w:val="0"/>
        <w:sz w:val="26"/>
      </w:rPr>
    </w:lvl>
    <w:lvl w:ilvl="6">
      <w:start w:val="1"/>
      <w:numFmt w:val="none"/>
      <w:lvlText w:val=""/>
      <w:lvlJc w:val="left"/>
      <w:pPr>
        <w:ind w:left="720" w:hanging="720"/>
      </w:pPr>
      <w:rPr>
        <w:rFonts w:ascii="Palatino Linotype" w:hAnsi="Palatino Linotype" w:hint="default"/>
        <w:b/>
        <w:i/>
        <w:color w:val="auto"/>
        <w:sz w:val="24"/>
      </w:rPr>
    </w:lvl>
    <w:lvl w:ilvl="7">
      <w:start w:val="1"/>
      <w:numFmt w:val="none"/>
      <w:lvlText w:val=""/>
      <w:lvlJc w:val="left"/>
      <w:pPr>
        <w:ind w:left="720" w:hanging="720"/>
      </w:pPr>
      <w:rPr>
        <w:rFonts w:ascii="Arial Narrow" w:hAnsi="Arial Narrow" w:hint="default"/>
        <w:b/>
        <w:i w:val="0"/>
        <w:color w:val="A15500"/>
        <w:sz w:val="20"/>
        <w:u w:color="FFFFFF"/>
      </w:rPr>
    </w:lvl>
    <w:lvl w:ilvl="8">
      <w:start w:val="1"/>
      <w:numFmt w:val="none"/>
      <w:lvlText w:val=""/>
      <w:lvlJc w:val="left"/>
      <w:pPr>
        <w:ind w:left="1584" w:hanging="1584"/>
      </w:pPr>
      <w:rPr>
        <w:rFonts w:hint="default"/>
      </w:rPr>
    </w:lvl>
  </w:abstractNum>
  <w:abstractNum w:abstractNumId="9" w15:restartNumberingAfterBreak="0">
    <w:nsid w:val="06C56107"/>
    <w:multiLevelType w:val="hybridMultilevel"/>
    <w:tmpl w:val="08F8568C"/>
    <w:lvl w:ilvl="0" w:tplc="BCC20E1E">
      <w:start w:val="1"/>
      <w:numFmt w:val="bullet"/>
      <w:lvlText w:val="o"/>
      <w:lvlJc w:val="left"/>
      <w:pPr>
        <w:tabs>
          <w:tab w:val="num" w:pos="720"/>
        </w:tabs>
        <w:ind w:left="720" w:hanging="360"/>
      </w:pPr>
      <w:rPr>
        <w:rFonts w:ascii="Courier New" w:hAnsi="Courier New" w:hint="default"/>
      </w:rPr>
    </w:lvl>
    <w:lvl w:ilvl="1" w:tplc="116006D8" w:tentative="1">
      <w:start w:val="1"/>
      <w:numFmt w:val="bullet"/>
      <w:lvlText w:val="o"/>
      <w:lvlJc w:val="left"/>
      <w:pPr>
        <w:tabs>
          <w:tab w:val="num" w:pos="1440"/>
        </w:tabs>
        <w:ind w:left="1440" w:hanging="360"/>
      </w:pPr>
      <w:rPr>
        <w:rFonts w:ascii="Courier New" w:hAnsi="Courier New" w:hint="default"/>
      </w:rPr>
    </w:lvl>
    <w:lvl w:ilvl="2" w:tplc="F37ECDF8" w:tentative="1">
      <w:start w:val="1"/>
      <w:numFmt w:val="bullet"/>
      <w:lvlText w:val="o"/>
      <w:lvlJc w:val="left"/>
      <w:pPr>
        <w:tabs>
          <w:tab w:val="num" w:pos="2160"/>
        </w:tabs>
        <w:ind w:left="2160" w:hanging="360"/>
      </w:pPr>
      <w:rPr>
        <w:rFonts w:ascii="Courier New" w:hAnsi="Courier New" w:hint="default"/>
      </w:rPr>
    </w:lvl>
    <w:lvl w:ilvl="3" w:tplc="209ECE8C" w:tentative="1">
      <w:start w:val="1"/>
      <w:numFmt w:val="bullet"/>
      <w:lvlText w:val="o"/>
      <w:lvlJc w:val="left"/>
      <w:pPr>
        <w:tabs>
          <w:tab w:val="num" w:pos="2880"/>
        </w:tabs>
        <w:ind w:left="2880" w:hanging="360"/>
      </w:pPr>
      <w:rPr>
        <w:rFonts w:ascii="Courier New" w:hAnsi="Courier New" w:hint="default"/>
      </w:rPr>
    </w:lvl>
    <w:lvl w:ilvl="4" w:tplc="707A5130" w:tentative="1">
      <w:start w:val="1"/>
      <w:numFmt w:val="bullet"/>
      <w:lvlText w:val="o"/>
      <w:lvlJc w:val="left"/>
      <w:pPr>
        <w:tabs>
          <w:tab w:val="num" w:pos="3600"/>
        </w:tabs>
        <w:ind w:left="3600" w:hanging="360"/>
      </w:pPr>
      <w:rPr>
        <w:rFonts w:ascii="Courier New" w:hAnsi="Courier New" w:hint="default"/>
      </w:rPr>
    </w:lvl>
    <w:lvl w:ilvl="5" w:tplc="10FE38CC" w:tentative="1">
      <w:start w:val="1"/>
      <w:numFmt w:val="bullet"/>
      <w:lvlText w:val="o"/>
      <w:lvlJc w:val="left"/>
      <w:pPr>
        <w:tabs>
          <w:tab w:val="num" w:pos="4320"/>
        </w:tabs>
        <w:ind w:left="4320" w:hanging="360"/>
      </w:pPr>
      <w:rPr>
        <w:rFonts w:ascii="Courier New" w:hAnsi="Courier New" w:hint="default"/>
      </w:rPr>
    </w:lvl>
    <w:lvl w:ilvl="6" w:tplc="73945AF8" w:tentative="1">
      <w:start w:val="1"/>
      <w:numFmt w:val="bullet"/>
      <w:lvlText w:val="o"/>
      <w:lvlJc w:val="left"/>
      <w:pPr>
        <w:tabs>
          <w:tab w:val="num" w:pos="5040"/>
        </w:tabs>
        <w:ind w:left="5040" w:hanging="360"/>
      </w:pPr>
      <w:rPr>
        <w:rFonts w:ascii="Courier New" w:hAnsi="Courier New" w:hint="default"/>
      </w:rPr>
    </w:lvl>
    <w:lvl w:ilvl="7" w:tplc="6D141A54" w:tentative="1">
      <w:start w:val="1"/>
      <w:numFmt w:val="bullet"/>
      <w:lvlText w:val="o"/>
      <w:lvlJc w:val="left"/>
      <w:pPr>
        <w:tabs>
          <w:tab w:val="num" w:pos="5760"/>
        </w:tabs>
        <w:ind w:left="5760" w:hanging="360"/>
      </w:pPr>
      <w:rPr>
        <w:rFonts w:ascii="Courier New" w:hAnsi="Courier New" w:hint="default"/>
      </w:rPr>
    </w:lvl>
    <w:lvl w:ilvl="8" w:tplc="83B2DFE6" w:tentative="1">
      <w:start w:val="1"/>
      <w:numFmt w:val="bullet"/>
      <w:lvlText w:val="o"/>
      <w:lvlJc w:val="left"/>
      <w:pPr>
        <w:tabs>
          <w:tab w:val="num" w:pos="6480"/>
        </w:tabs>
        <w:ind w:left="6480" w:hanging="360"/>
      </w:pPr>
      <w:rPr>
        <w:rFonts w:ascii="Courier New" w:hAnsi="Courier New" w:hint="default"/>
      </w:rPr>
    </w:lvl>
  </w:abstractNum>
  <w:abstractNum w:abstractNumId="10" w15:restartNumberingAfterBreak="0">
    <w:nsid w:val="08E56A94"/>
    <w:multiLevelType w:val="hybridMultilevel"/>
    <w:tmpl w:val="FDEE4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F9634B"/>
    <w:multiLevelType w:val="hybridMultilevel"/>
    <w:tmpl w:val="FAE0F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AF6ECD"/>
    <w:multiLevelType w:val="hybridMultilevel"/>
    <w:tmpl w:val="163C7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44445E"/>
    <w:multiLevelType w:val="hybridMultilevel"/>
    <w:tmpl w:val="41002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5B3E8A"/>
    <w:multiLevelType w:val="hybridMultilevel"/>
    <w:tmpl w:val="E49A6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E1C73EF"/>
    <w:multiLevelType w:val="hybridMultilevel"/>
    <w:tmpl w:val="B21A2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C075E6"/>
    <w:multiLevelType w:val="hybridMultilevel"/>
    <w:tmpl w:val="9BFE0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DF4B9B"/>
    <w:multiLevelType w:val="hybridMultilevel"/>
    <w:tmpl w:val="8674A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4F15B7"/>
    <w:multiLevelType w:val="hybridMultilevel"/>
    <w:tmpl w:val="6A689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572C71"/>
    <w:multiLevelType w:val="hybridMultilevel"/>
    <w:tmpl w:val="2ACA03F2"/>
    <w:lvl w:ilvl="0" w:tplc="A9D609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601AA8"/>
    <w:multiLevelType w:val="hybridMultilevel"/>
    <w:tmpl w:val="856CE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5F565F"/>
    <w:multiLevelType w:val="hybridMultilevel"/>
    <w:tmpl w:val="4F92145A"/>
    <w:lvl w:ilvl="0" w:tplc="D8E8D79E">
      <w:start w:val="1"/>
      <w:numFmt w:val="decimal"/>
      <w:lvlText w:val="%1."/>
      <w:lvlJc w:val="left"/>
      <w:pPr>
        <w:ind w:left="420" w:hanging="360"/>
      </w:pPr>
      <w:rPr>
        <w:rFonts w:hint="default"/>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1B135E86"/>
    <w:multiLevelType w:val="hybridMultilevel"/>
    <w:tmpl w:val="0D32B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CA2AB1"/>
    <w:multiLevelType w:val="hybridMultilevel"/>
    <w:tmpl w:val="E9F60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574C74"/>
    <w:multiLevelType w:val="hybridMultilevel"/>
    <w:tmpl w:val="92D6C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5B2E28"/>
    <w:multiLevelType w:val="hybridMultilevel"/>
    <w:tmpl w:val="C78AADEE"/>
    <w:lvl w:ilvl="0" w:tplc="0B9223B8">
      <w:start w:val="1"/>
      <w:numFmt w:val="decimal"/>
      <w:lvlText w:val="%1."/>
      <w:lvlJc w:val="left"/>
      <w:pPr>
        <w:tabs>
          <w:tab w:val="num" w:pos="720"/>
        </w:tabs>
        <w:ind w:left="720" w:hanging="360"/>
      </w:pPr>
    </w:lvl>
    <w:lvl w:ilvl="1" w:tplc="A8F2F7D0">
      <w:start w:val="1"/>
      <w:numFmt w:val="lowerLetter"/>
      <w:lvlText w:val="%2."/>
      <w:lvlJc w:val="left"/>
      <w:pPr>
        <w:tabs>
          <w:tab w:val="num" w:pos="1440"/>
        </w:tabs>
        <w:ind w:left="1440" w:hanging="360"/>
      </w:pPr>
    </w:lvl>
    <w:lvl w:ilvl="2" w:tplc="9E444106" w:tentative="1">
      <w:start w:val="1"/>
      <w:numFmt w:val="decimal"/>
      <w:lvlText w:val="%3."/>
      <w:lvlJc w:val="left"/>
      <w:pPr>
        <w:tabs>
          <w:tab w:val="num" w:pos="2160"/>
        </w:tabs>
        <w:ind w:left="2160" w:hanging="360"/>
      </w:pPr>
    </w:lvl>
    <w:lvl w:ilvl="3" w:tplc="031ECF7C" w:tentative="1">
      <w:start w:val="1"/>
      <w:numFmt w:val="decimal"/>
      <w:lvlText w:val="%4."/>
      <w:lvlJc w:val="left"/>
      <w:pPr>
        <w:tabs>
          <w:tab w:val="num" w:pos="2880"/>
        </w:tabs>
        <w:ind w:left="2880" w:hanging="360"/>
      </w:pPr>
    </w:lvl>
    <w:lvl w:ilvl="4" w:tplc="86841F3A" w:tentative="1">
      <w:start w:val="1"/>
      <w:numFmt w:val="decimal"/>
      <w:lvlText w:val="%5."/>
      <w:lvlJc w:val="left"/>
      <w:pPr>
        <w:tabs>
          <w:tab w:val="num" w:pos="3600"/>
        </w:tabs>
        <w:ind w:left="3600" w:hanging="360"/>
      </w:pPr>
    </w:lvl>
    <w:lvl w:ilvl="5" w:tplc="3904D3A4" w:tentative="1">
      <w:start w:val="1"/>
      <w:numFmt w:val="decimal"/>
      <w:lvlText w:val="%6."/>
      <w:lvlJc w:val="left"/>
      <w:pPr>
        <w:tabs>
          <w:tab w:val="num" w:pos="4320"/>
        </w:tabs>
        <w:ind w:left="4320" w:hanging="360"/>
      </w:pPr>
    </w:lvl>
    <w:lvl w:ilvl="6" w:tplc="B8FE6064" w:tentative="1">
      <w:start w:val="1"/>
      <w:numFmt w:val="decimal"/>
      <w:lvlText w:val="%7."/>
      <w:lvlJc w:val="left"/>
      <w:pPr>
        <w:tabs>
          <w:tab w:val="num" w:pos="5040"/>
        </w:tabs>
        <w:ind w:left="5040" w:hanging="360"/>
      </w:pPr>
    </w:lvl>
    <w:lvl w:ilvl="7" w:tplc="3DC89920" w:tentative="1">
      <w:start w:val="1"/>
      <w:numFmt w:val="decimal"/>
      <w:lvlText w:val="%8."/>
      <w:lvlJc w:val="left"/>
      <w:pPr>
        <w:tabs>
          <w:tab w:val="num" w:pos="5760"/>
        </w:tabs>
        <w:ind w:left="5760" w:hanging="360"/>
      </w:pPr>
    </w:lvl>
    <w:lvl w:ilvl="8" w:tplc="110AE924" w:tentative="1">
      <w:start w:val="1"/>
      <w:numFmt w:val="decimal"/>
      <w:lvlText w:val="%9."/>
      <w:lvlJc w:val="left"/>
      <w:pPr>
        <w:tabs>
          <w:tab w:val="num" w:pos="6480"/>
        </w:tabs>
        <w:ind w:left="6480" w:hanging="360"/>
      </w:pPr>
    </w:lvl>
  </w:abstractNum>
  <w:abstractNum w:abstractNumId="28" w15:restartNumberingAfterBreak="0">
    <w:nsid w:val="1F757AB9"/>
    <w:multiLevelType w:val="hybridMultilevel"/>
    <w:tmpl w:val="B7CE03D0"/>
    <w:lvl w:ilvl="0" w:tplc="AB820A5E">
      <w:start w:val="1"/>
      <w:numFmt w:val="bullet"/>
      <w:lvlText w:val="o"/>
      <w:lvlJc w:val="left"/>
      <w:pPr>
        <w:tabs>
          <w:tab w:val="num" w:pos="720"/>
        </w:tabs>
        <w:ind w:left="720" w:hanging="360"/>
      </w:pPr>
      <w:rPr>
        <w:rFonts w:ascii="Courier New" w:hAnsi="Courier New" w:hint="default"/>
      </w:rPr>
    </w:lvl>
    <w:lvl w:ilvl="1" w:tplc="0D4C7F98" w:tentative="1">
      <w:start w:val="1"/>
      <w:numFmt w:val="bullet"/>
      <w:lvlText w:val="o"/>
      <w:lvlJc w:val="left"/>
      <w:pPr>
        <w:tabs>
          <w:tab w:val="num" w:pos="1440"/>
        </w:tabs>
        <w:ind w:left="1440" w:hanging="360"/>
      </w:pPr>
      <w:rPr>
        <w:rFonts w:ascii="Courier New" w:hAnsi="Courier New" w:hint="default"/>
      </w:rPr>
    </w:lvl>
    <w:lvl w:ilvl="2" w:tplc="59B00636" w:tentative="1">
      <w:start w:val="1"/>
      <w:numFmt w:val="bullet"/>
      <w:lvlText w:val="o"/>
      <w:lvlJc w:val="left"/>
      <w:pPr>
        <w:tabs>
          <w:tab w:val="num" w:pos="2160"/>
        </w:tabs>
        <w:ind w:left="2160" w:hanging="360"/>
      </w:pPr>
      <w:rPr>
        <w:rFonts w:ascii="Courier New" w:hAnsi="Courier New" w:hint="default"/>
      </w:rPr>
    </w:lvl>
    <w:lvl w:ilvl="3" w:tplc="C9CE8AAA" w:tentative="1">
      <w:start w:val="1"/>
      <w:numFmt w:val="bullet"/>
      <w:lvlText w:val="o"/>
      <w:lvlJc w:val="left"/>
      <w:pPr>
        <w:tabs>
          <w:tab w:val="num" w:pos="2880"/>
        </w:tabs>
        <w:ind w:left="2880" w:hanging="360"/>
      </w:pPr>
      <w:rPr>
        <w:rFonts w:ascii="Courier New" w:hAnsi="Courier New" w:hint="default"/>
      </w:rPr>
    </w:lvl>
    <w:lvl w:ilvl="4" w:tplc="4538FF88" w:tentative="1">
      <w:start w:val="1"/>
      <w:numFmt w:val="bullet"/>
      <w:lvlText w:val="o"/>
      <w:lvlJc w:val="left"/>
      <w:pPr>
        <w:tabs>
          <w:tab w:val="num" w:pos="3600"/>
        </w:tabs>
        <w:ind w:left="3600" w:hanging="360"/>
      </w:pPr>
      <w:rPr>
        <w:rFonts w:ascii="Courier New" w:hAnsi="Courier New" w:hint="default"/>
      </w:rPr>
    </w:lvl>
    <w:lvl w:ilvl="5" w:tplc="C48CA7B2" w:tentative="1">
      <w:start w:val="1"/>
      <w:numFmt w:val="bullet"/>
      <w:lvlText w:val="o"/>
      <w:lvlJc w:val="left"/>
      <w:pPr>
        <w:tabs>
          <w:tab w:val="num" w:pos="4320"/>
        </w:tabs>
        <w:ind w:left="4320" w:hanging="360"/>
      </w:pPr>
      <w:rPr>
        <w:rFonts w:ascii="Courier New" w:hAnsi="Courier New" w:hint="default"/>
      </w:rPr>
    </w:lvl>
    <w:lvl w:ilvl="6" w:tplc="F744AAEE" w:tentative="1">
      <w:start w:val="1"/>
      <w:numFmt w:val="bullet"/>
      <w:lvlText w:val="o"/>
      <w:lvlJc w:val="left"/>
      <w:pPr>
        <w:tabs>
          <w:tab w:val="num" w:pos="5040"/>
        </w:tabs>
        <w:ind w:left="5040" w:hanging="360"/>
      </w:pPr>
      <w:rPr>
        <w:rFonts w:ascii="Courier New" w:hAnsi="Courier New" w:hint="default"/>
      </w:rPr>
    </w:lvl>
    <w:lvl w:ilvl="7" w:tplc="073E2C80" w:tentative="1">
      <w:start w:val="1"/>
      <w:numFmt w:val="bullet"/>
      <w:lvlText w:val="o"/>
      <w:lvlJc w:val="left"/>
      <w:pPr>
        <w:tabs>
          <w:tab w:val="num" w:pos="5760"/>
        </w:tabs>
        <w:ind w:left="5760" w:hanging="360"/>
      </w:pPr>
      <w:rPr>
        <w:rFonts w:ascii="Courier New" w:hAnsi="Courier New" w:hint="default"/>
      </w:rPr>
    </w:lvl>
    <w:lvl w:ilvl="8" w:tplc="719AACBE" w:tentative="1">
      <w:start w:val="1"/>
      <w:numFmt w:val="bullet"/>
      <w:lvlText w:val="o"/>
      <w:lvlJc w:val="left"/>
      <w:pPr>
        <w:tabs>
          <w:tab w:val="num" w:pos="6480"/>
        </w:tabs>
        <w:ind w:left="6480" w:hanging="360"/>
      </w:pPr>
      <w:rPr>
        <w:rFonts w:ascii="Courier New" w:hAnsi="Courier New" w:hint="default"/>
      </w:rPr>
    </w:lvl>
  </w:abstractNum>
  <w:abstractNum w:abstractNumId="29"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947337"/>
    <w:multiLevelType w:val="hybridMultilevel"/>
    <w:tmpl w:val="C1EE8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D579F3"/>
    <w:multiLevelType w:val="hybridMultilevel"/>
    <w:tmpl w:val="60980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1D386F"/>
    <w:multiLevelType w:val="hybridMultilevel"/>
    <w:tmpl w:val="640A5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92B151C"/>
    <w:multiLevelType w:val="hybridMultilevel"/>
    <w:tmpl w:val="2CCC0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9163A5"/>
    <w:multiLevelType w:val="hybridMultilevel"/>
    <w:tmpl w:val="F21A9136"/>
    <w:lvl w:ilvl="0" w:tplc="442CDF74">
      <w:start w:val="1"/>
      <w:numFmt w:val="bullet"/>
      <w:pStyle w:val="TableBullet"/>
      <w:lvlText w:val=""/>
      <w:lvlJc w:val="left"/>
      <w:pPr>
        <w:ind w:left="720" w:hanging="36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9C92FA6"/>
    <w:multiLevelType w:val="hybridMultilevel"/>
    <w:tmpl w:val="B8645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B702BCF"/>
    <w:multiLevelType w:val="hybridMultilevel"/>
    <w:tmpl w:val="DB4C8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BDB19E5"/>
    <w:multiLevelType w:val="hybridMultilevel"/>
    <w:tmpl w:val="47A04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C817A9B"/>
    <w:multiLevelType w:val="hybridMultilevel"/>
    <w:tmpl w:val="C44AD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3033DDB"/>
    <w:multiLevelType w:val="hybridMultilevel"/>
    <w:tmpl w:val="62A4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35740E2"/>
    <w:multiLevelType w:val="hybridMultilevel"/>
    <w:tmpl w:val="9AE84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DF7C7B"/>
    <w:multiLevelType w:val="hybridMultilevel"/>
    <w:tmpl w:val="A614B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1A6E05"/>
    <w:multiLevelType w:val="hybridMultilevel"/>
    <w:tmpl w:val="FC0AD64E"/>
    <w:lvl w:ilvl="0" w:tplc="0D3653AE">
      <w:start w:val="1"/>
      <w:numFmt w:val="bullet"/>
      <w:lvlText w:val="o"/>
      <w:lvlJc w:val="left"/>
      <w:pPr>
        <w:tabs>
          <w:tab w:val="num" w:pos="720"/>
        </w:tabs>
        <w:ind w:left="720" w:hanging="360"/>
      </w:pPr>
      <w:rPr>
        <w:rFonts w:ascii="Courier New" w:hAnsi="Courier New" w:hint="default"/>
      </w:rPr>
    </w:lvl>
    <w:lvl w:ilvl="1" w:tplc="C186B4F6" w:tentative="1">
      <w:start w:val="1"/>
      <w:numFmt w:val="bullet"/>
      <w:lvlText w:val="o"/>
      <w:lvlJc w:val="left"/>
      <w:pPr>
        <w:tabs>
          <w:tab w:val="num" w:pos="1440"/>
        </w:tabs>
        <w:ind w:left="1440" w:hanging="360"/>
      </w:pPr>
      <w:rPr>
        <w:rFonts w:ascii="Courier New" w:hAnsi="Courier New" w:hint="default"/>
      </w:rPr>
    </w:lvl>
    <w:lvl w:ilvl="2" w:tplc="B3541950" w:tentative="1">
      <w:start w:val="1"/>
      <w:numFmt w:val="bullet"/>
      <w:lvlText w:val="o"/>
      <w:lvlJc w:val="left"/>
      <w:pPr>
        <w:tabs>
          <w:tab w:val="num" w:pos="2160"/>
        </w:tabs>
        <w:ind w:left="2160" w:hanging="360"/>
      </w:pPr>
      <w:rPr>
        <w:rFonts w:ascii="Courier New" w:hAnsi="Courier New" w:hint="default"/>
      </w:rPr>
    </w:lvl>
    <w:lvl w:ilvl="3" w:tplc="88E66662" w:tentative="1">
      <w:start w:val="1"/>
      <w:numFmt w:val="bullet"/>
      <w:lvlText w:val="o"/>
      <w:lvlJc w:val="left"/>
      <w:pPr>
        <w:tabs>
          <w:tab w:val="num" w:pos="2880"/>
        </w:tabs>
        <w:ind w:left="2880" w:hanging="360"/>
      </w:pPr>
      <w:rPr>
        <w:rFonts w:ascii="Courier New" w:hAnsi="Courier New" w:hint="default"/>
      </w:rPr>
    </w:lvl>
    <w:lvl w:ilvl="4" w:tplc="5952176C" w:tentative="1">
      <w:start w:val="1"/>
      <w:numFmt w:val="bullet"/>
      <w:lvlText w:val="o"/>
      <w:lvlJc w:val="left"/>
      <w:pPr>
        <w:tabs>
          <w:tab w:val="num" w:pos="3600"/>
        </w:tabs>
        <w:ind w:left="3600" w:hanging="360"/>
      </w:pPr>
      <w:rPr>
        <w:rFonts w:ascii="Courier New" w:hAnsi="Courier New" w:hint="default"/>
      </w:rPr>
    </w:lvl>
    <w:lvl w:ilvl="5" w:tplc="0AC20664" w:tentative="1">
      <w:start w:val="1"/>
      <w:numFmt w:val="bullet"/>
      <w:lvlText w:val="o"/>
      <w:lvlJc w:val="left"/>
      <w:pPr>
        <w:tabs>
          <w:tab w:val="num" w:pos="4320"/>
        </w:tabs>
        <w:ind w:left="4320" w:hanging="360"/>
      </w:pPr>
      <w:rPr>
        <w:rFonts w:ascii="Courier New" w:hAnsi="Courier New" w:hint="default"/>
      </w:rPr>
    </w:lvl>
    <w:lvl w:ilvl="6" w:tplc="9C529CD4" w:tentative="1">
      <w:start w:val="1"/>
      <w:numFmt w:val="bullet"/>
      <w:lvlText w:val="o"/>
      <w:lvlJc w:val="left"/>
      <w:pPr>
        <w:tabs>
          <w:tab w:val="num" w:pos="5040"/>
        </w:tabs>
        <w:ind w:left="5040" w:hanging="360"/>
      </w:pPr>
      <w:rPr>
        <w:rFonts w:ascii="Courier New" w:hAnsi="Courier New" w:hint="default"/>
      </w:rPr>
    </w:lvl>
    <w:lvl w:ilvl="7" w:tplc="F14EE9FE" w:tentative="1">
      <w:start w:val="1"/>
      <w:numFmt w:val="bullet"/>
      <w:lvlText w:val="o"/>
      <w:lvlJc w:val="left"/>
      <w:pPr>
        <w:tabs>
          <w:tab w:val="num" w:pos="5760"/>
        </w:tabs>
        <w:ind w:left="5760" w:hanging="360"/>
      </w:pPr>
      <w:rPr>
        <w:rFonts w:ascii="Courier New" w:hAnsi="Courier New" w:hint="default"/>
      </w:rPr>
    </w:lvl>
    <w:lvl w:ilvl="8" w:tplc="69847CE8" w:tentative="1">
      <w:start w:val="1"/>
      <w:numFmt w:val="bullet"/>
      <w:lvlText w:val="o"/>
      <w:lvlJc w:val="left"/>
      <w:pPr>
        <w:tabs>
          <w:tab w:val="num" w:pos="6480"/>
        </w:tabs>
        <w:ind w:left="6480" w:hanging="360"/>
      </w:pPr>
      <w:rPr>
        <w:rFonts w:ascii="Courier New" w:hAnsi="Courier New" w:hint="default"/>
      </w:rPr>
    </w:lvl>
  </w:abstractNum>
  <w:abstractNum w:abstractNumId="44" w15:restartNumberingAfterBreak="0">
    <w:nsid w:val="356533E2"/>
    <w:multiLevelType w:val="hybridMultilevel"/>
    <w:tmpl w:val="4DCA9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9BF051A"/>
    <w:multiLevelType w:val="hybridMultilevel"/>
    <w:tmpl w:val="D6809288"/>
    <w:lvl w:ilvl="0" w:tplc="F67C9B98">
      <w:start w:val="1"/>
      <w:numFmt w:val="bullet"/>
      <w:lvlText w:val="o"/>
      <w:lvlJc w:val="left"/>
      <w:pPr>
        <w:tabs>
          <w:tab w:val="num" w:pos="720"/>
        </w:tabs>
        <w:ind w:left="720" w:hanging="360"/>
      </w:pPr>
      <w:rPr>
        <w:rFonts w:ascii="Courier New" w:hAnsi="Courier New" w:hint="default"/>
      </w:rPr>
    </w:lvl>
    <w:lvl w:ilvl="1" w:tplc="B6BE05D2" w:tentative="1">
      <w:start w:val="1"/>
      <w:numFmt w:val="bullet"/>
      <w:lvlText w:val="o"/>
      <w:lvlJc w:val="left"/>
      <w:pPr>
        <w:tabs>
          <w:tab w:val="num" w:pos="1440"/>
        </w:tabs>
        <w:ind w:left="1440" w:hanging="360"/>
      </w:pPr>
      <w:rPr>
        <w:rFonts w:ascii="Courier New" w:hAnsi="Courier New" w:hint="default"/>
      </w:rPr>
    </w:lvl>
    <w:lvl w:ilvl="2" w:tplc="98A67E18" w:tentative="1">
      <w:start w:val="1"/>
      <w:numFmt w:val="bullet"/>
      <w:lvlText w:val="o"/>
      <w:lvlJc w:val="left"/>
      <w:pPr>
        <w:tabs>
          <w:tab w:val="num" w:pos="2160"/>
        </w:tabs>
        <w:ind w:left="2160" w:hanging="360"/>
      </w:pPr>
      <w:rPr>
        <w:rFonts w:ascii="Courier New" w:hAnsi="Courier New" w:hint="default"/>
      </w:rPr>
    </w:lvl>
    <w:lvl w:ilvl="3" w:tplc="C6786B4A" w:tentative="1">
      <w:start w:val="1"/>
      <w:numFmt w:val="bullet"/>
      <w:lvlText w:val="o"/>
      <w:lvlJc w:val="left"/>
      <w:pPr>
        <w:tabs>
          <w:tab w:val="num" w:pos="2880"/>
        </w:tabs>
        <w:ind w:left="2880" w:hanging="360"/>
      </w:pPr>
      <w:rPr>
        <w:rFonts w:ascii="Courier New" w:hAnsi="Courier New" w:hint="default"/>
      </w:rPr>
    </w:lvl>
    <w:lvl w:ilvl="4" w:tplc="6C324B60" w:tentative="1">
      <w:start w:val="1"/>
      <w:numFmt w:val="bullet"/>
      <w:lvlText w:val="o"/>
      <w:lvlJc w:val="left"/>
      <w:pPr>
        <w:tabs>
          <w:tab w:val="num" w:pos="3600"/>
        </w:tabs>
        <w:ind w:left="3600" w:hanging="360"/>
      </w:pPr>
      <w:rPr>
        <w:rFonts w:ascii="Courier New" w:hAnsi="Courier New" w:hint="default"/>
      </w:rPr>
    </w:lvl>
    <w:lvl w:ilvl="5" w:tplc="235E4530" w:tentative="1">
      <w:start w:val="1"/>
      <w:numFmt w:val="bullet"/>
      <w:lvlText w:val="o"/>
      <w:lvlJc w:val="left"/>
      <w:pPr>
        <w:tabs>
          <w:tab w:val="num" w:pos="4320"/>
        </w:tabs>
        <w:ind w:left="4320" w:hanging="360"/>
      </w:pPr>
      <w:rPr>
        <w:rFonts w:ascii="Courier New" w:hAnsi="Courier New" w:hint="default"/>
      </w:rPr>
    </w:lvl>
    <w:lvl w:ilvl="6" w:tplc="97341742" w:tentative="1">
      <w:start w:val="1"/>
      <w:numFmt w:val="bullet"/>
      <w:lvlText w:val="o"/>
      <w:lvlJc w:val="left"/>
      <w:pPr>
        <w:tabs>
          <w:tab w:val="num" w:pos="5040"/>
        </w:tabs>
        <w:ind w:left="5040" w:hanging="360"/>
      </w:pPr>
      <w:rPr>
        <w:rFonts w:ascii="Courier New" w:hAnsi="Courier New" w:hint="default"/>
      </w:rPr>
    </w:lvl>
    <w:lvl w:ilvl="7" w:tplc="A4DE65FE" w:tentative="1">
      <w:start w:val="1"/>
      <w:numFmt w:val="bullet"/>
      <w:lvlText w:val="o"/>
      <w:lvlJc w:val="left"/>
      <w:pPr>
        <w:tabs>
          <w:tab w:val="num" w:pos="5760"/>
        </w:tabs>
        <w:ind w:left="5760" w:hanging="360"/>
      </w:pPr>
      <w:rPr>
        <w:rFonts w:ascii="Courier New" w:hAnsi="Courier New" w:hint="default"/>
      </w:rPr>
    </w:lvl>
    <w:lvl w:ilvl="8" w:tplc="5FDAA36C" w:tentative="1">
      <w:start w:val="1"/>
      <w:numFmt w:val="bullet"/>
      <w:lvlText w:val="o"/>
      <w:lvlJc w:val="left"/>
      <w:pPr>
        <w:tabs>
          <w:tab w:val="num" w:pos="6480"/>
        </w:tabs>
        <w:ind w:left="6480" w:hanging="360"/>
      </w:pPr>
      <w:rPr>
        <w:rFonts w:ascii="Courier New" w:hAnsi="Courier New" w:hint="default"/>
      </w:rPr>
    </w:lvl>
  </w:abstractNum>
  <w:abstractNum w:abstractNumId="46"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C24003E"/>
    <w:multiLevelType w:val="hybridMultilevel"/>
    <w:tmpl w:val="FCCCD9E0"/>
    <w:lvl w:ilvl="0" w:tplc="615EAC24">
      <w:start w:val="1"/>
      <w:numFmt w:val="bullet"/>
      <w:lvlText w:val="»"/>
      <w:lvlJc w:val="left"/>
      <w:pPr>
        <w:ind w:left="720" w:hanging="360"/>
      </w:pPr>
      <w:rPr>
        <w:rFonts w:ascii="Palatino Linotype" w:hAnsi="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D77372A"/>
    <w:multiLevelType w:val="hybridMultilevel"/>
    <w:tmpl w:val="30768752"/>
    <w:lvl w:ilvl="0" w:tplc="A9D609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EA32E31"/>
    <w:multiLevelType w:val="hybridMultilevel"/>
    <w:tmpl w:val="2CC87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F3E7571"/>
    <w:multiLevelType w:val="hybridMultilevel"/>
    <w:tmpl w:val="63A29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F4618CA"/>
    <w:multiLevelType w:val="hybridMultilevel"/>
    <w:tmpl w:val="4260B0CC"/>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53" w15:restartNumberingAfterBreak="0">
    <w:nsid w:val="434D2BFF"/>
    <w:multiLevelType w:val="hybridMultilevel"/>
    <w:tmpl w:val="35AC5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43B5C85"/>
    <w:multiLevelType w:val="hybridMultilevel"/>
    <w:tmpl w:val="24FC3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57A23A3"/>
    <w:multiLevelType w:val="hybridMultilevel"/>
    <w:tmpl w:val="DD6AB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70A09DE"/>
    <w:multiLevelType w:val="hybridMultilevel"/>
    <w:tmpl w:val="67D6E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8051968"/>
    <w:multiLevelType w:val="hybridMultilevel"/>
    <w:tmpl w:val="D4CAD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83E469D"/>
    <w:multiLevelType w:val="hybridMultilevel"/>
    <w:tmpl w:val="793C9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ED4EC4"/>
    <w:multiLevelType w:val="hybridMultilevel"/>
    <w:tmpl w:val="9F1A1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A8E6B88"/>
    <w:multiLevelType w:val="hybridMultilevel"/>
    <w:tmpl w:val="36BC3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AD50DD0"/>
    <w:multiLevelType w:val="hybridMultilevel"/>
    <w:tmpl w:val="4A02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C03584D"/>
    <w:multiLevelType w:val="hybridMultilevel"/>
    <w:tmpl w:val="968C0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4F873D4A"/>
    <w:multiLevelType w:val="hybridMultilevel"/>
    <w:tmpl w:val="F3C44D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4" w15:restartNumberingAfterBreak="0">
    <w:nsid w:val="507321DA"/>
    <w:multiLevelType w:val="hybridMultilevel"/>
    <w:tmpl w:val="3536A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35519D1"/>
    <w:multiLevelType w:val="hybridMultilevel"/>
    <w:tmpl w:val="321CB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3AF2332"/>
    <w:multiLevelType w:val="hybridMultilevel"/>
    <w:tmpl w:val="BCFECCE2"/>
    <w:lvl w:ilvl="0" w:tplc="94866ED6">
      <w:start w:val="1"/>
      <w:numFmt w:val="decimal"/>
      <w:lvlText w:val="%1."/>
      <w:lvlJc w:val="left"/>
      <w:pPr>
        <w:tabs>
          <w:tab w:val="num" w:pos="720"/>
        </w:tabs>
        <w:ind w:left="720" w:hanging="360"/>
      </w:pPr>
    </w:lvl>
    <w:lvl w:ilvl="1" w:tplc="866C85D8" w:tentative="1">
      <w:start w:val="1"/>
      <w:numFmt w:val="decimal"/>
      <w:lvlText w:val="%2."/>
      <w:lvlJc w:val="left"/>
      <w:pPr>
        <w:tabs>
          <w:tab w:val="num" w:pos="1440"/>
        </w:tabs>
        <w:ind w:left="1440" w:hanging="360"/>
      </w:pPr>
    </w:lvl>
    <w:lvl w:ilvl="2" w:tplc="48903370">
      <w:start w:val="1"/>
      <w:numFmt w:val="lowerLetter"/>
      <w:lvlText w:val="%3."/>
      <w:lvlJc w:val="left"/>
      <w:pPr>
        <w:tabs>
          <w:tab w:val="num" w:pos="2160"/>
        </w:tabs>
        <w:ind w:left="2160" w:hanging="360"/>
      </w:pPr>
    </w:lvl>
    <w:lvl w:ilvl="3" w:tplc="B1023410" w:tentative="1">
      <w:start w:val="1"/>
      <w:numFmt w:val="decimal"/>
      <w:lvlText w:val="%4."/>
      <w:lvlJc w:val="left"/>
      <w:pPr>
        <w:tabs>
          <w:tab w:val="num" w:pos="2880"/>
        </w:tabs>
        <w:ind w:left="2880" w:hanging="360"/>
      </w:pPr>
    </w:lvl>
    <w:lvl w:ilvl="4" w:tplc="9EBE76E4" w:tentative="1">
      <w:start w:val="1"/>
      <w:numFmt w:val="decimal"/>
      <w:lvlText w:val="%5."/>
      <w:lvlJc w:val="left"/>
      <w:pPr>
        <w:tabs>
          <w:tab w:val="num" w:pos="3600"/>
        </w:tabs>
        <w:ind w:left="3600" w:hanging="360"/>
      </w:pPr>
    </w:lvl>
    <w:lvl w:ilvl="5" w:tplc="6FB86B56" w:tentative="1">
      <w:start w:val="1"/>
      <w:numFmt w:val="decimal"/>
      <w:lvlText w:val="%6."/>
      <w:lvlJc w:val="left"/>
      <w:pPr>
        <w:tabs>
          <w:tab w:val="num" w:pos="4320"/>
        </w:tabs>
        <w:ind w:left="4320" w:hanging="360"/>
      </w:pPr>
    </w:lvl>
    <w:lvl w:ilvl="6" w:tplc="30D02A20" w:tentative="1">
      <w:start w:val="1"/>
      <w:numFmt w:val="decimal"/>
      <w:lvlText w:val="%7."/>
      <w:lvlJc w:val="left"/>
      <w:pPr>
        <w:tabs>
          <w:tab w:val="num" w:pos="5040"/>
        </w:tabs>
        <w:ind w:left="5040" w:hanging="360"/>
      </w:pPr>
    </w:lvl>
    <w:lvl w:ilvl="7" w:tplc="73F4EA68" w:tentative="1">
      <w:start w:val="1"/>
      <w:numFmt w:val="decimal"/>
      <w:lvlText w:val="%8."/>
      <w:lvlJc w:val="left"/>
      <w:pPr>
        <w:tabs>
          <w:tab w:val="num" w:pos="5760"/>
        </w:tabs>
        <w:ind w:left="5760" w:hanging="360"/>
      </w:pPr>
    </w:lvl>
    <w:lvl w:ilvl="8" w:tplc="2AA674D6" w:tentative="1">
      <w:start w:val="1"/>
      <w:numFmt w:val="decimal"/>
      <w:lvlText w:val="%9."/>
      <w:lvlJc w:val="left"/>
      <w:pPr>
        <w:tabs>
          <w:tab w:val="num" w:pos="6480"/>
        </w:tabs>
        <w:ind w:left="6480" w:hanging="360"/>
      </w:pPr>
    </w:lvl>
  </w:abstractNum>
  <w:abstractNum w:abstractNumId="67" w15:restartNumberingAfterBreak="0">
    <w:nsid w:val="54FB75F1"/>
    <w:multiLevelType w:val="hybridMultilevel"/>
    <w:tmpl w:val="E3F2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D555264"/>
    <w:multiLevelType w:val="hybridMultilevel"/>
    <w:tmpl w:val="10FE5D5A"/>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DFD6BDE"/>
    <w:multiLevelType w:val="hybridMultilevel"/>
    <w:tmpl w:val="FEEE8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F2E2743"/>
    <w:multiLevelType w:val="hybridMultilevel"/>
    <w:tmpl w:val="CB7CEF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1" w15:restartNumberingAfterBreak="0">
    <w:nsid w:val="5FD23B93"/>
    <w:multiLevelType w:val="hybridMultilevel"/>
    <w:tmpl w:val="920A2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1F464A"/>
    <w:multiLevelType w:val="hybridMultilevel"/>
    <w:tmpl w:val="63263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0DB70AC"/>
    <w:multiLevelType w:val="hybridMultilevel"/>
    <w:tmpl w:val="9E943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0EA4D45"/>
    <w:multiLevelType w:val="hybridMultilevel"/>
    <w:tmpl w:val="10784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2261650"/>
    <w:multiLevelType w:val="hybridMultilevel"/>
    <w:tmpl w:val="65D2B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24F3680"/>
    <w:multiLevelType w:val="hybridMultilevel"/>
    <w:tmpl w:val="F8ACA5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2663D26"/>
    <w:multiLevelType w:val="hybridMultilevel"/>
    <w:tmpl w:val="52DE6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45679CF"/>
    <w:multiLevelType w:val="hybridMultilevel"/>
    <w:tmpl w:val="A90015BC"/>
    <w:lvl w:ilvl="0" w:tplc="B272507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46D6B50"/>
    <w:multiLevelType w:val="hybridMultilevel"/>
    <w:tmpl w:val="3F366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57A513A"/>
    <w:multiLevelType w:val="hybridMultilevel"/>
    <w:tmpl w:val="A4B6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5F122CF"/>
    <w:multiLevelType w:val="hybridMultilevel"/>
    <w:tmpl w:val="18049D34"/>
    <w:lvl w:ilvl="0" w:tplc="738EA4F8">
      <w:start w:val="1"/>
      <w:numFmt w:val="bullet"/>
      <w:lvlText w:val="o"/>
      <w:lvlJc w:val="left"/>
      <w:pPr>
        <w:tabs>
          <w:tab w:val="num" w:pos="720"/>
        </w:tabs>
        <w:ind w:left="720" w:hanging="360"/>
      </w:pPr>
      <w:rPr>
        <w:rFonts w:ascii="Courier New" w:hAnsi="Courier New" w:hint="default"/>
      </w:rPr>
    </w:lvl>
    <w:lvl w:ilvl="1" w:tplc="4E3250FE" w:tentative="1">
      <w:start w:val="1"/>
      <w:numFmt w:val="bullet"/>
      <w:lvlText w:val="o"/>
      <w:lvlJc w:val="left"/>
      <w:pPr>
        <w:tabs>
          <w:tab w:val="num" w:pos="1440"/>
        </w:tabs>
        <w:ind w:left="1440" w:hanging="360"/>
      </w:pPr>
      <w:rPr>
        <w:rFonts w:ascii="Courier New" w:hAnsi="Courier New" w:hint="default"/>
      </w:rPr>
    </w:lvl>
    <w:lvl w:ilvl="2" w:tplc="8A987F68" w:tentative="1">
      <w:start w:val="1"/>
      <w:numFmt w:val="bullet"/>
      <w:lvlText w:val="o"/>
      <w:lvlJc w:val="left"/>
      <w:pPr>
        <w:tabs>
          <w:tab w:val="num" w:pos="2160"/>
        </w:tabs>
        <w:ind w:left="2160" w:hanging="360"/>
      </w:pPr>
      <w:rPr>
        <w:rFonts w:ascii="Courier New" w:hAnsi="Courier New" w:hint="default"/>
      </w:rPr>
    </w:lvl>
    <w:lvl w:ilvl="3" w:tplc="2A3C89F0" w:tentative="1">
      <w:start w:val="1"/>
      <w:numFmt w:val="bullet"/>
      <w:lvlText w:val="o"/>
      <w:lvlJc w:val="left"/>
      <w:pPr>
        <w:tabs>
          <w:tab w:val="num" w:pos="2880"/>
        </w:tabs>
        <w:ind w:left="2880" w:hanging="360"/>
      </w:pPr>
      <w:rPr>
        <w:rFonts w:ascii="Courier New" w:hAnsi="Courier New" w:hint="default"/>
      </w:rPr>
    </w:lvl>
    <w:lvl w:ilvl="4" w:tplc="5DBC664C" w:tentative="1">
      <w:start w:val="1"/>
      <w:numFmt w:val="bullet"/>
      <w:lvlText w:val="o"/>
      <w:lvlJc w:val="left"/>
      <w:pPr>
        <w:tabs>
          <w:tab w:val="num" w:pos="3600"/>
        </w:tabs>
        <w:ind w:left="3600" w:hanging="360"/>
      </w:pPr>
      <w:rPr>
        <w:rFonts w:ascii="Courier New" w:hAnsi="Courier New" w:hint="default"/>
      </w:rPr>
    </w:lvl>
    <w:lvl w:ilvl="5" w:tplc="F8346780" w:tentative="1">
      <w:start w:val="1"/>
      <w:numFmt w:val="bullet"/>
      <w:lvlText w:val="o"/>
      <w:lvlJc w:val="left"/>
      <w:pPr>
        <w:tabs>
          <w:tab w:val="num" w:pos="4320"/>
        </w:tabs>
        <w:ind w:left="4320" w:hanging="360"/>
      </w:pPr>
      <w:rPr>
        <w:rFonts w:ascii="Courier New" w:hAnsi="Courier New" w:hint="default"/>
      </w:rPr>
    </w:lvl>
    <w:lvl w:ilvl="6" w:tplc="1F8A5080" w:tentative="1">
      <w:start w:val="1"/>
      <w:numFmt w:val="bullet"/>
      <w:lvlText w:val="o"/>
      <w:lvlJc w:val="left"/>
      <w:pPr>
        <w:tabs>
          <w:tab w:val="num" w:pos="5040"/>
        </w:tabs>
        <w:ind w:left="5040" w:hanging="360"/>
      </w:pPr>
      <w:rPr>
        <w:rFonts w:ascii="Courier New" w:hAnsi="Courier New" w:hint="default"/>
      </w:rPr>
    </w:lvl>
    <w:lvl w:ilvl="7" w:tplc="C52E1C6C" w:tentative="1">
      <w:start w:val="1"/>
      <w:numFmt w:val="bullet"/>
      <w:lvlText w:val="o"/>
      <w:lvlJc w:val="left"/>
      <w:pPr>
        <w:tabs>
          <w:tab w:val="num" w:pos="5760"/>
        </w:tabs>
        <w:ind w:left="5760" w:hanging="360"/>
      </w:pPr>
      <w:rPr>
        <w:rFonts w:ascii="Courier New" w:hAnsi="Courier New" w:hint="default"/>
      </w:rPr>
    </w:lvl>
    <w:lvl w:ilvl="8" w:tplc="C444EEDA" w:tentative="1">
      <w:start w:val="1"/>
      <w:numFmt w:val="bullet"/>
      <w:lvlText w:val="o"/>
      <w:lvlJc w:val="left"/>
      <w:pPr>
        <w:tabs>
          <w:tab w:val="num" w:pos="6480"/>
        </w:tabs>
        <w:ind w:left="6480" w:hanging="360"/>
      </w:pPr>
      <w:rPr>
        <w:rFonts w:ascii="Courier New" w:hAnsi="Courier New" w:hint="default"/>
      </w:rPr>
    </w:lvl>
  </w:abstractNum>
  <w:abstractNum w:abstractNumId="82" w15:restartNumberingAfterBreak="0">
    <w:nsid w:val="662E32A3"/>
    <w:multiLevelType w:val="hybridMultilevel"/>
    <w:tmpl w:val="C45A5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6D7151C"/>
    <w:multiLevelType w:val="hybridMultilevel"/>
    <w:tmpl w:val="78E6AC84"/>
    <w:lvl w:ilvl="0" w:tplc="A9D6096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8BD70CA"/>
    <w:multiLevelType w:val="hybridMultilevel"/>
    <w:tmpl w:val="6D326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9D55141"/>
    <w:multiLevelType w:val="hybridMultilevel"/>
    <w:tmpl w:val="FAC87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AA17930"/>
    <w:multiLevelType w:val="hybridMultilevel"/>
    <w:tmpl w:val="08781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CF662E1"/>
    <w:multiLevelType w:val="hybridMultilevel"/>
    <w:tmpl w:val="EEA4A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3676A202">
      <w:start w:val="2"/>
      <w:numFmt w:val="bullet"/>
      <w:lvlText w:val="-"/>
      <w:lvlJc w:val="left"/>
      <w:pPr>
        <w:ind w:left="2880" w:hanging="360"/>
      </w:pPr>
      <w:rPr>
        <w:rFonts w:ascii="Arial" w:eastAsia="Times New Roman"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D3D0EFD"/>
    <w:multiLevelType w:val="hybridMultilevel"/>
    <w:tmpl w:val="89305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E586A04"/>
    <w:multiLevelType w:val="hybridMultilevel"/>
    <w:tmpl w:val="2C68F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EEF27FD"/>
    <w:multiLevelType w:val="hybridMultilevel"/>
    <w:tmpl w:val="BA70E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27D6BE7"/>
    <w:multiLevelType w:val="hybridMultilevel"/>
    <w:tmpl w:val="7160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7BD5433"/>
    <w:multiLevelType w:val="hybridMultilevel"/>
    <w:tmpl w:val="D3920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DCD655D"/>
    <w:multiLevelType w:val="hybridMultilevel"/>
    <w:tmpl w:val="78E6AC84"/>
    <w:lvl w:ilvl="0" w:tplc="A9D6096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F096187"/>
    <w:multiLevelType w:val="hybridMultilevel"/>
    <w:tmpl w:val="6C102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6"/>
  </w:num>
  <w:num w:numId="2">
    <w:abstractNumId w:val="15"/>
  </w:num>
  <w:num w:numId="3">
    <w:abstractNumId w:val="16"/>
  </w:num>
  <w:num w:numId="4">
    <w:abstractNumId w:val="48"/>
  </w:num>
  <w:num w:numId="5">
    <w:abstractNumId w:val="33"/>
  </w:num>
  <w:num w:numId="6">
    <w:abstractNumId w:val="35"/>
  </w:num>
  <w:num w:numId="7">
    <w:abstractNumId w:val="29"/>
  </w:num>
  <w:num w:numId="8">
    <w:abstractNumId w:val="8"/>
  </w:num>
  <w:num w:numId="9">
    <w:abstractNumId w:val="93"/>
  </w:num>
  <w:num w:numId="10">
    <w:abstractNumId w:val="21"/>
  </w:num>
  <w:num w:numId="11">
    <w:abstractNumId w:val="37"/>
  </w:num>
  <w:num w:numId="12">
    <w:abstractNumId w:val="22"/>
  </w:num>
  <w:num w:numId="13">
    <w:abstractNumId w:val="12"/>
  </w:num>
  <w:num w:numId="14">
    <w:abstractNumId w:val="68"/>
  </w:num>
  <w:num w:numId="15">
    <w:abstractNumId w:val="20"/>
  </w:num>
  <w:num w:numId="16">
    <w:abstractNumId w:val="73"/>
  </w:num>
  <w:num w:numId="17">
    <w:abstractNumId w:val="26"/>
  </w:num>
  <w:num w:numId="18">
    <w:abstractNumId w:val="14"/>
  </w:num>
  <w:num w:numId="19">
    <w:abstractNumId w:val="31"/>
  </w:num>
  <w:num w:numId="20">
    <w:abstractNumId w:val="89"/>
  </w:num>
  <w:num w:numId="21">
    <w:abstractNumId w:val="87"/>
  </w:num>
  <w:num w:numId="22">
    <w:abstractNumId w:val="47"/>
  </w:num>
  <w:num w:numId="23">
    <w:abstractNumId w:val="79"/>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9"/>
  </w:num>
  <w:num w:numId="27">
    <w:abstractNumId w:val="45"/>
  </w:num>
  <w:num w:numId="28">
    <w:abstractNumId w:val="81"/>
  </w:num>
  <w:num w:numId="29">
    <w:abstractNumId w:val="7"/>
  </w:num>
  <w:num w:numId="30">
    <w:abstractNumId w:val="43"/>
  </w:num>
  <w:num w:numId="31">
    <w:abstractNumId w:val="40"/>
  </w:num>
  <w:num w:numId="32">
    <w:abstractNumId w:val="50"/>
  </w:num>
  <w:num w:numId="33">
    <w:abstractNumId w:val="82"/>
  </w:num>
  <w:num w:numId="34">
    <w:abstractNumId w:val="36"/>
  </w:num>
  <w:num w:numId="35">
    <w:abstractNumId w:val="88"/>
  </w:num>
  <w:num w:numId="36">
    <w:abstractNumId w:val="64"/>
  </w:num>
  <w:num w:numId="37">
    <w:abstractNumId w:val="4"/>
  </w:num>
  <w:num w:numId="38">
    <w:abstractNumId w:val="80"/>
  </w:num>
  <w:num w:numId="39">
    <w:abstractNumId w:val="52"/>
  </w:num>
  <w:num w:numId="40">
    <w:abstractNumId w:val="76"/>
  </w:num>
  <w:num w:numId="41">
    <w:abstractNumId w:val="0"/>
  </w:num>
  <w:num w:numId="42">
    <w:abstractNumId w:val="34"/>
  </w:num>
  <w:num w:numId="43">
    <w:abstractNumId w:val="67"/>
  </w:num>
  <w:num w:numId="44">
    <w:abstractNumId w:val="69"/>
  </w:num>
  <w:num w:numId="45">
    <w:abstractNumId w:val="13"/>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66"/>
  </w:num>
  <w:num w:numId="49">
    <w:abstractNumId w:val="54"/>
  </w:num>
  <w:num w:numId="50">
    <w:abstractNumId w:val="24"/>
  </w:num>
  <w:num w:numId="51">
    <w:abstractNumId w:val="94"/>
  </w:num>
  <w:num w:numId="52">
    <w:abstractNumId w:val="1"/>
  </w:num>
  <w:num w:numId="53">
    <w:abstractNumId w:val="90"/>
  </w:num>
  <w:num w:numId="54">
    <w:abstractNumId w:val="77"/>
  </w:num>
  <w:num w:numId="55">
    <w:abstractNumId w:val="63"/>
  </w:num>
  <w:num w:numId="56">
    <w:abstractNumId w:val="70"/>
  </w:num>
  <w:num w:numId="57">
    <w:abstractNumId w:val="2"/>
  </w:num>
  <w:num w:numId="58">
    <w:abstractNumId w:val="78"/>
  </w:num>
  <w:num w:numId="59">
    <w:abstractNumId w:val="51"/>
  </w:num>
  <w:num w:numId="60">
    <w:abstractNumId w:val="10"/>
  </w:num>
  <w:num w:numId="61">
    <w:abstractNumId w:val="92"/>
  </w:num>
  <w:num w:numId="62">
    <w:abstractNumId w:val="72"/>
  </w:num>
  <w:num w:numId="63">
    <w:abstractNumId w:val="57"/>
  </w:num>
  <w:num w:numId="64">
    <w:abstractNumId w:val="61"/>
  </w:num>
  <w:num w:numId="65">
    <w:abstractNumId w:val="25"/>
  </w:num>
  <w:num w:numId="66">
    <w:abstractNumId w:val="17"/>
  </w:num>
  <w:num w:numId="67">
    <w:abstractNumId w:val="5"/>
  </w:num>
  <w:num w:numId="68">
    <w:abstractNumId w:val="59"/>
  </w:num>
  <w:num w:numId="69">
    <w:abstractNumId w:val="84"/>
  </w:num>
  <w:num w:numId="70">
    <w:abstractNumId w:val="85"/>
  </w:num>
  <w:num w:numId="71">
    <w:abstractNumId w:val="75"/>
  </w:num>
  <w:num w:numId="72">
    <w:abstractNumId w:val="3"/>
  </w:num>
  <w:num w:numId="73">
    <w:abstractNumId w:val="83"/>
  </w:num>
  <w:num w:numId="74">
    <w:abstractNumId w:val="49"/>
  </w:num>
  <w:num w:numId="75">
    <w:abstractNumId w:val="91"/>
  </w:num>
  <w:num w:numId="76">
    <w:abstractNumId w:val="11"/>
  </w:num>
  <w:num w:numId="77">
    <w:abstractNumId w:val="32"/>
  </w:num>
  <w:num w:numId="78">
    <w:abstractNumId w:val="71"/>
  </w:num>
  <w:num w:numId="79">
    <w:abstractNumId w:val="86"/>
  </w:num>
  <w:num w:numId="80">
    <w:abstractNumId w:val="60"/>
  </w:num>
  <w:num w:numId="81">
    <w:abstractNumId w:val="41"/>
  </w:num>
  <w:num w:numId="82">
    <w:abstractNumId w:val="19"/>
  </w:num>
  <w:num w:numId="83">
    <w:abstractNumId w:val="6"/>
  </w:num>
  <w:num w:numId="84">
    <w:abstractNumId w:val="27"/>
  </w:num>
  <w:num w:numId="85">
    <w:abstractNumId w:val="30"/>
  </w:num>
  <w:num w:numId="86">
    <w:abstractNumId w:val="58"/>
  </w:num>
  <w:num w:numId="87">
    <w:abstractNumId w:val="39"/>
  </w:num>
  <w:num w:numId="88">
    <w:abstractNumId w:val="44"/>
  </w:num>
  <w:num w:numId="89">
    <w:abstractNumId w:val="53"/>
  </w:num>
  <w:num w:numId="90">
    <w:abstractNumId w:val="38"/>
  </w:num>
  <w:num w:numId="91">
    <w:abstractNumId w:val="55"/>
  </w:num>
  <w:num w:numId="92">
    <w:abstractNumId w:val="74"/>
  </w:num>
  <w:num w:numId="93">
    <w:abstractNumId w:val="23"/>
  </w:num>
  <w:num w:numId="94">
    <w:abstractNumId w:val="62"/>
  </w:num>
  <w:num w:numId="95">
    <w:abstractNumId w:val="56"/>
  </w:num>
  <w:num w:numId="96">
    <w:abstractNumId w:val="65"/>
  </w:num>
  <w:num w:numId="97">
    <w:abstractNumId w:val="4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757"/>
    <w:rsid w:val="00001A12"/>
    <w:rsid w:val="00002BFF"/>
    <w:rsid w:val="00007725"/>
    <w:rsid w:val="00007C30"/>
    <w:rsid w:val="00010541"/>
    <w:rsid w:val="00010744"/>
    <w:rsid w:val="000109AE"/>
    <w:rsid w:val="00010FE5"/>
    <w:rsid w:val="00011856"/>
    <w:rsid w:val="00013231"/>
    <w:rsid w:val="00013BDA"/>
    <w:rsid w:val="00013FFE"/>
    <w:rsid w:val="000157F9"/>
    <w:rsid w:val="00016ACD"/>
    <w:rsid w:val="0001718D"/>
    <w:rsid w:val="00021116"/>
    <w:rsid w:val="000222C1"/>
    <w:rsid w:val="0002316D"/>
    <w:rsid w:val="00023D0C"/>
    <w:rsid w:val="000245F7"/>
    <w:rsid w:val="00024FEB"/>
    <w:rsid w:val="000253AB"/>
    <w:rsid w:val="00025E73"/>
    <w:rsid w:val="0002617B"/>
    <w:rsid w:val="00026BD9"/>
    <w:rsid w:val="000275F0"/>
    <w:rsid w:val="00031C0C"/>
    <w:rsid w:val="00032256"/>
    <w:rsid w:val="00032A54"/>
    <w:rsid w:val="00033E14"/>
    <w:rsid w:val="00034510"/>
    <w:rsid w:val="00035ABC"/>
    <w:rsid w:val="00035B5E"/>
    <w:rsid w:val="00040093"/>
    <w:rsid w:val="000407DB"/>
    <w:rsid w:val="000409BD"/>
    <w:rsid w:val="00041DBE"/>
    <w:rsid w:val="000426E6"/>
    <w:rsid w:val="000427D4"/>
    <w:rsid w:val="0004343E"/>
    <w:rsid w:val="00045431"/>
    <w:rsid w:val="0004676E"/>
    <w:rsid w:val="000477EB"/>
    <w:rsid w:val="00050476"/>
    <w:rsid w:val="00052075"/>
    <w:rsid w:val="00052E45"/>
    <w:rsid w:val="00053BD2"/>
    <w:rsid w:val="000559B2"/>
    <w:rsid w:val="000561FE"/>
    <w:rsid w:val="00056EC0"/>
    <w:rsid w:val="00057127"/>
    <w:rsid w:val="000575D0"/>
    <w:rsid w:val="00057989"/>
    <w:rsid w:val="00057D86"/>
    <w:rsid w:val="00057FCB"/>
    <w:rsid w:val="000605F9"/>
    <w:rsid w:val="000644F2"/>
    <w:rsid w:val="00064586"/>
    <w:rsid w:val="00064B2F"/>
    <w:rsid w:val="00064CE0"/>
    <w:rsid w:val="00066D79"/>
    <w:rsid w:val="00067CCB"/>
    <w:rsid w:val="00071942"/>
    <w:rsid w:val="0007262C"/>
    <w:rsid w:val="00072E26"/>
    <w:rsid w:val="000730A8"/>
    <w:rsid w:val="0007385F"/>
    <w:rsid w:val="00073992"/>
    <w:rsid w:val="00073CAC"/>
    <w:rsid w:val="0007447D"/>
    <w:rsid w:val="00074DC1"/>
    <w:rsid w:val="000755E5"/>
    <w:rsid w:val="00076549"/>
    <w:rsid w:val="00076AB4"/>
    <w:rsid w:val="00077F0B"/>
    <w:rsid w:val="00077FAC"/>
    <w:rsid w:val="000809B8"/>
    <w:rsid w:val="000837A7"/>
    <w:rsid w:val="00083B73"/>
    <w:rsid w:val="000848AD"/>
    <w:rsid w:val="00084FF5"/>
    <w:rsid w:val="0008558D"/>
    <w:rsid w:val="00086A35"/>
    <w:rsid w:val="00086C5A"/>
    <w:rsid w:val="000874B8"/>
    <w:rsid w:val="000879D8"/>
    <w:rsid w:val="000904DC"/>
    <w:rsid w:val="00090832"/>
    <w:rsid w:val="000922F6"/>
    <w:rsid w:val="000928BA"/>
    <w:rsid w:val="00092C4E"/>
    <w:rsid w:val="000946B6"/>
    <w:rsid w:val="000947F7"/>
    <w:rsid w:val="00094F14"/>
    <w:rsid w:val="000959CF"/>
    <w:rsid w:val="00095E9B"/>
    <w:rsid w:val="000966DC"/>
    <w:rsid w:val="000972A9"/>
    <w:rsid w:val="0009749A"/>
    <w:rsid w:val="000A03B3"/>
    <w:rsid w:val="000A3493"/>
    <w:rsid w:val="000A3784"/>
    <w:rsid w:val="000A38CE"/>
    <w:rsid w:val="000A3F3A"/>
    <w:rsid w:val="000A5A7E"/>
    <w:rsid w:val="000A5B8D"/>
    <w:rsid w:val="000B02D9"/>
    <w:rsid w:val="000B2D1E"/>
    <w:rsid w:val="000B39FA"/>
    <w:rsid w:val="000B3A59"/>
    <w:rsid w:val="000B43D6"/>
    <w:rsid w:val="000B45D3"/>
    <w:rsid w:val="000B68EC"/>
    <w:rsid w:val="000B6D4F"/>
    <w:rsid w:val="000C0224"/>
    <w:rsid w:val="000C20F4"/>
    <w:rsid w:val="000C25BF"/>
    <w:rsid w:val="000C2CB0"/>
    <w:rsid w:val="000C4628"/>
    <w:rsid w:val="000C61DF"/>
    <w:rsid w:val="000C6D87"/>
    <w:rsid w:val="000D1193"/>
    <w:rsid w:val="000D365E"/>
    <w:rsid w:val="000D3A30"/>
    <w:rsid w:val="000D453C"/>
    <w:rsid w:val="000D520A"/>
    <w:rsid w:val="000D54AD"/>
    <w:rsid w:val="000D6A12"/>
    <w:rsid w:val="000D7073"/>
    <w:rsid w:val="000D7847"/>
    <w:rsid w:val="000D7F55"/>
    <w:rsid w:val="000E00B2"/>
    <w:rsid w:val="000E0D71"/>
    <w:rsid w:val="000E0FEF"/>
    <w:rsid w:val="000E2057"/>
    <w:rsid w:val="000E2207"/>
    <w:rsid w:val="000E25F2"/>
    <w:rsid w:val="000E2945"/>
    <w:rsid w:val="000E3615"/>
    <w:rsid w:val="000E4C23"/>
    <w:rsid w:val="000E55A8"/>
    <w:rsid w:val="000E5A68"/>
    <w:rsid w:val="000F0B62"/>
    <w:rsid w:val="000F20A3"/>
    <w:rsid w:val="000F2625"/>
    <w:rsid w:val="000F3294"/>
    <w:rsid w:val="000F51B9"/>
    <w:rsid w:val="000F7A22"/>
    <w:rsid w:val="0010095E"/>
    <w:rsid w:val="001023C2"/>
    <w:rsid w:val="00102771"/>
    <w:rsid w:val="00102D8C"/>
    <w:rsid w:val="001039DD"/>
    <w:rsid w:val="001040FD"/>
    <w:rsid w:val="00104A39"/>
    <w:rsid w:val="001070A8"/>
    <w:rsid w:val="001076C3"/>
    <w:rsid w:val="00110120"/>
    <w:rsid w:val="00110EF9"/>
    <w:rsid w:val="00111AA5"/>
    <w:rsid w:val="001127B8"/>
    <w:rsid w:val="00113642"/>
    <w:rsid w:val="00113E9C"/>
    <w:rsid w:val="00114524"/>
    <w:rsid w:val="00116031"/>
    <w:rsid w:val="001167D5"/>
    <w:rsid w:val="00117136"/>
    <w:rsid w:val="00117229"/>
    <w:rsid w:val="001177E8"/>
    <w:rsid w:val="00117F87"/>
    <w:rsid w:val="00117FF8"/>
    <w:rsid w:val="001202B7"/>
    <w:rsid w:val="00122092"/>
    <w:rsid w:val="00122CD3"/>
    <w:rsid w:val="00123751"/>
    <w:rsid w:val="00124456"/>
    <w:rsid w:val="00125A32"/>
    <w:rsid w:val="0012600B"/>
    <w:rsid w:val="00127E6A"/>
    <w:rsid w:val="00130123"/>
    <w:rsid w:val="0013028F"/>
    <w:rsid w:val="00131F07"/>
    <w:rsid w:val="001326E6"/>
    <w:rsid w:val="00132BD9"/>
    <w:rsid w:val="001331E9"/>
    <w:rsid w:val="00134FC4"/>
    <w:rsid w:val="00135CDE"/>
    <w:rsid w:val="00135F8D"/>
    <w:rsid w:val="00136C06"/>
    <w:rsid w:val="00136E84"/>
    <w:rsid w:val="00137683"/>
    <w:rsid w:val="00137A84"/>
    <w:rsid w:val="001400AE"/>
    <w:rsid w:val="00140F43"/>
    <w:rsid w:val="001412F5"/>
    <w:rsid w:val="00141388"/>
    <w:rsid w:val="00142399"/>
    <w:rsid w:val="00144BEC"/>
    <w:rsid w:val="00146A54"/>
    <w:rsid w:val="0014776F"/>
    <w:rsid w:val="001503E3"/>
    <w:rsid w:val="001513FB"/>
    <w:rsid w:val="001518C3"/>
    <w:rsid w:val="001523B0"/>
    <w:rsid w:val="0015329B"/>
    <w:rsid w:val="00154839"/>
    <w:rsid w:val="0015628F"/>
    <w:rsid w:val="001563C6"/>
    <w:rsid w:val="001564FF"/>
    <w:rsid w:val="00156E54"/>
    <w:rsid w:val="00157E86"/>
    <w:rsid w:val="00161529"/>
    <w:rsid w:val="001616F3"/>
    <w:rsid w:val="00161BC3"/>
    <w:rsid w:val="00161E69"/>
    <w:rsid w:val="00163F7B"/>
    <w:rsid w:val="00164CA5"/>
    <w:rsid w:val="00166F36"/>
    <w:rsid w:val="001706DF"/>
    <w:rsid w:val="001714B8"/>
    <w:rsid w:val="00173661"/>
    <w:rsid w:val="00173FA8"/>
    <w:rsid w:val="001744D2"/>
    <w:rsid w:val="00176086"/>
    <w:rsid w:val="0017633B"/>
    <w:rsid w:val="001763D3"/>
    <w:rsid w:val="00177191"/>
    <w:rsid w:val="001779AE"/>
    <w:rsid w:val="001779D5"/>
    <w:rsid w:val="001806B8"/>
    <w:rsid w:val="00180989"/>
    <w:rsid w:val="001809A7"/>
    <w:rsid w:val="00180CC1"/>
    <w:rsid w:val="00181744"/>
    <w:rsid w:val="00181A55"/>
    <w:rsid w:val="00182708"/>
    <w:rsid w:val="00182AA7"/>
    <w:rsid w:val="00182DE1"/>
    <w:rsid w:val="0018310B"/>
    <w:rsid w:val="001839BE"/>
    <w:rsid w:val="001840C7"/>
    <w:rsid w:val="001842E3"/>
    <w:rsid w:val="00184B08"/>
    <w:rsid w:val="00185D90"/>
    <w:rsid w:val="00185DE1"/>
    <w:rsid w:val="00185F32"/>
    <w:rsid w:val="00186218"/>
    <w:rsid w:val="00190153"/>
    <w:rsid w:val="00190AA0"/>
    <w:rsid w:val="00190D7A"/>
    <w:rsid w:val="00190FF9"/>
    <w:rsid w:val="00192670"/>
    <w:rsid w:val="001927AB"/>
    <w:rsid w:val="0019320C"/>
    <w:rsid w:val="001940EB"/>
    <w:rsid w:val="00194C72"/>
    <w:rsid w:val="0019505F"/>
    <w:rsid w:val="00195459"/>
    <w:rsid w:val="00195704"/>
    <w:rsid w:val="00195E34"/>
    <w:rsid w:val="00196059"/>
    <w:rsid w:val="00196112"/>
    <w:rsid w:val="0019767D"/>
    <w:rsid w:val="001A224B"/>
    <w:rsid w:val="001A3F0C"/>
    <w:rsid w:val="001A44C5"/>
    <w:rsid w:val="001A5D37"/>
    <w:rsid w:val="001A61DC"/>
    <w:rsid w:val="001A6E92"/>
    <w:rsid w:val="001B2136"/>
    <w:rsid w:val="001B3999"/>
    <w:rsid w:val="001B3C39"/>
    <w:rsid w:val="001B5456"/>
    <w:rsid w:val="001B7580"/>
    <w:rsid w:val="001C0011"/>
    <w:rsid w:val="001C0106"/>
    <w:rsid w:val="001C0699"/>
    <w:rsid w:val="001C0F93"/>
    <w:rsid w:val="001C1CDC"/>
    <w:rsid w:val="001C336F"/>
    <w:rsid w:val="001C3DE3"/>
    <w:rsid w:val="001C4B46"/>
    <w:rsid w:val="001C5BA2"/>
    <w:rsid w:val="001C6C48"/>
    <w:rsid w:val="001D04E6"/>
    <w:rsid w:val="001D06CD"/>
    <w:rsid w:val="001D0F32"/>
    <w:rsid w:val="001D0F35"/>
    <w:rsid w:val="001D16C0"/>
    <w:rsid w:val="001D1F63"/>
    <w:rsid w:val="001D2183"/>
    <w:rsid w:val="001D2526"/>
    <w:rsid w:val="001D2723"/>
    <w:rsid w:val="001D3636"/>
    <w:rsid w:val="001D3B84"/>
    <w:rsid w:val="001D3D85"/>
    <w:rsid w:val="001D4B4F"/>
    <w:rsid w:val="001D4FF7"/>
    <w:rsid w:val="001D539B"/>
    <w:rsid w:val="001D5EE0"/>
    <w:rsid w:val="001E2230"/>
    <w:rsid w:val="001E31E0"/>
    <w:rsid w:val="001E3240"/>
    <w:rsid w:val="001E44F0"/>
    <w:rsid w:val="001E5297"/>
    <w:rsid w:val="001E6048"/>
    <w:rsid w:val="001E686F"/>
    <w:rsid w:val="001E69E4"/>
    <w:rsid w:val="001E7C8C"/>
    <w:rsid w:val="001F04C4"/>
    <w:rsid w:val="001F20E8"/>
    <w:rsid w:val="001F3A09"/>
    <w:rsid w:val="001F4D0B"/>
    <w:rsid w:val="001F576C"/>
    <w:rsid w:val="001F730E"/>
    <w:rsid w:val="0020306B"/>
    <w:rsid w:val="00203085"/>
    <w:rsid w:val="00203F32"/>
    <w:rsid w:val="0020410C"/>
    <w:rsid w:val="00204BA0"/>
    <w:rsid w:val="002061C5"/>
    <w:rsid w:val="002076B5"/>
    <w:rsid w:val="0021051C"/>
    <w:rsid w:val="00210591"/>
    <w:rsid w:val="002112D5"/>
    <w:rsid w:val="00211361"/>
    <w:rsid w:val="002115BE"/>
    <w:rsid w:val="0021166E"/>
    <w:rsid w:val="002118E3"/>
    <w:rsid w:val="002119F9"/>
    <w:rsid w:val="00212763"/>
    <w:rsid w:val="00212772"/>
    <w:rsid w:val="00212F64"/>
    <w:rsid w:val="00214312"/>
    <w:rsid w:val="00214BB8"/>
    <w:rsid w:val="002154EB"/>
    <w:rsid w:val="00216910"/>
    <w:rsid w:val="00217780"/>
    <w:rsid w:val="002179A1"/>
    <w:rsid w:val="00217DE6"/>
    <w:rsid w:val="00221820"/>
    <w:rsid w:val="00225B04"/>
    <w:rsid w:val="00226EE1"/>
    <w:rsid w:val="002274F7"/>
    <w:rsid w:val="00230217"/>
    <w:rsid w:val="00230816"/>
    <w:rsid w:val="002325B0"/>
    <w:rsid w:val="00233591"/>
    <w:rsid w:val="0023376C"/>
    <w:rsid w:val="00233A3E"/>
    <w:rsid w:val="00233FD1"/>
    <w:rsid w:val="00234E8D"/>
    <w:rsid w:val="00236875"/>
    <w:rsid w:val="00240195"/>
    <w:rsid w:val="002422FF"/>
    <w:rsid w:val="00244626"/>
    <w:rsid w:val="0024490A"/>
    <w:rsid w:val="00245FFD"/>
    <w:rsid w:val="0024622E"/>
    <w:rsid w:val="0024667C"/>
    <w:rsid w:val="00247B57"/>
    <w:rsid w:val="00247DCA"/>
    <w:rsid w:val="0025094E"/>
    <w:rsid w:val="00252CCD"/>
    <w:rsid w:val="00252D53"/>
    <w:rsid w:val="00254446"/>
    <w:rsid w:val="002544A3"/>
    <w:rsid w:val="00255BB6"/>
    <w:rsid w:val="00256787"/>
    <w:rsid w:val="00257039"/>
    <w:rsid w:val="00260768"/>
    <w:rsid w:val="00262338"/>
    <w:rsid w:val="00263755"/>
    <w:rsid w:val="00265B53"/>
    <w:rsid w:val="00266E11"/>
    <w:rsid w:val="00267F14"/>
    <w:rsid w:val="00272030"/>
    <w:rsid w:val="00272111"/>
    <w:rsid w:val="002724E0"/>
    <w:rsid w:val="00272890"/>
    <w:rsid w:val="00272F76"/>
    <w:rsid w:val="002739C0"/>
    <w:rsid w:val="00273E82"/>
    <w:rsid w:val="00274105"/>
    <w:rsid w:val="002744EA"/>
    <w:rsid w:val="00275B75"/>
    <w:rsid w:val="00276016"/>
    <w:rsid w:val="0027617E"/>
    <w:rsid w:val="00276AE5"/>
    <w:rsid w:val="00276B63"/>
    <w:rsid w:val="00277BAC"/>
    <w:rsid w:val="00280770"/>
    <w:rsid w:val="00283A99"/>
    <w:rsid w:val="00285D33"/>
    <w:rsid w:val="00287043"/>
    <w:rsid w:val="00290004"/>
    <w:rsid w:val="002907C2"/>
    <w:rsid w:val="00291C40"/>
    <w:rsid w:val="0029250B"/>
    <w:rsid w:val="0029282B"/>
    <w:rsid w:val="00294214"/>
    <w:rsid w:val="0029515A"/>
    <w:rsid w:val="002951C1"/>
    <w:rsid w:val="0029544E"/>
    <w:rsid w:val="00297144"/>
    <w:rsid w:val="002A012E"/>
    <w:rsid w:val="002A2185"/>
    <w:rsid w:val="002A254B"/>
    <w:rsid w:val="002A2726"/>
    <w:rsid w:val="002A2C8A"/>
    <w:rsid w:val="002A33AB"/>
    <w:rsid w:val="002A4C2F"/>
    <w:rsid w:val="002A69B1"/>
    <w:rsid w:val="002A728C"/>
    <w:rsid w:val="002A760B"/>
    <w:rsid w:val="002B0003"/>
    <w:rsid w:val="002B054B"/>
    <w:rsid w:val="002B1B70"/>
    <w:rsid w:val="002B1E84"/>
    <w:rsid w:val="002B29EB"/>
    <w:rsid w:val="002B359E"/>
    <w:rsid w:val="002B3A85"/>
    <w:rsid w:val="002B643D"/>
    <w:rsid w:val="002B7833"/>
    <w:rsid w:val="002C11F9"/>
    <w:rsid w:val="002C3792"/>
    <w:rsid w:val="002C5474"/>
    <w:rsid w:val="002C68ED"/>
    <w:rsid w:val="002D03E5"/>
    <w:rsid w:val="002D1286"/>
    <w:rsid w:val="002D1530"/>
    <w:rsid w:val="002D313F"/>
    <w:rsid w:val="002D4479"/>
    <w:rsid w:val="002D472C"/>
    <w:rsid w:val="002D632D"/>
    <w:rsid w:val="002D647A"/>
    <w:rsid w:val="002D743A"/>
    <w:rsid w:val="002D747D"/>
    <w:rsid w:val="002D74A6"/>
    <w:rsid w:val="002D7723"/>
    <w:rsid w:val="002E129B"/>
    <w:rsid w:val="002E1446"/>
    <w:rsid w:val="002E3358"/>
    <w:rsid w:val="002E4440"/>
    <w:rsid w:val="002E4C9C"/>
    <w:rsid w:val="002E53FD"/>
    <w:rsid w:val="002E641C"/>
    <w:rsid w:val="002E721D"/>
    <w:rsid w:val="002F03C6"/>
    <w:rsid w:val="002F070F"/>
    <w:rsid w:val="002F07D3"/>
    <w:rsid w:val="002F0833"/>
    <w:rsid w:val="002F2124"/>
    <w:rsid w:val="002F3182"/>
    <w:rsid w:val="002F68B4"/>
    <w:rsid w:val="002F7BF5"/>
    <w:rsid w:val="00300590"/>
    <w:rsid w:val="0030192D"/>
    <w:rsid w:val="00303412"/>
    <w:rsid w:val="00303583"/>
    <w:rsid w:val="003046CE"/>
    <w:rsid w:val="003058AA"/>
    <w:rsid w:val="00305D97"/>
    <w:rsid w:val="0030648E"/>
    <w:rsid w:val="00307913"/>
    <w:rsid w:val="00315029"/>
    <w:rsid w:val="003157E5"/>
    <w:rsid w:val="003209E3"/>
    <w:rsid w:val="003210F5"/>
    <w:rsid w:val="00321B8F"/>
    <w:rsid w:val="00322E2A"/>
    <w:rsid w:val="00323BFA"/>
    <w:rsid w:val="00323C40"/>
    <w:rsid w:val="00325203"/>
    <w:rsid w:val="003253DD"/>
    <w:rsid w:val="0032604E"/>
    <w:rsid w:val="00326CDB"/>
    <w:rsid w:val="00326F13"/>
    <w:rsid w:val="0032703D"/>
    <w:rsid w:val="0033045B"/>
    <w:rsid w:val="00330DF4"/>
    <w:rsid w:val="003319FA"/>
    <w:rsid w:val="00332289"/>
    <w:rsid w:val="00332306"/>
    <w:rsid w:val="00333C73"/>
    <w:rsid w:val="0033629B"/>
    <w:rsid w:val="003367FD"/>
    <w:rsid w:val="00336829"/>
    <w:rsid w:val="0033772B"/>
    <w:rsid w:val="00340F99"/>
    <w:rsid w:val="00341F85"/>
    <w:rsid w:val="003425CB"/>
    <w:rsid w:val="003439A8"/>
    <w:rsid w:val="00343A9A"/>
    <w:rsid w:val="00344370"/>
    <w:rsid w:val="00344AEB"/>
    <w:rsid w:val="003452E4"/>
    <w:rsid w:val="00347233"/>
    <w:rsid w:val="00347E08"/>
    <w:rsid w:val="00351D05"/>
    <w:rsid w:val="003533A1"/>
    <w:rsid w:val="00353C23"/>
    <w:rsid w:val="0035403E"/>
    <w:rsid w:val="00355E35"/>
    <w:rsid w:val="00356DB4"/>
    <w:rsid w:val="00356E4C"/>
    <w:rsid w:val="0035722A"/>
    <w:rsid w:val="00361DEA"/>
    <w:rsid w:val="00361E01"/>
    <w:rsid w:val="00361F30"/>
    <w:rsid w:val="00361FC8"/>
    <w:rsid w:val="003623AB"/>
    <w:rsid w:val="003629AA"/>
    <w:rsid w:val="00363417"/>
    <w:rsid w:val="0036464F"/>
    <w:rsid w:val="003657CE"/>
    <w:rsid w:val="00365F9D"/>
    <w:rsid w:val="0036699F"/>
    <w:rsid w:val="00366F68"/>
    <w:rsid w:val="003674BF"/>
    <w:rsid w:val="00367672"/>
    <w:rsid w:val="00367C1A"/>
    <w:rsid w:val="00371287"/>
    <w:rsid w:val="00372465"/>
    <w:rsid w:val="003725D2"/>
    <w:rsid w:val="0037284E"/>
    <w:rsid w:val="003745E5"/>
    <w:rsid w:val="003760E2"/>
    <w:rsid w:val="003776D3"/>
    <w:rsid w:val="00377A47"/>
    <w:rsid w:val="003808AB"/>
    <w:rsid w:val="00380FB9"/>
    <w:rsid w:val="003822EF"/>
    <w:rsid w:val="00383D8B"/>
    <w:rsid w:val="0038423C"/>
    <w:rsid w:val="0038645C"/>
    <w:rsid w:val="00387547"/>
    <w:rsid w:val="00387763"/>
    <w:rsid w:val="0038786A"/>
    <w:rsid w:val="00390151"/>
    <w:rsid w:val="003903A6"/>
    <w:rsid w:val="00390E19"/>
    <w:rsid w:val="00392D16"/>
    <w:rsid w:val="00392F1E"/>
    <w:rsid w:val="003930A3"/>
    <w:rsid w:val="00393EA2"/>
    <w:rsid w:val="0039636D"/>
    <w:rsid w:val="003A0910"/>
    <w:rsid w:val="003A1054"/>
    <w:rsid w:val="003A1241"/>
    <w:rsid w:val="003A2686"/>
    <w:rsid w:val="003A27CD"/>
    <w:rsid w:val="003A368A"/>
    <w:rsid w:val="003A446E"/>
    <w:rsid w:val="003A543A"/>
    <w:rsid w:val="003A5EF8"/>
    <w:rsid w:val="003A68A4"/>
    <w:rsid w:val="003A715E"/>
    <w:rsid w:val="003A7AEA"/>
    <w:rsid w:val="003B17B9"/>
    <w:rsid w:val="003B28F4"/>
    <w:rsid w:val="003B469E"/>
    <w:rsid w:val="003B4AB6"/>
    <w:rsid w:val="003B4E98"/>
    <w:rsid w:val="003B5034"/>
    <w:rsid w:val="003B69AE"/>
    <w:rsid w:val="003B7239"/>
    <w:rsid w:val="003B7884"/>
    <w:rsid w:val="003C129D"/>
    <w:rsid w:val="003C2962"/>
    <w:rsid w:val="003C34B3"/>
    <w:rsid w:val="003C39B8"/>
    <w:rsid w:val="003C3C97"/>
    <w:rsid w:val="003C4351"/>
    <w:rsid w:val="003C5270"/>
    <w:rsid w:val="003C5C1B"/>
    <w:rsid w:val="003C5CCD"/>
    <w:rsid w:val="003C6044"/>
    <w:rsid w:val="003C61B8"/>
    <w:rsid w:val="003C72CC"/>
    <w:rsid w:val="003C7FD0"/>
    <w:rsid w:val="003D00B7"/>
    <w:rsid w:val="003D1270"/>
    <w:rsid w:val="003D222A"/>
    <w:rsid w:val="003D2661"/>
    <w:rsid w:val="003D2EEE"/>
    <w:rsid w:val="003D4045"/>
    <w:rsid w:val="003D4B3D"/>
    <w:rsid w:val="003D6474"/>
    <w:rsid w:val="003D742D"/>
    <w:rsid w:val="003D7EB9"/>
    <w:rsid w:val="003E0DD3"/>
    <w:rsid w:val="003E10C2"/>
    <w:rsid w:val="003E10D5"/>
    <w:rsid w:val="003E14AD"/>
    <w:rsid w:val="003E2C35"/>
    <w:rsid w:val="003E3377"/>
    <w:rsid w:val="003E3C94"/>
    <w:rsid w:val="003E3CFA"/>
    <w:rsid w:val="003E42E5"/>
    <w:rsid w:val="003E4DCF"/>
    <w:rsid w:val="003E4E1A"/>
    <w:rsid w:val="003E5273"/>
    <w:rsid w:val="003E5374"/>
    <w:rsid w:val="003E560A"/>
    <w:rsid w:val="003E6937"/>
    <w:rsid w:val="003E705E"/>
    <w:rsid w:val="003E7702"/>
    <w:rsid w:val="003F0C84"/>
    <w:rsid w:val="003F1D56"/>
    <w:rsid w:val="003F28AE"/>
    <w:rsid w:val="003F2CAB"/>
    <w:rsid w:val="003F4950"/>
    <w:rsid w:val="003F4F34"/>
    <w:rsid w:val="003F5D19"/>
    <w:rsid w:val="003F60D0"/>
    <w:rsid w:val="003F7321"/>
    <w:rsid w:val="0040202B"/>
    <w:rsid w:val="00402CD8"/>
    <w:rsid w:val="00403566"/>
    <w:rsid w:val="00403A63"/>
    <w:rsid w:val="004045C5"/>
    <w:rsid w:val="0040478E"/>
    <w:rsid w:val="0040530D"/>
    <w:rsid w:val="004072D4"/>
    <w:rsid w:val="00407C3B"/>
    <w:rsid w:val="0041065B"/>
    <w:rsid w:val="004114E3"/>
    <w:rsid w:val="004119EF"/>
    <w:rsid w:val="00411A70"/>
    <w:rsid w:val="00412E8E"/>
    <w:rsid w:val="00412EAF"/>
    <w:rsid w:val="00413388"/>
    <w:rsid w:val="00414E68"/>
    <w:rsid w:val="00414EBB"/>
    <w:rsid w:val="00414F1A"/>
    <w:rsid w:val="004166CF"/>
    <w:rsid w:val="00416D1E"/>
    <w:rsid w:val="00416D32"/>
    <w:rsid w:val="004175F4"/>
    <w:rsid w:val="004179E8"/>
    <w:rsid w:val="0042005B"/>
    <w:rsid w:val="0042052C"/>
    <w:rsid w:val="00420F9B"/>
    <w:rsid w:val="00421870"/>
    <w:rsid w:val="0042309A"/>
    <w:rsid w:val="00423551"/>
    <w:rsid w:val="004254A8"/>
    <w:rsid w:val="00426439"/>
    <w:rsid w:val="004268BB"/>
    <w:rsid w:val="00426EC7"/>
    <w:rsid w:val="004271B9"/>
    <w:rsid w:val="004306B2"/>
    <w:rsid w:val="00431BBE"/>
    <w:rsid w:val="0043500D"/>
    <w:rsid w:val="00435F43"/>
    <w:rsid w:val="00436A8E"/>
    <w:rsid w:val="00437A67"/>
    <w:rsid w:val="00441455"/>
    <w:rsid w:val="00442652"/>
    <w:rsid w:val="00442C87"/>
    <w:rsid w:val="00445AF0"/>
    <w:rsid w:val="004465B4"/>
    <w:rsid w:val="004472AB"/>
    <w:rsid w:val="004528EC"/>
    <w:rsid w:val="00454CCE"/>
    <w:rsid w:val="00454F4B"/>
    <w:rsid w:val="00455601"/>
    <w:rsid w:val="0045576C"/>
    <w:rsid w:val="00455AC3"/>
    <w:rsid w:val="0045618C"/>
    <w:rsid w:val="004567BC"/>
    <w:rsid w:val="00456BC5"/>
    <w:rsid w:val="004578E3"/>
    <w:rsid w:val="0046004E"/>
    <w:rsid w:val="00460E62"/>
    <w:rsid w:val="004610B0"/>
    <w:rsid w:val="004615A9"/>
    <w:rsid w:val="00462374"/>
    <w:rsid w:val="004625FB"/>
    <w:rsid w:val="00462685"/>
    <w:rsid w:val="00462BA7"/>
    <w:rsid w:val="00463BCD"/>
    <w:rsid w:val="00466817"/>
    <w:rsid w:val="00467043"/>
    <w:rsid w:val="004675B4"/>
    <w:rsid w:val="004702B6"/>
    <w:rsid w:val="00470BE3"/>
    <w:rsid w:val="00470E6D"/>
    <w:rsid w:val="004718FE"/>
    <w:rsid w:val="004721FB"/>
    <w:rsid w:val="00472284"/>
    <w:rsid w:val="0047373B"/>
    <w:rsid w:val="00473CD3"/>
    <w:rsid w:val="00474639"/>
    <w:rsid w:val="00476BCF"/>
    <w:rsid w:val="004770AD"/>
    <w:rsid w:val="0048021A"/>
    <w:rsid w:val="00480C09"/>
    <w:rsid w:val="00481620"/>
    <w:rsid w:val="00483510"/>
    <w:rsid w:val="0048382D"/>
    <w:rsid w:val="0048655C"/>
    <w:rsid w:val="004877B2"/>
    <w:rsid w:val="00487AE1"/>
    <w:rsid w:val="00490035"/>
    <w:rsid w:val="00490B73"/>
    <w:rsid w:val="00490F81"/>
    <w:rsid w:val="004912E2"/>
    <w:rsid w:val="004919BB"/>
    <w:rsid w:val="00492096"/>
    <w:rsid w:val="00492578"/>
    <w:rsid w:val="00492A22"/>
    <w:rsid w:val="00494B37"/>
    <w:rsid w:val="00494C60"/>
    <w:rsid w:val="00494D48"/>
    <w:rsid w:val="00495117"/>
    <w:rsid w:val="00495969"/>
    <w:rsid w:val="00495F1E"/>
    <w:rsid w:val="00496011"/>
    <w:rsid w:val="00496281"/>
    <w:rsid w:val="004964AA"/>
    <w:rsid w:val="00497533"/>
    <w:rsid w:val="004A0458"/>
    <w:rsid w:val="004A0680"/>
    <w:rsid w:val="004A080C"/>
    <w:rsid w:val="004A09CC"/>
    <w:rsid w:val="004A0FE3"/>
    <w:rsid w:val="004A3B26"/>
    <w:rsid w:val="004A46AF"/>
    <w:rsid w:val="004A5589"/>
    <w:rsid w:val="004A66C4"/>
    <w:rsid w:val="004A6E30"/>
    <w:rsid w:val="004A701E"/>
    <w:rsid w:val="004A758F"/>
    <w:rsid w:val="004A7D97"/>
    <w:rsid w:val="004B097B"/>
    <w:rsid w:val="004B242C"/>
    <w:rsid w:val="004B2642"/>
    <w:rsid w:val="004B3191"/>
    <w:rsid w:val="004B350F"/>
    <w:rsid w:val="004B393C"/>
    <w:rsid w:val="004B466D"/>
    <w:rsid w:val="004B4808"/>
    <w:rsid w:val="004B4A26"/>
    <w:rsid w:val="004B4F5F"/>
    <w:rsid w:val="004B5D03"/>
    <w:rsid w:val="004B6594"/>
    <w:rsid w:val="004B7414"/>
    <w:rsid w:val="004B7C53"/>
    <w:rsid w:val="004C0549"/>
    <w:rsid w:val="004C13B8"/>
    <w:rsid w:val="004C1C32"/>
    <w:rsid w:val="004C38FE"/>
    <w:rsid w:val="004C3E4D"/>
    <w:rsid w:val="004C4A38"/>
    <w:rsid w:val="004C69A3"/>
    <w:rsid w:val="004C6BBC"/>
    <w:rsid w:val="004C7F5D"/>
    <w:rsid w:val="004D3224"/>
    <w:rsid w:val="004D46AA"/>
    <w:rsid w:val="004D4A69"/>
    <w:rsid w:val="004D5A3E"/>
    <w:rsid w:val="004D776A"/>
    <w:rsid w:val="004E04E7"/>
    <w:rsid w:val="004E15EF"/>
    <w:rsid w:val="004E2A0F"/>
    <w:rsid w:val="004E3938"/>
    <w:rsid w:val="004E3D49"/>
    <w:rsid w:val="004E4C93"/>
    <w:rsid w:val="004E4E36"/>
    <w:rsid w:val="004E5E88"/>
    <w:rsid w:val="004E6058"/>
    <w:rsid w:val="004E6AA2"/>
    <w:rsid w:val="004E71B4"/>
    <w:rsid w:val="004E7A99"/>
    <w:rsid w:val="004E7F30"/>
    <w:rsid w:val="004F0469"/>
    <w:rsid w:val="004F0C7A"/>
    <w:rsid w:val="004F26F4"/>
    <w:rsid w:val="004F2B92"/>
    <w:rsid w:val="004F2EFD"/>
    <w:rsid w:val="004F4D54"/>
    <w:rsid w:val="004F5390"/>
    <w:rsid w:val="004F770E"/>
    <w:rsid w:val="00500293"/>
    <w:rsid w:val="00500502"/>
    <w:rsid w:val="00501CEA"/>
    <w:rsid w:val="00502AC0"/>
    <w:rsid w:val="00503231"/>
    <w:rsid w:val="005037D7"/>
    <w:rsid w:val="00504CF0"/>
    <w:rsid w:val="00504DE8"/>
    <w:rsid w:val="005055A1"/>
    <w:rsid w:val="00505E45"/>
    <w:rsid w:val="00510C1B"/>
    <w:rsid w:val="00511ADF"/>
    <w:rsid w:val="00512D78"/>
    <w:rsid w:val="00513BD4"/>
    <w:rsid w:val="00514DB0"/>
    <w:rsid w:val="005150F3"/>
    <w:rsid w:val="00515448"/>
    <w:rsid w:val="00516276"/>
    <w:rsid w:val="0051633E"/>
    <w:rsid w:val="00516776"/>
    <w:rsid w:val="0051710C"/>
    <w:rsid w:val="00517D76"/>
    <w:rsid w:val="0052132D"/>
    <w:rsid w:val="00521F77"/>
    <w:rsid w:val="005226DB"/>
    <w:rsid w:val="00522F1F"/>
    <w:rsid w:val="0052446D"/>
    <w:rsid w:val="00524D64"/>
    <w:rsid w:val="005260A8"/>
    <w:rsid w:val="00526631"/>
    <w:rsid w:val="0052674E"/>
    <w:rsid w:val="00526C1F"/>
    <w:rsid w:val="005275A2"/>
    <w:rsid w:val="00527DE1"/>
    <w:rsid w:val="00530114"/>
    <w:rsid w:val="00534065"/>
    <w:rsid w:val="00534477"/>
    <w:rsid w:val="00534782"/>
    <w:rsid w:val="00535FAC"/>
    <w:rsid w:val="00537B93"/>
    <w:rsid w:val="0054020E"/>
    <w:rsid w:val="00540804"/>
    <w:rsid w:val="00542182"/>
    <w:rsid w:val="005426E4"/>
    <w:rsid w:val="005438AB"/>
    <w:rsid w:val="00543C9C"/>
    <w:rsid w:val="00543D52"/>
    <w:rsid w:val="0054437D"/>
    <w:rsid w:val="00544748"/>
    <w:rsid w:val="00544D36"/>
    <w:rsid w:val="005464E8"/>
    <w:rsid w:val="00550488"/>
    <w:rsid w:val="005510D2"/>
    <w:rsid w:val="0055114B"/>
    <w:rsid w:val="00551194"/>
    <w:rsid w:val="0055163F"/>
    <w:rsid w:val="005517FF"/>
    <w:rsid w:val="00551B35"/>
    <w:rsid w:val="005535DD"/>
    <w:rsid w:val="00553CBE"/>
    <w:rsid w:val="005551C8"/>
    <w:rsid w:val="00555364"/>
    <w:rsid w:val="00555DD7"/>
    <w:rsid w:val="00556153"/>
    <w:rsid w:val="00557403"/>
    <w:rsid w:val="00557792"/>
    <w:rsid w:val="00557C7A"/>
    <w:rsid w:val="00560958"/>
    <w:rsid w:val="00560D84"/>
    <w:rsid w:val="005613E0"/>
    <w:rsid w:val="0056378D"/>
    <w:rsid w:val="00566422"/>
    <w:rsid w:val="005666A7"/>
    <w:rsid w:val="005669E4"/>
    <w:rsid w:val="00566A09"/>
    <w:rsid w:val="005674EC"/>
    <w:rsid w:val="005710C3"/>
    <w:rsid w:val="00572C26"/>
    <w:rsid w:val="00573807"/>
    <w:rsid w:val="005775BD"/>
    <w:rsid w:val="00580F5F"/>
    <w:rsid w:val="005810E8"/>
    <w:rsid w:val="00581CAE"/>
    <w:rsid w:val="00582929"/>
    <w:rsid w:val="00583CC9"/>
    <w:rsid w:val="00583EE2"/>
    <w:rsid w:val="0058478E"/>
    <w:rsid w:val="00584D27"/>
    <w:rsid w:val="005861F3"/>
    <w:rsid w:val="00590619"/>
    <w:rsid w:val="00590834"/>
    <w:rsid w:val="00590D0E"/>
    <w:rsid w:val="00590D90"/>
    <w:rsid w:val="005918F5"/>
    <w:rsid w:val="0059196C"/>
    <w:rsid w:val="0059286E"/>
    <w:rsid w:val="00592A77"/>
    <w:rsid w:val="00593C85"/>
    <w:rsid w:val="00593CAA"/>
    <w:rsid w:val="00594B96"/>
    <w:rsid w:val="00595A79"/>
    <w:rsid w:val="00595F4B"/>
    <w:rsid w:val="00596050"/>
    <w:rsid w:val="005A0BEF"/>
    <w:rsid w:val="005A37F9"/>
    <w:rsid w:val="005A4A88"/>
    <w:rsid w:val="005A571A"/>
    <w:rsid w:val="005A5DC8"/>
    <w:rsid w:val="005A6CC1"/>
    <w:rsid w:val="005A7511"/>
    <w:rsid w:val="005A7FF2"/>
    <w:rsid w:val="005B05AF"/>
    <w:rsid w:val="005B0EEC"/>
    <w:rsid w:val="005B24F9"/>
    <w:rsid w:val="005B2ABA"/>
    <w:rsid w:val="005B7A8C"/>
    <w:rsid w:val="005C1F16"/>
    <w:rsid w:val="005C23B8"/>
    <w:rsid w:val="005C2BDF"/>
    <w:rsid w:val="005C3B4A"/>
    <w:rsid w:val="005C58F8"/>
    <w:rsid w:val="005C7090"/>
    <w:rsid w:val="005C7DDC"/>
    <w:rsid w:val="005D0599"/>
    <w:rsid w:val="005D0F7C"/>
    <w:rsid w:val="005D1C57"/>
    <w:rsid w:val="005D2D94"/>
    <w:rsid w:val="005D3D5C"/>
    <w:rsid w:val="005D56D0"/>
    <w:rsid w:val="005D6247"/>
    <w:rsid w:val="005D6B07"/>
    <w:rsid w:val="005E1E60"/>
    <w:rsid w:val="005E3F4C"/>
    <w:rsid w:val="005E4B61"/>
    <w:rsid w:val="005E53D6"/>
    <w:rsid w:val="005E6744"/>
    <w:rsid w:val="005E6E11"/>
    <w:rsid w:val="005E7415"/>
    <w:rsid w:val="005E7B52"/>
    <w:rsid w:val="005F0B00"/>
    <w:rsid w:val="005F1838"/>
    <w:rsid w:val="005F1F0E"/>
    <w:rsid w:val="005F2DB7"/>
    <w:rsid w:val="005F3B8A"/>
    <w:rsid w:val="005F4903"/>
    <w:rsid w:val="005F62BE"/>
    <w:rsid w:val="005F7B35"/>
    <w:rsid w:val="005F7DD7"/>
    <w:rsid w:val="00600559"/>
    <w:rsid w:val="00600AB2"/>
    <w:rsid w:val="00601E7D"/>
    <w:rsid w:val="0060287A"/>
    <w:rsid w:val="00603267"/>
    <w:rsid w:val="0060533C"/>
    <w:rsid w:val="00605727"/>
    <w:rsid w:val="00605D21"/>
    <w:rsid w:val="0060627A"/>
    <w:rsid w:val="00606C78"/>
    <w:rsid w:val="006100BF"/>
    <w:rsid w:val="0061034C"/>
    <w:rsid w:val="00611F1E"/>
    <w:rsid w:val="00612BC1"/>
    <w:rsid w:val="00617A58"/>
    <w:rsid w:val="00617FE0"/>
    <w:rsid w:val="006207AE"/>
    <w:rsid w:val="00621253"/>
    <w:rsid w:val="0062130C"/>
    <w:rsid w:val="00621825"/>
    <w:rsid w:val="00622122"/>
    <w:rsid w:val="006248BE"/>
    <w:rsid w:val="006263D1"/>
    <w:rsid w:val="0062682D"/>
    <w:rsid w:val="00627798"/>
    <w:rsid w:val="0062788A"/>
    <w:rsid w:val="00630240"/>
    <w:rsid w:val="00635B73"/>
    <w:rsid w:val="0063601A"/>
    <w:rsid w:val="006406EC"/>
    <w:rsid w:val="006412E3"/>
    <w:rsid w:val="0064218F"/>
    <w:rsid w:val="0064248D"/>
    <w:rsid w:val="00642996"/>
    <w:rsid w:val="00643524"/>
    <w:rsid w:val="00643759"/>
    <w:rsid w:val="00645439"/>
    <w:rsid w:val="0064653A"/>
    <w:rsid w:val="00646E97"/>
    <w:rsid w:val="00647ADC"/>
    <w:rsid w:val="006516CD"/>
    <w:rsid w:val="00651A28"/>
    <w:rsid w:val="00652180"/>
    <w:rsid w:val="00654884"/>
    <w:rsid w:val="00656BF7"/>
    <w:rsid w:val="00656F0D"/>
    <w:rsid w:val="00657865"/>
    <w:rsid w:val="00657AAA"/>
    <w:rsid w:val="00660914"/>
    <w:rsid w:val="00660DFE"/>
    <w:rsid w:val="00661362"/>
    <w:rsid w:val="00661D3D"/>
    <w:rsid w:val="00662116"/>
    <w:rsid w:val="0066285E"/>
    <w:rsid w:val="00662ECD"/>
    <w:rsid w:val="00663698"/>
    <w:rsid w:val="00664156"/>
    <w:rsid w:val="00665BA9"/>
    <w:rsid w:val="00666C1C"/>
    <w:rsid w:val="0066718A"/>
    <w:rsid w:val="006674ED"/>
    <w:rsid w:val="0066778A"/>
    <w:rsid w:val="006701F8"/>
    <w:rsid w:val="0067357C"/>
    <w:rsid w:val="00673B07"/>
    <w:rsid w:val="006806D2"/>
    <w:rsid w:val="006807F5"/>
    <w:rsid w:val="00680B57"/>
    <w:rsid w:val="00681B72"/>
    <w:rsid w:val="00682288"/>
    <w:rsid w:val="006828B0"/>
    <w:rsid w:val="00684243"/>
    <w:rsid w:val="006853E7"/>
    <w:rsid w:val="00685B60"/>
    <w:rsid w:val="00686E5D"/>
    <w:rsid w:val="0068753D"/>
    <w:rsid w:val="00690039"/>
    <w:rsid w:val="006934A5"/>
    <w:rsid w:val="006940CA"/>
    <w:rsid w:val="006947DD"/>
    <w:rsid w:val="0069560C"/>
    <w:rsid w:val="00695B0D"/>
    <w:rsid w:val="006965F0"/>
    <w:rsid w:val="006966DE"/>
    <w:rsid w:val="00696AE6"/>
    <w:rsid w:val="006A0D94"/>
    <w:rsid w:val="006A1475"/>
    <w:rsid w:val="006A152F"/>
    <w:rsid w:val="006A1B94"/>
    <w:rsid w:val="006A2255"/>
    <w:rsid w:val="006A4214"/>
    <w:rsid w:val="006A7240"/>
    <w:rsid w:val="006A737A"/>
    <w:rsid w:val="006A74FB"/>
    <w:rsid w:val="006A77FB"/>
    <w:rsid w:val="006B0582"/>
    <w:rsid w:val="006B10C6"/>
    <w:rsid w:val="006B1323"/>
    <w:rsid w:val="006B132C"/>
    <w:rsid w:val="006B1BCC"/>
    <w:rsid w:val="006B2083"/>
    <w:rsid w:val="006B20AE"/>
    <w:rsid w:val="006B2AB4"/>
    <w:rsid w:val="006B2CAA"/>
    <w:rsid w:val="006B2D7A"/>
    <w:rsid w:val="006B3E6E"/>
    <w:rsid w:val="006B445B"/>
    <w:rsid w:val="006B44D0"/>
    <w:rsid w:val="006B5490"/>
    <w:rsid w:val="006B655B"/>
    <w:rsid w:val="006B78A9"/>
    <w:rsid w:val="006C0C41"/>
    <w:rsid w:val="006C0E96"/>
    <w:rsid w:val="006C211B"/>
    <w:rsid w:val="006C394F"/>
    <w:rsid w:val="006C42E5"/>
    <w:rsid w:val="006C5756"/>
    <w:rsid w:val="006C5D75"/>
    <w:rsid w:val="006C6BF9"/>
    <w:rsid w:val="006C711D"/>
    <w:rsid w:val="006C7D39"/>
    <w:rsid w:val="006D01BF"/>
    <w:rsid w:val="006D0474"/>
    <w:rsid w:val="006D0ED2"/>
    <w:rsid w:val="006D117A"/>
    <w:rsid w:val="006D20BB"/>
    <w:rsid w:val="006D2D50"/>
    <w:rsid w:val="006D351E"/>
    <w:rsid w:val="006D3589"/>
    <w:rsid w:val="006D3C54"/>
    <w:rsid w:val="006D3C5A"/>
    <w:rsid w:val="006D5808"/>
    <w:rsid w:val="006D6021"/>
    <w:rsid w:val="006D7207"/>
    <w:rsid w:val="006D79E7"/>
    <w:rsid w:val="006D7C30"/>
    <w:rsid w:val="006E12D5"/>
    <w:rsid w:val="006E1C45"/>
    <w:rsid w:val="006E1FE3"/>
    <w:rsid w:val="006E231E"/>
    <w:rsid w:val="006E2D76"/>
    <w:rsid w:val="006E3545"/>
    <w:rsid w:val="006E3DE2"/>
    <w:rsid w:val="006E4E9D"/>
    <w:rsid w:val="006E6A68"/>
    <w:rsid w:val="006E7B50"/>
    <w:rsid w:val="006E7E90"/>
    <w:rsid w:val="006F052E"/>
    <w:rsid w:val="006F18F6"/>
    <w:rsid w:val="006F2766"/>
    <w:rsid w:val="006F2B34"/>
    <w:rsid w:val="006F2DA9"/>
    <w:rsid w:val="006F34DA"/>
    <w:rsid w:val="006F3503"/>
    <w:rsid w:val="006F3CF3"/>
    <w:rsid w:val="006F507A"/>
    <w:rsid w:val="006F5499"/>
    <w:rsid w:val="006F560A"/>
    <w:rsid w:val="006F57E9"/>
    <w:rsid w:val="00700A9D"/>
    <w:rsid w:val="007010A1"/>
    <w:rsid w:val="00701124"/>
    <w:rsid w:val="00701A04"/>
    <w:rsid w:val="00702E97"/>
    <w:rsid w:val="00703E20"/>
    <w:rsid w:val="00705427"/>
    <w:rsid w:val="00705EB8"/>
    <w:rsid w:val="0070675B"/>
    <w:rsid w:val="00707B72"/>
    <w:rsid w:val="00710A9A"/>
    <w:rsid w:val="0071232A"/>
    <w:rsid w:val="00712624"/>
    <w:rsid w:val="00713FBC"/>
    <w:rsid w:val="0071475E"/>
    <w:rsid w:val="00714DD5"/>
    <w:rsid w:val="00714E6E"/>
    <w:rsid w:val="007155D3"/>
    <w:rsid w:val="00716302"/>
    <w:rsid w:val="007169FB"/>
    <w:rsid w:val="00716C2B"/>
    <w:rsid w:val="0072005F"/>
    <w:rsid w:val="0072229E"/>
    <w:rsid w:val="007238A0"/>
    <w:rsid w:val="007239A3"/>
    <w:rsid w:val="0072436D"/>
    <w:rsid w:val="00724837"/>
    <w:rsid w:val="0072571A"/>
    <w:rsid w:val="00725B44"/>
    <w:rsid w:val="007271B6"/>
    <w:rsid w:val="00730731"/>
    <w:rsid w:val="00731EE3"/>
    <w:rsid w:val="00732A7B"/>
    <w:rsid w:val="00733F16"/>
    <w:rsid w:val="0073422A"/>
    <w:rsid w:val="007352B2"/>
    <w:rsid w:val="00735EAB"/>
    <w:rsid w:val="00736A91"/>
    <w:rsid w:val="007370A3"/>
    <w:rsid w:val="007405AA"/>
    <w:rsid w:val="00742475"/>
    <w:rsid w:val="00742FC0"/>
    <w:rsid w:val="00744C7E"/>
    <w:rsid w:val="00745ED3"/>
    <w:rsid w:val="00747692"/>
    <w:rsid w:val="0075014E"/>
    <w:rsid w:val="00750317"/>
    <w:rsid w:val="00751BAE"/>
    <w:rsid w:val="007542E3"/>
    <w:rsid w:val="00754BA6"/>
    <w:rsid w:val="00754F18"/>
    <w:rsid w:val="00755EC1"/>
    <w:rsid w:val="00756052"/>
    <w:rsid w:val="007566B9"/>
    <w:rsid w:val="00756D1B"/>
    <w:rsid w:val="00757749"/>
    <w:rsid w:val="00757D2B"/>
    <w:rsid w:val="00760320"/>
    <w:rsid w:val="00760600"/>
    <w:rsid w:val="00760BC7"/>
    <w:rsid w:val="00760E15"/>
    <w:rsid w:val="00760EAA"/>
    <w:rsid w:val="00761D20"/>
    <w:rsid w:val="007626EA"/>
    <w:rsid w:val="00762872"/>
    <w:rsid w:val="00762F9F"/>
    <w:rsid w:val="00763069"/>
    <w:rsid w:val="00763F6F"/>
    <w:rsid w:val="00764706"/>
    <w:rsid w:val="00767FCC"/>
    <w:rsid w:val="00771268"/>
    <w:rsid w:val="00771F29"/>
    <w:rsid w:val="007722CB"/>
    <w:rsid w:val="00772C76"/>
    <w:rsid w:val="00773ABB"/>
    <w:rsid w:val="0077471E"/>
    <w:rsid w:val="007753B2"/>
    <w:rsid w:val="007851FD"/>
    <w:rsid w:val="007859B3"/>
    <w:rsid w:val="0078697B"/>
    <w:rsid w:val="00790D10"/>
    <w:rsid w:val="007911B6"/>
    <w:rsid w:val="00791B26"/>
    <w:rsid w:val="00791CEB"/>
    <w:rsid w:val="007931FA"/>
    <w:rsid w:val="00793793"/>
    <w:rsid w:val="00793C16"/>
    <w:rsid w:val="00796A37"/>
    <w:rsid w:val="00796EFF"/>
    <w:rsid w:val="0079794C"/>
    <w:rsid w:val="00797E9C"/>
    <w:rsid w:val="007A007B"/>
    <w:rsid w:val="007A098A"/>
    <w:rsid w:val="007A09B2"/>
    <w:rsid w:val="007A0D19"/>
    <w:rsid w:val="007A102D"/>
    <w:rsid w:val="007A126C"/>
    <w:rsid w:val="007A242E"/>
    <w:rsid w:val="007A3EC6"/>
    <w:rsid w:val="007A51C4"/>
    <w:rsid w:val="007A7ECC"/>
    <w:rsid w:val="007B035B"/>
    <w:rsid w:val="007B0459"/>
    <w:rsid w:val="007B059A"/>
    <w:rsid w:val="007B1535"/>
    <w:rsid w:val="007B19B2"/>
    <w:rsid w:val="007B26F3"/>
    <w:rsid w:val="007B2FBD"/>
    <w:rsid w:val="007B3144"/>
    <w:rsid w:val="007B3F91"/>
    <w:rsid w:val="007B43D1"/>
    <w:rsid w:val="007B497E"/>
    <w:rsid w:val="007B71F3"/>
    <w:rsid w:val="007C2160"/>
    <w:rsid w:val="007C51C3"/>
    <w:rsid w:val="007D040D"/>
    <w:rsid w:val="007D20D6"/>
    <w:rsid w:val="007D30B3"/>
    <w:rsid w:val="007D3CF7"/>
    <w:rsid w:val="007D477B"/>
    <w:rsid w:val="007D4A2A"/>
    <w:rsid w:val="007D4E61"/>
    <w:rsid w:val="007D6190"/>
    <w:rsid w:val="007D7F6B"/>
    <w:rsid w:val="007E0C4C"/>
    <w:rsid w:val="007E10DC"/>
    <w:rsid w:val="007E17E0"/>
    <w:rsid w:val="007E2793"/>
    <w:rsid w:val="007E2C54"/>
    <w:rsid w:val="007E3550"/>
    <w:rsid w:val="007E4961"/>
    <w:rsid w:val="007E4D11"/>
    <w:rsid w:val="007E4DED"/>
    <w:rsid w:val="007E4FF4"/>
    <w:rsid w:val="007E524C"/>
    <w:rsid w:val="007E5470"/>
    <w:rsid w:val="007E5E90"/>
    <w:rsid w:val="007E62BF"/>
    <w:rsid w:val="007F123B"/>
    <w:rsid w:val="007F1884"/>
    <w:rsid w:val="007F3118"/>
    <w:rsid w:val="007F3B5F"/>
    <w:rsid w:val="007F4CCF"/>
    <w:rsid w:val="00801615"/>
    <w:rsid w:val="008016FC"/>
    <w:rsid w:val="008024E9"/>
    <w:rsid w:val="00802E20"/>
    <w:rsid w:val="0080329E"/>
    <w:rsid w:val="00805D22"/>
    <w:rsid w:val="0080627F"/>
    <w:rsid w:val="0081097F"/>
    <w:rsid w:val="00811332"/>
    <w:rsid w:val="008113A1"/>
    <w:rsid w:val="00812B86"/>
    <w:rsid w:val="008137BD"/>
    <w:rsid w:val="00813C15"/>
    <w:rsid w:val="00814073"/>
    <w:rsid w:val="00814B9B"/>
    <w:rsid w:val="008173A0"/>
    <w:rsid w:val="00821A55"/>
    <w:rsid w:val="00824432"/>
    <w:rsid w:val="00825AEE"/>
    <w:rsid w:val="00825B8A"/>
    <w:rsid w:val="008261BE"/>
    <w:rsid w:val="00826349"/>
    <w:rsid w:val="008271BF"/>
    <w:rsid w:val="00827540"/>
    <w:rsid w:val="00827655"/>
    <w:rsid w:val="00827A6C"/>
    <w:rsid w:val="00831766"/>
    <w:rsid w:val="00832913"/>
    <w:rsid w:val="00832AE2"/>
    <w:rsid w:val="008337C9"/>
    <w:rsid w:val="00835ACB"/>
    <w:rsid w:val="00836233"/>
    <w:rsid w:val="0083634E"/>
    <w:rsid w:val="00836556"/>
    <w:rsid w:val="008375B2"/>
    <w:rsid w:val="00840852"/>
    <w:rsid w:val="00840A6A"/>
    <w:rsid w:val="00841B9F"/>
    <w:rsid w:val="00843614"/>
    <w:rsid w:val="008453C4"/>
    <w:rsid w:val="00847024"/>
    <w:rsid w:val="00847525"/>
    <w:rsid w:val="00847C60"/>
    <w:rsid w:val="00847E82"/>
    <w:rsid w:val="00847E9D"/>
    <w:rsid w:val="008506EB"/>
    <w:rsid w:val="00850EC1"/>
    <w:rsid w:val="00851204"/>
    <w:rsid w:val="00851BC9"/>
    <w:rsid w:val="00852102"/>
    <w:rsid w:val="008521EB"/>
    <w:rsid w:val="008525B0"/>
    <w:rsid w:val="00852E44"/>
    <w:rsid w:val="008530FD"/>
    <w:rsid w:val="0085321D"/>
    <w:rsid w:val="0085327F"/>
    <w:rsid w:val="00855152"/>
    <w:rsid w:val="00855231"/>
    <w:rsid w:val="008565CA"/>
    <w:rsid w:val="008567A0"/>
    <w:rsid w:val="00857F44"/>
    <w:rsid w:val="008602F3"/>
    <w:rsid w:val="008605EF"/>
    <w:rsid w:val="00860A81"/>
    <w:rsid w:val="00860EDC"/>
    <w:rsid w:val="008610C3"/>
    <w:rsid w:val="00861EB3"/>
    <w:rsid w:val="00863819"/>
    <w:rsid w:val="0086406C"/>
    <w:rsid w:val="00864DD5"/>
    <w:rsid w:val="008658C9"/>
    <w:rsid w:val="008672DC"/>
    <w:rsid w:val="00870A2E"/>
    <w:rsid w:val="00870BBE"/>
    <w:rsid w:val="00870CD0"/>
    <w:rsid w:val="00870F2A"/>
    <w:rsid w:val="00871A81"/>
    <w:rsid w:val="00872FD1"/>
    <w:rsid w:val="0087324A"/>
    <w:rsid w:val="008733D9"/>
    <w:rsid w:val="008739A0"/>
    <w:rsid w:val="00873A47"/>
    <w:rsid w:val="00873BC2"/>
    <w:rsid w:val="00873D07"/>
    <w:rsid w:val="00874242"/>
    <w:rsid w:val="00875317"/>
    <w:rsid w:val="00875ABD"/>
    <w:rsid w:val="00875D37"/>
    <w:rsid w:val="00876767"/>
    <w:rsid w:val="00877006"/>
    <w:rsid w:val="008774B3"/>
    <w:rsid w:val="00880707"/>
    <w:rsid w:val="0088177F"/>
    <w:rsid w:val="008819AB"/>
    <w:rsid w:val="008820EA"/>
    <w:rsid w:val="00882599"/>
    <w:rsid w:val="0088306C"/>
    <w:rsid w:val="008849CB"/>
    <w:rsid w:val="00885A2C"/>
    <w:rsid w:val="008860C2"/>
    <w:rsid w:val="0088698C"/>
    <w:rsid w:val="0088784C"/>
    <w:rsid w:val="0088798E"/>
    <w:rsid w:val="00887DA4"/>
    <w:rsid w:val="0089079C"/>
    <w:rsid w:val="00892AC3"/>
    <w:rsid w:val="00892C92"/>
    <w:rsid w:val="00894513"/>
    <w:rsid w:val="00894F4F"/>
    <w:rsid w:val="00895452"/>
    <w:rsid w:val="00895539"/>
    <w:rsid w:val="008972FF"/>
    <w:rsid w:val="008A25E0"/>
    <w:rsid w:val="008A2A3E"/>
    <w:rsid w:val="008A2F05"/>
    <w:rsid w:val="008A3A49"/>
    <w:rsid w:val="008A4399"/>
    <w:rsid w:val="008A47B1"/>
    <w:rsid w:val="008A5AF8"/>
    <w:rsid w:val="008A5C24"/>
    <w:rsid w:val="008A620A"/>
    <w:rsid w:val="008A6518"/>
    <w:rsid w:val="008A754B"/>
    <w:rsid w:val="008B0830"/>
    <w:rsid w:val="008B2441"/>
    <w:rsid w:val="008B3F78"/>
    <w:rsid w:val="008B4CCB"/>
    <w:rsid w:val="008B5FFD"/>
    <w:rsid w:val="008B6027"/>
    <w:rsid w:val="008B64DE"/>
    <w:rsid w:val="008B73F2"/>
    <w:rsid w:val="008C09DD"/>
    <w:rsid w:val="008C0AC4"/>
    <w:rsid w:val="008C14B3"/>
    <w:rsid w:val="008C2EDB"/>
    <w:rsid w:val="008C520D"/>
    <w:rsid w:val="008C53A6"/>
    <w:rsid w:val="008C5AF6"/>
    <w:rsid w:val="008C69A3"/>
    <w:rsid w:val="008C7CE0"/>
    <w:rsid w:val="008D0197"/>
    <w:rsid w:val="008D0973"/>
    <w:rsid w:val="008D15F1"/>
    <w:rsid w:val="008D1910"/>
    <w:rsid w:val="008D2577"/>
    <w:rsid w:val="008D2FD3"/>
    <w:rsid w:val="008D3F73"/>
    <w:rsid w:val="008D4574"/>
    <w:rsid w:val="008D4ACD"/>
    <w:rsid w:val="008D51CF"/>
    <w:rsid w:val="008D63F4"/>
    <w:rsid w:val="008D7D6F"/>
    <w:rsid w:val="008E0B7A"/>
    <w:rsid w:val="008E0D8D"/>
    <w:rsid w:val="008E1317"/>
    <w:rsid w:val="008E13F6"/>
    <w:rsid w:val="008E2789"/>
    <w:rsid w:val="008E4659"/>
    <w:rsid w:val="008E4E53"/>
    <w:rsid w:val="008E5479"/>
    <w:rsid w:val="008E5671"/>
    <w:rsid w:val="008E5959"/>
    <w:rsid w:val="008E610D"/>
    <w:rsid w:val="008E6853"/>
    <w:rsid w:val="008F1039"/>
    <w:rsid w:val="008F2323"/>
    <w:rsid w:val="008F2AD6"/>
    <w:rsid w:val="008F2B49"/>
    <w:rsid w:val="008F469F"/>
    <w:rsid w:val="008F54F9"/>
    <w:rsid w:val="008F576F"/>
    <w:rsid w:val="008F5DA4"/>
    <w:rsid w:val="008F73AA"/>
    <w:rsid w:val="009004EF"/>
    <w:rsid w:val="009006A9"/>
    <w:rsid w:val="00900A1C"/>
    <w:rsid w:val="00901DD2"/>
    <w:rsid w:val="00901F5B"/>
    <w:rsid w:val="00903000"/>
    <w:rsid w:val="00903933"/>
    <w:rsid w:val="00903D92"/>
    <w:rsid w:val="00905757"/>
    <w:rsid w:val="00905941"/>
    <w:rsid w:val="009073F6"/>
    <w:rsid w:val="00907914"/>
    <w:rsid w:val="009101EC"/>
    <w:rsid w:val="009105B6"/>
    <w:rsid w:val="00911626"/>
    <w:rsid w:val="0091167C"/>
    <w:rsid w:val="00912C10"/>
    <w:rsid w:val="00912CB3"/>
    <w:rsid w:val="00914609"/>
    <w:rsid w:val="00914621"/>
    <w:rsid w:val="00914FC1"/>
    <w:rsid w:val="00915F8C"/>
    <w:rsid w:val="00921BF1"/>
    <w:rsid w:val="009224D9"/>
    <w:rsid w:val="00922896"/>
    <w:rsid w:val="009233A4"/>
    <w:rsid w:val="00923920"/>
    <w:rsid w:val="009265B9"/>
    <w:rsid w:val="00927AEA"/>
    <w:rsid w:val="00927DB3"/>
    <w:rsid w:val="00932B52"/>
    <w:rsid w:val="009330EA"/>
    <w:rsid w:val="00933E26"/>
    <w:rsid w:val="009341F2"/>
    <w:rsid w:val="009342B3"/>
    <w:rsid w:val="00934920"/>
    <w:rsid w:val="00934AFF"/>
    <w:rsid w:val="00936439"/>
    <w:rsid w:val="00936C30"/>
    <w:rsid w:val="009401F3"/>
    <w:rsid w:val="009405B0"/>
    <w:rsid w:val="0094078C"/>
    <w:rsid w:val="009414D2"/>
    <w:rsid w:val="009431B0"/>
    <w:rsid w:val="0094570E"/>
    <w:rsid w:val="009469FB"/>
    <w:rsid w:val="00947B1F"/>
    <w:rsid w:val="00950406"/>
    <w:rsid w:val="0095087E"/>
    <w:rsid w:val="00952591"/>
    <w:rsid w:val="00953B7C"/>
    <w:rsid w:val="00955FC8"/>
    <w:rsid w:val="00956519"/>
    <w:rsid w:val="00957563"/>
    <w:rsid w:val="00957936"/>
    <w:rsid w:val="00957D7F"/>
    <w:rsid w:val="00957F4A"/>
    <w:rsid w:val="00961C46"/>
    <w:rsid w:val="00961ED3"/>
    <w:rsid w:val="00963F86"/>
    <w:rsid w:val="00963FD0"/>
    <w:rsid w:val="00964EDB"/>
    <w:rsid w:val="00965C78"/>
    <w:rsid w:val="0096700D"/>
    <w:rsid w:val="00970267"/>
    <w:rsid w:val="00970D1A"/>
    <w:rsid w:val="00971739"/>
    <w:rsid w:val="00971ABD"/>
    <w:rsid w:val="00971B7A"/>
    <w:rsid w:val="0097255F"/>
    <w:rsid w:val="00972D76"/>
    <w:rsid w:val="0097308A"/>
    <w:rsid w:val="00974DCF"/>
    <w:rsid w:val="00974FAC"/>
    <w:rsid w:val="00975236"/>
    <w:rsid w:val="0097561F"/>
    <w:rsid w:val="00975E0E"/>
    <w:rsid w:val="00976988"/>
    <w:rsid w:val="009800F6"/>
    <w:rsid w:val="0098053B"/>
    <w:rsid w:val="0098185B"/>
    <w:rsid w:val="00982C54"/>
    <w:rsid w:val="00982D43"/>
    <w:rsid w:val="00982EF6"/>
    <w:rsid w:val="00983D0B"/>
    <w:rsid w:val="00983E3A"/>
    <w:rsid w:val="009840B3"/>
    <w:rsid w:val="0098453D"/>
    <w:rsid w:val="00984957"/>
    <w:rsid w:val="00984E29"/>
    <w:rsid w:val="009900DE"/>
    <w:rsid w:val="009919B3"/>
    <w:rsid w:val="009920F6"/>
    <w:rsid w:val="00992B29"/>
    <w:rsid w:val="00993090"/>
    <w:rsid w:val="00993F16"/>
    <w:rsid w:val="00994FB7"/>
    <w:rsid w:val="00995133"/>
    <w:rsid w:val="00995433"/>
    <w:rsid w:val="0099602B"/>
    <w:rsid w:val="00996132"/>
    <w:rsid w:val="0099623E"/>
    <w:rsid w:val="009A11A4"/>
    <w:rsid w:val="009A14F8"/>
    <w:rsid w:val="009A157C"/>
    <w:rsid w:val="009A42A7"/>
    <w:rsid w:val="009A536A"/>
    <w:rsid w:val="009A5CFF"/>
    <w:rsid w:val="009A62E4"/>
    <w:rsid w:val="009A6333"/>
    <w:rsid w:val="009A7280"/>
    <w:rsid w:val="009A77F0"/>
    <w:rsid w:val="009A7BF0"/>
    <w:rsid w:val="009B0079"/>
    <w:rsid w:val="009B07B3"/>
    <w:rsid w:val="009B1453"/>
    <w:rsid w:val="009B381E"/>
    <w:rsid w:val="009B40B3"/>
    <w:rsid w:val="009B4B73"/>
    <w:rsid w:val="009B4CDB"/>
    <w:rsid w:val="009B5EA8"/>
    <w:rsid w:val="009B63B0"/>
    <w:rsid w:val="009B74FF"/>
    <w:rsid w:val="009B7850"/>
    <w:rsid w:val="009C1697"/>
    <w:rsid w:val="009C2C72"/>
    <w:rsid w:val="009C3067"/>
    <w:rsid w:val="009C31AF"/>
    <w:rsid w:val="009C409E"/>
    <w:rsid w:val="009C51AA"/>
    <w:rsid w:val="009C679A"/>
    <w:rsid w:val="009C6A2F"/>
    <w:rsid w:val="009C6BE2"/>
    <w:rsid w:val="009D0B21"/>
    <w:rsid w:val="009D1D9C"/>
    <w:rsid w:val="009D2BE4"/>
    <w:rsid w:val="009D3D95"/>
    <w:rsid w:val="009D5DC8"/>
    <w:rsid w:val="009D5F32"/>
    <w:rsid w:val="009D61FE"/>
    <w:rsid w:val="009D62A9"/>
    <w:rsid w:val="009D6803"/>
    <w:rsid w:val="009D6C7B"/>
    <w:rsid w:val="009D7C71"/>
    <w:rsid w:val="009E2DAB"/>
    <w:rsid w:val="009E47A3"/>
    <w:rsid w:val="009E4A1D"/>
    <w:rsid w:val="009E5081"/>
    <w:rsid w:val="009E5E35"/>
    <w:rsid w:val="009E65CA"/>
    <w:rsid w:val="009E7E39"/>
    <w:rsid w:val="009F0AB8"/>
    <w:rsid w:val="009F1024"/>
    <w:rsid w:val="009F2170"/>
    <w:rsid w:val="009F3F71"/>
    <w:rsid w:val="009F4DBE"/>
    <w:rsid w:val="009F6538"/>
    <w:rsid w:val="00A002EA"/>
    <w:rsid w:val="00A00F67"/>
    <w:rsid w:val="00A01325"/>
    <w:rsid w:val="00A035E0"/>
    <w:rsid w:val="00A03D9F"/>
    <w:rsid w:val="00A059A1"/>
    <w:rsid w:val="00A07F57"/>
    <w:rsid w:val="00A10AAC"/>
    <w:rsid w:val="00A11C20"/>
    <w:rsid w:val="00A125C5"/>
    <w:rsid w:val="00A13EF0"/>
    <w:rsid w:val="00A16A1A"/>
    <w:rsid w:val="00A16BEB"/>
    <w:rsid w:val="00A2003B"/>
    <w:rsid w:val="00A217B9"/>
    <w:rsid w:val="00A21937"/>
    <w:rsid w:val="00A230E1"/>
    <w:rsid w:val="00A235A9"/>
    <w:rsid w:val="00A25643"/>
    <w:rsid w:val="00A25F1A"/>
    <w:rsid w:val="00A26D05"/>
    <w:rsid w:val="00A27956"/>
    <w:rsid w:val="00A27987"/>
    <w:rsid w:val="00A279F0"/>
    <w:rsid w:val="00A3124F"/>
    <w:rsid w:val="00A31D1C"/>
    <w:rsid w:val="00A322A2"/>
    <w:rsid w:val="00A3298A"/>
    <w:rsid w:val="00A330AB"/>
    <w:rsid w:val="00A34E6E"/>
    <w:rsid w:val="00A36D37"/>
    <w:rsid w:val="00A3746C"/>
    <w:rsid w:val="00A40862"/>
    <w:rsid w:val="00A40F34"/>
    <w:rsid w:val="00A4109F"/>
    <w:rsid w:val="00A419BF"/>
    <w:rsid w:val="00A420B4"/>
    <w:rsid w:val="00A432FD"/>
    <w:rsid w:val="00A43793"/>
    <w:rsid w:val="00A43B89"/>
    <w:rsid w:val="00A43BD2"/>
    <w:rsid w:val="00A4416D"/>
    <w:rsid w:val="00A44911"/>
    <w:rsid w:val="00A44AB2"/>
    <w:rsid w:val="00A4512D"/>
    <w:rsid w:val="00A459FB"/>
    <w:rsid w:val="00A463AB"/>
    <w:rsid w:val="00A46675"/>
    <w:rsid w:val="00A477F8"/>
    <w:rsid w:val="00A47858"/>
    <w:rsid w:val="00A47C15"/>
    <w:rsid w:val="00A50BC6"/>
    <w:rsid w:val="00A51A79"/>
    <w:rsid w:val="00A51CF4"/>
    <w:rsid w:val="00A5234C"/>
    <w:rsid w:val="00A5340A"/>
    <w:rsid w:val="00A54423"/>
    <w:rsid w:val="00A5686B"/>
    <w:rsid w:val="00A569BE"/>
    <w:rsid w:val="00A56F01"/>
    <w:rsid w:val="00A56FA8"/>
    <w:rsid w:val="00A57F2D"/>
    <w:rsid w:val="00A6044E"/>
    <w:rsid w:val="00A6054A"/>
    <w:rsid w:val="00A60DC7"/>
    <w:rsid w:val="00A6197B"/>
    <w:rsid w:val="00A626BC"/>
    <w:rsid w:val="00A63E29"/>
    <w:rsid w:val="00A64D27"/>
    <w:rsid w:val="00A652E5"/>
    <w:rsid w:val="00A65F2B"/>
    <w:rsid w:val="00A66039"/>
    <w:rsid w:val="00A66727"/>
    <w:rsid w:val="00A74EDF"/>
    <w:rsid w:val="00A80F3F"/>
    <w:rsid w:val="00A81D9C"/>
    <w:rsid w:val="00A8254A"/>
    <w:rsid w:val="00A8266A"/>
    <w:rsid w:val="00A84480"/>
    <w:rsid w:val="00A844D0"/>
    <w:rsid w:val="00A84AAB"/>
    <w:rsid w:val="00A853E2"/>
    <w:rsid w:val="00A85DBA"/>
    <w:rsid w:val="00A85FD8"/>
    <w:rsid w:val="00A877A1"/>
    <w:rsid w:val="00A87F62"/>
    <w:rsid w:val="00A91A67"/>
    <w:rsid w:val="00A9318F"/>
    <w:rsid w:val="00A93CE5"/>
    <w:rsid w:val="00A94128"/>
    <w:rsid w:val="00A949E2"/>
    <w:rsid w:val="00A94EE2"/>
    <w:rsid w:val="00A951B7"/>
    <w:rsid w:val="00A95D9D"/>
    <w:rsid w:val="00A962F9"/>
    <w:rsid w:val="00A9675F"/>
    <w:rsid w:val="00A9759A"/>
    <w:rsid w:val="00A979F6"/>
    <w:rsid w:val="00AA06FA"/>
    <w:rsid w:val="00AA07C1"/>
    <w:rsid w:val="00AA2CB7"/>
    <w:rsid w:val="00AA458A"/>
    <w:rsid w:val="00AA508A"/>
    <w:rsid w:val="00AA5889"/>
    <w:rsid w:val="00AA58B2"/>
    <w:rsid w:val="00AA5F34"/>
    <w:rsid w:val="00AA65C0"/>
    <w:rsid w:val="00AA6931"/>
    <w:rsid w:val="00AA6CE9"/>
    <w:rsid w:val="00AB12F1"/>
    <w:rsid w:val="00AB183A"/>
    <w:rsid w:val="00AB1929"/>
    <w:rsid w:val="00AB1A95"/>
    <w:rsid w:val="00AB3401"/>
    <w:rsid w:val="00AB3574"/>
    <w:rsid w:val="00AC10DE"/>
    <w:rsid w:val="00AC166A"/>
    <w:rsid w:val="00AC1922"/>
    <w:rsid w:val="00AC1D27"/>
    <w:rsid w:val="00AC37A1"/>
    <w:rsid w:val="00AC4319"/>
    <w:rsid w:val="00AC45D0"/>
    <w:rsid w:val="00AC7361"/>
    <w:rsid w:val="00AD1E04"/>
    <w:rsid w:val="00AD64D1"/>
    <w:rsid w:val="00AD6ACC"/>
    <w:rsid w:val="00AD6E5E"/>
    <w:rsid w:val="00AD723D"/>
    <w:rsid w:val="00AE06FA"/>
    <w:rsid w:val="00AE0A46"/>
    <w:rsid w:val="00AE1B50"/>
    <w:rsid w:val="00AE1B71"/>
    <w:rsid w:val="00AE2353"/>
    <w:rsid w:val="00AE23ED"/>
    <w:rsid w:val="00AE2BA6"/>
    <w:rsid w:val="00AE341F"/>
    <w:rsid w:val="00AE3621"/>
    <w:rsid w:val="00AE51B3"/>
    <w:rsid w:val="00AE5A18"/>
    <w:rsid w:val="00AE5ACD"/>
    <w:rsid w:val="00AE61C0"/>
    <w:rsid w:val="00AE6273"/>
    <w:rsid w:val="00AE6BBE"/>
    <w:rsid w:val="00AE78DC"/>
    <w:rsid w:val="00AF1464"/>
    <w:rsid w:val="00AF21BB"/>
    <w:rsid w:val="00AF21BE"/>
    <w:rsid w:val="00AF35B8"/>
    <w:rsid w:val="00AF3D3A"/>
    <w:rsid w:val="00AF46F3"/>
    <w:rsid w:val="00AF5AE6"/>
    <w:rsid w:val="00AF6191"/>
    <w:rsid w:val="00AF6C48"/>
    <w:rsid w:val="00B02586"/>
    <w:rsid w:val="00B03B9D"/>
    <w:rsid w:val="00B03DA4"/>
    <w:rsid w:val="00B046AA"/>
    <w:rsid w:val="00B05C5A"/>
    <w:rsid w:val="00B112E7"/>
    <w:rsid w:val="00B113C9"/>
    <w:rsid w:val="00B118B8"/>
    <w:rsid w:val="00B11F8A"/>
    <w:rsid w:val="00B1306C"/>
    <w:rsid w:val="00B13842"/>
    <w:rsid w:val="00B14EBB"/>
    <w:rsid w:val="00B151A1"/>
    <w:rsid w:val="00B168EC"/>
    <w:rsid w:val="00B206D8"/>
    <w:rsid w:val="00B20B55"/>
    <w:rsid w:val="00B23B99"/>
    <w:rsid w:val="00B24F67"/>
    <w:rsid w:val="00B257C3"/>
    <w:rsid w:val="00B25D3D"/>
    <w:rsid w:val="00B260FB"/>
    <w:rsid w:val="00B26E66"/>
    <w:rsid w:val="00B26F7A"/>
    <w:rsid w:val="00B27B4C"/>
    <w:rsid w:val="00B305E5"/>
    <w:rsid w:val="00B30697"/>
    <w:rsid w:val="00B31D5D"/>
    <w:rsid w:val="00B328AE"/>
    <w:rsid w:val="00B3457C"/>
    <w:rsid w:val="00B348CC"/>
    <w:rsid w:val="00B34A67"/>
    <w:rsid w:val="00B35589"/>
    <w:rsid w:val="00B36FAA"/>
    <w:rsid w:val="00B37F3E"/>
    <w:rsid w:val="00B406DE"/>
    <w:rsid w:val="00B40BB4"/>
    <w:rsid w:val="00B40C4A"/>
    <w:rsid w:val="00B4149F"/>
    <w:rsid w:val="00B4190B"/>
    <w:rsid w:val="00B41CDD"/>
    <w:rsid w:val="00B42200"/>
    <w:rsid w:val="00B47ACC"/>
    <w:rsid w:val="00B5177D"/>
    <w:rsid w:val="00B52087"/>
    <w:rsid w:val="00B53BEC"/>
    <w:rsid w:val="00B545E3"/>
    <w:rsid w:val="00B5474A"/>
    <w:rsid w:val="00B55315"/>
    <w:rsid w:val="00B557A9"/>
    <w:rsid w:val="00B55BA7"/>
    <w:rsid w:val="00B55EC6"/>
    <w:rsid w:val="00B55FE6"/>
    <w:rsid w:val="00B56710"/>
    <w:rsid w:val="00B56A32"/>
    <w:rsid w:val="00B57173"/>
    <w:rsid w:val="00B571B1"/>
    <w:rsid w:val="00B576D3"/>
    <w:rsid w:val="00B60604"/>
    <w:rsid w:val="00B607AE"/>
    <w:rsid w:val="00B60C56"/>
    <w:rsid w:val="00B61CA5"/>
    <w:rsid w:val="00B626F8"/>
    <w:rsid w:val="00B6315F"/>
    <w:rsid w:val="00B63C13"/>
    <w:rsid w:val="00B67629"/>
    <w:rsid w:val="00B67F21"/>
    <w:rsid w:val="00B70DF8"/>
    <w:rsid w:val="00B7140E"/>
    <w:rsid w:val="00B71617"/>
    <w:rsid w:val="00B7288D"/>
    <w:rsid w:val="00B73BA9"/>
    <w:rsid w:val="00B73DBC"/>
    <w:rsid w:val="00B73F53"/>
    <w:rsid w:val="00B7417C"/>
    <w:rsid w:val="00B74D52"/>
    <w:rsid w:val="00B762E3"/>
    <w:rsid w:val="00B7636F"/>
    <w:rsid w:val="00B763C2"/>
    <w:rsid w:val="00B76510"/>
    <w:rsid w:val="00B77762"/>
    <w:rsid w:val="00B80FA5"/>
    <w:rsid w:val="00B8153F"/>
    <w:rsid w:val="00B83A98"/>
    <w:rsid w:val="00B84B6E"/>
    <w:rsid w:val="00B85724"/>
    <w:rsid w:val="00B85D93"/>
    <w:rsid w:val="00B86BCE"/>
    <w:rsid w:val="00B86FD3"/>
    <w:rsid w:val="00B9017B"/>
    <w:rsid w:val="00B907CF"/>
    <w:rsid w:val="00B90B44"/>
    <w:rsid w:val="00B920BC"/>
    <w:rsid w:val="00B92FA3"/>
    <w:rsid w:val="00B9308B"/>
    <w:rsid w:val="00B942FA"/>
    <w:rsid w:val="00B9547E"/>
    <w:rsid w:val="00B9736A"/>
    <w:rsid w:val="00B97393"/>
    <w:rsid w:val="00B9765C"/>
    <w:rsid w:val="00BA08B0"/>
    <w:rsid w:val="00BA08BB"/>
    <w:rsid w:val="00BA20F0"/>
    <w:rsid w:val="00BA27E8"/>
    <w:rsid w:val="00BA2A4B"/>
    <w:rsid w:val="00BA2EAF"/>
    <w:rsid w:val="00BA2F45"/>
    <w:rsid w:val="00BB08B9"/>
    <w:rsid w:val="00BB10CF"/>
    <w:rsid w:val="00BB1768"/>
    <w:rsid w:val="00BB1BC2"/>
    <w:rsid w:val="00BB255F"/>
    <w:rsid w:val="00BB2A45"/>
    <w:rsid w:val="00BB59F5"/>
    <w:rsid w:val="00BB7DE5"/>
    <w:rsid w:val="00BC0080"/>
    <w:rsid w:val="00BC0637"/>
    <w:rsid w:val="00BC3107"/>
    <w:rsid w:val="00BC62D1"/>
    <w:rsid w:val="00BC6943"/>
    <w:rsid w:val="00BC78BB"/>
    <w:rsid w:val="00BC7B00"/>
    <w:rsid w:val="00BC7D8E"/>
    <w:rsid w:val="00BD0AC7"/>
    <w:rsid w:val="00BD2F39"/>
    <w:rsid w:val="00BD438E"/>
    <w:rsid w:val="00BD47AF"/>
    <w:rsid w:val="00BD7847"/>
    <w:rsid w:val="00BE1F8E"/>
    <w:rsid w:val="00BE4EAC"/>
    <w:rsid w:val="00BE50CA"/>
    <w:rsid w:val="00BE543D"/>
    <w:rsid w:val="00BE560E"/>
    <w:rsid w:val="00BE5E3A"/>
    <w:rsid w:val="00BE7935"/>
    <w:rsid w:val="00BF1193"/>
    <w:rsid w:val="00BF165F"/>
    <w:rsid w:val="00BF1F15"/>
    <w:rsid w:val="00BF2ED6"/>
    <w:rsid w:val="00BF3438"/>
    <w:rsid w:val="00BF37AB"/>
    <w:rsid w:val="00BF39F0"/>
    <w:rsid w:val="00BF3FC7"/>
    <w:rsid w:val="00BF4181"/>
    <w:rsid w:val="00BF45AC"/>
    <w:rsid w:val="00BF5347"/>
    <w:rsid w:val="00BF539F"/>
    <w:rsid w:val="00BF5B29"/>
    <w:rsid w:val="00BF64FE"/>
    <w:rsid w:val="00BF6621"/>
    <w:rsid w:val="00BF781A"/>
    <w:rsid w:val="00BF797A"/>
    <w:rsid w:val="00BF7F61"/>
    <w:rsid w:val="00C0064E"/>
    <w:rsid w:val="00C017B3"/>
    <w:rsid w:val="00C017BA"/>
    <w:rsid w:val="00C02A17"/>
    <w:rsid w:val="00C0413B"/>
    <w:rsid w:val="00C04E94"/>
    <w:rsid w:val="00C05ACD"/>
    <w:rsid w:val="00C05B29"/>
    <w:rsid w:val="00C05FEA"/>
    <w:rsid w:val="00C0634E"/>
    <w:rsid w:val="00C10BD5"/>
    <w:rsid w:val="00C11929"/>
    <w:rsid w:val="00C11A56"/>
    <w:rsid w:val="00C12F1A"/>
    <w:rsid w:val="00C139B9"/>
    <w:rsid w:val="00C157BA"/>
    <w:rsid w:val="00C159DF"/>
    <w:rsid w:val="00C15C0B"/>
    <w:rsid w:val="00C16093"/>
    <w:rsid w:val="00C16CC2"/>
    <w:rsid w:val="00C17D59"/>
    <w:rsid w:val="00C20636"/>
    <w:rsid w:val="00C20E30"/>
    <w:rsid w:val="00C217CD"/>
    <w:rsid w:val="00C22ED5"/>
    <w:rsid w:val="00C22F0D"/>
    <w:rsid w:val="00C23564"/>
    <w:rsid w:val="00C23DBC"/>
    <w:rsid w:val="00C24FFE"/>
    <w:rsid w:val="00C25BCB"/>
    <w:rsid w:val="00C25E79"/>
    <w:rsid w:val="00C300D5"/>
    <w:rsid w:val="00C3033F"/>
    <w:rsid w:val="00C30E80"/>
    <w:rsid w:val="00C3236A"/>
    <w:rsid w:val="00C34F94"/>
    <w:rsid w:val="00C35FA4"/>
    <w:rsid w:val="00C3694D"/>
    <w:rsid w:val="00C37440"/>
    <w:rsid w:val="00C40404"/>
    <w:rsid w:val="00C407F4"/>
    <w:rsid w:val="00C4091B"/>
    <w:rsid w:val="00C41188"/>
    <w:rsid w:val="00C419E0"/>
    <w:rsid w:val="00C44095"/>
    <w:rsid w:val="00C44985"/>
    <w:rsid w:val="00C453CA"/>
    <w:rsid w:val="00C45926"/>
    <w:rsid w:val="00C45A5B"/>
    <w:rsid w:val="00C45BDD"/>
    <w:rsid w:val="00C45D99"/>
    <w:rsid w:val="00C468C9"/>
    <w:rsid w:val="00C50E7F"/>
    <w:rsid w:val="00C50ED5"/>
    <w:rsid w:val="00C51EA5"/>
    <w:rsid w:val="00C51EDF"/>
    <w:rsid w:val="00C51EF9"/>
    <w:rsid w:val="00C52288"/>
    <w:rsid w:val="00C52336"/>
    <w:rsid w:val="00C52B7F"/>
    <w:rsid w:val="00C53F39"/>
    <w:rsid w:val="00C5485F"/>
    <w:rsid w:val="00C5490B"/>
    <w:rsid w:val="00C551A8"/>
    <w:rsid w:val="00C55592"/>
    <w:rsid w:val="00C55EB9"/>
    <w:rsid w:val="00C56434"/>
    <w:rsid w:val="00C56786"/>
    <w:rsid w:val="00C56AB3"/>
    <w:rsid w:val="00C56D2F"/>
    <w:rsid w:val="00C57A60"/>
    <w:rsid w:val="00C61304"/>
    <w:rsid w:val="00C621FD"/>
    <w:rsid w:val="00C624A7"/>
    <w:rsid w:val="00C6321F"/>
    <w:rsid w:val="00C652A1"/>
    <w:rsid w:val="00C65621"/>
    <w:rsid w:val="00C6629F"/>
    <w:rsid w:val="00C7107B"/>
    <w:rsid w:val="00C734A0"/>
    <w:rsid w:val="00C73E9C"/>
    <w:rsid w:val="00C76CBD"/>
    <w:rsid w:val="00C777E1"/>
    <w:rsid w:val="00C77DD5"/>
    <w:rsid w:val="00C80504"/>
    <w:rsid w:val="00C80F6F"/>
    <w:rsid w:val="00C818D2"/>
    <w:rsid w:val="00C83E69"/>
    <w:rsid w:val="00C83F97"/>
    <w:rsid w:val="00C84C33"/>
    <w:rsid w:val="00C85271"/>
    <w:rsid w:val="00C8553E"/>
    <w:rsid w:val="00C855E7"/>
    <w:rsid w:val="00C87C49"/>
    <w:rsid w:val="00C87CC4"/>
    <w:rsid w:val="00C90D6A"/>
    <w:rsid w:val="00C9281B"/>
    <w:rsid w:val="00C9353A"/>
    <w:rsid w:val="00C94162"/>
    <w:rsid w:val="00C95325"/>
    <w:rsid w:val="00C95A1B"/>
    <w:rsid w:val="00C95B82"/>
    <w:rsid w:val="00C95BA5"/>
    <w:rsid w:val="00C961E4"/>
    <w:rsid w:val="00C97435"/>
    <w:rsid w:val="00CA021C"/>
    <w:rsid w:val="00CA2460"/>
    <w:rsid w:val="00CA2F4C"/>
    <w:rsid w:val="00CA3AED"/>
    <w:rsid w:val="00CA3BE3"/>
    <w:rsid w:val="00CA40AA"/>
    <w:rsid w:val="00CA4E35"/>
    <w:rsid w:val="00CA5C57"/>
    <w:rsid w:val="00CA721E"/>
    <w:rsid w:val="00CB0A93"/>
    <w:rsid w:val="00CB1B9C"/>
    <w:rsid w:val="00CB273E"/>
    <w:rsid w:val="00CB2A3E"/>
    <w:rsid w:val="00CB2CB8"/>
    <w:rsid w:val="00CB3715"/>
    <w:rsid w:val="00CB43AC"/>
    <w:rsid w:val="00CB540E"/>
    <w:rsid w:val="00CB6AAC"/>
    <w:rsid w:val="00CB6DF9"/>
    <w:rsid w:val="00CB7347"/>
    <w:rsid w:val="00CC0048"/>
    <w:rsid w:val="00CC010C"/>
    <w:rsid w:val="00CC1524"/>
    <w:rsid w:val="00CC20C8"/>
    <w:rsid w:val="00CC2BE1"/>
    <w:rsid w:val="00CC4AFD"/>
    <w:rsid w:val="00CC5F69"/>
    <w:rsid w:val="00CC621D"/>
    <w:rsid w:val="00CC6BAD"/>
    <w:rsid w:val="00CD0115"/>
    <w:rsid w:val="00CD12E8"/>
    <w:rsid w:val="00CD1669"/>
    <w:rsid w:val="00CD1CDC"/>
    <w:rsid w:val="00CD22D4"/>
    <w:rsid w:val="00CD2457"/>
    <w:rsid w:val="00CD41D5"/>
    <w:rsid w:val="00CD5337"/>
    <w:rsid w:val="00CD5BF4"/>
    <w:rsid w:val="00CD5DD1"/>
    <w:rsid w:val="00CD693A"/>
    <w:rsid w:val="00CD7C85"/>
    <w:rsid w:val="00CE124F"/>
    <w:rsid w:val="00CE32FC"/>
    <w:rsid w:val="00CE3CD6"/>
    <w:rsid w:val="00CE43FB"/>
    <w:rsid w:val="00CE4910"/>
    <w:rsid w:val="00CE5236"/>
    <w:rsid w:val="00CE5A84"/>
    <w:rsid w:val="00CE61C0"/>
    <w:rsid w:val="00CE648C"/>
    <w:rsid w:val="00CF144E"/>
    <w:rsid w:val="00CF198A"/>
    <w:rsid w:val="00CF1E76"/>
    <w:rsid w:val="00CF354D"/>
    <w:rsid w:val="00CF405F"/>
    <w:rsid w:val="00CF53E9"/>
    <w:rsid w:val="00CF6A4B"/>
    <w:rsid w:val="00CF7A27"/>
    <w:rsid w:val="00D00677"/>
    <w:rsid w:val="00D00ECD"/>
    <w:rsid w:val="00D042C5"/>
    <w:rsid w:val="00D0472C"/>
    <w:rsid w:val="00D05231"/>
    <w:rsid w:val="00D05F12"/>
    <w:rsid w:val="00D063E4"/>
    <w:rsid w:val="00D068F8"/>
    <w:rsid w:val="00D06C94"/>
    <w:rsid w:val="00D07991"/>
    <w:rsid w:val="00D11473"/>
    <w:rsid w:val="00D11E06"/>
    <w:rsid w:val="00D11EFB"/>
    <w:rsid w:val="00D12F86"/>
    <w:rsid w:val="00D1358E"/>
    <w:rsid w:val="00D13938"/>
    <w:rsid w:val="00D13CDC"/>
    <w:rsid w:val="00D13F11"/>
    <w:rsid w:val="00D168E7"/>
    <w:rsid w:val="00D1698E"/>
    <w:rsid w:val="00D200AC"/>
    <w:rsid w:val="00D20239"/>
    <w:rsid w:val="00D22139"/>
    <w:rsid w:val="00D22C4A"/>
    <w:rsid w:val="00D242B3"/>
    <w:rsid w:val="00D244D4"/>
    <w:rsid w:val="00D24C10"/>
    <w:rsid w:val="00D25DA4"/>
    <w:rsid w:val="00D26781"/>
    <w:rsid w:val="00D27D5D"/>
    <w:rsid w:val="00D27F6F"/>
    <w:rsid w:val="00D30B13"/>
    <w:rsid w:val="00D30C26"/>
    <w:rsid w:val="00D30C69"/>
    <w:rsid w:val="00D310A4"/>
    <w:rsid w:val="00D3474E"/>
    <w:rsid w:val="00D347D9"/>
    <w:rsid w:val="00D34EA3"/>
    <w:rsid w:val="00D351A6"/>
    <w:rsid w:val="00D351A9"/>
    <w:rsid w:val="00D35547"/>
    <w:rsid w:val="00D36766"/>
    <w:rsid w:val="00D3685B"/>
    <w:rsid w:val="00D36AA8"/>
    <w:rsid w:val="00D3754E"/>
    <w:rsid w:val="00D37846"/>
    <w:rsid w:val="00D42B76"/>
    <w:rsid w:val="00D435DA"/>
    <w:rsid w:val="00D43636"/>
    <w:rsid w:val="00D43EBA"/>
    <w:rsid w:val="00D44C35"/>
    <w:rsid w:val="00D4507E"/>
    <w:rsid w:val="00D452C8"/>
    <w:rsid w:val="00D45B85"/>
    <w:rsid w:val="00D46CE9"/>
    <w:rsid w:val="00D4736F"/>
    <w:rsid w:val="00D50475"/>
    <w:rsid w:val="00D51E5B"/>
    <w:rsid w:val="00D522CA"/>
    <w:rsid w:val="00D52A0C"/>
    <w:rsid w:val="00D555D3"/>
    <w:rsid w:val="00D55732"/>
    <w:rsid w:val="00D55BA2"/>
    <w:rsid w:val="00D5638F"/>
    <w:rsid w:val="00D573E6"/>
    <w:rsid w:val="00D57752"/>
    <w:rsid w:val="00D579B9"/>
    <w:rsid w:val="00D60388"/>
    <w:rsid w:val="00D60DDA"/>
    <w:rsid w:val="00D61850"/>
    <w:rsid w:val="00D63DA8"/>
    <w:rsid w:val="00D66638"/>
    <w:rsid w:val="00D6708A"/>
    <w:rsid w:val="00D67197"/>
    <w:rsid w:val="00D704BC"/>
    <w:rsid w:val="00D70E28"/>
    <w:rsid w:val="00D71081"/>
    <w:rsid w:val="00D71B0B"/>
    <w:rsid w:val="00D7215E"/>
    <w:rsid w:val="00D72B48"/>
    <w:rsid w:val="00D72B7E"/>
    <w:rsid w:val="00D73AE8"/>
    <w:rsid w:val="00D74FA8"/>
    <w:rsid w:val="00D75C67"/>
    <w:rsid w:val="00D772A0"/>
    <w:rsid w:val="00D774D6"/>
    <w:rsid w:val="00D806B2"/>
    <w:rsid w:val="00D80735"/>
    <w:rsid w:val="00D807CD"/>
    <w:rsid w:val="00D80D8E"/>
    <w:rsid w:val="00D81CD9"/>
    <w:rsid w:val="00D823AE"/>
    <w:rsid w:val="00D827FB"/>
    <w:rsid w:val="00D82890"/>
    <w:rsid w:val="00D8458D"/>
    <w:rsid w:val="00D84DAE"/>
    <w:rsid w:val="00D86A53"/>
    <w:rsid w:val="00D90380"/>
    <w:rsid w:val="00D906E9"/>
    <w:rsid w:val="00D91D8D"/>
    <w:rsid w:val="00D921C6"/>
    <w:rsid w:val="00D92CC2"/>
    <w:rsid w:val="00D94284"/>
    <w:rsid w:val="00D9432B"/>
    <w:rsid w:val="00D945E4"/>
    <w:rsid w:val="00D94F63"/>
    <w:rsid w:val="00D963BA"/>
    <w:rsid w:val="00D975DF"/>
    <w:rsid w:val="00DA0A6A"/>
    <w:rsid w:val="00DA0F61"/>
    <w:rsid w:val="00DA1CE7"/>
    <w:rsid w:val="00DA34F5"/>
    <w:rsid w:val="00DA3B6D"/>
    <w:rsid w:val="00DA443F"/>
    <w:rsid w:val="00DA7405"/>
    <w:rsid w:val="00DB2BDE"/>
    <w:rsid w:val="00DB3AE3"/>
    <w:rsid w:val="00DB3CD4"/>
    <w:rsid w:val="00DB40DE"/>
    <w:rsid w:val="00DB4B87"/>
    <w:rsid w:val="00DB5239"/>
    <w:rsid w:val="00DB788B"/>
    <w:rsid w:val="00DB7BA1"/>
    <w:rsid w:val="00DB7DC6"/>
    <w:rsid w:val="00DB7E73"/>
    <w:rsid w:val="00DC2084"/>
    <w:rsid w:val="00DC20B0"/>
    <w:rsid w:val="00DC29A4"/>
    <w:rsid w:val="00DC3E79"/>
    <w:rsid w:val="00DC41A2"/>
    <w:rsid w:val="00DC4494"/>
    <w:rsid w:val="00DC45E4"/>
    <w:rsid w:val="00DC5B50"/>
    <w:rsid w:val="00DC683F"/>
    <w:rsid w:val="00DD1252"/>
    <w:rsid w:val="00DD2E3C"/>
    <w:rsid w:val="00DD3412"/>
    <w:rsid w:val="00DD5945"/>
    <w:rsid w:val="00DD5B77"/>
    <w:rsid w:val="00DE121F"/>
    <w:rsid w:val="00DE14FB"/>
    <w:rsid w:val="00DE2A8D"/>
    <w:rsid w:val="00DE30F1"/>
    <w:rsid w:val="00DE34FB"/>
    <w:rsid w:val="00DE3DA2"/>
    <w:rsid w:val="00DE6CC2"/>
    <w:rsid w:val="00DF1DEF"/>
    <w:rsid w:val="00DF36A7"/>
    <w:rsid w:val="00DF3DE3"/>
    <w:rsid w:val="00DF465A"/>
    <w:rsid w:val="00DF5271"/>
    <w:rsid w:val="00DF667F"/>
    <w:rsid w:val="00DF7FA6"/>
    <w:rsid w:val="00E01468"/>
    <w:rsid w:val="00E0196A"/>
    <w:rsid w:val="00E01C42"/>
    <w:rsid w:val="00E02389"/>
    <w:rsid w:val="00E02DCA"/>
    <w:rsid w:val="00E03573"/>
    <w:rsid w:val="00E03986"/>
    <w:rsid w:val="00E03BEE"/>
    <w:rsid w:val="00E05744"/>
    <w:rsid w:val="00E05BCD"/>
    <w:rsid w:val="00E05E8F"/>
    <w:rsid w:val="00E07F74"/>
    <w:rsid w:val="00E10576"/>
    <w:rsid w:val="00E105E7"/>
    <w:rsid w:val="00E106C1"/>
    <w:rsid w:val="00E11395"/>
    <w:rsid w:val="00E12E61"/>
    <w:rsid w:val="00E14250"/>
    <w:rsid w:val="00E14814"/>
    <w:rsid w:val="00E172AA"/>
    <w:rsid w:val="00E176E1"/>
    <w:rsid w:val="00E20437"/>
    <w:rsid w:val="00E20953"/>
    <w:rsid w:val="00E216CF"/>
    <w:rsid w:val="00E22A1F"/>
    <w:rsid w:val="00E22C21"/>
    <w:rsid w:val="00E22E58"/>
    <w:rsid w:val="00E24AB3"/>
    <w:rsid w:val="00E25F83"/>
    <w:rsid w:val="00E2633A"/>
    <w:rsid w:val="00E26939"/>
    <w:rsid w:val="00E27C1E"/>
    <w:rsid w:val="00E27FA1"/>
    <w:rsid w:val="00E31CB4"/>
    <w:rsid w:val="00E3230C"/>
    <w:rsid w:val="00E32B0C"/>
    <w:rsid w:val="00E33A68"/>
    <w:rsid w:val="00E341F1"/>
    <w:rsid w:val="00E34B45"/>
    <w:rsid w:val="00E3636E"/>
    <w:rsid w:val="00E36501"/>
    <w:rsid w:val="00E37051"/>
    <w:rsid w:val="00E372AF"/>
    <w:rsid w:val="00E372D9"/>
    <w:rsid w:val="00E37696"/>
    <w:rsid w:val="00E40AED"/>
    <w:rsid w:val="00E44733"/>
    <w:rsid w:val="00E44C36"/>
    <w:rsid w:val="00E462B6"/>
    <w:rsid w:val="00E4680B"/>
    <w:rsid w:val="00E46BE0"/>
    <w:rsid w:val="00E47D2E"/>
    <w:rsid w:val="00E50701"/>
    <w:rsid w:val="00E510BB"/>
    <w:rsid w:val="00E51159"/>
    <w:rsid w:val="00E5153B"/>
    <w:rsid w:val="00E51F0C"/>
    <w:rsid w:val="00E5231E"/>
    <w:rsid w:val="00E53CED"/>
    <w:rsid w:val="00E55390"/>
    <w:rsid w:val="00E61079"/>
    <w:rsid w:val="00E61657"/>
    <w:rsid w:val="00E6213E"/>
    <w:rsid w:val="00E62B2A"/>
    <w:rsid w:val="00E636D2"/>
    <w:rsid w:val="00E65372"/>
    <w:rsid w:val="00E65ABD"/>
    <w:rsid w:val="00E664E9"/>
    <w:rsid w:val="00E67024"/>
    <w:rsid w:val="00E67C75"/>
    <w:rsid w:val="00E67F46"/>
    <w:rsid w:val="00E7005E"/>
    <w:rsid w:val="00E70EA4"/>
    <w:rsid w:val="00E71135"/>
    <w:rsid w:val="00E738C6"/>
    <w:rsid w:val="00E74AEB"/>
    <w:rsid w:val="00E7518B"/>
    <w:rsid w:val="00E75460"/>
    <w:rsid w:val="00E77178"/>
    <w:rsid w:val="00E77FF9"/>
    <w:rsid w:val="00E809FD"/>
    <w:rsid w:val="00E82420"/>
    <w:rsid w:val="00E82B0C"/>
    <w:rsid w:val="00E843D6"/>
    <w:rsid w:val="00E84C66"/>
    <w:rsid w:val="00E8524C"/>
    <w:rsid w:val="00E8575E"/>
    <w:rsid w:val="00E85E42"/>
    <w:rsid w:val="00E86334"/>
    <w:rsid w:val="00E86555"/>
    <w:rsid w:val="00E86831"/>
    <w:rsid w:val="00E86AC3"/>
    <w:rsid w:val="00E86C0E"/>
    <w:rsid w:val="00E86DE3"/>
    <w:rsid w:val="00E86E12"/>
    <w:rsid w:val="00E90B9C"/>
    <w:rsid w:val="00E911E0"/>
    <w:rsid w:val="00E91399"/>
    <w:rsid w:val="00E92225"/>
    <w:rsid w:val="00E96BC9"/>
    <w:rsid w:val="00E9752B"/>
    <w:rsid w:val="00E97BD7"/>
    <w:rsid w:val="00E97DCA"/>
    <w:rsid w:val="00EA1038"/>
    <w:rsid w:val="00EA1B60"/>
    <w:rsid w:val="00EA23EC"/>
    <w:rsid w:val="00EA2670"/>
    <w:rsid w:val="00EA339D"/>
    <w:rsid w:val="00EA355B"/>
    <w:rsid w:val="00EA3678"/>
    <w:rsid w:val="00EA4438"/>
    <w:rsid w:val="00EA4BE4"/>
    <w:rsid w:val="00EA4C55"/>
    <w:rsid w:val="00EA5DA6"/>
    <w:rsid w:val="00EA6D58"/>
    <w:rsid w:val="00EA72DC"/>
    <w:rsid w:val="00EA75CF"/>
    <w:rsid w:val="00EB0625"/>
    <w:rsid w:val="00EB2856"/>
    <w:rsid w:val="00EB38FA"/>
    <w:rsid w:val="00EB4B3F"/>
    <w:rsid w:val="00EB4B79"/>
    <w:rsid w:val="00EB58CC"/>
    <w:rsid w:val="00EC000C"/>
    <w:rsid w:val="00EC02FE"/>
    <w:rsid w:val="00EC08A2"/>
    <w:rsid w:val="00EC0C31"/>
    <w:rsid w:val="00EC2569"/>
    <w:rsid w:val="00EC41E8"/>
    <w:rsid w:val="00EC53C7"/>
    <w:rsid w:val="00EC649B"/>
    <w:rsid w:val="00EC6601"/>
    <w:rsid w:val="00EC7496"/>
    <w:rsid w:val="00ED04DD"/>
    <w:rsid w:val="00ED05B9"/>
    <w:rsid w:val="00ED0D78"/>
    <w:rsid w:val="00ED211E"/>
    <w:rsid w:val="00ED3205"/>
    <w:rsid w:val="00ED38B0"/>
    <w:rsid w:val="00ED4AED"/>
    <w:rsid w:val="00ED4DC4"/>
    <w:rsid w:val="00ED6045"/>
    <w:rsid w:val="00ED74DF"/>
    <w:rsid w:val="00ED770F"/>
    <w:rsid w:val="00ED7942"/>
    <w:rsid w:val="00EE0FDE"/>
    <w:rsid w:val="00EE148F"/>
    <w:rsid w:val="00EE2562"/>
    <w:rsid w:val="00EE25AA"/>
    <w:rsid w:val="00EE2626"/>
    <w:rsid w:val="00EE31BC"/>
    <w:rsid w:val="00EE37D7"/>
    <w:rsid w:val="00EE3FDF"/>
    <w:rsid w:val="00EE491F"/>
    <w:rsid w:val="00EE4EC1"/>
    <w:rsid w:val="00EE70E7"/>
    <w:rsid w:val="00EE71D7"/>
    <w:rsid w:val="00EE7950"/>
    <w:rsid w:val="00EF098C"/>
    <w:rsid w:val="00EF1146"/>
    <w:rsid w:val="00EF16CC"/>
    <w:rsid w:val="00EF244D"/>
    <w:rsid w:val="00EF2822"/>
    <w:rsid w:val="00EF31AA"/>
    <w:rsid w:val="00EF3984"/>
    <w:rsid w:val="00EF3D29"/>
    <w:rsid w:val="00EF4B13"/>
    <w:rsid w:val="00EF52B8"/>
    <w:rsid w:val="00EF6103"/>
    <w:rsid w:val="00EF67E8"/>
    <w:rsid w:val="00EF6BF1"/>
    <w:rsid w:val="00EF75E2"/>
    <w:rsid w:val="00EF772A"/>
    <w:rsid w:val="00EF786D"/>
    <w:rsid w:val="00F00134"/>
    <w:rsid w:val="00F01EB1"/>
    <w:rsid w:val="00F01F52"/>
    <w:rsid w:val="00F036AA"/>
    <w:rsid w:val="00F03F96"/>
    <w:rsid w:val="00F05180"/>
    <w:rsid w:val="00F05D0F"/>
    <w:rsid w:val="00F06724"/>
    <w:rsid w:val="00F06D11"/>
    <w:rsid w:val="00F07231"/>
    <w:rsid w:val="00F07846"/>
    <w:rsid w:val="00F123A3"/>
    <w:rsid w:val="00F1395E"/>
    <w:rsid w:val="00F1523D"/>
    <w:rsid w:val="00F17EC6"/>
    <w:rsid w:val="00F20138"/>
    <w:rsid w:val="00F203B4"/>
    <w:rsid w:val="00F207BD"/>
    <w:rsid w:val="00F237AE"/>
    <w:rsid w:val="00F24C76"/>
    <w:rsid w:val="00F25524"/>
    <w:rsid w:val="00F26244"/>
    <w:rsid w:val="00F26F14"/>
    <w:rsid w:val="00F273C8"/>
    <w:rsid w:val="00F275B8"/>
    <w:rsid w:val="00F27FDA"/>
    <w:rsid w:val="00F310C5"/>
    <w:rsid w:val="00F313F1"/>
    <w:rsid w:val="00F316E5"/>
    <w:rsid w:val="00F32F10"/>
    <w:rsid w:val="00F35752"/>
    <w:rsid w:val="00F35B2A"/>
    <w:rsid w:val="00F35EDC"/>
    <w:rsid w:val="00F366D7"/>
    <w:rsid w:val="00F370AB"/>
    <w:rsid w:val="00F370D9"/>
    <w:rsid w:val="00F376CD"/>
    <w:rsid w:val="00F40FDB"/>
    <w:rsid w:val="00F41B45"/>
    <w:rsid w:val="00F425BF"/>
    <w:rsid w:val="00F43017"/>
    <w:rsid w:val="00F4405C"/>
    <w:rsid w:val="00F449E9"/>
    <w:rsid w:val="00F44A16"/>
    <w:rsid w:val="00F46EBD"/>
    <w:rsid w:val="00F4712A"/>
    <w:rsid w:val="00F52378"/>
    <w:rsid w:val="00F52692"/>
    <w:rsid w:val="00F533F7"/>
    <w:rsid w:val="00F5376A"/>
    <w:rsid w:val="00F55251"/>
    <w:rsid w:val="00F56648"/>
    <w:rsid w:val="00F6067E"/>
    <w:rsid w:val="00F60B5F"/>
    <w:rsid w:val="00F61900"/>
    <w:rsid w:val="00F61A12"/>
    <w:rsid w:val="00F629CF"/>
    <w:rsid w:val="00F64032"/>
    <w:rsid w:val="00F648EF"/>
    <w:rsid w:val="00F64C5F"/>
    <w:rsid w:val="00F65784"/>
    <w:rsid w:val="00F6638A"/>
    <w:rsid w:val="00F666BB"/>
    <w:rsid w:val="00F66E0B"/>
    <w:rsid w:val="00F67C32"/>
    <w:rsid w:val="00F70AB2"/>
    <w:rsid w:val="00F714D3"/>
    <w:rsid w:val="00F72963"/>
    <w:rsid w:val="00F74269"/>
    <w:rsid w:val="00F752EC"/>
    <w:rsid w:val="00F76C1B"/>
    <w:rsid w:val="00F7780D"/>
    <w:rsid w:val="00F820AE"/>
    <w:rsid w:val="00F82DD3"/>
    <w:rsid w:val="00F83E36"/>
    <w:rsid w:val="00F8525D"/>
    <w:rsid w:val="00F85AC0"/>
    <w:rsid w:val="00F85D30"/>
    <w:rsid w:val="00F865BA"/>
    <w:rsid w:val="00F8704E"/>
    <w:rsid w:val="00F90D70"/>
    <w:rsid w:val="00F92E0E"/>
    <w:rsid w:val="00F93ED8"/>
    <w:rsid w:val="00F93F9C"/>
    <w:rsid w:val="00F942D9"/>
    <w:rsid w:val="00F944B0"/>
    <w:rsid w:val="00F94E51"/>
    <w:rsid w:val="00F9578C"/>
    <w:rsid w:val="00F95EB1"/>
    <w:rsid w:val="00FA126E"/>
    <w:rsid w:val="00FA172B"/>
    <w:rsid w:val="00FA33C3"/>
    <w:rsid w:val="00FA3801"/>
    <w:rsid w:val="00FA6862"/>
    <w:rsid w:val="00FA6EDD"/>
    <w:rsid w:val="00FB033E"/>
    <w:rsid w:val="00FB21C6"/>
    <w:rsid w:val="00FB2D51"/>
    <w:rsid w:val="00FB45A3"/>
    <w:rsid w:val="00FB5111"/>
    <w:rsid w:val="00FB6240"/>
    <w:rsid w:val="00FB65F0"/>
    <w:rsid w:val="00FB699E"/>
    <w:rsid w:val="00FB6B5E"/>
    <w:rsid w:val="00FB7A2B"/>
    <w:rsid w:val="00FB7DE8"/>
    <w:rsid w:val="00FC1770"/>
    <w:rsid w:val="00FC1C55"/>
    <w:rsid w:val="00FC1F86"/>
    <w:rsid w:val="00FC272D"/>
    <w:rsid w:val="00FC279C"/>
    <w:rsid w:val="00FC2902"/>
    <w:rsid w:val="00FC3873"/>
    <w:rsid w:val="00FC38CD"/>
    <w:rsid w:val="00FC39BD"/>
    <w:rsid w:val="00FC44DD"/>
    <w:rsid w:val="00FC4B2F"/>
    <w:rsid w:val="00FD03D7"/>
    <w:rsid w:val="00FD2744"/>
    <w:rsid w:val="00FD3DC2"/>
    <w:rsid w:val="00FD60A9"/>
    <w:rsid w:val="00FD6D25"/>
    <w:rsid w:val="00FD7789"/>
    <w:rsid w:val="00FE1146"/>
    <w:rsid w:val="00FE1CC4"/>
    <w:rsid w:val="00FE3230"/>
    <w:rsid w:val="00FE3290"/>
    <w:rsid w:val="00FE482C"/>
    <w:rsid w:val="00FE4CDA"/>
    <w:rsid w:val="00FE513A"/>
    <w:rsid w:val="00FE5178"/>
    <w:rsid w:val="00FE54FC"/>
    <w:rsid w:val="00FE6CE3"/>
    <w:rsid w:val="00FE7705"/>
    <w:rsid w:val="00FF0150"/>
    <w:rsid w:val="00FF0767"/>
    <w:rsid w:val="00FF101E"/>
    <w:rsid w:val="00FF140D"/>
    <w:rsid w:val="00FF2151"/>
    <w:rsid w:val="00FF297E"/>
    <w:rsid w:val="00FF354A"/>
    <w:rsid w:val="00FF396E"/>
    <w:rsid w:val="00FF5667"/>
    <w:rsid w:val="00FF60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F76738"/>
  <w15:docId w15:val="{228EBAFB-F127-4328-A1C9-C93EC95D8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E86C0E"/>
    <w:pPr>
      <w:spacing w:line="264" w:lineRule="auto"/>
    </w:pPr>
    <w:rPr>
      <w:rFonts w:ascii="Arial" w:hAnsi="Arial"/>
      <w:szCs w:val="24"/>
    </w:rPr>
  </w:style>
  <w:style w:type="paragraph" w:styleId="Heading1">
    <w:name w:val="heading 1"/>
    <w:basedOn w:val="Normal"/>
    <w:next w:val="Normal"/>
    <w:link w:val="Heading1Char"/>
    <w:qFormat/>
    <w:rsid w:val="001D06CD"/>
    <w:pPr>
      <w:keepNext/>
      <w:keepLines/>
      <w:pageBreakBefore/>
      <w:numPr>
        <w:numId w:val="24"/>
      </w:numPr>
      <w:spacing w:before="360" w:after="240" w:line="240" w:lineRule="auto"/>
      <w:outlineLvl w:val="0"/>
    </w:pPr>
    <w:rPr>
      <w:rFonts w:ascii="Arial Bold" w:hAnsi="Arial Bold" w:cs="Arial"/>
      <w:b/>
      <w:bCs/>
      <w:caps/>
      <w:color w:val="95D600"/>
      <w:kern w:val="28"/>
      <w:position w:val="6"/>
      <w:sz w:val="28"/>
      <w:szCs w:val="26"/>
    </w:rPr>
  </w:style>
  <w:style w:type="paragraph" w:styleId="Heading2">
    <w:name w:val="heading 2"/>
    <w:basedOn w:val="Normal"/>
    <w:next w:val="Normal"/>
    <w:link w:val="Heading2Char"/>
    <w:qFormat/>
    <w:rsid w:val="001D06CD"/>
    <w:pPr>
      <w:keepNext/>
      <w:numPr>
        <w:ilvl w:val="1"/>
        <w:numId w:val="24"/>
      </w:numPr>
      <w:spacing w:before="360" w:after="240"/>
      <w:outlineLvl w:val="1"/>
    </w:pPr>
    <w:rPr>
      <w:rFonts w:ascii="Arial Bold" w:hAnsi="Arial Bold" w:cs="Arial"/>
      <w:b/>
      <w:bCs/>
      <w:iCs/>
      <w:color w:val="555759"/>
      <w:sz w:val="26"/>
      <w:szCs w:val="26"/>
    </w:rPr>
  </w:style>
  <w:style w:type="paragraph" w:styleId="Heading3">
    <w:name w:val="heading 3"/>
    <w:basedOn w:val="Normal"/>
    <w:next w:val="Normal"/>
    <w:link w:val="Heading3Char"/>
    <w:qFormat/>
    <w:rsid w:val="006807F5"/>
    <w:pPr>
      <w:keepNext/>
      <w:numPr>
        <w:ilvl w:val="2"/>
        <w:numId w:val="24"/>
      </w:numPr>
      <w:spacing w:before="360" w:after="240" w:line="240" w:lineRule="auto"/>
      <w:ind w:left="0" w:firstLine="0"/>
      <w:outlineLvl w:val="2"/>
    </w:pPr>
    <w:rPr>
      <w:rFonts w:cs="Arial"/>
      <w:b/>
      <w:bCs/>
      <w:i/>
      <w:color w:val="555759"/>
      <w:sz w:val="22"/>
      <w:szCs w:val="26"/>
    </w:rPr>
  </w:style>
  <w:style w:type="paragraph" w:styleId="Heading4">
    <w:name w:val="heading 4"/>
    <w:basedOn w:val="Normal"/>
    <w:next w:val="Normal"/>
    <w:link w:val="Heading4Char"/>
    <w:unhideWhenUsed/>
    <w:qFormat/>
    <w:rsid w:val="00A43793"/>
    <w:pPr>
      <w:keepNext/>
      <w:keepLines/>
      <w:numPr>
        <w:ilvl w:val="3"/>
        <w:numId w:val="24"/>
      </w:numPr>
      <w:spacing w:before="360" w:after="240"/>
      <w:ind w:left="864"/>
      <w:outlineLvl w:val="3"/>
    </w:pPr>
    <w:rPr>
      <w:b/>
      <w:bCs/>
      <w:i/>
      <w:iCs/>
      <w:color w:val="555759"/>
      <w:kern w:val="28"/>
      <w:szCs w:val="20"/>
    </w:rPr>
  </w:style>
  <w:style w:type="paragraph" w:styleId="Heading5">
    <w:name w:val="heading 5"/>
    <w:aliases w:val="Append Level 1"/>
    <w:basedOn w:val="Normal"/>
    <w:next w:val="Normal"/>
    <w:link w:val="Heading5Char"/>
    <w:unhideWhenUsed/>
    <w:qFormat/>
    <w:rsid w:val="001D06CD"/>
    <w:pPr>
      <w:keepNext/>
      <w:keepLines/>
      <w:pageBreakBefore/>
      <w:numPr>
        <w:ilvl w:val="4"/>
        <w:numId w:val="24"/>
      </w:numPr>
      <w:spacing w:before="360" w:after="360" w:line="240" w:lineRule="auto"/>
      <w:outlineLvl w:val="4"/>
    </w:pPr>
    <w:rPr>
      <w:rFonts w:ascii="Arial Bold" w:hAnsi="Arial Bold"/>
      <w:b/>
      <w:caps/>
      <w:color w:val="95D600"/>
      <w:kern w:val="28"/>
      <w:sz w:val="28"/>
      <w:szCs w:val="28"/>
    </w:rPr>
  </w:style>
  <w:style w:type="paragraph" w:styleId="Heading6">
    <w:name w:val="heading 6"/>
    <w:aliases w:val="Append Level 2"/>
    <w:next w:val="Normal"/>
    <w:link w:val="Heading6Char"/>
    <w:unhideWhenUsed/>
    <w:qFormat/>
    <w:rsid w:val="001D06CD"/>
    <w:pPr>
      <w:keepNext/>
      <w:keepLines/>
      <w:numPr>
        <w:ilvl w:val="5"/>
        <w:numId w:val="24"/>
      </w:numPr>
      <w:spacing w:before="360" w:after="240"/>
      <w:outlineLvl w:val="5"/>
    </w:pPr>
    <w:rPr>
      <w:rFonts w:ascii="Arial Bold" w:hAnsi="Arial Bold"/>
      <w:b/>
      <w:iCs/>
      <w:color w:val="555759"/>
      <w:kern w:val="28"/>
      <w:position w:val="6"/>
      <w:sz w:val="26"/>
      <w:szCs w:val="26"/>
    </w:rPr>
  </w:style>
  <w:style w:type="paragraph" w:styleId="Heading7">
    <w:name w:val="heading 7"/>
    <w:aliases w:val="Exec Sum Level 1"/>
    <w:basedOn w:val="ExecSummaryHead1"/>
    <w:next w:val="Normal"/>
    <w:link w:val="Heading7Char"/>
    <w:unhideWhenUsed/>
    <w:qFormat/>
    <w:rsid w:val="00B86FD3"/>
    <w:pPr>
      <w:numPr>
        <w:numId w:val="0"/>
      </w:numPr>
      <w:outlineLvl w:val="6"/>
    </w:pPr>
    <w:rPr>
      <w:caps/>
      <w:szCs w:val="26"/>
    </w:rPr>
  </w:style>
  <w:style w:type="paragraph" w:styleId="Heading8">
    <w:name w:val="heading 8"/>
    <w:aliases w:val="Exec Sum Level 2"/>
    <w:basedOn w:val="Normal"/>
    <w:next w:val="Normal"/>
    <w:link w:val="Heading8Char"/>
    <w:unhideWhenUsed/>
    <w:qFormat/>
    <w:rsid w:val="00B86FD3"/>
    <w:pPr>
      <w:keepNext/>
      <w:keepLines/>
      <w:spacing w:before="360" w:after="240"/>
      <w:outlineLvl w:val="7"/>
    </w:pPr>
    <w:rPr>
      <w:rFonts w:ascii="Arial Bold" w:hAnsi="Arial Bold"/>
      <w:b/>
      <w:color w:val="555759"/>
      <w:sz w:val="26"/>
      <w:szCs w:val="26"/>
    </w:rPr>
  </w:style>
  <w:style w:type="paragraph" w:styleId="Heading9">
    <w:name w:val="heading 9"/>
    <w:aliases w:val="Exec Sum Level 3"/>
    <w:basedOn w:val="Normal"/>
    <w:next w:val="Normal"/>
    <w:link w:val="Heading9Char"/>
    <w:unhideWhenUsed/>
    <w:qFormat/>
    <w:rsid w:val="00B86FD3"/>
    <w:pPr>
      <w:keepLines/>
      <w:spacing w:before="360" w:after="240"/>
      <w:outlineLvl w:val="8"/>
    </w:pPr>
    <w:rPr>
      <w:b/>
      <w:i/>
      <w:iCs/>
      <w:color w:val="55575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lassic2">
    <w:name w:val="Table Classic 2"/>
    <w:basedOn w:val="TableNormal"/>
    <w:rsid w:val="00BF64FE"/>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StyleBulleted6">
    <w:name w:val="Style Bulleted6"/>
    <w:rsid w:val="00BF64FE"/>
    <w:pPr>
      <w:numPr>
        <w:numId w:val="1"/>
      </w:numPr>
    </w:pPr>
  </w:style>
  <w:style w:type="numbering" w:customStyle="1" w:styleId="StyleBulleted9">
    <w:name w:val="Style Bulleted9"/>
    <w:basedOn w:val="NoList"/>
    <w:rsid w:val="00BF64FE"/>
    <w:pPr>
      <w:numPr>
        <w:numId w:val="2"/>
      </w:numPr>
    </w:pPr>
  </w:style>
  <w:style w:type="paragraph" w:styleId="Header">
    <w:name w:val="header"/>
    <w:basedOn w:val="Normal"/>
    <w:link w:val="HeaderChar"/>
    <w:rsid w:val="00BF64FE"/>
    <w:pPr>
      <w:tabs>
        <w:tab w:val="center" w:pos="4320"/>
        <w:tab w:val="right" w:pos="8640"/>
      </w:tabs>
    </w:pPr>
  </w:style>
  <w:style w:type="paragraph" w:styleId="Footer">
    <w:name w:val="footer"/>
    <w:basedOn w:val="Normal"/>
    <w:link w:val="FooterChar"/>
    <w:uiPriority w:val="99"/>
    <w:rsid w:val="005D1C57"/>
    <w:pPr>
      <w:tabs>
        <w:tab w:val="center" w:pos="4320"/>
        <w:tab w:val="right" w:pos="9360"/>
      </w:tabs>
      <w:spacing w:line="240" w:lineRule="auto"/>
    </w:pPr>
    <w:rPr>
      <w:sz w:val="16"/>
    </w:rPr>
  </w:style>
  <w:style w:type="paragraph" w:styleId="Title">
    <w:name w:val="Title"/>
    <w:aliases w:val="Proposal Title"/>
    <w:basedOn w:val="Normal"/>
    <w:next w:val="Normal"/>
    <w:link w:val="TitleChar"/>
    <w:uiPriority w:val="10"/>
    <w:qFormat/>
    <w:rsid w:val="00C51EF9"/>
    <w:pPr>
      <w:widowControl w:val="0"/>
      <w:spacing w:before="120" w:after="120" w:line="240" w:lineRule="auto"/>
    </w:pPr>
    <w:rPr>
      <w:b/>
      <w:color w:val="95D600"/>
      <w:spacing w:val="-10"/>
      <w:kern w:val="28"/>
      <w:sz w:val="48"/>
      <w:szCs w:val="56"/>
    </w:rPr>
  </w:style>
  <w:style w:type="paragraph" w:styleId="Subtitle">
    <w:name w:val="Subtitle"/>
    <w:basedOn w:val="Normal"/>
    <w:next w:val="Normal"/>
    <w:link w:val="SubtitleChar"/>
    <w:uiPriority w:val="11"/>
    <w:qFormat/>
    <w:rsid w:val="008C7CE0"/>
    <w:pPr>
      <w:widowControl w:val="0"/>
      <w:numPr>
        <w:ilvl w:val="1"/>
      </w:numPr>
      <w:spacing w:before="240" w:line="240" w:lineRule="auto"/>
    </w:pPr>
    <w:rPr>
      <w:b/>
      <w:color w:val="5A5A5A"/>
      <w:spacing w:val="15"/>
      <w:sz w:val="28"/>
      <w:szCs w:val="22"/>
    </w:rPr>
  </w:style>
  <w:style w:type="character" w:customStyle="1" w:styleId="CoverText">
    <w:name w:val="Cover Text"/>
    <w:rsid w:val="00BF64FE"/>
    <w:rPr>
      <w:rFonts w:ascii="Arial" w:hAnsi="Arial"/>
      <w:color w:val="545759"/>
      <w:sz w:val="20"/>
    </w:rPr>
  </w:style>
  <w:style w:type="paragraph" w:styleId="TOC1">
    <w:name w:val="toc 1"/>
    <w:basedOn w:val="Normal"/>
    <w:next w:val="Normal"/>
    <w:link w:val="TOC1Char"/>
    <w:autoRedefine/>
    <w:uiPriority w:val="39"/>
    <w:unhideWhenUsed/>
    <w:rsid w:val="00E86555"/>
    <w:pPr>
      <w:widowControl w:val="0"/>
      <w:tabs>
        <w:tab w:val="right" w:leader="dot" w:pos="9350"/>
      </w:tabs>
      <w:spacing w:before="120" w:after="120" w:line="240" w:lineRule="auto"/>
    </w:pPr>
    <w:rPr>
      <w:rFonts w:eastAsia="Calibri"/>
      <w:b/>
      <w:sz w:val="24"/>
      <w:szCs w:val="22"/>
    </w:rPr>
  </w:style>
  <w:style w:type="paragraph" w:styleId="TOC2">
    <w:name w:val="toc 2"/>
    <w:basedOn w:val="Normal"/>
    <w:next w:val="Normal"/>
    <w:autoRedefine/>
    <w:uiPriority w:val="39"/>
    <w:rsid w:val="008D7D6F"/>
    <w:pPr>
      <w:tabs>
        <w:tab w:val="left" w:pos="1080"/>
        <w:tab w:val="right" w:leader="dot" w:pos="9346"/>
      </w:tabs>
      <w:ind w:left="1080" w:hanging="540"/>
    </w:pPr>
    <w:rPr>
      <w:noProof/>
    </w:rPr>
  </w:style>
  <w:style w:type="paragraph" w:styleId="TOC3">
    <w:name w:val="toc 3"/>
    <w:basedOn w:val="Normal"/>
    <w:next w:val="Normal"/>
    <w:autoRedefine/>
    <w:uiPriority w:val="39"/>
    <w:rsid w:val="00E86C0E"/>
    <w:pPr>
      <w:tabs>
        <w:tab w:val="left" w:pos="1800"/>
        <w:tab w:val="right" w:leader="dot" w:pos="9360"/>
      </w:tabs>
      <w:spacing w:line="240" w:lineRule="auto"/>
      <w:ind w:left="1800" w:hanging="720"/>
    </w:pPr>
    <w:rPr>
      <w:noProof/>
      <w:szCs w:val="20"/>
    </w:rPr>
  </w:style>
  <w:style w:type="character" w:styleId="Hyperlink">
    <w:name w:val="Hyperlink"/>
    <w:uiPriority w:val="99"/>
    <w:rsid w:val="00BC6943"/>
    <w:rPr>
      <w:rFonts w:ascii="Arial" w:hAnsi="Arial"/>
      <w:color w:val="95D600"/>
      <w:sz w:val="20"/>
      <w:u w:val="single"/>
    </w:rPr>
  </w:style>
  <w:style w:type="paragraph" w:styleId="TOCHeading">
    <w:name w:val="TOC Heading"/>
    <w:basedOn w:val="Heading1"/>
    <w:next w:val="Normal"/>
    <w:link w:val="TOCHeadingChar"/>
    <w:uiPriority w:val="39"/>
    <w:unhideWhenUsed/>
    <w:qFormat/>
    <w:rsid w:val="00F26F14"/>
    <w:pPr>
      <w:keepNext w:val="0"/>
      <w:keepLines w:val="0"/>
      <w:pageBreakBefore w:val="0"/>
      <w:widowControl w:val="0"/>
      <w:spacing w:before="480"/>
      <w:ind w:left="0" w:firstLine="0"/>
      <w:outlineLvl w:val="9"/>
    </w:pPr>
    <w:rPr>
      <w:rFonts w:eastAsia="Calibri" w:cs="Times New Roman"/>
      <w:bCs w:val="0"/>
      <w:kern w:val="0"/>
      <w:position w:val="0"/>
      <w:szCs w:val="22"/>
    </w:rPr>
  </w:style>
  <w:style w:type="numbering" w:customStyle="1" w:styleId="StyleNumberedLeft025Hanging025">
    <w:name w:val="Style Numbered Left:  0.25&quot; Hanging:  0.25&quot;"/>
    <w:basedOn w:val="NoList"/>
    <w:rsid w:val="00BF64FE"/>
    <w:pPr>
      <w:numPr>
        <w:numId w:val="3"/>
      </w:numPr>
    </w:pPr>
  </w:style>
  <w:style w:type="paragraph" w:styleId="FootnoteText">
    <w:name w:val="footnote text"/>
    <w:aliases w:val="Footnote Text1 Char,Footnote Text Char Ch,Footnote Text Char Ch Char Char Char,Footnote Text Char Ch Char Char,Footnote Text1 Char Char Char,ft Char,ft,EMI Footnote Text"/>
    <w:basedOn w:val="Normal"/>
    <w:link w:val="FootnoteTextChar"/>
    <w:uiPriority w:val="99"/>
    <w:rsid w:val="00F5376A"/>
    <w:pPr>
      <w:keepLines/>
      <w:tabs>
        <w:tab w:val="left" w:pos="360"/>
        <w:tab w:val="left" w:pos="720"/>
        <w:tab w:val="left" w:pos="1080"/>
        <w:tab w:val="left" w:pos="1440"/>
        <w:tab w:val="left" w:pos="1800"/>
        <w:tab w:val="left" w:pos="2160"/>
      </w:tabs>
      <w:spacing w:after="40" w:line="240" w:lineRule="exact"/>
    </w:pPr>
    <w:rPr>
      <w:sz w:val="16"/>
      <w:szCs w:val="20"/>
    </w:rPr>
  </w:style>
  <w:style w:type="character" w:styleId="FootnoteReference">
    <w:name w:val="footnote reference"/>
    <w:aliases w:val="o,fr,Style 17,o + Times New Roman"/>
    <w:uiPriority w:val="99"/>
    <w:qFormat/>
    <w:rsid w:val="004A09CC"/>
    <w:rPr>
      <w:rFonts w:ascii="Arial" w:hAnsi="Arial"/>
      <w:color w:val="auto"/>
      <w:vertAlign w:val="superscript"/>
    </w:rPr>
  </w:style>
  <w:style w:type="paragraph" w:styleId="Caption">
    <w:name w:val="caption"/>
    <w:aliases w:val="Table Caption,Char,Caption Char1 Char"/>
    <w:basedOn w:val="Normal"/>
    <w:next w:val="Normal"/>
    <w:link w:val="CaptionChar"/>
    <w:qFormat/>
    <w:rsid w:val="00772C76"/>
    <w:pPr>
      <w:keepNext/>
      <w:spacing w:after="120"/>
      <w:jc w:val="center"/>
    </w:pPr>
    <w:rPr>
      <w:b/>
      <w:bCs/>
      <w:color w:val="3F4042"/>
      <w:szCs w:val="20"/>
    </w:rPr>
  </w:style>
  <w:style w:type="numbering" w:customStyle="1" w:styleId="StyleBulletedLeft0Hanging03">
    <w:name w:val="Style Bulleted Left:  0&quot; Hanging:  0.3&quot;"/>
    <w:basedOn w:val="NoList"/>
    <w:rsid w:val="00BF64FE"/>
    <w:pPr>
      <w:numPr>
        <w:numId w:val="4"/>
      </w:numPr>
    </w:pPr>
  </w:style>
  <w:style w:type="paragraph" w:customStyle="1" w:styleId="StyleCaptionWhite">
    <w:name w:val="Style Caption + White"/>
    <w:basedOn w:val="Caption"/>
    <w:rsid w:val="00BF64FE"/>
    <w:pPr>
      <w:spacing w:before="120"/>
    </w:pPr>
    <w:rPr>
      <w:color w:val="FFFFFF"/>
    </w:rPr>
  </w:style>
  <w:style w:type="numbering" w:customStyle="1" w:styleId="StyleBulleted">
    <w:name w:val="Style Bulleted"/>
    <w:basedOn w:val="NoList"/>
    <w:rsid w:val="00BF64FE"/>
    <w:pPr>
      <w:numPr>
        <w:numId w:val="5"/>
      </w:numPr>
    </w:pPr>
  </w:style>
  <w:style w:type="character" w:customStyle="1" w:styleId="Heading4Char">
    <w:name w:val="Heading 4 Char"/>
    <w:link w:val="Heading4"/>
    <w:rsid w:val="008C69A3"/>
    <w:rPr>
      <w:rFonts w:ascii="Arial" w:hAnsi="Arial"/>
      <w:b/>
      <w:bCs/>
      <w:i/>
      <w:iCs/>
      <w:color w:val="555759"/>
      <w:kern w:val="28"/>
    </w:rPr>
  </w:style>
  <w:style w:type="character" w:customStyle="1" w:styleId="Heading5Char">
    <w:name w:val="Heading 5 Char"/>
    <w:aliases w:val="Append Level 1 Char"/>
    <w:link w:val="Heading5"/>
    <w:rsid w:val="00B86FD3"/>
    <w:rPr>
      <w:rFonts w:ascii="Arial Bold" w:hAnsi="Arial Bold"/>
      <w:b/>
      <w:caps/>
      <w:color w:val="95D600"/>
      <w:kern w:val="28"/>
      <w:sz w:val="28"/>
      <w:szCs w:val="28"/>
    </w:rPr>
  </w:style>
  <w:style w:type="character" w:customStyle="1" w:styleId="Heading6Char">
    <w:name w:val="Heading 6 Char"/>
    <w:aliases w:val="Append Level 2 Char"/>
    <w:link w:val="Heading6"/>
    <w:rsid w:val="00B86FD3"/>
    <w:rPr>
      <w:rFonts w:ascii="Arial Bold" w:hAnsi="Arial Bold"/>
      <w:b/>
      <w:iCs/>
      <w:color w:val="555759"/>
      <w:kern w:val="28"/>
      <w:position w:val="6"/>
      <w:sz w:val="26"/>
      <w:szCs w:val="26"/>
    </w:rPr>
  </w:style>
  <w:style w:type="character" w:customStyle="1" w:styleId="Heading7Char">
    <w:name w:val="Heading 7 Char"/>
    <w:aliases w:val="Exec Sum Level 1 Char"/>
    <w:link w:val="Heading7"/>
    <w:rsid w:val="00B86FD3"/>
    <w:rPr>
      <w:rFonts w:ascii="Arial Bold" w:eastAsia="Calibri" w:hAnsi="Arial Bold"/>
      <w:b/>
      <w:caps/>
      <w:color w:val="95D600"/>
      <w:sz w:val="28"/>
      <w:szCs w:val="26"/>
    </w:rPr>
  </w:style>
  <w:style w:type="character" w:customStyle="1" w:styleId="Heading8Char">
    <w:name w:val="Heading 8 Char"/>
    <w:aliases w:val="Exec Sum Level 2 Char"/>
    <w:link w:val="Heading8"/>
    <w:rsid w:val="00B86FD3"/>
    <w:rPr>
      <w:rFonts w:ascii="Arial Bold" w:hAnsi="Arial Bold"/>
      <w:b/>
      <w:color w:val="555759"/>
      <w:sz w:val="26"/>
      <w:szCs w:val="26"/>
    </w:rPr>
  </w:style>
  <w:style w:type="character" w:customStyle="1" w:styleId="Heading9Char">
    <w:name w:val="Heading 9 Char"/>
    <w:aliases w:val="Exec Sum Level 3 Char"/>
    <w:link w:val="Heading9"/>
    <w:rsid w:val="00B86FD3"/>
    <w:rPr>
      <w:rFonts w:ascii="Arial" w:hAnsi="Arial"/>
      <w:b/>
      <w:i/>
      <w:iCs/>
      <w:color w:val="555759"/>
      <w:sz w:val="22"/>
      <w:szCs w:val="22"/>
    </w:rPr>
  </w:style>
  <w:style w:type="paragraph" w:styleId="ListParagraph">
    <w:name w:val="List Paragraph"/>
    <w:aliases w:val="TOC etc.,List Paragraph - RFP,Bullet Styles para"/>
    <w:basedOn w:val="Normal"/>
    <w:link w:val="ListParagraphChar"/>
    <w:uiPriority w:val="34"/>
    <w:qFormat/>
    <w:rsid w:val="00BF64FE"/>
    <w:pPr>
      <w:spacing w:before="120"/>
      <w:ind w:left="720"/>
    </w:pPr>
  </w:style>
  <w:style w:type="table" w:styleId="TableGrid">
    <w:name w:val="Table Grid"/>
    <w:basedOn w:val="TableNormal"/>
    <w:uiPriority w:val="39"/>
    <w:rsid w:val="00BF64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List7">
    <w:name w:val="Table List 7"/>
    <w:basedOn w:val="TableNormal"/>
    <w:rsid w:val="00BF64F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ExecSummaryHead1">
    <w:name w:val="Exec Summary Head 1"/>
    <w:basedOn w:val="TOCHeading"/>
    <w:next w:val="Normal"/>
    <w:link w:val="ExecSummaryHead1Char"/>
    <w:qFormat/>
    <w:rsid w:val="008E5479"/>
    <w:rPr>
      <w:caps w:val="0"/>
    </w:rPr>
  </w:style>
  <w:style w:type="character" w:customStyle="1" w:styleId="TOCHeadingChar">
    <w:name w:val="TOC Heading Char"/>
    <w:link w:val="TOCHeading"/>
    <w:uiPriority w:val="39"/>
    <w:rsid w:val="00F26F14"/>
    <w:rPr>
      <w:rFonts w:ascii="Arial Bold" w:eastAsia="Calibri" w:hAnsi="Arial Bold"/>
      <w:b/>
      <w:caps/>
      <w:color w:val="95D600"/>
      <w:sz w:val="28"/>
      <w:szCs w:val="22"/>
    </w:rPr>
  </w:style>
  <w:style w:type="character" w:customStyle="1" w:styleId="ExecSummaryHead1Char">
    <w:name w:val="Exec Summary Head 1 Char"/>
    <w:link w:val="ExecSummaryHead1"/>
    <w:rsid w:val="008E5479"/>
    <w:rPr>
      <w:rFonts w:ascii="Arial Bold" w:eastAsia="Calibri" w:hAnsi="Arial Bold"/>
      <w:b/>
      <w:color w:val="95D600"/>
      <w:sz w:val="28"/>
      <w:szCs w:val="22"/>
    </w:rPr>
  </w:style>
  <w:style w:type="character" w:customStyle="1" w:styleId="Heading1Char">
    <w:name w:val="Heading 1 Char"/>
    <w:link w:val="Heading1"/>
    <w:rsid w:val="00B86FD3"/>
    <w:rPr>
      <w:rFonts w:ascii="Arial Bold" w:hAnsi="Arial Bold" w:cs="Arial"/>
      <w:b/>
      <w:bCs/>
      <w:caps/>
      <w:color w:val="95D600"/>
      <w:kern w:val="28"/>
      <w:position w:val="6"/>
      <w:sz w:val="28"/>
      <w:szCs w:val="26"/>
    </w:rPr>
  </w:style>
  <w:style w:type="character" w:customStyle="1" w:styleId="Heading2Char">
    <w:name w:val="Heading 2 Char"/>
    <w:link w:val="Heading2"/>
    <w:rsid w:val="00B86FD3"/>
    <w:rPr>
      <w:rFonts w:ascii="Arial Bold" w:hAnsi="Arial Bold" w:cs="Arial"/>
      <w:b/>
      <w:bCs/>
      <w:iCs/>
      <w:color w:val="555759"/>
      <w:sz w:val="26"/>
      <w:szCs w:val="26"/>
    </w:rPr>
  </w:style>
  <w:style w:type="character" w:customStyle="1" w:styleId="Heading3Char">
    <w:name w:val="Heading 3 Char"/>
    <w:link w:val="Heading3"/>
    <w:rsid w:val="006807F5"/>
    <w:rPr>
      <w:rFonts w:ascii="Arial" w:hAnsi="Arial" w:cs="Arial"/>
      <w:b/>
      <w:bCs/>
      <w:i/>
      <w:color w:val="555759"/>
      <w:sz w:val="22"/>
      <w:szCs w:val="26"/>
    </w:rPr>
  </w:style>
  <w:style w:type="character" w:styleId="PlaceholderText">
    <w:name w:val="Placeholder Text"/>
    <w:uiPriority w:val="99"/>
    <w:semiHidden/>
    <w:rsid w:val="00BF64FE"/>
    <w:rPr>
      <w:color w:val="808080"/>
    </w:rPr>
  </w:style>
  <w:style w:type="paragraph" w:styleId="TOC4">
    <w:name w:val="toc 4"/>
    <w:basedOn w:val="Normal"/>
    <w:next w:val="Normal"/>
    <w:autoRedefine/>
    <w:uiPriority w:val="39"/>
    <w:rsid w:val="00CB2CB8"/>
    <w:pPr>
      <w:tabs>
        <w:tab w:val="left" w:pos="2700"/>
        <w:tab w:val="right" w:leader="dot" w:pos="9278"/>
      </w:tabs>
      <w:spacing w:after="100"/>
      <w:ind w:left="2700" w:hanging="900"/>
    </w:pPr>
    <w:rPr>
      <w:i/>
      <w:noProof/>
    </w:rPr>
  </w:style>
  <w:style w:type="character" w:customStyle="1" w:styleId="CaptionChar">
    <w:name w:val="Caption Char"/>
    <w:aliases w:val="Table Caption Char,Char Char,Caption Char1 Char Char"/>
    <w:link w:val="Caption"/>
    <w:rsid w:val="00772C76"/>
    <w:rPr>
      <w:rFonts w:ascii="Arial" w:hAnsi="Arial"/>
      <w:b/>
      <w:bCs/>
      <w:color w:val="3F4042"/>
    </w:rPr>
  </w:style>
  <w:style w:type="paragraph" w:styleId="TableofFigures">
    <w:name w:val="table of figures"/>
    <w:basedOn w:val="Normal"/>
    <w:next w:val="Normal"/>
    <w:uiPriority w:val="99"/>
    <w:rsid w:val="008E5479"/>
    <w:pPr>
      <w:tabs>
        <w:tab w:val="right" w:leader="dot" w:pos="9274"/>
      </w:tabs>
    </w:pPr>
  </w:style>
  <w:style w:type="paragraph" w:customStyle="1" w:styleId="Source">
    <w:name w:val="Source"/>
    <w:basedOn w:val="Normal"/>
    <w:link w:val="SourceChar"/>
    <w:qFormat/>
    <w:rsid w:val="00117F87"/>
    <w:pPr>
      <w:spacing w:after="240"/>
    </w:pPr>
    <w:rPr>
      <w:i/>
      <w:sz w:val="16"/>
      <w:szCs w:val="20"/>
    </w:rPr>
  </w:style>
  <w:style w:type="character" w:customStyle="1" w:styleId="SourceChar">
    <w:name w:val="Source Char"/>
    <w:link w:val="Source"/>
    <w:rsid w:val="00117F87"/>
    <w:rPr>
      <w:rFonts w:ascii="Arial" w:hAnsi="Arial"/>
      <w:i/>
      <w:sz w:val="16"/>
    </w:rPr>
  </w:style>
  <w:style w:type="character" w:customStyle="1" w:styleId="HeaderChar">
    <w:name w:val="Header Char"/>
    <w:link w:val="Header"/>
    <w:locked/>
    <w:rsid w:val="00BF64FE"/>
    <w:rPr>
      <w:rFonts w:ascii="Arial" w:hAnsi="Arial"/>
      <w:szCs w:val="24"/>
    </w:rPr>
  </w:style>
  <w:style w:type="character" w:customStyle="1" w:styleId="ListParagraphChar">
    <w:name w:val="List Paragraph Char"/>
    <w:aliases w:val="TOC etc. Char,List Paragraph - RFP Char,Bullet Styles para Char"/>
    <w:link w:val="ListParagraph"/>
    <w:uiPriority w:val="34"/>
    <w:locked/>
    <w:rsid w:val="00BF64FE"/>
    <w:rPr>
      <w:rFonts w:ascii="Arial" w:hAnsi="Arial"/>
      <w:szCs w:val="24"/>
    </w:rPr>
  </w:style>
  <w:style w:type="table" w:styleId="MediumShading1-Accent6">
    <w:name w:val="Medium Shading 1 Accent 6"/>
    <w:basedOn w:val="TableNormal"/>
    <w:uiPriority w:val="63"/>
    <w:rsid w:val="00BF64FE"/>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styleId="BalloonText">
    <w:name w:val="Balloon Text"/>
    <w:basedOn w:val="Normal"/>
    <w:link w:val="BalloonTextChar"/>
    <w:uiPriority w:val="99"/>
    <w:rsid w:val="00BF64FE"/>
    <w:rPr>
      <w:rFonts w:ascii="Tahoma" w:hAnsi="Tahoma" w:cs="Tahoma"/>
      <w:sz w:val="16"/>
      <w:szCs w:val="16"/>
    </w:rPr>
  </w:style>
  <w:style w:type="character" w:customStyle="1" w:styleId="BalloonTextChar">
    <w:name w:val="Balloon Text Char"/>
    <w:link w:val="BalloonText"/>
    <w:uiPriority w:val="99"/>
    <w:rsid w:val="00BF64FE"/>
    <w:rPr>
      <w:rFonts w:ascii="Tahoma" w:hAnsi="Tahoma" w:cs="Tahoma"/>
      <w:sz w:val="16"/>
      <w:szCs w:val="16"/>
    </w:rPr>
  </w:style>
  <w:style w:type="paragraph" w:styleId="EndnoteText">
    <w:name w:val="endnote text"/>
    <w:basedOn w:val="Normal"/>
    <w:link w:val="EndnoteTextChar"/>
    <w:rsid w:val="00BF64FE"/>
    <w:rPr>
      <w:szCs w:val="20"/>
    </w:rPr>
  </w:style>
  <w:style w:type="character" w:customStyle="1" w:styleId="EndnoteTextChar">
    <w:name w:val="Endnote Text Char"/>
    <w:link w:val="EndnoteText"/>
    <w:rsid w:val="00BF64FE"/>
    <w:rPr>
      <w:rFonts w:ascii="Arial" w:hAnsi="Arial"/>
    </w:rPr>
  </w:style>
  <w:style w:type="character" w:styleId="EndnoteReference">
    <w:name w:val="endnote reference"/>
    <w:rsid w:val="00BF64FE"/>
    <w:rPr>
      <w:rFonts w:ascii="Arial" w:hAnsi="Arial"/>
      <w:color w:val="555759"/>
      <w:vertAlign w:val="superscript"/>
    </w:rPr>
  </w:style>
  <w:style w:type="paragraph" w:customStyle="1" w:styleId="TableBullet">
    <w:name w:val="Table Bullet"/>
    <w:basedOn w:val="Normal"/>
    <w:link w:val="TableBulletChar"/>
    <w:qFormat/>
    <w:rsid w:val="00B67629"/>
    <w:pPr>
      <w:keepNext/>
      <w:numPr>
        <w:numId w:val="6"/>
      </w:numPr>
      <w:spacing w:before="40" w:after="40" w:line="240" w:lineRule="atLeast"/>
      <w:ind w:left="252" w:hanging="180"/>
    </w:pPr>
    <w:rPr>
      <w:rFonts w:cs="Arial"/>
      <w:szCs w:val="20"/>
    </w:rPr>
  </w:style>
  <w:style w:type="character" w:customStyle="1" w:styleId="TableBulletChar">
    <w:name w:val="Table Bullet Char"/>
    <w:link w:val="TableBullet"/>
    <w:rsid w:val="00B67629"/>
    <w:rPr>
      <w:rFonts w:ascii="Arial" w:hAnsi="Arial" w:cs="Arial"/>
    </w:rPr>
  </w:style>
  <w:style w:type="character" w:styleId="CommentReference">
    <w:name w:val="annotation reference"/>
    <w:uiPriority w:val="99"/>
    <w:rsid w:val="008E5479"/>
    <w:rPr>
      <w:rFonts w:ascii="Arial" w:hAnsi="Arial"/>
      <w:sz w:val="16"/>
      <w:szCs w:val="16"/>
    </w:rPr>
  </w:style>
  <w:style w:type="paragraph" w:styleId="Revision">
    <w:name w:val="Revision"/>
    <w:hidden/>
    <w:uiPriority w:val="99"/>
    <w:semiHidden/>
    <w:rsid w:val="000C2CB0"/>
    <w:rPr>
      <w:rFonts w:ascii="Palatino Linotype" w:hAnsi="Palatino Linotype"/>
      <w:szCs w:val="24"/>
    </w:rPr>
  </w:style>
  <w:style w:type="paragraph" w:customStyle="1" w:styleId="FooterAddress">
    <w:name w:val="Footer Address"/>
    <w:basedOn w:val="Footer"/>
    <w:link w:val="FooterAddressChar"/>
    <w:qFormat/>
    <w:rsid w:val="00BF64FE"/>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BF64FE"/>
    <w:rPr>
      <w:rFonts w:ascii="Arial" w:hAnsi="Arial"/>
      <w:color w:val="555759"/>
      <w:sz w:val="16"/>
      <w:szCs w:val="24"/>
    </w:rPr>
  </w:style>
  <w:style w:type="paragraph" w:styleId="BodyText">
    <w:name w:val="Body Text"/>
    <w:basedOn w:val="Normal"/>
    <w:link w:val="BodyTextChar"/>
    <w:semiHidden/>
    <w:unhideWhenUsed/>
    <w:rsid w:val="00BF64FE"/>
    <w:pPr>
      <w:spacing w:after="120"/>
    </w:pPr>
  </w:style>
  <w:style w:type="character" w:customStyle="1" w:styleId="BodyTextChar">
    <w:name w:val="Body Text Char"/>
    <w:link w:val="BodyText"/>
    <w:semiHidden/>
    <w:rsid w:val="00BF64FE"/>
    <w:rPr>
      <w:rFonts w:ascii="Arial" w:hAnsi="Arial"/>
      <w:szCs w:val="24"/>
    </w:rPr>
  </w:style>
  <w:style w:type="character" w:customStyle="1" w:styleId="FooterChar">
    <w:name w:val="Footer Char"/>
    <w:link w:val="Footer"/>
    <w:uiPriority w:val="99"/>
    <w:rsid w:val="005D1C57"/>
    <w:rPr>
      <w:rFonts w:ascii="Arial" w:hAnsi="Arial"/>
      <w:sz w:val="16"/>
      <w:szCs w:val="24"/>
    </w:rPr>
  </w:style>
  <w:style w:type="character" w:customStyle="1" w:styleId="FootnoteTextChar">
    <w:name w:val="Footnote Text Char"/>
    <w:aliases w:val="Footnote Text1 Char Char,Footnote Text Char Ch Char,Footnote Text Char Ch Char Char Char Char,Footnote Text Char Ch Char Char Char1,Footnote Text1 Char Char Char Char,ft Char Char,ft Char1,EMI Footnote Text Char"/>
    <w:link w:val="FootnoteText"/>
    <w:uiPriority w:val="99"/>
    <w:rsid w:val="00F5376A"/>
    <w:rPr>
      <w:rFonts w:ascii="Arial" w:hAnsi="Arial"/>
      <w:sz w:val="16"/>
    </w:rPr>
  </w:style>
  <w:style w:type="paragraph" w:customStyle="1" w:styleId="Headerinfo">
    <w:name w:val="Header info"/>
    <w:basedOn w:val="Normal"/>
    <w:qFormat/>
    <w:rsid w:val="00BF64FE"/>
    <w:pPr>
      <w:tabs>
        <w:tab w:val="right" w:pos="9000"/>
      </w:tabs>
      <w:spacing w:line="276" w:lineRule="auto"/>
    </w:pPr>
    <w:rPr>
      <w:rFonts w:cs="Arial"/>
      <w:noProof/>
      <w:color w:val="545759"/>
      <w:sz w:val="24"/>
      <w:szCs w:val="21"/>
      <w:lang w:val="fr-FR"/>
    </w:rPr>
  </w:style>
  <w:style w:type="paragraph" w:customStyle="1" w:styleId="ResumeBullet">
    <w:name w:val="Resume Bullet"/>
    <w:basedOn w:val="BodyText"/>
    <w:link w:val="ResumeBulletChar"/>
    <w:autoRedefine/>
    <w:rsid w:val="00BF64FE"/>
    <w:pPr>
      <w:keepLines/>
      <w:numPr>
        <w:numId w:val="7"/>
      </w:numPr>
      <w:spacing w:after="240" w:line="240" w:lineRule="auto"/>
    </w:pPr>
    <w:rPr>
      <w:bCs/>
      <w:color w:val="545759"/>
      <w:szCs w:val="20"/>
      <w:lang w:val="en-GB" w:eastAsia="x-none"/>
    </w:rPr>
  </w:style>
  <w:style w:type="character" w:customStyle="1" w:styleId="ResumeBulletChar">
    <w:name w:val="Resume Bullet Char"/>
    <w:link w:val="ResumeBullet"/>
    <w:rsid w:val="00BF64FE"/>
    <w:rPr>
      <w:rFonts w:ascii="Arial" w:hAnsi="Arial"/>
      <w:bCs/>
      <w:color w:val="545759"/>
      <w:lang w:val="en-GB" w:eastAsia="x-none"/>
    </w:rPr>
  </w:style>
  <w:style w:type="paragraph" w:customStyle="1" w:styleId="SectionHeading">
    <w:name w:val="Section Heading"/>
    <w:basedOn w:val="Normal"/>
    <w:autoRedefine/>
    <w:qFormat/>
    <w:rsid w:val="00BF64FE"/>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szCs w:val="22"/>
      <w:lang w:val="en-GB"/>
    </w:rPr>
  </w:style>
  <w:style w:type="paragraph" w:customStyle="1" w:styleId="SubHeaderBold">
    <w:name w:val="Sub Header Bold"/>
    <w:basedOn w:val="Normal"/>
    <w:qFormat/>
    <w:rsid w:val="005426E4"/>
    <w:pPr>
      <w:spacing w:after="120" w:line="240" w:lineRule="auto"/>
      <w:ind w:left="360" w:hanging="360"/>
    </w:pPr>
    <w:rPr>
      <w:rFonts w:cs="Arial"/>
      <w:b/>
      <w:noProof/>
      <w:sz w:val="28"/>
      <w:szCs w:val="22"/>
      <w:lang w:val="en-GB"/>
    </w:rPr>
  </w:style>
  <w:style w:type="character" w:customStyle="1" w:styleId="SubtitleChar">
    <w:name w:val="Subtitle Char"/>
    <w:link w:val="Subtitle"/>
    <w:uiPriority w:val="11"/>
    <w:rsid w:val="008C7CE0"/>
    <w:rPr>
      <w:rFonts w:ascii="Arial" w:eastAsia="Times New Roman" w:hAnsi="Arial" w:cs="Times New Roman"/>
      <w:b/>
      <w:color w:val="5A5A5A"/>
      <w:spacing w:val="15"/>
      <w:sz w:val="28"/>
      <w:szCs w:val="22"/>
    </w:rPr>
  </w:style>
  <w:style w:type="character" w:customStyle="1" w:styleId="ProposalBodyHeading">
    <w:name w:val="Proposal Body Heading"/>
    <w:uiPriority w:val="1"/>
    <w:qFormat/>
    <w:rsid w:val="00C51EF9"/>
    <w:rPr>
      <w:rFonts w:ascii="Arial" w:hAnsi="Arial"/>
      <w:b/>
      <w:color w:val="555759"/>
      <w:sz w:val="22"/>
    </w:rPr>
  </w:style>
  <w:style w:type="character" w:customStyle="1" w:styleId="TitleChar">
    <w:name w:val="Title Char"/>
    <w:aliases w:val="Proposal Title Char"/>
    <w:link w:val="Title"/>
    <w:uiPriority w:val="10"/>
    <w:rsid w:val="00C51EF9"/>
    <w:rPr>
      <w:rFonts w:ascii="Arial" w:eastAsia="Times New Roman" w:hAnsi="Arial" w:cs="Times New Roman"/>
      <w:b/>
      <w:color w:val="95D600"/>
      <w:spacing w:val="-10"/>
      <w:kern w:val="28"/>
      <w:sz w:val="48"/>
      <w:szCs w:val="56"/>
    </w:rPr>
  </w:style>
  <w:style w:type="character" w:customStyle="1" w:styleId="TOC1Char">
    <w:name w:val="TOC 1 Char"/>
    <w:link w:val="TOC1"/>
    <w:uiPriority w:val="39"/>
    <w:rsid w:val="00E86555"/>
    <w:rPr>
      <w:rFonts w:ascii="Arial" w:eastAsia="Calibri" w:hAnsi="Arial" w:cs="Times New Roman"/>
      <w:b/>
      <w:sz w:val="24"/>
      <w:szCs w:val="22"/>
    </w:rPr>
  </w:style>
  <w:style w:type="table" w:customStyle="1" w:styleId="TableGrid1">
    <w:name w:val="Table Grid1"/>
    <w:basedOn w:val="TableNormal"/>
    <w:next w:val="TableGrid"/>
    <w:uiPriority w:val="39"/>
    <w:rsid w:val="004626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aliases w:val="Energy Table"/>
    <w:basedOn w:val="TableNormal"/>
    <w:uiPriority w:val="99"/>
    <w:qFormat/>
    <w:rsid w:val="002115BE"/>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qFormat/>
    <w:rsid w:val="00C551A8"/>
    <w:pPr>
      <w:spacing w:after="120" w:line="276" w:lineRule="auto"/>
      <w:ind w:left="360" w:hanging="360"/>
    </w:pPr>
    <w:rPr>
      <w:rFonts w:cs="Arial"/>
      <w:b/>
      <w:szCs w:val="22"/>
      <w:lang w:val="en-GB"/>
    </w:rPr>
  </w:style>
  <w:style w:type="paragraph" w:customStyle="1" w:styleId="ResumeParagraphText">
    <w:name w:val="Resume Paragraph Text"/>
    <w:basedOn w:val="Normal"/>
    <w:link w:val="ResumeParagraphTextChar"/>
    <w:qFormat/>
    <w:rsid w:val="00252CCD"/>
    <w:pPr>
      <w:spacing w:line="276" w:lineRule="auto"/>
    </w:pPr>
    <w:rPr>
      <w:szCs w:val="20"/>
      <w:lang w:val="en-GB"/>
    </w:rPr>
  </w:style>
  <w:style w:type="character" w:customStyle="1" w:styleId="ResumeParagraphTextChar">
    <w:name w:val="Resume Paragraph Text Char"/>
    <w:link w:val="ResumeParagraphText"/>
    <w:rsid w:val="00252CCD"/>
    <w:rPr>
      <w:rFonts w:ascii="Arial" w:hAnsi="Arial"/>
      <w:color w:val="555759"/>
      <w:sz w:val="22"/>
      <w:lang w:val="en-GB"/>
    </w:rPr>
  </w:style>
  <w:style w:type="paragraph" w:styleId="NoSpacing">
    <w:name w:val="No Spacing"/>
    <w:uiPriority w:val="1"/>
    <w:qFormat/>
    <w:rsid w:val="00263755"/>
    <w:pPr>
      <w:widowControl w:val="0"/>
    </w:pPr>
    <w:rPr>
      <w:rFonts w:ascii="Arial" w:eastAsia="Calibri" w:hAnsi="Arial"/>
      <w:color w:val="555759"/>
      <w:sz w:val="22"/>
      <w:szCs w:val="22"/>
    </w:rPr>
  </w:style>
  <w:style w:type="paragraph" w:customStyle="1" w:styleId="ProposalTitleGreen">
    <w:name w:val="Proposal Title Green"/>
    <w:basedOn w:val="Header"/>
    <w:link w:val="ProposalTitleGreenChar"/>
    <w:qFormat/>
    <w:rsid w:val="00600AB2"/>
    <w:pPr>
      <w:widowControl w:val="0"/>
      <w:tabs>
        <w:tab w:val="clear" w:pos="4320"/>
        <w:tab w:val="clear" w:pos="8640"/>
      </w:tabs>
      <w:spacing w:before="240" w:after="240" w:line="240" w:lineRule="auto"/>
    </w:pPr>
    <w:rPr>
      <w:rFonts w:eastAsia="Calibri"/>
      <w:b/>
      <w:color w:val="95D600"/>
      <w:sz w:val="22"/>
      <w:szCs w:val="22"/>
    </w:rPr>
  </w:style>
  <w:style w:type="character" w:customStyle="1" w:styleId="ProposalTitleGreenChar">
    <w:name w:val="Proposal Title Green Char"/>
    <w:link w:val="ProposalTitleGreen"/>
    <w:rsid w:val="00600AB2"/>
    <w:rPr>
      <w:rFonts w:ascii="Arial" w:eastAsia="Calibri" w:hAnsi="Arial" w:cs="Times New Roman"/>
      <w:b/>
      <w:color w:val="95D600"/>
      <w:sz w:val="22"/>
      <w:szCs w:val="22"/>
    </w:rPr>
  </w:style>
  <w:style w:type="table" w:customStyle="1" w:styleId="EnergyGreen">
    <w:name w:val="Energy_Green"/>
    <w:basedOn w:val="ListTable3-Accent11"/>
    <w:uiPriority w:val="99"/>
    <w:rsid w:val="00C25E79"/>
    <w:pPr>
      <w:spacing w:before="40" w:after="40"/>
    </w:pPr>
    <w:tblPr>
      <w:jc w:val="center"/>
    </w:tblPr>
    <w:trPr>
      <w:cantSplit/>
      <w:jc w:val="center"/>
    </w:trPr>
    <w:tblStylePr w:type="firstRow">
      <w:pPr>
        <w:jc w:val="center"/>
      </w:pPr>
      <w:rPr>
        <w:rFonts w:ascii="Arial" w:hAnsi="Arial"/>
        <w:b/>
        <w:bCs/>
        <w:color w:val="FFFFFF"/>
        <w:sz w:val="20"/>
      </w:rPr>
      <w:tblPr/>
      <w:tcPr>
        <w:tcBorders>
          <w:top w:val="nil"/>
          <w:left w:val="nil"/>
          <w:bottom w:val="nil"/>
          <w:right w:val="nil"/>
          <w:insideH w:val="nil"/>
          <w:insideV w:val="nil"/>
          <w:tl2br w:val="nil"/>
          <w:tr2bl w:val="nil"/>
        </w:tcBorders>
        <w:shd w:val="clear" w:color="auto" w:fill="95D600"/>
        <w:vAlign w:val="bottom"/>
      </w:tcPr>
    </w:tblStylePr>
    <w:tblStylePr w:type="lastRow">
      <w:pPr>
        <w:jc w:val="center"/>
      </w:pPr>
      <w:rPr>
        <w:rFonts w:ascii="ArialMT" w:hAnsi="ArialMT"/>
        <w:b/>
        <w:bCs/>
      </w:rPr>
      <w:tblPr/>
      <w:tcPr>
        <w:tcBorders>
          <w:top w:val="double" w:sz="4" w:space="0" w:color="95D600"/>
          <w:bottom w:val="single" w:sz="4" w:space="0" w:color="95D600"/>
        </w:tcBorders>
        <w:shd w:val="clear" w:color="auto" w:fill="FFFFFF"/>
      </w:tcPr>
    </w:tblStylePr>
    <w:tblStylePr w:type="firstCol">
      <w:rPr>
        <w:rFonts w:ascii="Arial Bold" w:hAnsi="Arial Bold"/>
        <w:b w:val="0"/>
        <w:bCs/>
        <w:color w:val="auto"/>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pPr>
        <w:jc w:val="center"/>
      </w:pPr>
      <w:tblPr/>
      <w:tcPr>
        <w:tcBorders>
          <w:top w:val="single" w:sz="4" w:space="0" w:color="95D600"/>
          <w:bottom w:val="single" w:sz="4" w:space="0" w:color="95D600"/>
          <w:insideH w:val="nil"/>
        </w:tcBorders>
        <w:vAlign w:val="center"/>
      </w:tcPr>
    </w:tblStylePr>
    <w:tblStylePr w:type="band2Horz">
      <w:pPr>
        <w:jc w:val="center"/>
      </w:pPr>
      <w:tblPr/>
      <w:tcPr>
        <w:shd w:val="clear" w:color="auto" w:fill="FFFFFF"/>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table" w:customStyle="1" w:styleId="EnergyTable1">
    <w:name w:val="Energy Table1"/>
    <w:basedOn w:val="TableNormal"/>
    <w:uiPriority w:val="99"/>
    <w:qFormat/>
    <w:rsid w:val="00DE14FB"/>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ArialMT" w:hAnsi="ArialMT"/>
        <w:b/>
      </w:rPr>
      <w:tblPr/>
      <w:tcPr>
        <w:tcBorders>
          <w:top w:val="double" w:sz="4" w:space="0" w:color="545759"/>
          <w:bottom w:val="single" w:sz="4" w:space="0" w:color="545759"/>
        </w:tcBorders>
      </w:tcPr>
    </w:tblStylePr>
    <w:tblStylePr w:type="firstCol">
      <w:rPr>
        <w:rFonts w:ascii="Arial Bold" w:hAnsi="Arial Bold"/>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paragraph" w:styleId="CommentText">
    <w:name w:val="annotation text"/>
    <w:basedOn w:val="Normal"/>
    <w:link w:val="CommentTextChar"/>
    <w:uiPriority w:val="99"/>
    <w:unhideWhenUsed/>
    <w:rsid w:val="00C16CC2"/>
    <w:pPr>
      <w:spacing w:line="240" w:lineRule="auto"/>
    </w:pPr>
    <w:rPr>
      <w:szCs w:val="20"/>
    </w:rPr>
  </w:style>
  <w:style w:type="character" w:customStyle="1" w:styleId="CommentTextChar">
    <w:name w:val="Comment Text Char"/>
    <w:basedOn w:val="DefaultParagraphFont"/>
    <w:link w:val="CommentText"/>
    <w:uiPriority w:val="99"/>
    <w:rsid w:val="00C16CC2"/>
    <w:rPr>
      <w:rFonts w:ascii="Arial" w:hAnsi="Arial"/>
    </w:rPr>
  </w:style>
  <w:style w:type="paragraph" w:styleId="CommentSubject">
    <w:name w:val="annotation subject"/>
    <w:basedOn w:val="CommentText"/>
    <w:next w:val="CommentText"/>
    <w:link w:val="CommentSubjectChar"/>
    <w:uiPriority w:val="99"/>
    <w:unhideWhenUsed/>
    <w:rsid w:val="00C16CC2"/>
    <w:rPr>
      <w:b/>
      <w:bCs/>
    </w:rPr>
  </w:style>
  <w:style w:type="character" w:customStyle="1" w:styleId="CommentSubjectChar">
    <w:name w:val="Comment Subject Char"/>
    <w:basedOn w:val="CommentTextChar"/>
    <w:link w:val="CommentSubject"/>
    <w:uiPriority w:val="99"/>
    <w:rsid w:val="00C16CC2"/>
    <w:rPr>
      <w:rFonts w:ascii="Arial" w:hAnsi="Arial"/>
      <w:b/>
      <w:bCs/>
    </w:rPr>
  </w:style>
  <w:style w:type="paragraph" w:customStyle="1" w:styleId="Default">
    <w:name w:val="Default"/>
    <w:rsid w:val="00E05744"/>
    <w:pPr>
      <w:autoSpaceDE w:val="0"/>
      <w:autoSpaceDN w:val="0"/>
      <w:adjustRightInd w:val="0"/>
    </w:pPr>
    <w:rPr>
      <w:rFonts w:ascii="Palatino Linotype" w:hAnsi="Palatino Linotype" w:cs="Palatino Linotype"/>
      <w:color w:val="000000"/>
      <w:sz w:val="24"/>
      <w:szCs w:val="24"/>
    </w:rPr>
  </w:style>
  <w:style w:type="character" w:styleId="Emphasis">
    <w:name w:val="Emphasis"/>
    <w:basedOn w:val="DefaultParagraphFont"/>
    <w:qFormat/>
    <w:rsid w:val="00FC3873"/>
    <w:rPr>
      <w:i/>
      <w:iCs/>
    </w:rPr>
  </w:style>
  <w:style w:type="table" w:customStyle="1" w:styleId="MediumShading1-Accent61">
    <w:name w:val="Medium Shading 1 - Accent 61"/>
    <w:basedOn w:val="TableNormal"/>
    <w:next w:val="MediumShading1-Accent6"/>
    <w:uiPriority w:val="63"/>
    <w:rsid w:val="006B44D0"/>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paragraph" w:customStyle="1" w:styleId="Heading4b">
    <w:name w:val="Heading 4b"/>
    <w:basedOn w:val="Normal"/>
    <w:qFormat/>
    <w:rsid w:val="00B86FD3"/>
    <w:pPr>
      <w:keepNext/>
      <w:tabs>
        <w:tab w:val="num" w:pos="720"/>
        <w:tab w:val="left" w:pos="1080"/>
        <w:tab w:val="left" w:pos="1440"/>
      </w:tabs>
      <w:spacing w:before="240" w:after="240" w:line="240" w:lineRule="auto"/>
      <w:outlineLvl w:val="3"/>
    </w:pPr>
    <w:rPr>
      <w:rFonts w:ascii="Arial Narrow" w:hAnsi="Arial Narrow"/>
      <w:b/>
      <w:bCs/>
      <w:i/>
      <w:color w:val="6F6754"/>
    </w:rPr>
  </w:style>
  <w:style w:type="character" w:customStyle="1" w:styleId="acicollapsed1">
    <w:name w:val="acicollapsed1"/>
    <w:basedOn w:val="DefaultParagraphFont"/>
    <w:rsid w:val="006B44D0"/>
    <w:rPr>
      <w:vanish/>
      <w:webHidden w:val="0"/>
      <w:specVanish w:val="0"/>
    </w:rPr>
  </w:style>
  <w:style w:type="character" w:styleId="Strong">
    <w:name w:val="Strong"/>
    <w:basedOn w:val="DefaultParagraphFont"/>
    <w:qFormat/>
    <w:rsid w:val="006B44D0"/>
    <w:rPr>
      <w:rFonts w:ascii="Palatino Linotype" w:hAnsi="Palatino Linotype"/>
      <w:b/>
      <w:bCs/>
      <w:sz w:val="20"/>
    </w:rPr>
  </w:style>
  <w:style w:type="paragraph" w:styleId="Quote">
    <w:name w:val="Quote"/>
    <w:basedOn w:val="Normal"/>
    <w:next w:val="Normal"/>
    <w:link w:val="QuoteChar"/>
    <w:uiPriority w:val="29"/>
    <w:qFormat/>
    <w:rsid w:val="006B44D0"/>
    <w:pPr>
      <w:spacing w:line="240" w:lineRule="auto"/>
    </w:pPr>
    <w:rPr>
      <w:rFonts w:ascii="Palatino Linotype" w:hAnsi="Palatino Linotype"/>
      <w:i/>
      <w:iCs/>
      <w:color w:val="000000" w:themeColor="text1"/>
    </w:rPr>
  </w:style>
  <w:style w:type="character" w:customStyle="1" w:styleId="QuoteChar">
    <w:name w:val="Quote Char"/>
    <w:basedOn w:val="DefaultParagraphFont"/>
    <w:link w:val="Quote"/>
    <w:uiPriority w:val="29"/>
    <w:rsid w:val="006B44D0"/>
    <w:rPr>
      <w:rFonts w:ascii="Palatino Linotype" w:hAnsi="Palatino Linotype"/>
      <w:i/>
      <w:iCs/>
      <w:color w:val="000000" w:themeColor="text1"/>
      <w:szCs w:val="24"/>
    </w:rPr>
  </w:style>
  <w:style w:type="table" w:customStyle="1" w:styleId="TableGridLight1">
    <w:name w:val="Table Grid Light1"/>
    <w:basedOn w:val="TableNormal"/>
    <w:uiPriority w:val="40"/>
    <w:rsid w:val="006B44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semiHidden/>
    <w:unhideWhenUsed/>
    <w:rsid w:val="006B44D0"/>
    <w:rPr>
      <w:color w:val="954F72" w:themeColor="followedHyperlink"/>
      <w:u w:val="single"/>
    </w:rPr>
  </w:style>
  <w:style w:type="character" w:customStyle="1" w:styleId="st1">
    <w:name w:val="st1"/>
    <w:basedOn w:val="DefaultParagraphFont"/>
    <w:rsid w:val="006B44D0"/>
  </w:style>
  <w:style w:type="table" w:customStyle="1" w:styleId="TableGridLight2">
    <w:name w:val="Table Grid Light2"/>
    <w:basedOn w:val="TableNormal"/>
    <w:uiPriority w:val="40"/>
    <w:rsid w:val="006B44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6B44D0"/>
  </w:style>
  <w:style w:type="table" w:customStyle="1" w:styleId="PlainTable11">
    <w:name w:val="Plain Table 11"/>
    <w:basedOn w:val="TableNormal"/>
    <w:uiPriority w:val="41"/>
    <w:rsid w:val="006B44D0"/>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1D0F35"/>
    <w:pPr>
      <w:spacing w:before="100" w:beforeAutospacing="1" w:after="100" w:afterAutospacing="1" w:line="240" w:lineRule="auto"/>
    </w:pPr>
    <w:rPr>
      <w:rFonts w:ascii="Times New Roman" w:hAnsi="Times New Roman"/>
      <w:sz w:val="24"/>
      <w:lang w:eastAsia="zh-CN"/>
    </w:rPr>
  </w:style>
  <w:style w:type="table" w:customStyle="1" w:styleId="PlainTable111">
    <w:name w:val="Plain Table 111"/>
    <w:basedOn w:val="TableNormal"/>
    <w:uiPriority w:val="41"/>
    <w:rsid w:val="004A09CC"/>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21">
    <w:name w:val="Grid Table 2 - Accent 21"/>
    <w:basedOn w:val="TableNormal"/>
    <w:uiPriority w:val="47"/>
    <w:rsid w:val="00ED211E"/>
    <w:rPr>
      <w:rFonts w:asciiTheme="minorHAnsi" w:eastAsiaTheme="minorHAnsi" w:hAnsiTheme="minorHAnsi" w:cstheme="minorBidi"/>
      <w:sz w:val="22"/>
      <w:szCs w:val="22"/>
    </w:rPr>
    <w:tblPr>
      <w:tblStyleRowBandSize w:val="1"/>
      <w:tblStyleColBandSize w:val="1"/>
      <w:tblBorders>
        <w:top w:val="single" w:sz="2" w:space="0" w:color="ACDE50" w:themeColor="accent2" w:themeTint="99"/>
        <w:bottom w:val="single" w:sz="2" w:space="0" w:color="ACDE50" w:themeColor="accent2" w:themeTint="99"/>
        <w:insideH w:val="single" w:sz="2" w:space="0" w:color="ACDE50" w:themeColor="accent2" w:themeTint="99"/>
        <w:insideV w:val="single" w:sz="2" w:space="0" w:color="ACDE50" w:themeColor="accent2" w:themeTint="99"/>
      </w:tblBorders>
    </w:tblPr>
    <w:tblStylePr w:type="firstRow">
      <w:rPr>
        <w:b/>
        <w:bCs/>
      </w:rPr>
      <w:tblPr/>
      <w:tcPr>
        <w:tcBorders>
          <w:top w:val="nil"/>
          <w:bottom w:val="single" w:sz="12" w:space="0" w:color="ACDE50" w:themeColor="accent2" w:themeTint="99"/>
          <w:insideH w:val="nil"/>
          <w:insideV w:val="nil"/>
        </w:tcBorders>
        <w:shd w:val="clear" w:color="auto" w:fill="FFFFFF" w:themeFill="background1"/>
      </w:tcPr>
    </w:tblStylePr>
    <w:tblStylePr w:type="lastRow">
      <w:rPr>
        <w:b/>
        <w:bCs/>
      </w:rPr>
      <w:tblPr/>
      <w:tcPr>
        <w:tcBorders>
          <w:top w:val="double" w:sz="2" w:space="0" w:color="ACDE5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C4" w:themeFill="accent2" w:themeFillTint="33"/>
      </w:tcPr>
    </w:tblStylePr>
    <w:tblStylePr w:type="band1Horz">
      <w:tblPr/>
      <w:tcPr>
        <w:shd w:val="clear" w:color="auto" w:fill="E3F4C4" w:themeFill="accent2" w:themeFillTint="33"/>
      </w:tcPr>
    </w:tblStylePr>
  </w:style>
  <w:style w:type="table" w:customStyle="1" w:styleId="EnergyTable2">
    <w:name w:val="Energy Table2"/>
    <w:basedOn w:val="TableNormal"/>
    <w:uiPriority w:val="99"/>
    <w:qFormat/>
    <w:rsid w:val="00E01C42"/>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Tahoma" w:hAnsi="Tahoma"/>
        <w:b/>
      </w:rPr>
      <w:tblPr/>
      <w:tcPr>
        <w:tcBorders>
          <w:top w:val="double" w:sz="4" w:space="0" w:color="545759"/>
          <w:bottom w:val="single" w:sz="4" w:space="0" w:color="545759"/>
        </w:tcBorders>
      </w:tcPr>
    </w:tblStylePr>
    <w:tblStylePr w:type="firstCol">
      <w:rPr>
        <w:rFonts w:ascii="PalatinoLinotype" w:hAnsi="PalatinoLinotype"/>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3">
    <w:name w:val="Energy Table3"/>
    <w:basedOn w:val="TableNormal"/>
    <w:uiPriority w:val="99"/>
    <w:qFormat/>
    <w:rsid w:val="00E01C42"/>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Tahoma" w:hAnsi="Tahoma"/>
        <w:b/>
      </w:rPr>
      <w:tblPr/>
      <w:tcPr>
        <w:tcBorders>
          <w:top w:val="double" w:sz="4" w:space="0" w:color="545759"/>
          <w:bottom w:val="single" w:sz="4" w:space="0" w:color="545759"/>
        </w:tcBorders>
      </w:tcPr>
    </w:tblStylePr>
    <w:tblStylePr w:type="firstCol">
      <w:rPr>
        <w:rFonts w:ascii="PalatinoLinotype" w:hAnsi="PalatinoLinotype"/>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4">
    <w:name w:val="Energy Table4"/>
    <w:basedOn w:val="TableNormal"/>
    <w:uiPriority w:val="99"/>
    <w:qFormat/>
    <w:rsid w:val="00E01C42"/>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Tahoma" w:hAnsi="Tahoma"/>
        <w:b/>
      </w:rPr>
      <w:tblPr/>
      <w:tcPr>
        <w:tcBorders>
          <w:top w:val="double" w:sz="4" w:space="0" w:color="545759"/>
          <w:bottom w:val="single" w:sz="4" w:space="0" w:color="545759"/>
        </w:tcBorders>
      </w:tcPr>
    </w:tblStylePr>
    <w:tblStylePr w:type="firstCol">
      <w:rPr>
        <w:rFonts w:ascii="PalatinoLinotype" w:hAnsi="PalatinoLinotype"/>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5">
    <w:name w:val="Energy Table5"/>
    <w:basedOn w:val="TableNormal"/>
    <w:uiPriority w:val="99"/>
    <w:qFormat/>
    <w:rsid w:val="00E01C42"/>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Tahoma" w:hAnsi="Tahoma"/>
        <w:b/>
      </w:rPr>
      <w:tblPr/>
      <w:tcPr>
        <w:tcBorders>
          <w:top w:val="double" w:sz="4" w:space="0" w:color="545759"/>
          <w:bottom w:val="single" w:sz="4" w:space="0" w:color="545759"/>
        </w:tcBorders>
      </w:tcPr>
    </w:tblStylePr>
    <w:tblStylePr w:type="firstCol">
      <w:rPr>
        <w:rFonts w:ascii="PalatinoLinotype" w:hAnsi="PalatinoLinotype"/>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6">
    <w:name w:val="Energy Table6"/>
    <w:basedOn w:val="TableNormal"/>
    <w:uiPriority w:val="99"/>
    <w:qFormat/>
    <w:rsid w:val="00E01C42"/>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Tahoma" w:hAnsi="Tahoma"/>
        <w:b/>
      </w:rPr>
      <w:tblPr/>
      <w:tcPr>
        <w:tcBorders>
          <w:top w:val="double" w:sz="4" w:space="0" w:color="545759"/>
          <w:bottom w:val="single" w:sz="4" w:space="0" w:color="545759"/>
        </w:tcBorders>
      </w:tcPr>
    </w:tblStylePr>
    <w:tblStylePr w:type="firstCol">
      <w:rPr>
        <w:rFonts w:ascii="PalatinoLinotype" w:hAnsi="PalatinoLinotype"/>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7">
    <w:name w:val="Energy Table7"/>
    <w:basedOn w:val="TableNormal"/>
    <w:uiPriority w:val="99"/>
    <w:qFormat/>
    <w:rsid w:val="00E01C42"/>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Tahoma" w:hAnsi="Tahoma"/>
        <w:b/>
      </w:rPr>
      <w:tblPr/>
      <w:tcPr>
        <w:tcBorders>
          <w:top w:val="double" w:sz="4" w:space="0" w:color="545759"/>
          <w:bottom w:val="single" w:sz="4" w:space="0" w:color="545759"/>
        </w:tcBorders>
      </w:tcPr>
    </w:tblStylePr>
    <w:tblStylePr w:type="firstCol">
      <w:rPr>
        <w:rFonts w:ascii="PalatinoLinotype" w:hAnsi="PalatinoLinotype"/>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8">
    <w:name w:val="Energy Table8"/>
    <w:basedOn w:val="TableNormal"/>
    <w:uiPriority w:val="99"/>
    <w:qFormat/>
    <w:rsid w:val="00E01C42"/>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Tahoma" w:hAnsi="Tahoma"/>
        <w:b/>
      </w:rPr>
      <w:tblPr/>
      <w:tcPr>
        <w:tcBorders>
          <w:top w:val="double" w:sz="4" w:space="0" w:color="545759"/>
          <w:bottom w:val="single" w:sz="4" w:space="0" w:color="545759"/>
        </w:tcBorders>
      </w:tcPr>
    </w:tblStylePr>
    <w:tblStylePr w:type="firstCol">
      <w:rPr>
        <w:rFonts w:ascii="PalatinoLinotype" w:hAnsi="PalatinoLinotype"/>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9">
    <w:name w:val="Energy Table9"/>
    <w:basedOn w:val="TableNormal"/>
    <w:uiPriority w:val="99"/>
    <w:qFormat/>
    <w:rsid w:val="00E01C42"/>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Tahoma" w:hAnsi="Tahoma"/>
        <w:b/>
      </w:rPr>
      <w:tblPr/>
      <w:tcPr>
        <w:tcBorders>
          <w:top w:val="double" w:sz="4" w:space="0" w:color="545759"/>
          <w:bottom w:val="single" w:sz="4" w:space="0" w:color="545759"/>
        </w:tcBorders>
      </w:tcPr>
    </w:tblStylePr>
    <w:tblStylePr w:type="firstCol">
      <w:rPr>
        <w:rFonts w:ascii="PalatinoLinotype" w:hAnsi="PalatinoLinotype"/>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10">
    <w:name w:val="Energy Table10"/>
    <w:basedOn w:val="TableNormal"/>
    <w:uiPriority w:val="99"/>
    <w:qFormat/>
    <w:rsid w:val="00E01C42"/>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Tahoma" w:hAnsi="Tahoma"/>
        <w:b/>
      </w:rPr>
      <w:tblPr/>
      <w:tcPr>
        <w:tcBorders>
          <w:top w:val="double" w:sz="4" w:space="0" w:color="545759"/>
          <w:bottom w:val="single" w:sz="4" w:space="0" w:color="545759"/>
        </w:tcBorders>
      </w:tcPr>
    </w:tblStylePr>
    <w:tblStylePr w:type="firstCol">
      <w:rPr>
        <w:rFonts w:ascii="PalatinoLinotype" w:hAnsi="Palatino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TOC5">
    <w:name w:val="toc 5"/>
    <w:basedOn w:val="Normal"/>
    <w:next w:val="Normal"/>
    <w:autoRedefine/>
    <w:uiPriority w:val="39"/>
    <w:unhideWhenUsed/>
    <w:rsid w:val="00CD2457"/>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D2457"/>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D2457"/>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D2457"/>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D2457"/>
    <w:pPr>
      <w:spacing w:after="100" w:line="259" w:lineRule="auto"/>
      <w:ind w:left="1760"/>
    </w:pPr>
    <w:rPr>
      <w:rFonts w:asciiTheme="minorHAnsi" w:eastAsiaTheme="minorEastAsia" w:hAnsiTheme="minorHAnsi" w:cstheme="minorBidi"/>
      <w:sz w:val="22"/>
      <w:szCs w:val="22"/>
    </w:rPr>
  </w:style>
  <w:style w:type="table" w:customStyle="1" w:styleId="EnergyTable11">
    <w:name w:val="Energy Table11"/>
    <w:basedOn w:val="TableNormal"/>
    <w:uiPriority w:val="99"/>
    <w:qFormat/>
    <w:rsid w:val="00FC279C"/>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Tahoma" w:hAnsi="Tahoma"/>
        <w:b/>
      </w:rPr>
      <w:tblPr/>
      <w:tcPr>
        <w:tcBorders>
          <w:top w:val="double" w:sz="4" w:space="0" w:color="545759"/>
          <w:bottom w:val="single" w:sz="4" w:space="0" w:color="545759"/>
        </w:tcBorders>
      </w:tcPr>
    </w:tblStylePr>
    <w:tblStylePr w:type="firstCol">
      <w:rPr>
        <w:rFonts w:ascii="Arial Bold" w:hAnsi="Arial Bold"/>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12">
    <w:name w:val="Energy Table12"/>
    <w:basedOn w:val="TableNormal"/>
    <w:uiPriority w:val="99"/>
    <w:qFormat/>
    <w:rsid w:val="00303412"/>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Tahoma" w:hAnsi="Tahoma"/>
        <w:b/>
      </w:rPr>
      <w:tblPr/>
      <w:tcPr>
        <w:tcBorders>
          <w:top w:val="double" w:sz="4" w:space="0" w:color="545759"/>
          <w:bottom w:val="single" w:sz="4" w:space="0" w:color="545759"/>
        </w:tcBorders>
      </w:tcPr>
    </w:tblStylePr>
    <w:tblStylePr w:type="firstCol">
      <w:rPr>
        <w:rFonts w:ascii="Arial Bold" w:hAnsi="Arial Bold"/>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61">
    <w:name w:val="Energy Table61"/>
    <w:basedOn w:val="TableNormal"/>
    <w:uiPriority w:val="99"/>
    <w:qFormat/>
    <w:rsid w:val="001842E3"/>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PalatinoLinotype" w:hAnsi="PalatinoLinotype"/>
        <w:b/>
      </w:rPr>
      <w:tblPr/>
      <w:tcPr>
        <w:tcBorders>
          <w:top w:val="double" w:sz="4" w:space="0" w:color="545759"/>
          <w:bottom w:val="single" w:sz="4" w:space="0" w:color="545759"/>
        </w:tcBorders>
      </w:tcPr>
    </w:tblStylePr>
    <w:tblStylePr w:type="firstCol">
      <w:rPr>
        <w:rFonts w:ascii="Arial Narrow" w:hAnsi="Arial Narrow"/>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13">
    <w:name w:val="Energy Table13"/>
    <w:basedOn w:val="TableNormal"/>
    <w:uiPriority w:val="99"/>
    <w:qFormat/>
    <w:rsid w:val="001842E3"/>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Tahoma" w:hAnsi="Tahoma"/>
        <w:b/>
      </w:rPr>
      <w:tblPr/>
      <w:tcPr>
        <w:tcBorders>
          <w:top w:val="double" w:sz="4" w:space="0" w:color="545759"/>
          <w:bottom w:val="single" w:sz="4" w:space="0" w:color="545759"/>
        </w:tcBorders>
      </w:tcPr>
    </w:tblStylePr>
    <w:tblStylePr w:type="firstCol">
      <w:rPr>
        <w:rFonts w:ascii="Arial Bold" w:hAnsi="Arial Bold"/>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14">
    <w:name w:val="Energy Table14"/>
    <w:basedOn w:val="TableNormal"/>
    <w:uiPriority w:val="99"/>
    <w:qFormat/>
    <w:rsid w:val="004C69A3"/>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Tahoma" w:hAnsi="Tahoma"/>
        <w:b/>
      </w:rPr>
      <w:tblPr/>
      <w:tcPr>
        <w:tcBorders>
          <w:top w:val="double" w:sz="4" w:space="0" w:color="545759"/>
          <w:bottom w:val="single" w:sz="4" w:space="0" w:color="545759"/>
        </w:tcBorders>
      </w:tcPr>
    </w:tblStylePr>
    <w:tblStylePr w:type="firstCol">
      <w:rPr>
        <w:rFonts w:ascii="Arial Bold" w:hAnsi="Arial Bold"/>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15">
    <w:name w:val="Energy Table15"/>
    <w:basedOn w:val="TableNormal"/>
    <w:uiPriority w:val="99"/>
    <w:qFormat/>
    <w:rsid w:val="00702E97"/>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Tahoma" w:hAnsi="Tahoma"/>
        <w:b/>
      </w:rPr>
      <w:tblPr/>
      <w:tcPr>
        <w:tcBorders>
          <w:top w:val="double" w:sz="4" w:space="0" w:color="545759"/>
          <w:bottom w:val="single" w:sz="4" w:space="0" w:color="545759"/>
        </w:tcBorders>
      </w:tcPr>
    </w:tblStylePr>
    <w:tblStylePr w:type="firstCol">
      <w:rPr>
        <w:rFonts w:ascii="Arial Bold" w:hAnsi="Arial Bold"/>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16">
    <w:name w:val="Energy Table16"/>
    <w:basedOn w:val="TableNormal"/>
    <w:uiPriority w:val="99"/>
    <w:qFormat/>
    <w:rsid w:val="00702E97"/>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Tahoma" w:hAnsi="Tahoma"/>
        <w:b/>
      </w:rPr>
      <w:tblPr/>
      <w:tcPr>
        <w:tcBorders>
          <w:top w:val="double" w:sz="4" w:space="0" w:color="545759"/>
          <w:bottom w:val="single" w:sz="4" w:space="0" w:color="545759"/>
        </w:tcBorders>
      </w:tcPr>
    </w:tblStylePr>
    <w:tblStylePr w:type="firstCol">
      <w:rPr>
        <w:rFonts w:ascii="Arial Bold" w:hAnsi="Arial Bold"/>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17">
    <w:name w:val="Energy Table17"/>
    <w:basedOn w:val="TableNormal"/>
    <w:uiPriority w:val="99"/>
    <w:qFormat/>
    <w:rsid w:val="00702E97"/>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Tahoma" w:hAnsi="Tahoma"/>
        <w:b/>
      </w:rPr>
      <w:tblPr/>
      <w:tcPr>
        <w:tcBorders>
          <w:top w:val="double" w:sz="4" w:space="0" w:color="545759"/>
          <w:bottom w:val="single" w:sz="4" w:space="0" w:color="545759"/>
        </w:tcBorders>
      </w:tcPr>
    </w:tblStylePr>
    <w:tblStylePr w:type="firstCol">
      <w:rPr>
        <w:rFonts w:ascii="Arial Bold" w:hAnsi="Arial Bold"/>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18">
    <w:name w:val="Energy Table18"/>
    <w:basedOn w:val="TableNormal"/>
    <w:uiPriority w:val="99"/>
    <w:qFormat/>
    <w:rsid w:val="00D068F8"/>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Tahoma" w:hAnsi="Tahoma"/>
        <w:b/>
      </w:rPr>
      <w:tblPr/>
      <w:tcPr>
        <w:tcBorders>
          <w:top w:val="double" w:sz="4" w:space="0" w:color="545759"/>
          <w:bottom w:val="single" w:sz="4" w:space="0" w:color="545759"/>
        </w:tcBorders>
      </w:tcPr>
    </w:tblStylePr>
    <w:tblStylePr w:type="firstCol">
      <w:rPr>
        <w:rFonts w:ascii="Arial Bold" w:hAnsi="Arial Bold"/>
        <w:b w:val="0"/>
        <w:color w:val="auto"/>
      </w:rPr>
    </w:tblStylePr>
    <w:tblStylePr w:type="band1Horz">
      <w:pPr>
        <w:jc w:val="center"/>
      </w:pPr>
      <w:tblPr/>
      <w:tcPr>
        <w:vAlign w:val="center"/>
      </w:tcPr>
    </w:tblStylePr>
    <w:tblStylePr w:type="band2Horz">
      <w:pPr>
        <w:jc w:val="center"/>
      </w:pPr>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18344">
      <w:bodyDiv w:val="1"/>
      <w:marLeft w:val="0"/>
      <w:marRight w:val="0"/>
      <w:marTop w:val="0"/>
      <w:marBottom w:val="0"/>
      <w:divBdr>
        <w:top w:val="none" w:sz="0" w:space="0" w:color="auto"/>
        <w:left w:val="none" w:sz="0" w:space="0" w:color="auto"/>
        <w:bottom w:val="none" w:sz="0" w:space="0" w:color="auto"/>
        <w:right w:val="none" w:sz="0" w:space="0" w:color="auto"/>
      </w:divBdr>
    </w:div>
    <w:div w:id="29915033">
      <w:bodyDiv w:val="1"/>
      <w:marLeft w:val="0"/>
      <w:marRight w:val="0"/>
      <w:marTop w:val="0"/>
      <w:marBottom w:val="0"/>
      <w:divBdr>
        <w:top w:val="none" w:sz="0" w:space="0" w:color="auto"/>
        <w:left w:val="none" w:sz="0" w:space="0" w:color="auto"/>
        <w:bottom w:val="none" w:sz="0" w:space="0" w:color="auto"/>
        <w:right w:val="none" w:sz="0" w:space="0" w:color="auto"/>
      </w:divBdr>
    </w:div>
    <w:div w:id="70934472">
      <w:bodyDiv w:val="1"/>
      <w:marLeft w:val="0"/>
      <w:marRight w:val="0"/>
      <w:marTop w:val="0"/>
      <w:marBottom w:val="0"/>
      <w:divBdr>
        <w:top w:val="none" w:sz="0" w:space="0" w:color="auto"/>
        <w:left w:val="none" w:sz="0" w:space="0" w:color="auto"/>
        <w:bottom w:val="none" w:sz="0" w:space="0" w:color="auto"/>
        <w:right w:val="none" w:sz="0" w:space="0" w:color="auto"/>
      </w:divBdr>
    </w:div>
    <w:div w:id="76486252">
      <w:bodyDiv w:val="1"/>
      <w:marLeft w:val="0"/>
      <w:marRight w:val="0"/>
      <w:marTop w:val="0"/>
      <w:marBottom w:val="0"/>
      <w:divBdr>
        <w:top w:val="none" w:sz="0" w:space="0" w:color="auto"/>
        <w:left w:val="none" w:sz="0" w:space="0" w:color="auto"/>
        <w:bottom w:val="none" w:sz="0" w:space="0" w:color="auto"/>
        <w:right w:val="none" w:sz="0" w:space="0" w:color="auto"/>
      </w:divBdr>
    </w:div>
    <w:div w:id="97458032">
      <w:bodyDiv w:val="1"/>
      <w:marLeft w:val="0"/>
      <w:marRight w:val="0"/>
      <w:marTop w:val="0"/>
      <w:marBottom w:val="0"/>
      <w:divBdr>
        <w:top w:val="none" w:sz="0" w:space="0" w:color="auto"/>
        <w:left w:val="none" w:sz="0" w:space="0" w:color="auto"/>
        <w:bottom w:val="none" w:sz="0" w:space="0" w:color="auto"/>
        <w:right w:val="none" w:sz="0" w:space="0" w:color="auto"/>
      </w:divBdr>
    </w:div>
    <w:div w:id="99104744">
      <w:bodyDiv w:val="1"/>
      <w:marLeft w:val="0"/>
      <w:marRight w:val="0"/>
      <w:marTop w:val="0"/>
      <w:marBottom w:val="0"/>
      <w:divBdr>
        <w:top w:val="none" w:sz="0" w:space="0" w:color="auto"/>
        <w:left w:val="none" w:sz="0" w:space="0" w:color="auto"/>
        <w:bottom w:val="none" w:sz="0" w:space="0" w:color="auto"/>
        <w:right w:val="none" w:sz="0" w:space="0" w:color="auto"/>
      </w:divBdr>
    </w:div>
    <w:div w:id="113058201">
      <w:bodyDiv w:val="1"/>
      <w:marLeft w:val="0"/>
      <w:marRight w:val="0"/>
      <w:marTop w:val="0"/>
      <w:marBottom w:val="0"/>
      <w:divBdr>
        <w:top w:val="none" w:sz="0" w:space="0" w:color="auto"/>
        <w:left w:val="none" w:sz="0" w:space="0" w:color="auto"/>
        <w:bottom w:val="none" w:sz="0" w:space="0" w:color="auto"/>
        <w:right w:val="none" w:sz="0" w:space="0" w:color="auto"/>
      </w:divBdr>
    </w:div>
    <w:div w:id="173149627">
      <w:bodyDiv w:val="1"/>
      <w:marLeft w:val="0"/>
      <w:marRight w:val="0"/>
      <w:marTop w:val="0"/>
      <w:marBottom w:val="0"/>
      <w:divBdr>
        <w:top w:val="none" w:sz="0" w:space="0" w:color="auto"/>
        <w:left w:val="none" w:sz="0" w:space="0" w:color="auto"/>
        <w:bottom w:val="none" w:sz="0" w:space="0" w:color="auto"/>
        <w:right w:val="none" w:sz="0" w:space="0" w:color="auto"/>
      </w:divBdr>
    </w:div>
    <w:div w:id="179897636">
      <w:bodyDiv w:val="1"/>
      <w:marLeft w:val="0"/>
      <w:marRight w:val="0"/>
      <w:marTop w:val="0"/>
      <w:marBottom w:val="0"/>
      <w:divBdr>
        <w:top w:val="none" w:sz="0" w:space="0" w:color="auto"/>
        <w:left w:val="none" w:sz="0" w:space="0" w:color="auto"/>
        <w:bottom w:val="none" w:sz="0" w:space="0" w:color="auto"/>
        <w:right w:val="none" w:sz="0" w:space="0" w:color="auto"/>
      </w:divBdr>
    </w:div>
    <w:div w:id="188296594">
      <w:bodyDiv w:val="1"/>
      <w:marLeft w:val="0"/>
      <w:marRight w:val="0"/>
      <w:marTop w:val="0"/>
      <w:marBottom w:val="0"/>
      <w:divBdr>
        <w:top w:val="none" w:sz="0" w:space="0" w:color="auto"/>
        <w:left w:val="none" w:sz="0" w:space="0" w:color="auto"/>
        <w:bottom w:val="none" w:sz="0" w:space="0" w:color="auto"/>
        <w:right w:val="none" w:sz="0" w:space="0" w:color="auto"/>
      </w:divBdr>
    </w:div>
    <w:div w:id="202865353">
      <w:bodyDiv w:val="1"/>
      <w:marLeft w:val="0"/>
      <w:marRight w:val="0"/>
      <w:marTop w:val="0"/>
      <w:marBottom w:val="0"/>
      <w:divBdr>
        <w:top w:val="none" w:sz="0" w:space="0" w:color="auto"/>
        <w:left w:val="none" w:sz="0" w:space="0" w:color="auto"/>
        <w:bottom w:val="none" w:sz="0" w:space="0" w:color="auto"/>
        <w:right w:val="none" w:sz="0" w:space="0" w:color="auto"/>
      </w:divBdr>
      <w:divsChild>
        <w:div w:id="84614125">
          <w:marLeft w:val="446"/>
          <w:marRight w:val="0"/>
          <w:marTop w:val="0"/>
          <w:marBottom w:val="0"/>
          <w:divBdr>
            <w:top w:val="none" w:sz="0" w:space="0" w:color="auto"/>
            <w:left w:val="none" w:sz="0" w:space="0" w:color="auto"/>
            <w:bottom w:val="none" w:sz="0" w:space="0" w:color="auto"/>
            <w:right w:val="none" w:sz="0" w:space="0" w:color="auto"/>
          </w:divBdr>
        </w:div>
      </w:divsChild>
    </w:div>
    <w:div w:id="210727943">
      <w:bodyDiv w:val="1"/>
      <w:marLeft w:val="0"/>
      <w:marRight w:val="0"/>
      <w:marTop w:val="0"/>
      <w:marBottom w:val="0"/>
      <w:divBdr>
        <w:top w:val="none" w:sz="0" w:space="0" w:color="auto"/>
        <w:left w:val="none" w:sz="0" w:space="0" w:color="auto"/>
        <w:bottom w:val="none" w:sz="0" w:space="0" w:color="auto"/>
        <w:right w:val="none" w:sz="0" w:space="0" w:color="auto"/>
      </w:divBdr>
    </w:div>
    <w:div w:id="219289225">
      <w:bodyDiv w:val="1"/>
      <w:marLeft w:val="0"/>
      <w:marRight w:val="0"/>
      <w:marTop w:val="0"/>
      <w:marBottom w:val="0"/>
      <w:divBdr>
        <w:top w:val="none" w:sz="0" w:space="0" w:color="auto"/>
        <w:left w:val="none" w:sz="0" w:space="0" w:color="auto"/>
        <w:bottom w:val="none" w:sz="0" w:space="0" w:color="auto"/>
        <w:right w:val="none" w:sz="0" w:space="0" w:color="auto"/>
      </w:divBdr>
    </w:div>
    <w:div w:id="223756742">
      <w:bodyDiv w:val="1"/>
      <w:marLeft w:val="0"/>
      <w:marRight w:val="0"/>
      <w:marTop w:val="0"/>
      <w:marBottom w:val="0"/>
      <w:divBdr>
        <w:top w:val="none" w:sz="0" w:space="0" w:color="auto"/>
        <w:left w:val="none" w:sz="0" w:space="0" w:color="auto"/>
        <w:bottom w:val="none" w:sz="0" w:space="0" w:color="auto"/>
        <w:right w:val="none" w:sz="0" w:space="0" w:color="auto"/>
      </w:divBdr>
    </w:div>
    <w:div w:id="244077289">
      <w:bodyDiv w:val="1"/>
      <w:marLeft w:val="0"/>
      <w:marRight w:val="0"/>
      <w:marTop w:val="0"/>
      <w:marBottom w:val="0"/>
      <w:divBdr>
        <w:top w:val="none" w:sz="0" w:space="0" w:color="auto"/>
        <w:left w:val="none" w:sz="0" w:space="0" w:color="auto"/>
        <w:bottom w:val="none" w:sz="0" w:space="0" w:color="auto"/>
        <w:right w:val="none" w:sz="0" w:space="0" w:color="auto"/>
      </w:divBdr>
    </w:div>
    <w:div w:id="256132663">
      <w:bodyDiv w:val="1"/>
      <w:marLeft w:val="0"/>
      <w:marRight w:val="0"/>
      <w:marTop w:val="0"/>
      <w:marBottom w:val="0"/>
      <w:divBdr>
        <w:top w:val="none" w:sz="0" w:space="0" w:color="auto"/>
        <w:left w:val="none" w:sz="0" w:space="0" w:color="auto"/>
        <w:bottom w:val="none" w:sz="0" w:space="0" w:color="auto"/>
        <w:right w:val="none" w:sz="0" w:space="0" w:color="auto"/>
      </w:divBdr>
    </w:div>
    <w:div w:id="265617639">
      <w:bodyDiv w:val="1"/>
      <w:marLeft w:val="0"/>
      <w:marRight w:val="0"/>
      <w:marTop w:val="0"/>
      <w:marBottom w:val="0"/>
      <w:divBdr>
        <w:top w:val="none" w:sz="0" w:space="0" w:color="auto"/>
        <w:left w:val="none" w:sz="0" w:space="0" w:color="auto"/>
        <w:bottom w:val="none" w:sz="0" w:space="0" w:color="auto"/>
        <w:right w:val="none" w:sz="0" w:space="0" w:color="auto"/>
      </w:divBdr>
    </w:div>
    <w:div w:id="274673977">
      <w:bodyDiv w:val="1"/>
      <w:marLeft w:val="0"/>
      <w:marRight w:val="0"/>
      <w:marTop w:val="0"/>
      <w:marBottom w:val="0"/>
      <w:divBdr>
        <w:top w:val="none" w:sz="0" w:space="0" w:color="auto"/>
        <w:left w:val="none" w:sz="0" w:space="0" w:color="auto"/>
        <w:bottom w:val="none" w:sz="0" w:space="0" w:color="auto"/>
        <w:right w:val="none" w:sz="0" w:space="0" w:color="auto"/>
      </w:divBdr>
    </w:div>
    <w:div w:id="300810834">
      <w:bodyDiv w:val="1"/>
      <w:marLeft w:val="0"/>
      <w:marRight w:val="0"/>
      <w:marTop w:val="0"/>
      <w:marBottom w:val="0"/>
      <w:divBdr>
        <w:top w:val="none" w:sz="0" w:space="0" w:color="auto"/>
        <w:left w:val="none" w:sz="0" w:space="0" w:color="auto"/>
        <w:bottom w:val="none" w:sz="0" w:space="0" w:color="auto"/>
        <w:right w:val="none" w:sz="0" w:space="0" w:color="auto"/>
      </w:divBdr>
    </w:div>
    <w:div w:id="304816913">
      <w:bodyDiv w:val="1"/>
      <w:marLeft w:val="0"/>
      <w:marRight w:val="0"/>
      <w:marTop w:val="0"/>
      <w:marBottom w:val="0"/>
      <w:divBdr>
        <w:top w:val="none" w:sz="0" w:space="0" w:color="auto"/>
        <w:left w:val="none" w:sz="0" w:space="0" w:color="auto"/>
        <w:bottom w:val="none" w:sz="0" w:space="0" w:color="auto"/>
        <w:right w:val="none" w:sz="0" w:space="0" w:color="auto"/>
      </w:divBdr>
    </w:div>
    <w:div w:id="317341403">
      <w:bodyDiv w:val="1"/>
      <w:marLeft w:val="0"/>
      <w:marRight w:val="0"/>
      <w:marTop w:val="0"/>
      <w:marBottom w:val="0"/>
      <w:divBdr>
        <w:top w:val="none" w:sz="0" w:space="0" w:color="auto"/>
        <w:left w:val="none" w:sz="0" w:space="0" w:color="auto"/>
        <w:bottom w:val="none" w:sz="0" w:space="0" w:color="auto"/>
        <w:right w:val="none" w:sz="0" w:space="0" w:color="auto"/>
      </w:divBdr>
    </w:div>
    <w:div w:id="321936535">
      <w:bodyDiv w:val="1"/>
      <w:marLeft w:val="0"/>
      <w:marRight w:val="0"/>
      <w:marTop w:val="0"/>
      <w:marBottom w:val="0"/>
      <w:divBdr>
        <w:top w:val="none" w:sz="0" w:space="0" w:color="auto"/>
        <w:left w:val="none" w:sz="0" w:space="0" w:color="auto"/>
        <w:bottom w:val="none" w:sz="0" w:space="0" w:color="auto"/>
        <w:right w:val="none" w:sz="0" w:space="0" w:color="auto"/>
      </w:divBdr>
    </w:div>
    <w:div w:id="354159498">
      <w:bodyDiv w:val="1"/>
      <w:marLeft w:val="0"/>
      <w:marRight w:val="0"/>
      <w:marTop w:val="0"/>
      <w:marBottom w:val="0"/>
      <w:divBdr>
        <w:top w:val="none" w:sz="0" w:space="0" w:color="auto"/>
        <w:left w:val="none" w:sz="0" w:space="0" w:color="auto"/>
        <w:bottom w:val="none" w:sz="0" w:space="0" w:color="auto"/>
        <w:right w:val="none" w:sz="0" w:space="0" w:color="auto"/>
      </w:divBdr>
      <w:divsChild>
        <w:div w:id="511917668">
          <w:marLeft w:val="136"/>
          <w:marRight w:val="136"/>
          <w:marTop w:val="204"/>
          <w:marBottom w:val="0"/>
          <w:divBdr>
            <w:top w:val="none" w:sz="0" w:space="0" w:color="auto"/>
            <w:left w:val="none" w:sz="0" w:space="0" w:color="auto"/>
            <w:bottom w:val="none" w:sz="0" w:space="0" w:color="auto"/>
            <w:right w:val="none" w:sz="0" w:space="0" w:color="auto"/>
          </w:divBdr>
          <w:divsChild>
            <w:div w:id="14728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08">
      <w:bodyDiv w:val="1"/>
      <w:marLeft w:val="0"/>
      <w:marRight w:val="0"/>
      <w:marTop w:val="0"/>
      <w:marBottom w:val="0"/>
      <w:divBdr>
        <w:top w:val="none" w:sz="0" w:space="0" w:color="auto"/>
        <w:left w:val="none" w:sz="0" w:space="0" w:color="auto"/>
        <w:bottom w:val="none" w:sz="0" w:space="0" w:color="auto"/>
        <w:right w:val="none" w:sz="0" w:space="0" w:color="auto"/>
      </w:divBdr>
    </w:div>
    <w:div w:id="378240387">
      <w:bodyDiv w:val="1"/>
      <w:marLeft w:val="0"/>
      <w:marRight w:val="0"/>
      <w:marTop w:val="0"/>
      <w:marBottom w:val="0"/>
      <w:divBdr>
        <w:top w:val="none" w:sz="0" w:space="0" w:color="auto"/>
        <w:left w:val="none" w:sz="0" w:space="0" w:color="auto"/>
        <w:bottom w:val="none" w:sz="0" w:space="0" w:color="auto"/>
        <w:right w:val="none" w:sz="0" w:space="0" w:color="auto"/>
      </w:divBdr>
    </w:div>
    <w:div w:id="418644694">
      <w:bodyDiv w:val="1"/>
      <w:marLeft w:val="0"/>
      <w:marRight w:val="0"/>
      <w:marTop w:val="0"/>
      <w:marBottom w:val="0"/>
      <w:divBdr>
        <w:top w:val="none" w:sz="0" w:space="0" w:color="auto"/>
        <w:left w:val="none" w:sz="0" w:space="0" w:color="auto"/>
        <w:bottom w:val="none" w:sz="0" w:space="0" w:color="auto"/>
        <w:right w:val="none" w:sz="0" w:space="0" w:color="auto"/>
      </w:divBdr>
    </w:div>
    <w:div w:id="428082693">
      <w:bodyDiv w:val="1"/>
      <w:marLeft w:val="0"/>
      <w:marRight w:val="0"/>
      <w:marTop w:val="0"/>
      <w:marBottom w:val="0"/>
      <w:divBdr>
        <w:top w:val="none" w:sz="0" w:space="0" w:color="auto"/>
        <w:left w:val="none" w:sz="0" w:space="0" w:color="auto"/>
        <w:bottom w:val="none" w:sz="0" w:space="0" w:color="auto"/>
        <w:right w:val="none" w:sz="0" w:space="0" w:color="auto"/>
      </w:divBdr>
    </w:div>
    <w:div w:id="428158871">
      <w:bodyDiv w:val="1"/>
      <w:marLeft w:val="0"/>
      <w:marRight w:val="0"/>
      <w:marTop w:val="0"/>
      <w:marBottom w:val="0"/>
      <w:divBdr>
        <w:top w:val="none" w:sz="0" w:space="0" w:color="auto"/>
        <w:left w:val="none" w:sz="0" w:space="0" w:color="auto"/>
        <w:bottom w:val="none" w:sz="0" w:space="0" w:color="auto"/>
        <w:right w:val="none" w:sz="0" w:space="0" w:color="auto"/>
      </w:divBdr>
    </w:div>
    <w:div w:id="454908408">
      <w:bodyDiv w:val="1"/>
      <w:marLeft w:val="0"/>
      <w:marRight w:val="0"/>
      <w:marTop w:val="0"/>
      <w:marBottom w:val="0"/>
      <w:divBdr>
        <w:top w:val="none" w:sz="0" w:space="0" w:color="auto"/>
        <w:left w:val="none" w:sz="0" w:space="0" w:color="auto"/>
        <w:bottom w:val="none" w:sz="0" w:space="0" w:color="auto"/>
        <w:right w:val="none" w:sz="0" w:space="0" w:color="auto"/>
      </w:divBdr>
    </w:div>
    <w:div w:id="499855073">
      <w:bodyDiv w:val="1"/>
      <w:marLeft w:val="0"/>
      <w:marRight w:val="0"/>
      <w:marTop w:val="0"/>
      <w:marBottom w:val="0"/>
      <w:divBdr>
        <w:top w:val="none" w:sz="0" w:space="0" w:color="auto"/>
        <w:left w:val="none" w:sz="0" w:space="0" w:color="auto"/>
        <w:bottom w:val="none" w:sz="0" w:space="0" w:color="auto"/>
        <w:right w:val="none" w:sz="0" w:space="0" w:color="auto"/>
      </w:divBdr>
    </w:div>
    <w:div w:id="509953344">
      <w:bodyDiv w:val="1"/>
      <w:marLeft w:val="0"/>
      <w:marRight w:val="0"/>
      <w:marTop w:val="0"/>
      <w:marBottom w:val="0"/>
      <w:divBdr>
        <w:top w:val="none" w:sz="0" w:space="0" w:color="auto"/>
        <w:left w:val="none" w:sz="0" w:space="0" w:color="auto"/>
        <w:bottom w:val="none" w:sz="0" w:space="0" w:color="auto"/>
        <w:right w:val="none" w:sz="0" w:space="0" w:color="auto"/>
      </w:divBdr>
    </w:div>
    <w:div w:id="543250461">
      <w:bodyDiv w:val="1"/>
      <w:marLeft w:val="0"/>
      <w:marRight w:val="0"/>
      <w:marTop w:val="0"/>
      <w:marBottom w:val="0"/>
      <w:divBdr>
        <w:top w:val="none" w:sz="0" w:space="0" w:color="auto"/>
        <w:left w:val="none" w:sz="0" w:space="0" w:color="auto"/>
        <w:bottom w:val="none" w:sz="0" w:space="0" w:color="auto"/>
        <w:right w:val="none" w:sz="0" w:space="0" w:color="auto"/>
      </w:divBdr>
    </w:div>
    <w:div w:id="549465608">
      <w:bodyDiv w:val="1"/>
      <w:marLeft w:val="0"/>
      <w:marRight w:val="0"/>
      <w:marTop w:val="0"/>
      <w:marBottom w:val="0"/>
      <w:divBdr>
        <w:top w:val="none" w:sz="0" w:space="0" w:color="auto"/>
        <w:left w:val="none" w:sz="0" w:space="0" w:color="auto"/>
        <w:bottom w:val="none" w:sz="0" w:space="0" w:color="auto"/>
        <w:right w:val="none" w:sz="0" w:space="0" w:color="auto"/>
      </w:divBdr>
    </w:div>
    <w:div w:id="549658079">
      <w:bodyDiv w:val="1"/>
      <w:marLeft w:val="0"/>
      <w:marRight w:val="0"/>
      <w:marTop w:val="0"/>
      <w:marBottom w:val="0"/>
      <w:divBdr>
        <w:top w:val="none" w:sz="0" w:space="0" w:color="auto"/>
        <w:left w:val="none" w:sz="0" w:space="0" w:color="auto"/>
        <w:bottom w:val="none" w:sz="0" w:space="0" w:color="auto"/>
        <w:right w:val="none" w:sz="0" w:space="0" w:color="auto"/>
      </w:divBdr>
    </w:div>
    <w:div w:id="559052479">
      <w:bodyDiv w:val="1"/>
      <w:marLeft w:val="0"/>
      <w:marRight w:val="0"/>
      <w:marTop w:val="0"/>
      <w:marBottom w:val="0"/>
      <w:divBdr>
        <w:top w:val="none" w:sz="0" w:space="0" w:color="auto"/>
        <w:left w:val="none" w:sz="0" w:space="0" w:color="auto"/>
        <w:bottom w:val="none" w:sz="0" w:space="0" w:color="auto"/>
        <w:right w:val="none" w:sz="0" w:space="0" w:color="auto"/>
      </w:divBdr>
    </w:div>
    <w:div w:id="582178215">
      <w:bodyDiv w:val="1"/>
      <w:marLeft w:val="0"/>
      <w:marRight w:val="0"/>
      <w:marTop w:val="0"/>
      <w:marBottom w:val="0"/>
      <w:divBdr>
        <w:top w:val="none" w:sz="0" w:space="0" w:color="auto"/>
        <w:left w:val="none" w:sz="0" w:space="0" w:color="auto"/>
        <w:bottom w:val="none" w:sz="0" w:space="0" w:color="auto"/>
        <w:right w:val="none" w:sz="0" w:space="0" w:color="auto"/>
      </w:divBdr>
    </w:div>
    <w:div w:id="624820892">
      <w:bodyDiv w:val="1"/>
      <w:marLeft w:val="0"/>
      <w:marRight w:val="0"/>
      <w:marTop w:val="0"/>
      <w:marBottom w:val="0"/>
      <w:divBdr>
        <w:top w:val="none" w:sz="0" w:space="0" w:color="auto"/>
        <w:left w:val="none" w:sz="0" w:space="0" w:color="auto"/>
        <w:bottom w:val="none" w:sz="0" w:space="0" w:color="auto"/>
        <w:right w:val="none" w:sz="0" w:space="0" w:color="auto"/>
      </w:divBdr>
    </w:div>
    <w:div w:id="633801590">
      <w:bodyDiv w:val="1"/>
      <w:marLeft w:val="0"/>
      <w:marRight w:val="0"/>
      <w:marTop w:val="0"/>
      <w:marBottom w:val="0"/>
      <w:divBdr>
        <w:top w:val="none" w:sz="0" w:space="0" w:color="auto"/>
        <w:left w:val="none" w:sz="0" w:space="0" w:color="auto"/>
        <w:bottom w:val="none" w:sz="0" w:space="0" w:color="auto"/>
        <w:right w:val="none" w:sz="0" w:space="0" w:color="auto"/>
      </w:divBdr>
    </w:div>
    <w:div w:id="646713194">
      <w:bodyDiv w:val="1"/>
      <w:marLeft w:val="0"/>
      <w:marRight w:val="0"/>
      <w:marTop w:val="0"/>
      <w:marBottom w:val="0"/>
      <w:divBdr>
        <w:top w:val="none" w:sz="0" w:space="0" w:color="auto"/>
        <w:left w:val="none" w:sz="0" w:space="0" w:color="auto"/>
        <w:bottom w:val="none" w:sz="0" w:space="0" w:color="auto"/>
        <w:right w:val="none" w:sz="0" w:space="0" w:color="auto"/>
      </w:divBdr>
    </w:div>
    <w:div w:id="656303896">
      <w:bodyDiv w:val="1"/>
      <w:marLeft w:val="0"/>
      <w:marRight w:val="0"/>
      <w:marTop w:val="0"/>
      <w:marBottom w:val="0"/>
      <w:divBdr>
        <w:top w:val="none" w:sz="0" w:space="0" w:color="auto"/>
        <w:left w:val="none" w:sz="0" w:space="0" w:color="auto"/>
        <w:bottom w:val="none" w:sz="0" w:space="0" w:color="auto"/>
        <w:right w:val="none" w:sz="0" w:space="0" w:color="auto"/>
      </w:divBdr>
    </w:div>
    <w:div w:id="682826748">
      <w:bodyDiv w:val="1"/>
      <w:marLeft w:val="0"/>
      <w:marRight w:val="0"/>
      <w:marTop w:val="0"/>
      <w:marBottom w:val="0"/>
      <w:divBdr>
        <w:top w:val="none" w:sz="0" w:space="0" w:color="auto"/>
        <w:left w:val="none" w:sz="0" w:space="0" w:color="auto"/>
        <w:bottom w:val="none" w:sz="0" w:space="0" w:color="auto"/>
        <w:right w:val="none" w:sz="0" w:space="0" w:color="auto"/>
      </w:divBdr>
    </w:div>
    <w:div w:id="711078671">
      <w:bodyDiv w:val="1"/>
      <w:marLeft w:val="0"/>
      <w:marRight w:val="0"/>
      <w:marTop w:val="0"/>
      <w:marBottom w:val="0"/>
      <w:divBdr>
        <w:top w:val="none" w:sz="0" w:space="0" w:color="auto"/>
        <w:left w:val="none" w:sz="0" w:space="0" w:color="auto"/>
        <w:bottom w:val="none" w:sz="0" w:space="0" w:color="auto"/>
        <w:right w:val="none" w:sz="0" w:space="0" w:color="auto"/>
      </w:divBdr>
      <w:divsChild>
        <w:div w:id="638806296">
          <w:marLeft w:val="446"/>
          <w:marRight w:val="0"/>
          <w:marTop w:val="0"/>
          <w:marBottom w:val="0"/>
          <w:divBdr>
            <w:top w:val="none" w:sz="0" w:space="0" w:color="auto"/>
            <w:left w:val="none" w:sz="0" w:space="0" w:color="auto"/>
            <w:bottom w:val="none" w:sz="0" w:space="0" w:color="auto"/>
            <w:right w:val="none" w:sz="0" w:space="0" w:color="auto"/>
          </w:divBdr>
        </w:div>
      </w:divsChild>
    </w:div>
    <w:div w:id="725102384">
      <w:bodyDiv w:val="1"/>
      <w:marLeft w:val="0"/>
      <w:marRight w:val="0"/>
      <w:marTop w:val="0"/>
      <w:marBottom w:val="0"/>
      <w:divBdr>
        <w:top w:val="none" w:sz="0" w:space="0" w:color="auto"/>
        <w:left w:val="none" w:sz="0" w:space="0" w:color="auto"/>
        <w:bottom w:val="none" w:sz="0" w:space="0" w:color="auto"/>
        <w:right w:val="none" w:sz="0" w:space="0" w:color="auto"/>
      </w:divBdr>
      <w:divsChild>
        <w:div w:id="1853911015">
          <w:marLeft w:val="446"/>
          <w:marRight w:val="0"/>
          <w:marTop w:val="0"/>
          <w:marBottom w:val="0"/>
          <w:divBdr>
            <w:top w:val="none" w:sz="0" w:space="0" w:color="auto"/>
            <w:left w:val="none" w:sz="0" w:space="0" w:color="auto"/>
            <w:bottom w:val="none" w:sz="0" w:space="0" w:color="auto"/>
            <w:right w:val="none" w:sz="0" w:space="0" w:color="auto"/>
          </w:divBdr>
        </w:div>
      </w:divsChild>
    </w:div>
    <w:div w:id="737289018">
      <w:bodyDiv w:val="1"/>
      <w:marLeft w:val="0"/>
      <w:marRight w:val="0"/>
      <w:marTop w:val="0"/>
      <w:marBottom w:val="0"/>
      <w:divBdr>
        <w:top w:val="none" w:sz="0" w:space="0" w:color="auto"/>
        <w:left w:val="none" w:sz="0" w:space="0" w:color="auto"/>
        <w:bottom w:val="none" w:sz="0" w:space="0" w:color="auto"/>
        <w:right w:val="none" w:sz="0" w:space="0" w:color="auto"/>
      </w:divBdr>
    </w:div>
    <w:div w:id="739449826">
      <w:bodyDiv w:val="1"/>
      <w:marLeft w:val="0"/>
      <w:marRight w:val="0"/>
      <w:marTop w:val="0"/>
      <w:marBottom w:val="0"/>
      <w:divBdr>
        <w:top w:val="none" w:sz="0" w:space="0" w:color="auto"/>
        <w:left w:val="none" w:sz="0" w:space="0" w:color="auto"/>
        <w:bottom w:val="none" w:sz="0" w:space="0" w:color="auto"/>
        <w:right w:val="none" w:sz="0" w:space="0" w:color="auto"/>
      </w:divBdr>
    </w:div>
    <w:div w:id="766120078">
      <w:bodyDiv w:val="1"/>
      <w:marLeft w:val="0"/>
      <w:marRight w:val="0"/>
      <w:marTop w:val="0"/>
      <w:marBottom w:val="0"/>
      <w:divBdr>
        <w:top w:val="none" w:sz="0" w:space="0" w:color="auto"/>
        <w:left w:val="none" w:sz="0" w:space="0" w:color="auto"/>
        <w:bottom w:val="none" w:sz="0" w:space="0" w:color="auto"/>
        <w:right w:val="none" w:sz="0" w:space="0" w:color="auto"/>
      </w:divBdr>
    </w:div>
    <w:div w:id="816188205">
      <w:bodyDiv w:val="1"/>
      <w:marLeft w:val="0"/>
      <w:marRight w:val="0"/>
      <w:marTop w:val="0"/>
      <w:marBottom w:val="0"/>
      <w:divBdr>
        <w:top w:val="none" w:sz="0" w:space="0" w:color="auto"/>
        <w:left w:val="none" w:sz="0" w:space="0" w:color="auto"/>
        <w:bottom w:val="none" w:sz="0" w:space="0" w:color="auto"/>
        <w:right w:val="none" w:sz="0" w:space="0" w:color="auto"/>
      </w:divBdr>
    </w:div>
    <w:div w:id="816728813">
      <w:bodyDiv w:val="1"/>
      <w:marLeft w:val="0"/>
      <w:marRight w:val="0"/>
      <w:marTop w:val="0"/>
      <w:marBottom w:val="0"/>
      <w:divBdr>
        <w:top w:val="none" w:sz="0" w:space="0" w:color="auto"/>
        <w:left w:val="none" w:sz="0" w:space="0" w:color="auto"/>
        <w:bottom w:val="none" w:sz="0" w:space="0" w:color="auto"/>
        <w:right w:val="none" w:sz="0" w:space="0" w:color="auto"/>
      </w:divBdr>
    </w:div>
    <w:div w:id="834764678">
      <w:bodyDiv w:val="1"/>
      <w:marLeft w:val="0"/>
      <w:marRight w:val="0"/>
      <w:marTop w:val="0"/>
      <w:marBottom w:val="0"/>
      <w:divBdr>
        <w:top w:val="none" w:sz="0" w:space="0" w:color="auto"/>
        <w:left w:val="none" w:sz="0" w:space="0" w:color="auto"/>
        <w:bottom w:val="none" w:sz="0" w:space="0" w:color="auto"/>
        <w:right w:val="none" w:sz="0" w:space="0" w:color="auto"/>
      </w:divBdr>
    </w:div>
    <w:div w:id="841092223">
      <w:bodyDiv w:val="1"/>
      <w:marLeft w:val="0"/>
      <w:marRight w:val="0"/>
      <w:marTop w:val="0"/>
      <w:marBottom w:val="0"/>
      <w:divBdr>
        <w:top w:val="none" w:sz="0" w:space="0" w:color="auto"/>
        <w:left w:val="none" w:sz="0" w:space="0" w:color="auto"/>
        <w:bottom w:val="none" w:sz="0" w:space="0" w:color="auto"/>
        <w:right w:val="none" w:sz="0" w:space="0" w:color="auto"/>
      </w:divBdr>
    </w:div>
    <w:div w:id="846679521">
      <w:bodyDiv w:val="1"/>
      <w:marLeft w:val="0"/>
      <w:marRight w:val="0"/>
      <w:marTop w:val="0"/>
      <w:marBottom w:val="0"/>
      <w:divBdr>
        <w:top w:val="none" w:sz="0" w:space="0" w:color="auto"/>
        <w:left w:val="none" w:sz="0" w:space="0" w:color="auto"/>
        <w:bottom w:val="none" w:sz="0" w:space="0" w:color="auto"/>
        <w:right w:val="none" w:sz="0" w:space="0" w:color="auto"/>
      </w:divBdr>
    </w:div>
    <w:div w:id="849177780">
      <w:bodyDiv w:val="1"/>
      <w:marLeft w:val="0"/>
      <w:marRight w:val="0"/>
      <w:marTop w:val="0"/>
      <w:marBottom w:val="0"/>
      <w:divBdr>
        <w:top w:val="none" w:sz="0" w:space="0" w:color="auto"/>
        <w:left w:val="none" w:sz="0" w:space="0" w:color="auto"/>
        <w:bottom w:val="none" w:sz="0" w:space="0" w:color="auto"/>
        <w:right w:val="none" w:sz="0" w:space="0" w:color="auto"/>
      </w:divBdr>
    </w:div>
    <w:div w:id="877163568">
      <w:bodyDiv w:val="1"/>
      <w:marLeft w:val="0"/>
      <w:marRight w:val="0"/>
      <w:marTop w:val="0"/>
      <w:marBottom w:val="0"/>
      <w:divBdr>
        <w:top w:val="none" w:sz="0" w:space="0" w:color="auto"/>
        <w:left w:val="none" w:sz="0" w:space="0" w:color="auto"/>
        <w:bottom w:val="none" w:sz="0" w:space="0" w:color="auto"/>
        <w:right w:val="none" w:sz="0" w:space="0" w:color="auto"/>
      </w:divBdr>
    </w:div>
    <w:div w:id="901326471">
      <w:bodyDiv w:val="1"/>
      <w:marLeft w:val="0"/>
      <w:marRight w:val="0"/>
      <w:marTop w:val="0"/>
      <w:marBottom w:val="0"/>
      <w:divBdr>
        <w:top w:val="none" w:sz="0" w:space="0" w:color="auto"/>
        <w:left w:val="none" w:sz="0" w:space="0" w:color="auto"/>
        <w:bottom w:val="none" w:sz="0" w:space="0" w:color="auto"/>
        <w:right w:val="none" w:sz="0" w:space="0" w:color="auto"/>
      </w:divBdr>
    </w:div>
    <w:div w:id="919755022">
      <w:bodyDiv w:val="1"/>
      <w:marLeft w:val="0"/>
      <w:marRight w:val="0"/>
      <w:marTop w:val="0"/>
      <w:marBottom w:val="0"/>
      <w:divBdr>
        <w:top w:val="none" w:sz="0" w:space="0" w:color="auto"/>
        <w:left w:val="none" w:sz="0" w:space="0" w:color="auto"/>
        <w:bottom w:val="none" w:sz="0" w:space="0" w:color="auto"/>
        <w:right w:val="none" w:sz="0" w:space="0" w:color="auto"/>
      </w:divBdr>
    </w:div>
    <w:div w:id="924805031">
      <w:bodyDiv w:val="1"/>
      <w:marLeft w:val="0"/>
      <w:marRight w:val="0"/>
      <w:marTop w:val="0"/>
      <w:marBottom w:val="0"/>
      <w:divBdr>
        <w:top w:val="none" w:sz="0" w:space="0" w:color="auto"/>
        <w:left w:val="none" w:sz="0" w:space="0" w:color="auto"/>
        <w:bottom w:val="none" w:sz="0" w:space="0" w:color="auto"/>
        <w:right w:val="none" w:sz="0" w:space="0" w:color="auto"/>
      </w:divBdr>
    </w:div>
    <w:div w:id="929125356">
      <w:bodyDiv w:val="1"/>
      <w:marLeft w:val="0"/>
      <w:marRight w:val="0"/>
      <w:marTop w:val="0"/>
      <w:marBottom w:val="0"/>
      <w:divBdr>
        <w:top w:val="none" w:sz="0" w:space="0" w:color="auto"/>
        <w:left w:val="none" w:sz="0" w:space="0" w:color="auto"/>
        <w:bottom w:val="none" w:sz="0" w:space="0" w:color="auto"/>
        <w:right w:val="none" w:sz="0" w:space="0" w:color="auto"/>
      </w:divBdr>
    </w:div>
    <w:div w:id="937641902">
      <w:bodyDiv w:val="1"/>
      <w:marLeft w:val="0"/>
      <w:marRight w:val="0"/>
      <w:marTop w:val="0"/>
      <w:marBottom w:val="0"/>
      <w:divBdr>
        <w:top w:val="none" w:sz="0" w:space="0" w:color="auto"/>
        <w:left w:val="none" w:sz="0" w:space="0" w:color="auto"/>
        <w:bottom w:val="none" w:sz="0" w:space="0" w:color="auto"/>
        <w:right w:val="none" w:sz="0" w:space="0" w:color="auto"/>
      </w:divBdr>
    </w:div>
    <w:div w:id="959191358">
      <w:bodyDiv w:val="1"/>
      <w:marLeft w:val="0"/>
      <w:marRight w:val="0"/>
      <w:marTop w:val="0"/>
      <w:marBottom w:val="0"/>
      <w:divBdr>
        <w:top w:val="none" w:sz="0" w:space="0" w:color="auto"/>
        <w:left w:val="none" w:sz="0" w:space="0" w:color="auto"/>
        <w:bottom w:val="none" w:sz="0" w:space="0" w:color="auto"/>
        <w:right w:val="none" w:sz="0" w:space="0" w:color="auto"/>
      </w:divBdr>
    </w:div>
    <w:div w:id="998731864">
      <w:bodyDiv w:val="1"/>
      <w:marLeft w:val="0"/>
      <w:marRight w:val="0"/>
      <w:marTop w:val="0"/>
      <w:marBottom w:val="0"/>
      <w:divBdr>
        <w:top w:val="none" w:sz="0" w:space="0" w:color="auto"/>
        <w:left w:val="none" w:sz="0" w:space="0" w:color="auto"/>
        <w:bottom w:val="none" w:sz="0" w:space="0" w:color="auto"/>
        <w:right w:val="none" w:sz="0" w:space="0" w:color="auto"/>
      </w:divBdr>
    </w:div>
    <w:div w:id="1003045247">
      <w:bodyDiv w:val="1"/>
      <w:marLeft w:val="0"/>
      <w:marRight w:val="0"/>
      <w:marTop w:val="0"/>
      <w:marBottom w:val="0"/>
      <w:divBdr>
        <w:top w:val="none" w:sz="0" w:space="0" w:color="auto"/>
        <w:left w:val="none" w:sz="0" w:space="0" w:color="auto"/>
        <w:bottom w:val="none" w:sz="0" w:space="0" w:color="auto"/>
        <w:right w:val="none" w:sz="0" w:space="0" w:color="auto"/>
      </w:divBdr>
    </w:div>
    <w:div w:id="1003052596">
      <w:bodyDiv w:val="1"/>
      <w:marLeft w:val="0"/>
      <w:marRight w:val="0"/>
      <w:marTop w:val="0"/>
      <w:marBottom w:val="0"/>
      <w:divBdr>
        <w:top w:val="none" w:sz="0" w:space="0" w:color="auto"/>
        <w:left w:val="none" w:sz="0" w:space="0" w:color="auto"/>
        <w:bottom w:val="none" w:sz="0" w:space="0" w:color="auto"/>
        <w:right w:val="none" w:sz="0" w:space="0" w:color="auto"/>
      </w:divBdr>
    </w:div>
    <w:div w:id="1049262151">
      <w:bodyDiv w:val="1"/>
      <w:marLeft w:val="0"/>
      <w:marRight w:val="0"/>
      <w:marTop w:val="0"/>
      <w:marBottom w:val="0"/>
      <w:divBdr>
        <w:top w:val="none" w:sz="0" w:space="0" w:color="auto"/>
        <w:left w:val="none" w:sz="0" w:space="0" w:color="auto"/>
        <w:bottom w:val="none" w:sz="0" w:space="0" w:color="auto"/>
        <w:right w:val="none" w:sz="0" w:space="0" w:color="auto"/>
      </w:divBdr>
    </w:div>
    <w:div w:id="1049384072">
      <w:bodyDiv w:val="1"/>
      <w:marLeft w:val="0"/>
      <w:marRight w:val="0"/>
      <w:marTop w:val="0"/>
      <w:marBottom w:val="0"/>
      <w:divBdr>
        <w:top w:val="none" w:sz="0" w:space="0" w:color="auto"/>
        <w:left w:val="none" w:sz="0" w:space="0" w:color="auto"/>
        <w:bottom w:val="none" w:sz="0" w:space="0" w:color="auto"/>
        <w:right w:val="none" w:sz="0" w:space="0" w:color="auto"/>
      </w:divBdr>
    </w:div>
    <w:div w:id="1070347846">
      <w:bodyDiv w:val="1"/>
      <w:marLeft w:val="0"/>
      <w:marRight w:val="0"/>
      <w:marTop w:val="0"/>
      <w:marBottom w:val="0"/>
      <w:divBdr>
        <w:top w:val="none" w:sz="0" w:space="0" w:color="auto"/>
        <w:left w:val="none" w:sz="0" w:space="0" w:color="auto"/>
        <w:bottom w:val="none" w:sz="0" w:space="0" w:color="auto"/>
        <w:right w:val="none" w:sz="0" w:space="0" w:color="auto"/>
      </w:divBdr>
    </w:div>
    <w:div w:id="1074086159">
      <w:bodyDiv w:val="1"/>
      <w:marLeft w:val="0"/>
      <w:marRight w:val="0"/>
      <w:marTop w:val="0"/>
      <w:marBottom w:val="0"/>
      <w:divBdr>
        <w:top w:val="none" w:sz="0" w:space="0" w:color="auto"/>
        <w:left w:val="none" w:sz="0" w:space="0" w:color="auto"/>
        <w:bottom w:val="none" w:sz="0" w:space="0" w:color="auto"/>
        <w:right w:val="none" w:sz="0" w:space="0" w:color="auto"/>
      </w:divBdr>
    </w:div>
    <w:div w:id="1090737055">
      <w:bodyDiv w:val="1"/>
      <w:marLeft w:val="0"/>
      <w:marRight w:val="0"/>
      <w:marTop w:val="0"/>
      <w:marBottom w:val="0"/>
      <w:divBdr>
        <w:top w:val="none" w:sz="0" w:space="0" w:color="auto"/>
        <w:left w:val="none" w:sz="0" w:space="0" w:color="auto"/>
        <w:bottom w:val="none" w:sz="0" w:space="0" w:color="auto"/>
        <w:right w:val="none" w:sz="0" w:space="0" w:color="auto"/>
      </w:divBdr>
    </w:div>
    <w:div w:id="1109278370">
      <w:bodyDiv w:val="1"/>
      <w:marLeft w:val="0"/>
      <w:marRight w:val="0"/>
      <w:marTop w:val="0"/>
      <w:marBottom w:val="0"/>
      <w:divBdr>
        <w:top w:val="none" w:sz="0" w:space="0" w:color="auto"/>
        <w:left w:val="none" w:sz="0" w:space="0" w:color="auto"/>
        <w:bottom w:val="none" w:sz="0" w:space="0" w:color="auto"/>
        <w:right w:val="none" w:sz="0" w:space="0" w:color="auto"/>
      </w:divBdr>
    </w:div>
    <w:div w:id="1115101335">
      <w:bodyDiv w:val="1"/>
      <w:marLeft w:val="0"/>
      <w:marRight w:val="0"/>
      <w:marTop w:val="0"/>
      <w:marBottom w:val="0"/>
      <w:divBdr>
        <w:top w:val="none" w:sz="0" w:space="0" w:color="auto"/>
        <w:left w:val="none" w:sz="0" w:space="0" w:color="auto"/>
        <w:bottom w:val="none" w:sz="0" w:space="0" w:color="auto"/>
        <w:right w:val="none" w:sz="0" w:space="0" w:color="auto"/>
      </w:divBdr>
    </w:div>
    <w:div w:id="1131361582">
      <w:bodyDiv w:val="1"/>
      <w:marLeft w:val="0"/>
      <w:marRight w:val="0"/>
      <w:marTop w:val="0"/>
      <w:marBottom w:val="0"/>
      <w:divBdr>
        <w:top w:val="none" w:sz="0" w:space="0" w:color="auto"/>
        <w:left w:val="none" w:sz="0" w:space="0" w:color="auto"/>
        <w:bottom w:val="none" w:sz="0" w:space="0" w:color="auto"/>
        <w:right w:val="none" w:sz="0" w:space="0" w:color="auto"/>
      </w:divBdr>
    </w:div>
    <w:div w:id="1133787050">
      <w:bodyDiv w:val="1"/>
      <w:marLeft w:val="0"/>
      <w:marRight w:val="0"/>
      <w:marTop w:val="0"/>
      <w:marBottom w:val="0"/>
      <w:divBdr>
        <w:top w:val="none" w:sz="0" w:space="0" w:color="auto"/>
        <w:left w:val="none" w:sz="0" w:space="0" w:color="auto"/>
        <w:bottom w:val="none" w:sz="0" w:space="0" w:color="auto"/>
        <w:right w:val="none" w:sz="0" w:space="0" w:color="auto"/>
      </w:divBdr>
    </w:div>
    <w:div w:id="1145705137">
      <w:bodyDiv w:val="1"/>
      <w:marLeft w:val="0"/>
      <w:marRight w:val="0"/>
      <w:marTop w:val="0"/>
      <w:marBottom w:val="0"/>
      <w:divBdr>
        <w:top w:val="none" w:sz="0" w:space="0" w:color="auto"/>
        <w:left w:val="none" w:sz="0" w:space="0" w:color="auto"/>
        <w:bottom w:val="none" w:sz="0" w:space="0" w:color="auto"/>
        <w:right w:val="none" w:sz="0" w:space="0" w:color="auto"/>
      </w:divBdr>
    </w:div>
    <w:div w:id="1191068088">
      <w:bodyDiv w:val="1"/>
      <w:marLeft w:val="0"/>
      <w:marRight w:val="0"/>
      <w:marTop w:val="0"/>
      <w:marBottom w:val="0"/>
      <w:divBdr>
        <w:top w:val="none" w:sz="0" w:space="0" w:color="auto"/>
        <w:left w:val="none" w:sz="0" w:space="0" w:color="auto"/>
        <w:bottom w:val="none" w:sz="0" w:space="0" w:color="auto"/>
        <w:right w:val="none" w:sz="0" w:space="0" w:color="auto"/>
      </w:divBdr>
    </w:div>
    <w:div w:id="1197501998">
      <w:bodyDiv w:val="1"/>
      <w:marLeft w:val="0"/>
      <w:marRight w:val="0"/>
      <w:marTop w:val="0"/>
      <w:marBottom w:val="0"/>
      <w:divBdr>
        <w:top w:val="none" w:sz="0" w:space="0" w:color="auto"/>
        <w:left w:val="none" w:sz="0" w:space="0" w:color="auto"/>
        <w:bottom w:val="none" w:sz="0" w:space="0" w:color="auto"/>
        <w:right w:val="none" w:sz="0" w:space="0" w:color="auto"/>
      </w:divBdr>
    </w:div>
    <w:div w:id="1200704873">
      <w:bodyDiv w:val="1"/>
      <w:marLeft w:val="0"/>
      <w:marRight w:val="0"/>
      <w:marTop w:val="0"/>
      <w:marBottom w:val="0"/>
      <w:divBdr>
        <w:top w:val="none" w:sz="0" w:space="0" w:color="auto"/>
        <w:left w:val="none" w:sz="0" w:space="0" w:color="auto"/>
        <w:bottom w:val="none" w:sz="0" w:space="0" w:color="auto"/>
        <w:right w:val="none" w:sz="0" w:space="0" w:color="auto"/>
      </w:divBdr>
    </w:div>
    <w:div w:id="1202591638">
      <w:bodyDiv w:val="1"/>
      <w:marLeft w:val="0"/>
      <w:marRight w:val="0"/>
      <w:marTop w:val="0"/>
      <w:marBottom w:val="0"/>
      <w:divBdr>
        <w:top w:val="none" w:sz="0" w:space="0" w:color="auto"/>
        <w:left w:val="none" w:sz="0" w:space="0" w:color="auto"/>
        <w:bottom w:val="none" w:sz="0" w:space="0" w:color="auto"/>
        <w:right w:val="none" w:sz="0" w:space="0" w:color="auto"/>
      </w:divBdr>
    </w:div>
    <w:div w:id="1245532611">
      <w:bodyDiv w:val="1"/>
      <w:marLeft w:val="0"/>
      <w:marRight w:val="0"/>
      <w:marTop w:val="0"/>
      <w:marBottom w:val="0"/>
      <w:divBdr>
        <w:top w:val="none" w:sz="0" w:space="0" w:color="auto"/>
        <w:left w:val="none" w:sz="0" w:space="0" w:color="auto"/>
        <w:bottom w:val="none" w:sz="0" w:space="0" w:color="auto"/>
        <w:right w:val="none" w:sz="0" w:space="0" w:color="auto"/>
      </w:divBdr>
    </w:div>
    <w:div w:id="1266383462">
      <w:bodyDiv w:val="1"/>
      <w:marLeft w:val="0"/>
      <w:marRight w:val="0"/>
      <w:marTop w:val="0"/>
      <w:marBottom w:val="0"/>
      <w:divBdr>
        <w:top w:val="none" w:sz="0" w:space="0" w:color="auto"/>
        <w:left w:val="none" w:sz="0" w:space="0" w:color="auto"/>
        <w:bottom w:val="none" w:sz="0" w:space="0" w:color="auto"/>
        <w:right w:val="none" w:sz="0" w:space="0" w:color="auto"/>
      </w:divBdr>
    </w:div>
    <w:div w:id="1323046932">
      <w:bodyDiv w:val="1"/>
      <w:marLeft w:val="0"/>
      <w:marRight w:val="0"/>
      <w:marTop w:val="0"/>
      <w:marBottom w:val="0"/>
      <w:divBdr>
        <w:top w:val="none" w:sz="0" w:space="0" w:color="auto"/>
        <w:left w:val="none" w:sz="0" w:space="0" w:color="auto"/>
        <w:bottom w:val="none" w:sz="0" w:space="0" w:color="auto"/>
        <w:right w:val="none" w:sz="0" w:space="0" w:color="auto"/>
      </w:divBdr>
    </w:div>
    <w:div w:id="1340810814">
      <w:bodyDiv w:val="1"/>
      <w:marLeft w:val="0"/>
      <w:marRight w:val="0"/>
      <w:marTop w:val="0"/>
      <w:marBottom w:val="0"/>
      <w:divBdr>
        <w:top w:val="none" w:sz="0" w:space="0" w:color="auto"/>
        <w:left w:val="none" w:sz="0" w:space="0" w:color="auto"/>
        <w:bottom w:val="none" w:sz="0" w:space="0" w:color="auto"/>
        <w:right w:val="none" w:sz="0" w:space="0" w:color="auto"/>
      </w:divBdr>
    </w:div>
    <w:div w:id="1349602182">
      <w:bodyDiv w:val="1"/>
      <w:marLeft w:val="0"/>
      <w:marRight w:val="0"/>
      <w:marTop w:val="0"/>
      <w:marBottom w:val="0"/>
      <w:divBdr>
        <w:top w:val="none" w:sz="0" w:space="0" w:color="auto"/>
        <w:left w:val="none" w:sz="0" w:space="0" w:color="auto"/>
        <w:bottom w:val="none" w:sz="0" w:space="0" w:color="auto"/>
        <w:right w:val="none" w:sz="0" w:space="0" w:color="auto"/>
      </w:divBdr>
      <w:divsChild>
        <w:div w:id="629480102">
          <w:marLeft w:val="0"/>
          <w:marRight w:val="0"/>
          <w:marTop w:val="0"/>
          <w:marBottom w:val="0"/>
          <w:divBdr>
            <w:top w:val="none" w:sz="0" w:space="0" w:color="auto"/>
            <w:left w:val="none" w:sz="0" w:space="0" w:color="auto"/>
            <w:bottom w:val="none" w:sz="0" w:space="0" w:color="auto"/>
            <w:right w:val="none" w:sz="0" w:space="0" w:color="auto"/>
          </w:divBdr>
          <w:divsChild>
            <w:div w:id="563764185">
              <w:marLeft w:val="0"/>
              <w:marRight w:val="0"/>
              <w:marTop w:val="0"/>
              <w:marBottom w:val="0"/>
              <w:divBdr>
                <w:top w:val="none" w:sz="0" w:space="0" w:color="auto"/>
                <w:left w:val="none" w:sz="0" w:space="0" w:color="auto"/>
                <w:bottom w:val="none" w:sz="0" w:space="0" w:color="auto"/>
                <w:right w:val="none" w:sz="0" w:space="0" w:color="auto"/>
              </w:divBdr>
              <w:divsChild>
                <w:div w:id="274101921">
                  <w:marLeft w:val="0"/>
                  <w:marRight w:val="0"/>
                  <w:marTop w:val="0"/>
                  <w:marBottom w:val="150"/>
                  <w:divBdr>
                    <w:top w:val="none" w:sz="0" w:space="0" w:color="auto"/>
                    <w:left w:val="none" w:sz="0" w:space="0" w:color="auto"/>
                    <w:bottom w:val="none" w:sz="0" w:space="0" w:color="auto"/>
                    <w:right w:val="none" w:sz="0" w:space="0" w:color="auto"/>
                  </w:divBdr>
                  <w:divsChild>
                    <w:div w:id="1461462266">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sChild>
    </w:div>
    <w:div w:id="1355158288">
      <w:bodyDiv w:val="1"/>
      <w:marLeft w:val="0"/>
      <w:marRight w:val="0"/>
      <w:marTop w:val="0"/>
      <w:marBottom w:val="0"/>
      <w:divBdr>
        <w:top w:val="none" w:sz="0" w:space="0" w:color="auto"/>
        <w:left w:val="none" w:sz="0" w:space="0" w:color="auto"/>
        <w:bottom w:val="none" w:sz="0" w:space="0" w:color="auto"/>
        <w:right w:val="none" w:sz="0" w:space="0" w:color="auto"/>
      </w:divBdr>
    </w:div>
    <w:div w:id="1363748620">
      <w:bodyDiv w:val="1"/>
      <w:marLeft w:val="0"/>
      <w:marRight w:val="0"/>
      <w:marTop w:val="0"/>
      <w:marBottom w:val="0"/>
      <w:divBdr>
        <w:top w:val="none" w:sz="0" w:space="0" w:color="auto"/>
        <w:left w:val="none" w:sz="0" w:space="0" w:color="auto"/>
        <w:bottom w:val="none" w:sz="0" w:space="0" w:color="auto"/>
        <w:right w:val="none" w:sz="0" w:space="0" w:color="auto"/>
      </w:divBdr>
    </w:div>
    <w:div w:id="1391535109">
      <w:bodyDiv w:val="1"/>
      <w:marLeft w:val="0"/>
      <w:marRight w:val="0"/>
      <w:marTop w:val="0"/>
      <w:marBottom w:val="0"/>
      <w:divBdr>
        <w:top w:val="none" w:sz="0" w:space="0" w:color="auto"/>
        <w:left w:val="none" w:sz="0" w:space="0" w:color="auto"/>
        <w:bottom w:val="none" w:sz="0" w:space="0" w:color="auto"/>
        <w:right w:val="none" w:sz="0" w:space="0" w:color="auto"/>
      </w:divBdr>
    </w:div>
    <w:div w:id="1427458493">
      <w:bodyDiv w:val="1"/>
      <w:marLeft w:val="0"/>
      <w:marRight w:val="0"/>
      <w:marTop w:val="0"/>
      <w:marBottom w:val="0"/>
      <w:divBdr>
        <w:top w:val="none" w:sz="0" w:space="0" w:color="auto"/>
        <w:left w:val="none" w:sz="0" w:space="0" w:color="auto"/>
        <w:bottom w:val="none" w:sz="0" w:space="0" w:color="auto"/>
        <w:right w:val="none" w:sz="0" w:space="0" w:color="auto"/>
      </w:divBdr>
    </w:div>
    <w:div w:id="1440833450">
      <w:bodyDiv w:val="1"/>
      <w:marLeft w:val="0"/>
      <w:marRight w:val="0"/>
      <w:marTop w:val="0"/>
      <w:marBottom w:val="0"/>
      <w:divBdr>
        <w:top w:val="none" w:sz="0" w:space="0" w:color="auto"/>
        <w:left w:val="none" w:sz="0" w:space="0" w:color="auto"/>
        <w:bottom w:val="none" w:sz="0" w:space="0" w:color="auto"/>
        <w:right w:val="none" w:sz="0" w:space="0" w:color="auto"/>
      </w:divBdr>
      <w:divsChild>
        <w:div w:id="1111123260">
          <w:marLeft w:val="136"/>
          <w:marRight w:val="136"/>
          <w:marTop w:val="204"/>
          <w:marBottom w:val="0"/>
          <w:divBdr>
            <w:top w:val="none" w:sz="0" w:space="0" w:color="auto"/>
            <w:left w:val="none" w:sz="0" w:space="0" w:color="auto"/>
            <w:bottom w:val="none" w:sz="0" w:space="0" w:color="auto"/>
            <w:right w:val="none" w:sz="0" w:space="0" w:color="auto"/>
          </w:divBdr>
          <w:divsChild>
            <w:div w:id="18654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38959">
      <w:bodyDiv w:val="1"/>
      <w:marLeft w:val="0"/>
      <w:marRight w:val="0"/>
      <w:marTop w:val="0"/>
      <w:marBottom w:val="0"/>
      <w:divBdr>
        <w:top w:val="none" w:sz="0" w:space="0" w:color="auto"/>
        <w:left w:val="none" w:sz="0" w:space="0" w:color="auto"/>
        <w:bottom w:val="none" w:sz="0" w:space="0" w:color="auto"/>
        <w:right w:val="none" w:sz="0" w:space="0" w:color="auto"/>
      </w:divBdr>
    </w:div>
    <w:div w:id="1469279770">
      <w:bodyDiv w:val="1"/>
      <w:marLeft w:val="0"/>
      <w:marRight w:val="0"/>
      <w:marTop w:val="0"/>
      <w:marBottom w:val="0"/>
      <w:divBdr>
        <w:top w:val="none" w:sz="0" w:space="0" w:color="auto"/>
        <w:left w:val="none" w:sz="0" w:space="0" w:color="auto"/>
        <w:bottom w:val="none" w:sz="0" w:space="0" w:color="auto"/>
        <w:right w:val="none" w:sz="0" w:space="0" w:color="auto"/>
      </w:divBdr>
    </w:div>
    <w:div w:id="1497919141">
      <w:bodyDiv w:val="1"/>
      <w:marLeft w:val="0"/>
      <w:marRight w:val="0"/>
      <w:marTop w:val="0"/>
      <w:marBottom w:val="0"/>
      <w:divBdr>
        <w:top w:val="none" w:sz="0" w:space="0" w:color="auto"/>
        <w:left w:val="none" w:sz="0" w:space="0" w:color="auto"/>
        <w:bottom w:val="none" w:sz="0" w:space="0" w:color="auto"/>
        <w:right w:val="none" w:sz="0" w:space="0" w:color="auto"/>
      </w:divBdr>
    </w:div>
    <w:div w:id="1511673237">
      <w:bodyDiv w:val="1"/>
      <w:marLeft w:val="0"/>
      <w:marRight w:val="0"/>
      <w:marTop w:val="0"/>
      <w:marBottom w:val="0"/>
      <w:divBdr>
        <w:top w:val="none" w:sz="0" w:space="0" w:color="auto"/>
        <w:left w:val="none" w:sz="0" w:space="0" w:color="auto"/>
        <w:bottom w:val="none" w:sz="0" w:space="0" w:color="auto"/>
        <w:right w:val="none" w:sz="0" w:space="0" w:color="auto"/>
      </w:divBdr>
    </w:div>
    <w:div w:id="1514107460">
      <w:bodyDiv w:val="1"/>
      <w:marLeft w:val="0"/>
      <w:marRight w:val="0"/>
      <w:marTop w:val="0"/>
      <w:marBottom w:val="0"/>
      <w:divBdr>
        <w:top w:val="none" w:sz="0" w:space="0" w:color="auto"/>
        <w:left w:val="none" w:sz="0" w:space="0" w:color="auto"/>
        <w:bottom w:val="none" w:sz="0" w:space="0" w:color="auto"/>
        <w:right w:val="none" w:sz="0" w:space="0" w:color="auto"/>
      </w:divBdr>
    </w:div>
    <w:div w:id="1526481430">
      <w:bodyDiv w:val="1"/>
      <w:marLeft w:val="0"/>
      <w:marRight w:val="0"/>
      <w:marTop w:val="0"/>
      <w:marBottom w:val="0"/>
      <w:divBdr>
        <w:top w:val="none" w:sz="0" w:space="0" w:color="auto"/>
        <w:left w:val="none" w:sz="0" w:space="0" w:color="auto"/>
        <w:bottom w:val="none" w:sz="0" w:space="0" w:color="auto"/>
        <w:right w:val="none" w:sz="0" w:space="0" w:color="auto"/>
      </w:divBdr>
    </w:div>
    <w:div w:id="1612592859">
      <w:bodyDiv w:val="1"/>
      <w:marLeft w:val="0"/>
      <w:marRight w:val="0"/>
      <w:marTop w:val="0"/>
      <w:marBottom w:val="0"/>
      <w:divBdr>
        <w:top w:val="none" w:sz="0" w:space="0" w:color="auto"/>
        <w:left w:val="none" w:sz="0" w:space="0" w:color="auto"/>
        <w:bottom w:val="none" w:sz="0" w:space="0" w:color="auto"/>
        <w:right w:val="none" w:sz="0" w:space="0" w:color="auto"/>
      </w:divBdr>
    </w:div>
    <w:div w:id="1708018657">
      <w:bodyDiv w:val="1"/>
      <w:marLeft w:val="0"/>
      <w:marRight w:val="0"/>
      <w:marTop w:val="0"/>
      <w:marBottom w:val="0"/>
      <w:divBdr>
        <w:top w:val="none" w:sz="0" w:space="0" w:color="auto"/>
        <w:left w:val="none" w:sz="0" w:space="0" w:color="auto"/>
        <w:bottom w:val="none" w:sz="0" w:space="0" w:color="auto"/>
        <w:right w:val="none" w:sz="0" w:space="0" w:color="auto"/>
      </w:divBdr>
    </w:div>
    <w:div w:id="1717387127">
      <w:bodyDiv w:val="1"/>
      <w:marLeft w:val="0"/>
      <w:marRight w:val="0"/>
      <w:marTop w:val="0"/>
      <w:marBottom w:val="0"/>
      <w:divBdr>
        <w:top w:val="none" w:sz="0" w:space="0" w:color="auto"/>
        <w:left w:val="none" w:sz="0" w:space="0" w:color="auto"/>
        <w:bottom w:val="none" w:sz="0" w:space="0" w:color="auto"/>
        <w:right w:val="none" w:sz="0" w:space="0" w:color="auto"/>
      </w:divBdr>
    </w:div>
    <w:div w:id="1736661193">
      <w:bodyDiv w:val="1"/>
      <w:marLeft w:val="0"/>
      <w:marRight w:val="0"/>
      <w:marTop w:val="0"/>
      <w:marBottom w:val="0"/>
      <w:divBdr>
        <w:top w:val="none" w:sz="0" w:space="0" w:color="auto"/>
        <w:left w:val="none" w:sz="0" w:space="0" w:color="auto"/>
        <w:bottom w:val="none" w:sz="0" w:space="0" w:color="auto"/>
        <w:right w:val="none" w:sz="0" w:space="0" w:color="auto"/>
      </w:divBdr>
    </w:div>
    <w:div w:id="1765611887">
      <w:bodyDiv w:val="1"/>
      <w:marLeft w:val="0"/>
      <w:marRight w:val="0"/>
      <w:marTop w:val="0"/>
      <w:marBottom w:val="0"/>
      <w:divBdr>
        <w:top w:val="none" w:sz="0" w:space="0" w:color="auto"/>
        <w:left w:val="none" w:sz="0" w:space="0" w:color="auto"/>
        <w:bottom w:val="none" w:sz="0" w:space="0" w:color="auto"/>
        <w:right w:val="none" w:sz="0" w:space="0" w:color="auto"/>
      </w:divBdr>
    </w:div>
    <w:div w:id="1770807979">
      <w:bodyDiv w:val="1"/>
      <w:marLeft w:val="0"/>
      <w:marRight w:val="0"/>
      <w:marTop w:val="0"/>
      <w:marBottom w:val="0"/>
      <w:divBdr>
        <w:top w:val="none" w:sz="0" w:space="0" w:color="auto"/>
        <w:left w:val="none" w:sz="0" w:space="0" w:color="auto"/>
        <w:bottom w:val="none" w:sz="0" w:space="0" w:color="auto"/>
        <w:right w:val="none" w:sz="0" w:space="0" w:color="auto"/>
      </w:divBdr>
    </w:div>
    <w:div w:id="1805463525">
      <w:bodyDiv w:val="1"/>
      <w:marLeft w:val="0"/>
      <w:marRight w:val="0"/>
      <w:marTop w:val="0"/>
      <w:marBottom w:val="0"/>
      <w:divBdr>
        <w:top w:val="none" w:sz="0" w:space="0" w:color="auto"/>
        <w:left w:val="none" w:sz="0" w:space="0" w:color="auto"/>
        <w:bottom w:val="none" w:sz="0" w:space="0" w:color="auto"/>
        <w:right w:val="none" w:sz="0" w:space="0" w:color="auto"/>
      </w:divBdr>
    </w:div>
    <w:div w:id="1845052123">
      <w:bodyDiv w:val="1"/>
      <w:marLeft w:val="0"/>
      <w:marRight w:val="0"/>
      <w:marTop w:val="0"/>
      <w:marBottom w:val="0"/>
      <w:divBdr>
        <w:top w:val="none" w:sz="0" w:space="0" w:color="auto"/>
        <w:left w:val="none" w:sz="0" w:space="0" w:color="auto"/>
        <w:bottom w:val="none" w:sz="0" w:space="0" w:color="auto"/>
        <w:right w:val="none" w:sz="0" w:space="0" w:color="auto"/>
      </w:divBdr>
    </w:div>
    <w:div w:id="1857963986">
      <w:bodyDiv w:val="1"/>
      <w:marLeft w:val="0"/>
      <w:marRight w:val="0"/>
      <w:marTop w:val="0"/>
      <w:marBottom w:val="0"/>
      <w:divBdr>
        <w:top w:val="none" w:sz="0" w:space="0" w:color="auto"/>
        <w:left w:val="none" w:sz="0" w:space="0" w:color="auto"/>
        <w:bottom w:val="none" w:sz="0" w:space="0" w:color="auto"/>
        <w:right w:val="none" w:sz="0" w:space="0" w:color="auto"/>
      </w:divBdr>
    </w:div>
    <w:div w:id="1863594986">
      <w:bodyDiv w:val="1"/>
      <w:marLeft w:val="0"/>
      <w:marRight w:val="0"/>
      <w:marTop w:val="0"/>
      <w:marBottom w:val="0"/>
      <w:divBdr>
        <w:top w:val="none" w:sz="0" w:space="0" w:color="auto"/>
        <w:left w:val="none" w:sz="0" w:space="0" w:color="auto"/>
        <w:bottom w:val="none" w:sz="0" w:space="0" w:color="auto"/>
        <w:right w:val="none" w:sz="0" w:space="0" w:color="auto"/>
      </w:divBdr>
    </w:div>
    <w:div w:id="1899513421">
      <w:bodyDiv w:val="1"/>
      <w:marLeft w:val="0"/>
      <w:marRight w:val="0"/>
      <w:marTop w:val="0"/>
      <w:marBottom w:val="0"/>
      <w:divBdr>
        <w:top w:val="none" w:sz="0" w:space="0" w:color="auto"/>
        <w:left w:val="none" w:sz="0" w:space="0" w:color="auto"/>
        <w:bottom w:val="none" w:sz="0" w:space="0" w:color="auto"/>
        <w:right w:val="none" w:sz="0" w:space="0" w:color="auto"/>
      </w:divBdr>
    </w:div>
    <w:div w:id="1903756026">
      <w:bodyDiv w:val="1"/>
      <w:marLeft w:val="0"/>
      <w:marRight w:val="0"/>
      <w:marTop w:val="0"/>
      <w:marBottom w:val="0"/>
      <w:divBdr>
        <w:top w:val="none" w:sz="0" w:space="0" w:color="auto"/>
        <w:left w:val="none" w:sz="0" w:space="0" w:color="auto"/>
        <w:bottom w:val="none" w:sz="0" w:space="0" w:color="auto"/>
        <w:right w:val="none" w:sz="0" w:space="0" w:color="auto"/>
      </w:divBdr>
    </w:div>
    <w:div w:id="1905800440">
      <w:bodyDiv w:val="1"/>
      <w:marLeft w:val="0"/>
      <w:marRight w:val="0"/>
      <w:marTop w:val="0"/>
      <w:marBottom w:val="0"/>
      <w:divBdr>
        <w:top w:val="none" w:sz="0" w:space="0" w:color="auto"/>
        <w:left w:val="none" w:sz="0" w:space="0" w:color="auto"/>
        <w:bottom w:val="none" w:sz="0" w:space="0" w:color="auto"/>
        <w:right w:val="none" w:sz="0" w:space="0" w:color="auto"/>
      </w:divBdr>
    </w:div>
    <w:div w:id="1910116945">
      <w:bodyDiv w:val="1"/>
      <w:marLeft w:val="0"/>
      <w:marRight w:val="0"/>
      <w:marTop w:val="0"/>
      <w:marBottom w:val="0"/>
      <w:divBdr>
        <w:top w:val="none" w:sz="0" w:space="0" w:color="auto"/>
        <w:left w:val="none" w:sz="0" w:space="0" w:color="auto"/>
        <w:bottom w:val="none" w:sz="0" w:space="0" w:color="auto"/>
        <w:right w:val="none" w:sz="0" w:space="0" w:color="auto"/>
      </w:divBdr>
    </w:div>
    <w:div w:id="1912494872">
      <w:bodyDiv w:val="1"/>
      <w:marLeft w:val="0"/>
      <w:marRight w:val="0"/>
      <w:marTop w:val="0"/>
      <w:marBottom w:val="0"/>
      <w:divBdr>
        <w:top w:val="none" w:sz="0" w:space="0" w:color="auto"/>
        <w:left w:val="none" w:sz="0" w:space="0" w:color="auto"/>
        <w:bottom w:val="none" w:sz="0" w:space="0" w:color="auto"/>
        <w:right w:val="none" w:sz="0" w:space="0" w:color="auto"/>
      </w:divBdr>
    </w:div>
    <w:div w:id="1985817010">
      <w:bodyDiv w:val="1"/>
      <w:marLeft w:val="0"/>
      <w:marRight w:val="0"/>
      <w:marTop w:val="0"/>
      <w:marBottom w:val="0"/>
      <w:divBdr>
        <w:top w:val="none" w:sz="0" w:space="0" w:color="auto"/>
        <w:left w:val="none" w:sz="0" w:space="0" w:color="auto"/>
        <w:bottom w:val="none" w:sz="0" w:space="0" w:color="auto"/>
        <w:right w:val="none" w:sz="0" w:space="0" w:color="auto"/>
      </w:divBdr>
      <w:divsChild>
        <w:div w:id="344670929">
          <w:marLeft w:val="907"/>
          <w:marRight w:val="0"/>
          <w:marTop w:val="0"/>
          <w:marBottom w:val="0"/>
          <w:divBdr>
            <w:top w:val="none" w:sz="0" w:space="0" w:color="auto"/>
            <w:left w:val="none" w:sz="0" w:space="0" w:color="auto"/>
            <w:bottom w:val="none" w:sz="0" w:space="0" w:color="auto"/>
            <w:right w:val="none" w:sz="0" w:space="0" w:color="auto"/>
          </w:divBdr>
        </w:div>
        <w:div w:id="470753546">
          <w:marLeft w:val="547"/>
          <w:marRight w:val="0"/>
          <w:marTop w:val="0"/>
          <w:marBottom w:val="0"/>
          <w:divBdr>
            <w:top w:val="none" w:sz="0" w:space="0" w:color="auto"/>
            <w:left w:val="none" w:sz="0" w:space="0" w:color="auto"/>
            <w:bottom w:val="none" w:sz="0" w:space="0" w:color="auto"/>
            <w:right w:val="none" w:sz="0" w:space="0" w:color="auto"/>
          </w:divBdr>
        </w:div>
        <w:div w:id="562526345">
          <w:marLeft w:val="547"/>
          <w:marRight w:val="0"/>
          <w:marTop w:val="0"/>
          <w:marBottom w:val="0"/>
          <w:divBdr>
            <w:top w:val="none" w:sz="0" w:space="0" w:color="auto"/>
            <w:left w:val="none" w:sz="0" w:space="0" w:color="auto"/>
            <w:bottom w:val="none" w:sz="0" w:space="0" w:color="auto"/>
            <w:right w:val="none" w:sz="0" w:space="0" w:color="auto"/>
          </w:divBdr>
        </w:div>
        <w:div w:id="909193958">
          <w:marLeft w:val="907"/>
          <w:marRight w:val="0"/>
          <w:marTop w:val="0"/>
          <w:marBottom w:val="0"/>
          <w:divBdr>
            <w:top w:val="none" w:sz="0" w:space="0" w:color="auto"/>
            <w:left w:val="none" w:sz="0" w:space="0" w:color="auto"/>
            <w:bottom w:val="none" w:sz="0" w:space="0" w:color="auto"/>
            <w:right w:val="none" w:sz="0" w:space="0" w:color="auto"/>
          </w:divBdr>
        </w:div>
        <w:div w:id="1146625880">
          <w:marLeft w:val="907"/>
          <w:marRight w:val="0"/>
          <w:marTop w:val="0"/>
          <w:marBottom w:val="0"/>
          <w:divBdr>
            <w:top w:val="none" w:sz="0" w:space="0" w:color="auto"/>
            <w:left w:val="none" w:sz="0" w:space="0" w:color="auto"/>
            <w:bottom w:val="none" w:sz="0" w:space="0" w:color="auto"/>
            <w:right w:val="none" w:sz="0" w:space="0" w:color="auto"/>
          </w:divBdr>
        </w:div>
        <w:div w:id="1547059186">
          <w:marLeft w:val="547"/>
          <w:marRight w:val="0"/>
          <w:marTop w:val="0"/>
          <w:marBottom w:val="0"/>
          <w:divBdr>
            <w:top w:val="none" w:sz="0" w:space="0" w:color="auto"/>
            <w:left w:val="none" w:sz="0" w:space="0" w:color="auto"/>
            <w:bottom w:val="none" w:sz="0" w:space="0" w:color="auto"/>
            <w:right w:val="none" w:sz="0" w:space="0" w:color="auto"/>
          </w:divBdr>
        </w:div>
        <w:div w:id="2097633183">
          <w:marLeft w:val="907"/>
          <w:marRight w:val="0"/>
          <w:marTop w:val="0"/>
          <w:marBottom w:val="0"/>
          <w:divBdr>
            <w:top w:val="none" w:sz="0" w:space="0" w:color="auto"/>
            <w:left w:val="none" w:sz="0" w:space="0" w:color="auto"/>
            <w:bottom w:val="none" w:sz="0" w:space="0" w:color="auto"/>
            <w:right w:val="none" w:sz="0" w:space="0" w:color="auto"/>
          </w:divBdr>
        </w:div>
      </w:divsChild>
    </w:div>
    <w:div w:id="1992829961">
      <w:bodyDiv w:val="1"/>
      <w:marLeft w:val="0"/>
      <w:marRight w:val="0"/>
      <w:marTop w:val="0"/>
      <w:marBottom w:val="0"/>
      <w:divBdr>
        <w:top w:val="none" w:sz="0" w:space="0" w:color="auto"/>
        <w:left w:val="none" w:sz="0" w:space="0" w:color="auto"/>
        <w:bottom w:val="none" w:sz="0" w:space="0" w:color="auto"/>
        <w:right w:val="none" w:sz="0" w:space="0" w:color="auto"/>
      </w:divBdr>
    </w:div>
    <w:div w:id="2009016320">
      <w:bodyDiv w:val="1"/>
      <w:marLeft w:val="0"/>
      <w:marRight w:val="0"/>
      <w:marTop w:val="0"/>
      <w:marBottom w:val="0"/>
      <w:divBdr>
        <w:top w:val="none" w:sz="0" w:space="0" w:color="auto"/>
        <w:left w:val="none" w:sz="0" w:space="0" w:color="auto"/>
        <w:bottom w:val="none" w:sz="0" w:space="0" w:color="auto"/>
        <w:right w:val="none" w:sz="0" w:space="0" w:color="auto"/>
      </w:divBdr>
    </w:div>
    <w:div w:id="2015185231">
      <w:bodyDiv w:val="1"/>
      <w:marLeft w:val="0"/>
      <w:marRight w:val="0"/>
      <w:marTop w:val="0"/>
      <w:marBottom w:val="0"/>
      <w:divBdr>
        <w:top w:val="none" w:sz="0" w:space="0" w:color="auto"/>
        <w:left w:val="none" w:sz="0" w:space="0" w:color="auto"/>
        <w:bottom w:val="none" w:sz="0" w:space="0" w:color="auto"/>
        <w:right w:val="none" w:sz="0" w:space="0" w:color="auto"/>
      </w:divBdr>
    </w:div>
    <w:div w:id="2041125737">
      <w:bodyDiv w:val="1"/>
      <w:marLeft w:val="0"/>
      <w:marRight w:val="0"/>
      <w:marTop w:val="0"/>
      <w:marBottom w:val="0"/>
      <w:divBdr>
        <w:top w:val="none" w:sz="0" w:space="0" w:color="auto"/>
        <w:left w:val="none" w:sz="0" w:space="0" w:color="auto"/>
        <w:bottom w:val="none" w:sz="0" w:space="0" w:color="auto"/>
        <w:right w:val="none" w:sz="0" w:space="0" w:color="auto"/>
      </w:divBdr>
    </w:div>
    <w:div w:id="2056732134">
      <w:bodyDiv w:val="1"/>
      <w:marLeft w:val="0"/>
      <w:marRight w:val="0"/>
      <w:marTop w:val="0"/>
      <w:marBottom w:val="0"/>
      <w:divBdr>
        <w:top w:val="none" w:sz="0" w:space="0" w:color="auto"/>
        <w:left w:val="none" w:sz="0" w:space="0" w:color="auto"/>
        <w:bottom w:val="none" w:sz="0" w:space="0" w:color="auto"/>
        <w:right w:val="none" w:sz="0" w:space="0" w:color="auto"/>
      </w:divBdr>
    </w:div>
    <w:div w:id="208063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83.png"/><Relationship Id="rId21" Type="http://schemas.openxmlformats.org/officeDocument/2006/relationships/image" Target="media/image8.png"/><Relationship Id="rId42" Type="http://schemas.openxmlformats.org/officeDocument/2006/relationships/hyperlink" Target="http://newbuildings.org/getting-zero-2012-status-update-first-look-costs-and-features-zero-energy-commercial-buildings" TargetMode="External"/><Relationship Id="rId47" Type="http://schemas.openxmlformats.org/officeDocument/2006/relationships/hyperlink" Target="http://www.energy.ca.gov/title24/2016standards/rulemaking/documents/NOPA_title24_parts_01_06.pdf" TargetMode="External"/><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image" Target="media/image55.png"/><Relationship Id="rId112" Type="http://schemas.openxmlformats.org/officeDocument/2006/relationships/image" Target="media/image78.png"/><Relationship Id="rId133"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38"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54"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59"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75" Type="http://schemas.openxmlformats.org/officeDocument/2006/relationships/image" Target="media/image102.png"/><Relationship Id="rId170" Type="http://schemas.openxmlformats.org/officeDocument/2006/relationships/image" Target="media/image97.png"/><Relationship Id="rId16" Type="http://schemas.openxmlformats.org/officeDocument/2006/relationships/image" Target="media/image4.jpeg"/><Relationship Id="rId107" Type="http://schemas.openxmlformats.org/officeDocument/2006/relationships/image" Target="media/image73.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diagramLayout" Target="diagrams/layout1.xml"/><Relationship Id="rId58" Type="http://schemas.openxmlformats.org/officeDocument/2006/relationships/diagramLayout" Target="diagrams/layout2.xml"/><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image" Target="media/image68.png"/><Relationship Id="rId123" Type="http://schemas.openxmlformats.org/officeDocument/2006/relationships/image" Target="media/image89.png"/><Relationship Id="rId128"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44"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49"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5" Type="http://schemas.openxmlformats.org/officeDocument/2006/relationships/numbering" Target="numbering.xml"/><Relationship Id="rId90" Type="http://schemas.openxmlformats.org/officeDocument/2006/relationships/image" Target="media/image56.png"/><Relationship Id="rId95" Type="http://schemas.openxmlformats.org/officeDocument/2006/relationships/image" Target="media/image61.png"/><Relationship Id="rId160"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65"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81"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hyperlink" Target="http://www.rsmeansonline.com" TargetMode="External"/><Relationship Id="rId48" Type="http://schemas.openxmlformats.org/officeDocument/2006/relationships/hyperlink" Target="http://www.energy.ca.gov/title24/2013standards/rulemaking/documents/final_rulemaking_documents/05_Impact_Analysis.pdf" TargetMode="External"/><Relationship Id="rId64" Type="http://schemas.openxmlformats.org/officeDocument/2006/relationships/image" Target="media/image30.png"/><Relationship Id="rId69" Type="http://schemas.openxmlformats.org/officeDocument/2006/relationships/image" Target="media/image35.png"/><Relationship Id="rId113" Type="http://schemas.openxmlformats.org/officeDocument/2006/relationships/image" Target="media/image79.png"/><Relationship Id="rId118" Type="http://schemas.openxmlformats.org/officeDocument/2006/relationships/image" Target="media/image84.png"/><Relationship Id="rId134"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39"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80" Type="http://schemas.openxmlformats.org/officeDocument/2006/relationships/image" Target="media/image46.png"/><Relationship Id="rId85" Type="http://schemas.openxmlformats.org/officeDocument/2006/relationships/image" Target="media/image51.png"/><Relationship Id="rId150"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55"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71" Type="http://schemas.openxmlformats.org/officeDocument/2006/relationships/image" Target="media/image98.png"/><Relationship Id="rId176" Type="http://schemas.openxmlformats.org/officeDocument/2006/relationships/image" Target="media/image103.png"/><Relationship Id="rId12" Type="http://schemas.openxmlformats.org/officeDocument/2006/relationships/header" Target="header1.xml"/><Relationship Id="rId17" Type="http://schemas.openxmlformats.org/officeDocument/2006/relationships/image" Target="media/image5.emf"/><Relationship Id="rId33" Type="http://schemas.openxmlformats.org/officeDocument/2006/relationships/image" Target="media/image20.png"/><Relationship Id="rId38" Type="http://schemas.openxmlformats.org/officeDocument/2006/relationships/image" Target="media/image24.png"/><Relationship Id="rId59" Type="http://schemas.openxmlformats.org/officeDocument/2006/relationships/diagramQuickStyle" Target="diagrams/quickStyle2.xml"/><Relationship Id="rId103" Type="http://schemas.openxmlformats.org/officeDocument/2006/relationships/image" Target="media/image69.png"/><Relationship Id="rId108" Type="http://schemas.openxmlformats.org/officeDocument/2006/relationships/image" Target="media/image74.png"/><Relationship Id="rId124" Type="http://schemas.openxmlformats.org/officeDocument/2006/relationships/image" Target="media/image90.png"/><Relationship Id="rId129"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54" Type="http://schemas.openxmlformats.org/officeDocument/2006/relationships/diagramQuickStyle" Target="diagrams/quickStyle1.xml"/><Relationship Id="rId70" Type="http://schemas.openxmlformats.org/officeDocument/2006/relationships/image" Target="media/image36.png"/><Relationship Id="rId75" Type="http://schemas.openxmlformats.org/officeDocument/2006/relationships/image" Target="media/image41.png"/><Relationship Id="rId91" Type="http://schemas.openxmlformats.org/officeDocument/2006/relationships/image" Target="media/image57.png"/><Relationship Id="rId96" Type="http://schemas.openxmlformats.org/officeDocument/2006/relationships/image" Target="media/image62.png"/><Relationship Id="rId140"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45"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61"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66" Type="http://schemas.openxmlformats.org/officeDocument/2006/relationships/image" Target="media/image93.png"/><Relationship Id="rId182" Type="http://schemas.openxmlformats.org/officeDocument/2006/relationships/image" Target="media/image108.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26.png"/><Relationship Id="rId114" Type="http://schemas.openxmlformats.org/officeDocument/2006/relationships/image" Target="media/image80.png"/><Relationship Id="rId119" Type="http://schemas.openxmlformats.org/officeDocument/2006/relationships/image" Target="media/image85.png"/><Relationship Id="rId44" Type="http://schemas.openxmlformats.org/officeDocument/2006/relationships/hyperlink" Target="http://www.energy.ca.gov/2013publications/CEC-400-2013-008/CEC-400-2013-008.pdf" TargetMode="External"/><Relationship Id="rId60" Type="http://schemas.openxmlformats.org/officeDocument/2006/relationships/diagramColors" Target="diagrams/colors2.xml"/><Relationship Id="rId65" Type="http://schemas.openxmlformats.org/officeDocument/2006/relationships/image" Target="media/image31.png"/><Relationship Id="rId81" Type="http://schemas.openxmlformats.org/officeDocument/2006/relationships/image" Target="media/image47.png"/><Relationship Id="rId86" Type="http://schemas.openxmlformats.org/officeDocument/2006/relationships/image" Target="media/image52.png"/><Relationship Id="rId130"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35"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51"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56"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77" Type="http://schemas.openxmlformats.org/officeDocument/2006/relationships/image" Target="media/image104.pn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99.png"/><Relationship Id="rId180" Type="http://schemas.openxmlformats.org/officeDocument/2006/relationships/image" Target="media/image107.png"/><Relationship Id="rId13" Type="http://schemas.openxmlformats.org/officeDocument/2006/relationships/footer" Target="footer1.xml"/><Relationship Id="rId18" Type="http://schemas.openxmlformats.org/officeDocument/2006/relationships/package" Target="embeddings/Microsoft_Word_Document.docx"/><Relationship Id="rId39" Type="http://schemas.openxmlformats.org/officeDocument/2006/relationships/image" Target="media/image25.png"/><Relationship Id="rId109" Type="http://schemas.openxmlformats.org/officeDocument/2006/relationships/image" Target="media/image75.png"/><Relationship Id="rId34" Type="http://schemas.openxmlformats.org/officeDocument/2006/relationships/package" Target="embeddings/Microsoft_Word_Document1.docx"/><Relationship Id="rId50" Type="http://schemas.openxmlformats.org/officeDocument/2006/relationships/hyperlink" Target="http://www.calmac.org/publications/CPUC_HUP_Focused_Evaluation-FINAL_05-03-16atr.pdf" TargetMode="External"/><Relationship Id="rId55" Type="http://schemas.openxmlformats.org/officeDocument/2006/relationships/diagramColors" Target="diagrams/colors1.xml"/><Relationship Id="rId76" Type="http://schemas.openxmlformats.org/officeDocument/2006/relationships/image" Target="media/image42.png"/><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image" Target="media/image86.png"/><Relationship Id="rId125" Type="http://schemas.openxmlformats.org/officeDocument/2006/relationships/image" Target="media/image91.png"/><Relationship Id="rId141"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46"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67" Type="http://schemas.openxmlformats.org/officeDocument/2006/relationships/image" Target="media/image94.png"/><Relationship Id="rId7" Type="http://schemas.openxmlformats.org/officeDocument/2006/relationships/settings" Target="settings.xml"/><Relationship Id="rId71" Type="http://schemas.openxmlformats.org/officeDocument/2006/relationships/image" Target="media/image37.png"/><Relationship Id="rId92" Type="http://schemas.openxmlformats.org/officeDocument/2006/relationships/image" Target="media/image58.png"/><Relationship Id="rId162"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83" Type="http://schemas.openxmlformats.org/officeDocument/2006/relationships/image" Target="media/image10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yperlink" Target="http://www.energy.ca.gov/title24/2013standards/rulemaking/documents/final_rulemaking_documents/05_Impact_Analysis.pdf" TargetMode="External"/><Relationship Id="rId45" Type="http://schemas.openxmlformats.org/officeDocument/2006/relationships/hyperlink" Target="http://www.energy.ca.gov/title24/2016standards/rulemaking/documents/15-day_language/impact_analysis/2016_Impact_Analysis_2015-06-03.pdf" TargetMode="External"/><Relationship Id="rId66" Type="http://schemas.openxmlformats.org/officeDocument/2006/relationships/image" Target="media/image32.png"/><Relationship Id="rId87" Type="http://schemas.openxmlformats.org/officeDocument/2006/relationships/image" Target="media/image53.png"/><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36"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57"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78" Type="http://schemas.openxmlformats.org/officeDocument/2006/relationships/image" Target="media/image105.png"/><Relationship Id="rId61" Type="http://schemas.microsoft.com/office/2007/relationships/diagramDrawing" Target="diagrams/drawing2.xml"/><Relationship Id="rId82" Type="http://schemas.openxmlformats.org/officeDocument/2006/relationships/image" Target="media/image48.png"/><Relationship Id="rId152"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73" Type="http://schemas.openxmlformats.org/officeDocument/2006/relationships/image" Target="media/image100.png"/><Relationship Id="rId19" Type="http://schemas.openxmlformats.org/officeDocument/2006/relationships/image" Target="media/image6.png"/><Relationship Id="rId14" Type="http://schemas.openxmlformats.org/officeDocument/2006/relationships/header" Target="header2.xml"/><Relationship Id="rId30" Type="http://schemas.openxmlformats.org/officeDocument/2006/relationships/image" Target="media/image17.png"/><Relationship Id="rId35" Type="http://schemas.openxmlformats.org/officeDocument/2006/relationships/image" Target="media/image21.png"/><Relationship Id="rId56" Type="http://schemas.microsoft.com/office/2007/relationships/diagramDrawing" Target="diagrams/drawing1.xml"/><Relationship Id="rId77" Type="http://schemas.openxmlformats.org/officeDocument/2006/relationships/image" Target="media/image43.png"/><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image" Target="media/image92.png"/><Relationship Id="rId147"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68" Type="http://schemas.openxmlformats.org/officeDocument/2006/relationships/image" Target="media/image95.png"/><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38.png"/><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image" Target="media/image87.png"/><Relationship Id="rId142"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63"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hyperlink" Target="http://www.energy.ca.gov/title24/2013standards/rulemaking/documents/final_rulemaking_documents/05_Impact_Analysis.pdf" TargetMode="External"/><Relationship Id="rId67" Type="http://schemas.openxmlformats.org/officeDocument/2006/relationships/image" Target="media/image33.png"/><Relationship Id="rId116" Type="http://schemas.openxmlformats.org/officeDocument/2006/relationships/image" Target="media/image82.png"/><Relationship Id="rId137"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58"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20" Type="http://schemas.openxmlformats.org/officeDocument/2006/relationships/image" Target="media/image7.png"/><Relationship Id="rId41" Type="http://schemas.openxmlformats.org/officeDocument/2006/relationships/hyperlink" Target="http://www.energy.ca.gov/title24/2016standards/rulemaking/documents/NOPA_title24_parts_01_06.pdf" TargetMode="External"/><Relationship Id="rId62" Type="http://schemas.openxmlformats.org/officeDocument/2006/relationships/image" Target="media/image28.emf"/><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image" Target="media/image77.png"/><Relationship Id="rId132"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53"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74" Type="http://schemas.openxmlformats.org/officeDocument/2006/relationships/image" Target="media/image101.png"/><Relationship Id="rId179" Type="http://schemas.openxmlformats.org/officeDocument/2006/relationships/image" Target="media/image106.png"/><Relationship Id="rId15" Type="http://schemas.openxmlformats.org/officeDocument/2006/relationships/footer" Target="footer2.xml"/><Relationship Id="rId36" Type="http://schemas.openxmlformats.org/officeDocument/2006/relationships/image" Target="media/image22.png"/><Relationship Id="rId57" Type="http://schemas.openxmlformats.org/officeDocument/2006/relationships/diagramData" Target="diagrams/data2.xml"/><Relationship Id="rId106" Type="http://schemas.openxmlformats.org/officeDocument/2006/relationships/image" Target="media/image72.png"/><Relationship Id="rId127"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diagramData" Target="diagrams/data1.xml"/><Relationship Id="rId73" Type="http://schemas.openxmlformats.org/officeDocument/2006/relationships/image" Target="media/image39.png"/><Relationship Id="rId78" Type="http://schemas.openxmlformats.org/officeDocument/2006/relationships/image" Target="media/image44.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8.png"/><Relationship Id="rId143"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48"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64" Type="http://schemas.openxmlformats.org/officeDocument/2006/relationships/hyperlink" Target="file:///C:\Users\asathe1\Documents\Amul's%20Work\CPUC\Goals%20and%20Potential%20Study\2015%20and%20Beyond\Task%201%20-%20Stage%202\Deliverables\August%20Final%20Release\2018%20PG%20Study%20Results%20Viewer%20Final%20Public%208-23-17.xlsx" TargetMode="External"/><Relationship Id="rId169" Type="http://schemas.openxmlformats.org/officeDocument/2006/relationships/image" Target="media/image96.png"/><Relationship Id="rId18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wbdg.org/FFC/FED/OMB/OMB-Circular-A94.pdf" TargetMode="External"/><Relationship Id="rId13" Type="http://schemas.openxmlformats.org/officeDocument/2006/relationships/hyperlink" Target="https://mail.cpuc.ca.gov/owa/redir.aspx?C=72sV4y8u715XkXKj1CiYzy4dculKYjpKBYOvgu5p991iJJvHOKXUCA..&amp;URL=http%3a%2f%2fdocs.cpuc.ca.gov%2fPublishedDocs%2fEfile%2fG000%2fM185%2fK576%2f185576217.PDF" TargetMode="External"/><Relationship Id="rId18" Type="http://schemas.openxmlformats.org/officeDocument/2006/relationships/hyperlink" Target="http://www.cpuc.ca.gov/General.aspx?id=6442452619" TargetMode="External"/><Relationship Id="rId26" Type="http://schemas.openxmlformats.org/officeDocument/2006/relationships/hyperlink" Target="http://eestats.cpuc.ca.gov/" TargetMode="External"/><Relationship Id="rId3" Type="http://schemas.openxmlformats.org/officeDocument/2006/relationships/hyperlink" Target="http://demandanalysisworkinggroup.org/" TargetMode="External"/><Relationship Id="rId21" Type="http://schemas.openxmlformats.org/officeDocument/2006/relationships/hyperlink" Target="https://energy.gov/sites/prod/files/2015/05/f22/energysavingsforecast14.pdf" TargetMode="External"/><Relationship Id="rId7" Type="http://schemas.openxmlformats.org/officeDocument/2006/relationships/hyperlink" Target="http://www.cpuc.ca.gov/General.aspx?id=6442452619" TargetMode="External"/><Relationship Id="rId12" Type="http://schemas.openxmlformats.org/officeDocument/2006/relationships/hyperlink" Target="http://docs.cpuc.ca.gov/PublishedDocs/Efile/G000/M182/K363/182363230.PDF" TargetMode="External"/><Relationship Id="rId17" Type="http://schemas.openxmlformats.org/officeDocument/2006/relationships/hyperlink" Target="http://apps1.eere.energy.gov/buildings/publications/pdfs/ssl/2010-lmc-final-jan-2012.pdf" TargetMode="External"/><Relationship Id="rId25" Type="http://schemas.openxmlformats.org/officeDocument/2006/relationships/hyperlink" Target="https://www4.eere.energy.gov/seeaction/system/files/documents/publications/chapters/onbill_financing_appendix.pdf" TargetMode="External"/><Relationship Id="rId2" Type="http://schemas.openxmlformats.org/officeDocument/2006/relationships/hyperlink" Target="http://docs.cpuc.ca.gov/SearchRes.aspx?DocFormat=ALL&amp;DocID=166232537" TargetMode="External"/><Relationship Id="rId16" Type="http://schemas.openxmlformats.org/officeDocument/2006/relationships/hyperlink" Target="http://apps1.eere.energy.gov/buildings/publications/pdfs/ssl/2010-lmc-final-jan-2012.pdf" TargetMode="External"/><Relationship Id="rId20" Type="http://schemas.openxmlformats.org/officeDocument/2006/relationships/hyperlink" Target="http://www.michigan.gov/mpsc/0,4639,7-159-52495_55129---,00.html" TargetMode="External"/><Relationship Id="rId1" Type="http://schemas.openxmlformats.org/officeDocument/2006/relationships/hyperlink" Target="http://docs.cpuc.ca.gov/SearchRes.aspx?DocFormat=ALL&amp;DocID=173203676" TargetMode="External"/><Relationship Id="rId6" Type="http://schemas.openxmlformats.org/officeDocument/2006/relationships/hyperlink" Target="http://demandanalysisworkinggroup.org/" TargetMode="External"/><Relationship Id="rId11" Type="http://schemas.openxmlformats.org/officeDocument/2006/relationships/hyperlink" Target="http://ecdms.energy.ca.gov/" TargetMode="External"/><Relationship Id="rId24" Type="http://schemas.openxmlformats.org/officeDocument/2006/relationships/hyperlink" Target="http://www.gao.gov/assets/690/682586.pdf" TargetMode="External"/><Relationship Id="rId5" Type="http://schemas.openxmlformats.org/officeDocument/2006/relationships/hyperlink" Target="http://docs.cpuc.ca.gov/SearchRes.aspx?DocFormat=ALL&amp;DocID=166232537" TargetMode="External"/><Relationship Id="rId15" Type="http://schemas.openxmlformats.org/officeDocument/2006/relationships/hyperlink" Target="http://eestats.cpuc.ca.gov/Views/EEDataPortal.aspx" TargetMode="External"/><Relationship Id="rId23" Type="http://schemas.openxmlformats.org/officeDocument/2006/relationships/hyperlink" Target="http://www.thecheef.com/lender-chart" TargetMode="External"/><Relationship Id="rId10" Type="http://schemas.openxmlformats.org/officeDocument/2006/relationships/hyperlink" Target="https://mail.cpuc.ca.gov/owa/redir.aspx?C=72sV4y8u715XkXKj1CiYzy4dculKYjpKBYOvgu5p991iJJvHOKXUCA..&amp;URL=http%3a%2f%2fdocs.cpuc.ca.gov%2fPublishedDocs%2fEfile%2fG000%2fM185%2fK576%2f185576217.PDF" TargetMode="External"/><Relationship Id="rId19" Type="http://schemas.openxmlformats.org/officeDocument/2006/relationships/hyperlink" Target="http://www.ilsag.info/technical-reference-manual.html" TargetMode="External"/><Relationship Id="rId4" Type="http://schemas.openxmlformats.org/officeDocument/2006/relationships/hyperlink" Target="http://docs.cpuc.ca.gov/SearchRes.aspx?DocFormat=ALL&amp;DocID=173203676" TargetMode="External"/><Relationship Id="rId9" Type="http://schemas.openxmlformats.org/officeDocument/2006/relationships/hyperlink" Target="http://demandanalysisworkinggroup.org/event/energy-savings-pup-cpuc-2018-beyond-ee-potential-goals-study-model-calibration-and-forecasting-scenarios/?instance_id=445" TargetMode="External"/><Relationship Id="rId14" Type="http://schemas.openxmlformats.org/officeDocument/2006/relationships/hyperlink" Target="http://eestats.cpuc.ca.gov/Views/EEDataPortal.aspx" TargetMode="External"/><Relationship Id="rId22" Type="http://schemas.openxmlformats.org/officeDocument/2006/relationships/hyperlink" Target="http://eestats.cpuc.ca.gov/Default.aspx" TargetMode="External"/><Relationship Id="rId27" Type="http://schemas.openxmlformats.org/officeDocument/2006/relationships/hyperlink" Target="http://www.energydataweb.com/cpuc/search.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23B17A-1B97-4857-BA77-63171F3CBA7C}" type="doc">
      <dgm:prSet loTypeId="urn:microsoft.com/office/officeart/2005/8/layout/hProcess7" loCatId="process" qsTypeId="urn:microsoft.com/office/officeart/2005/8/quickstyle/simple1" qsCatId="simple" csTypeId="urn:microsoft.com/office/officeart/2005/8/colors/accent1_1" csCatId="accent1" phldr="1"/>
      <dgm:spPr/>
      <dgm:t>
        <a:bodyPr/>
        <a:lstStyle/>
        <a:p>
          <a:endParaRPr lang="en-US"/>
        </a:p>
      </dgm:t>
    </dgm:pt>
    <dgm:pt modelId="{3B649C3D-2C17-4017-9899-7FA1594CA1CC}">
      <dgm:prSet phldrT="[Text]" custT="1"/>
      <dgm:spPr/>
      <dgm:t>
        <a:bodyPr/>
        <a:lstStyle/>
        <a:p>
          <a:r>
            <a:rPr lang="en-US" sz="1800" dirty="0">
              <a:effectLst/>
              <a:latin typeface="Arial" panose="020B0604020202020204" pitchFamily="34" charset="0"/>
              <a:cs typeface="Arial" panose="020B0604020202020204" pitchFamily="34" charset="0"/>
            </a:rPr>
            <a:t>DAWG Meeting</a:t>
          </a:r>
        </a:p>
      </dgm:t>
    </dgm:pt>
    <dgm:pt modelId="{1C566021-B9B2-4025-A47A-82E19134D0F2}" type="parTrans" cxnId="{DB5260DB-50AC-4BA6-ACC9-424AE2E5E823}">
      <dgm:prSet/>
      <dgm:spPr/>
      <dgm:t>
        <a:bodyPr/>
        <a:lstStyle/>
        <a:p>
          <a:endParaRPr lang="en-US" sz="1200">
            <a:effectLst/>
          </a:endParaRPr>
        </a:p>
      </dgm:t>
    </dgm:pt>
    <dgm:pt modelId="{D61F0250-9B52-43AD-85B7-702626558915}" type="sibTrans" cxnId="{DB5260DB-50AC-4BA6-ACC9-424AE2E5E823}">
      <dgm:prSet/>
      <dgm:spPr/>
      <dgm:t>
        <a:bodyPr/>
        <a:lstStyle/>
        <a:p>
          <a:endParaRPr lang="en-US" sz="1200">
            <a:effectLst/>
          </a:endParaRPr>
        </a:p>
      </dgm:t>
    </dgm:pt>
    <dgm:pt modelId="{C17D4567-5E5B-4B14-8B12-E5707FE8935A}">
      <dgm:prSet phldrT="[Text]" custT="1"/>
      <dgm:spPr/>
      <dgm:t>
        <a:bodyPr/>
        <a:lstStyle/>
        <a:p>
          <a:pPr marL="0" lvl="0" defTabSz="977900">
            <a:lnSpc>
              <a:spcPct val="100000"/>
            </a:lnSpc>
            <a:spcBef>
              <a:spcPct val="0"/>
            </a:spcBef>
            <a:spcAft>
              <a:spcPts val="600"/>
            </a:spcAft>
            <a:buNone/>
          </a:pPr>
          <a:r>
            <a:rPr lang="en-US" sz="1200" b="0" i="0" u="none" dirty="0">
              <a:effectLst/>
              <a:latin typeface="Arial" panose="020B0604020202020204" pitchFamily="34" charset="0"/>
              <a:cs typeface="Arial" panose="020B0604020202020204" pitchFamily="34" charset="0"/>
            </a:rPr>
            <a:t>Audits</a:t>
          </a:r>
          <a:endParaRPr lang="en-US" sz="1200" b="0" dirty="0">
            <a:effectLst/>
            <a:latin typeface="Arial" panose="020B0604020202020204" pitchFamily="34" charset="0"/>
            <a:cs typeface="Arial" panose="020B0604020202020204" pitchFamily="34" charset="0"/>
          </a:endParaRPr>
        </a:p>
      </dgm:t>
    </dgm:pt>
    <dgm:pt modelId="{A9FC905F-0DF0-4356-9D8A-C83C00D60F36}" type="parTrans" cxnId="{35D57550-1336-4B52-992C-B218597B9F0D}">
      <dgm:prSet/>
      <dgm:spPr/>
      <dgm:t>
        <a:bodyPr/>
        <a:lstStyle/>
        <a:p>
          <a:endParaRPr lang="en-US" sz="1200">
            <a:effectLst/>
          </a:endParaRPr>
        </a:p>
      </dgm:t>
    </dgm:pt>
    <dgm:pt modelId="{E9D5FDF1-B8E4-450A-A1A9-2D5D357CC97A}" type="sibTrans" cxnId="{35D57550-1336-4B52-992C-B218597B9F0D}">
      <dgm:prSet/>
      <dgm:spPr/>
      <dgm:t>
        <a:bodyPr/>
        <a:lstStyle/>
        <a:p>
          <a:endParaRPr lang="en-US" sz="1200">
            <a:effectLst/>
          </a:endParaRPr>
        </a:p>
      </dgm:t>
    </dgm:pt>
    <dgm:pt modelId="{C1B64A8C-1D2D-4580-9D8B-19859210B2C4}">
      <dgm:prSet phldrT="[Text]" custT="1"/>
      <dgm:spPr/>
      <dgm:t>
        <a:bodyPr/>
        <a:lstStyle/>
        <a:p>
          <a:r>
            <a:rPr lang="en-US" sz="1800" dirty="0">
              <a:effectLst/>
              <a:latin typeface="Arial" panose="020B0604020202020204" pitchFamily="34" charset="0"/>
              <a:cs typeface="Arial" panose="020B0604020202020204" pitchFamily="34" charset="0"/>
            </a:rPr>
            <a:t>Final Model</a:t>
          </a:r>
        </a:p>
      </dgm:t>
    </dgm:pt>
    <dgm:pt modelId="{4B29DD7A-8BEB-4F9D-851F-BA243064BDF8}" type="parTrans" cxnId="{96018F68-E5A8-46EE-977E-D436A03647AA}">
      <dgm:prSet/>
      <dgm:spPr/>
      <dgm:t>
        <a:bodyPr/>
        <a:lstStyle/>
        <a:p>
          <a:endParaRPr lang="en-US" sz="1200">
            <a:effectLst/>
          </a:endParaRPr>
        </a:p>
      </dgm:t>
    </dgm:pt>
    <dgm:pt modelId="{8A7A2A5F-E925-4132-A4D1-1891932FFC2B}" type="sibTrans" cxnId="{96018F68-E5A8-46EE-977E-D436A03647AA}">
      <dgm:prSet/>
      <dgm:spPr/>
      <dgm:t>
        <a:bodyPr/>
        <a:lstStyle/>
        <a:p>
          <a:endParaRPr lang="en-US" sz="1200">
            <a:effectLst/>
          </a:endParaRPr>
        </a:p>
      </dgm:t>
    </dgm:pt>
    <dgm:pt modelId="{F6AB8458-BE0B-4378-BAB3-05B04341E319}">
      <dgm:prSet phldrT="[Text]" custT="1"/>
      <dgm:spPr/>
      <dgm:t>
        <a:bodyPr/>
        <a:lstStyle/>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ea typeface="+mn-ea"/>
              <a:cs typeface="Arial" panose="020B0604020202020204" pitchFamily="34" charset="0"/>
            </a:rPr>
            <a:t>Home Energy Reports</a:t>
          </a:r>
        </a:p>
      </dgm:t>
    </dgm:pt>
    <dgm:pt modelId="{7E93F9AA-05AA-4F23-9A83-BBD05EB3A731}" type="parTrans" cxnId="{37A25221-1662-4269-9C94-2B323452FB20}">
      <dgm:prSet/>
      <dgm:spPr/>
      <dgm:t>
        <a:bodyPr/>
        <a:lstStyle/>
        <a:p>
          <a:endParaRPr lang="en-US" sz="1200">
            <a:effectLst/>
          </a:endParaRPr>
        </a:p>
      </dgm:t>
    </dgm:pt>
    <dgm:pt modelId="{8965968E-9048-4C74-8BCF-024CB9B5ADE2}" type="sibTrans" cxnId="{37A25221-1662-4269-9C94-2B323452FB20}">
      <dgm:prSet/>
      <dgm:spPr/>
      <dgm:t>
        <a:bodyPr/>
        <a:lstStyle/>
        <a:p>
          <a:endParaRPr lang="en-US" sz="1200">
            <a:effectLst/>
          </a:endParaRPr>
        </a:p>
      </dgm:t>
    </dgm:pt>
    <dgm:pt modelId="{D4B8BDEA-3E96-4508-A989-896B3F462971}">
      <dgm:prSet custT="1"/>
      <dgm:spPr/>
      <dgm:t>
        <a:bodyPr/>
        <a:lstStyle/>
        <a:p>
          <a:pPr marL="0" lvl="0" defTabSz="977900">
            <a:lnSpc>
              <a:spcPct val="100000"/>
            </a:lnSpc>
            <a:spcBef>
              <a:spcPct val="0"/>
            </a:spcBef>
            <a:spcAft>
              <a:spcPts val="600"/>
            </a:spcAft>
            <a:buNone/>
          </a:pPr>
          <a:r>
            <a:rPr lang="en-US" sz="1200" b="0" i="0" u="none" dirty="0">
              <a:effectLst/>
              <a:latin typeface="Arial" panose="020B0604020202020204" pitchFamily="34" charset="0"/>
              <a:cs typeface="Arial" panose="020B0604020202020204" pitchFamily="34" charset="0"/>
            </a:rPr>
            <a:t>Mailed Feedback</a:t>
          </a:r>
          <a:endParaRPr lang="en-US" sz="1200" dirty="0">
            <a:effectLst/>
            <a:latin typeface="Arial" panose="020B0604020202020204" pitchFamily="34" charset="0"/>
            <a:cs typeface="Arial" panose="020B0604020202020204" pitchFamily="34" charset="0"/>
          </a:endParaRPr>
        </a:p>
      </dgm:t>
    </dgm:pt>
    <dgm:pt modelId="{A6B821F2-519B-4B74-9B38-AAD5057D7267}" type="parTrans" cxnId="{DEE4496D-E7E3-475D-8A17-839FF71CA978}">
      <dgm:prSet/>
      <dgm:spPr/>
      <dgm:t>
        <a:bodyPr/>
        <a:lstStyle/>
        <a:p>
          <a:endParaRPr lang="en-US" sz="1200">
            <a:effectLst/>
          </a:endParaRPr>
        </a:p>
      </dgm:t>
    </dgm:pt>
    <dgm:pt modelId="{20393421-E099-431E-B647-A0DD1B269D32}" type="sibTrans" cxnId="{DEE4496D-E7E3-475D-8A17-839FF71CA978}">
      <dgm:prSet/>
      <dgm:spPr/>
      <dgm:t>
        <a:bodyPr/>
        <a:lstStyle/>
        <a:p>
          <a:endParaRPr lang="en-US" sz="1200">
            <a:effectLst/>
          </a:endParaRPr>
        </a:p>
      </dgm:t>
    </dgm:pt>
    <dgm:pt modelId="{7CFF9BD8-6BC6-43BF-B637-2FAEBCD951B0}">
      <dgm:prSet custT="1"/>
      <dgm:spPr/>
      <dgm:t>
        <a:bodyPr/>
        <a:lstStyle/>
        <a:p>
          <a:pPr marL="0" lvl="0" defTabSz="977900">
            <a:lnSpc>
              <a:spcPct val="100000"/>
            </a:lnSpc>
            <a:spcBef>
              <a:spcPct val="0"/>
            </a:spcBef>
            <a:spcAft>
              <a:spcPts val="600"/>
            </a:spcAft>
            <a:buNone/>
          </a:pPr>
          <a:r>
            <a:rPr lang="en-US" sz="1200" b="0" i="0" u="none" dirty="0">
              <a:effectLst/>
              <a:latin typeface="Arial" panose="020B0604020202020204" pitchFamily="34" charset="0"/>
              <a:cs typeface="Arial" panose="020B0604020202020204" pitchFamily="34" charset="0"/>
            </a:rPr>
            <a:t>Real-Time Feedback</a:t>
          </a:r>
          <a:endParaRPr lang="en-US" sz="1200" dirty="0">
            <a:effectLst/>
            <a:latin typeface="Arial" panose="020B0604020202020204" pitchFamily="34" charset="0"/>
            <a:cs typeface="Arial" panose="020B0604020202020204" pitchFamily="34" charset="0"/>
          </a:endParaRPr>
        </a:p>
      </dgm:t>
    </dgm:pt>
    <dgm:pt modelId="{E5B69FBC-4387-4020-AF71-B290CAA46515}" type="parTrans" cxnId="{DC904ACB-980D-431E-B685-4427904D320D}">
      <dgm:prSet/>
      <dgm:spPr/>
      <dgm:t>
        <a:bodyPr/>
        <a:lstStyle/>
        <a:p>
          <a:endParaRPr lang="en-US" sz="1200">
            <a:effectLst/>
          </a:endParaRPr>
        </a:p>
      </dgm:t>
    </dgm:pt>
    <dgm:pt modelId="{F8DBF108-5E05-44E0-AE8D-FB7CF2D23251}" type="sibTrans" cxnId="{DC904ACB-980D-431E-B685-4427904D320D}">
      <dgm:prSet/>
      <dgm:spPr/>
      <dgm:t>
        <a:bodyPr/>
        <a:lstStyle/>
        <a:p>
          <a:endParaRPr lang="en-US" sz="1200">
            <a:effectLst/>
          </a:endParaRPr>
        </a:p>
      </dgm:t>
    </dgm:pt>
    <dgm:pt modelId="{E6177255-E85B-4C14-BFB4-7E1FB88E45AC}">
      <dgm:prSet custT="1"/>
      <dgm:spPr/>
      <dgm:t>
        <a:bodyPr/>
        <a:lstStyle/>
        <a:p>
          <a:pPr marL="0" marR="0" lvl="0" indent="0" defTabSz="914400" eaLnBrk="1" fontAlgn="auto" latinLnBrk="0" hangingPunct="1">
            <a:lnSpc>
              <a:spcPct val="100000"/>
            </a:lnSpc>
            <a:spcBef>
              <a:spcPts val="0"/>
            </a:spcBef>
            <a:spcAft>
              <a:spcPts val="600"/>
            </a:spcAft>
            <a:buClrTx/>
            <a:buSzTx/>
            <a:buFontTx/>
            <a:buNone/>
            <a:tabLst/>
            <a:defRPr/>
          </a:pPr>
          <a:r>
            <a:rPr lang="en-US" sz="1200" b="0" i="0" u="none" dirty="0">
              <a:effectLst/>
              <a:latin typeface="Arial" panose="020B0604020202020204" pitchFamily="34" charset="0"/>
              <a:cs typeface="Arial" panose="020B0604020202020204" pitchFamily="34" charset="0"/>
            </a:rPr>
            <a:t>Web-Based</a:t>
          </a:r>
          <a:r>
            <a:rPr lang="en-US" sz="1200" b="0" i="0" u="none" baseline="0" dirty="0">
              <a:effectLst/>
              <a:latin typeface="Arial" panose="020B0604020202020204" pitchFamily="34" charset="0"/>
              <a:cs typeface="Arial" panose="020B0604020202020204" pitchFamily="34" charset="0"/>
            </a:rPr>
            <a:t> Feedback</a:t>
          </a:r>
        </a:p>
        <a:p>
          <a:pPr marL="0" marR="0" lvl="0" indent="0" defTabSz="914400" eaLnBrk="1" fontAlgn="auto" latinLnBrk="0" hangingPunct="1">
            <a:lnSpc>
              <a:spcPct val="100000"/>
            </a:lnSpc>
            <a:spcBef>
              <a:spcPts val="0"/>
            </a:spcBef>
            <a:spcAft>
              <a:spcPts val="600"/>
            </a:spcAft>
            <a:buClrTx/>
            <a:buSzTx/>
            <a:buFontTx/>
            <a:buNone/>
            <a:tabLst/>
            <a:defRPr/>
          </a:pPr>
          <a:r>
            <a:rPr lang="en-US" sz="1200" b="0" i="0" u="none" dirty="0">
              <a:effectLst/>
              <a:latin typeface="Arial" panose="020B0604020202020204" pitchFamily="34" charset="0"/>
              <a:cs typeface="Arial" panose="020B0604020202020204" pitchFamily="34" charset="0"/>
            </a:rPr>
            <a:t>Prepay (e.g. </a:t>
          </a:r>
          <a:r>
            <a:rPr lang="en-US" sz="1200" b="0" i="0" u="none" dirty="0" err="1">
              <a:effectLst/>
              <a:latin typeface="Arial" panose="020B0604020202020204" pitchFamily="34" charset="0"/>
              <a:cs typeface="Arial" panose="020B0604020202020204" pitchFamily="34" charset="0"/>
            </a:rPr>
            <a:t>mPower</a:t>
          </a:r>
          <a:r>
            <a:rPr lang="en-US" sz="1200" b="0" i="0" u="none" dirty="0">
              <a:effectLst/>
              <a:latin typeface="Arial" panose="020B0604020202020204" pitchFamily="34" charset="0"/>
              <a:cs typeface="Arial" panose="020B0604020202020204" pitchFamily="34" charset="0"/>
            </a:rPr>
            <a:t>)</a:t>
          </a:r>
          <a:endParaRPr lang="en-US" sz="1200" dirty="0">
            <a:effectLst/>
            <a:latin typeface="Arial" panose="020B0604020202020204" pitchFamily="34" charset="0"/>
            <a:cs typeface="Arial" panose="020B0604020202020204" pitchFamily="34" charset="0"/>
          </a:endParaRPr>
        </a:p>
      </dgm:t>
    </dgm:pt>
    <dgm:pt modelId="{CD9AEA71-7182-4979-8007-C70484296D62}" type="parTrans" cxnId="{92CAC7DC-4F6F-49D6-B6CA-575BFF4AF01F}">
      <dgm:prSet/>
      <dgm:spPr/>
      <dgm:t>
        <a:bodyPr/>
        <a:lstStyle/>
        <a:p>
          <a:endParaRPr lang="en-US" sz="1200">
            <a:effectLst/>
          </a:endParaRPr>
        </a:p>
      </dgm:t>
    </dgm:pt>
    <dgm:pt modelId="{73A3FA1C-A9C6-4EF0-9114-650EC3651EFB}" type="sibTrans" cxnId="{92CAC7DC-4F6F-49D6-B6CA-575BFF4AF01F}">
      <dgm:prSet/>
      <dgm:spPr/>
      <dgm:t>
        <a:bodyPr/>
        <a:lstStyle/>
        <a:p>
          <a:endParaRPr lang="en-US" sz="1200">
            <a:effectLst/>
          </a:endParaRPr>
        </a:p>
      </dgm:t>
    </dgm:pt>
    <dgm:pt modelId="{245F0654-5ADE-49E1-92BE-75ADA5B5D4B8}">
      <dgm:prSet custT="1"/>
      <dgm:spPr/>
      <dgm:t>
        <a:bodyPr/>
        <a:lstStyle/>
        <a:p>
          <a:pPr marL="0" lvl="0" defTabSz="977900">
            <a:lnSpc>
              <a:spcPct val="100000"/>
            </a:lnSpc>
            <a:spcBef>
              <a:spcPct val="0"/>
            </a:spcBef>
            <a:spcAft>
              <a:spcPts val="600"/>
            </a:spcAft>
            <a:buNone/>
          </a:pPr>
          <a:r>
            <a:rPr lang="en-US" sz="1200" b="0" i="0" u="none" dirty="0">
              <a:effectLst/>
              <a:latin typeface="Arial" panose="020B0604020202020204" pitchFamily="34" charset="0"/>
              <a:cs typeface="Arial" panose="020B0604020202020204" pitchFamily="34" charset="0"/>
            </a:rPr>
            <a:t>Smart Thermostats</a:t>
          </a:r>
          <a:endParaRPr lang="en-US" sz="1200" dirty="0">
            <a:effectLst/>
            <a:latin typeface="Arial" panose="020B0604020202020204" pitchFamily="34" charset="0"/>
            <a:cs typeface="Arial" panose="020B0604020202020204" pitchFamily="34" charset="0"/>
          </a:endParaRPr>
        </a:p>
      </dgm:t>
    </dgm:pt>
    <dgm:pt modelId="{EC11A982-4586-40BB-B845-39546A7272F5}" type="parTrans" cxnId="{DDF15C49-59E3-4A32-9A51-394067522BDC}">
      <dgm:prSet/>
      <dgm:spPr/>
      <dgm:t>
        <a:bodyPr/>
        <a:lstStyle/>
        <a:p>
          <a:endParaRPr lang="en-US" sz="1200">
            <a:effectLst/>
          </a:endParaRPr>
        </a:p>
      </dgm:t>
    </dgm:pt>
    <dgm:pt modelId="{C7FC9387-D108-458F-AD9E-C6F8CF988E4B}" type="sibTrans" cxnId="{DDF15C49-59E3-4A32-9A51-394067522BDC}">
      <dgm:prSet/>
      <dgm:spPr/>
      <dgm:t>
        <a:bodyPr/>
        <a:lstStyle/>
        <a:p>
          <a:endParaRPr lang="en-US" sz="1200">
            <a:effectLst/>
          </a:endParaRPr>
        </a:p>
      </dgm:t>
    </dgm:pt>
    <dgm:pt modelId="{0570B450-15C8-43CF-9328-0E49EFFAD4BC}">
      <dgm:prSet custT="1"/>
      <dgm:spPr/>
      <dgm:t>
        <a:bodyPr/>
        <a:lstStyle/>
        <a:p>
          <a:pPr marL="0" lvl="0" defTabSz="977900">
            <a:lnSpc>
              <a:spcPct val="100000"/>
            </a:lnSpc>
            <a:spcBef>
              <a:spcPct val="0"/>
            </a:spcBef>
            <a:spcAft>
              <a:spcPts val="600"/>
            </a:spcAft>
            <a:buNone/>
          </a:pPr>
          <a:r>
            <a:rPr lang="en-US" sz="1200" b="0" i="0" u="none" dirty="0">
              <a:effectLst/>
              <a:latin typeface="Arial" panose="020B0604020202020204" pitchFamily="34" charset="0"/>
              <a:cs typeface="Arial" panose="020B0604020202020204" pitchFamily="34" charset="0"/>
            </a:rPr>
            <a:t>Challenges/Competitions</a:t>
          </a:r>
          <a:endParaRPr lang="en-US" sz="1200" dirty="0">
            <a:effectLst/>
            <a:latin typeface="Arial" panose="020B0604020202020204" pitchFamily="34" charset="0"/>
            <a:cs typeface="Arial" panose="020B0604020202020204" pitchFamily="34" charset="0"/>
          </a:endParaRPr>
        </a:p>
      </dgm:t>
    </dgm:pt>
    <dgm:pt modelId="{1A30E1A1-289F-43E0-B05F-DDC6C75B9D18}" type="parTrans" cxnId="{EC11CC09-17B2-444D-90F4-9B6D2618F246}">
      <dgm:prSet/>
      <dgm:spPr/>
      <dgm:t>
        <a:bodyPr/>
        <a:lstStyle/>
        <a:p>
          <a:endParaRPr lang="en-US" sz="1200">
            <a:effectLst/>
          </a:endParaRPr>
        </a:p>
      </dgm:t>
    </dgm:pt>
    <dgm:pt modelId="{33118019-85E5-44A6-89A9-67E5AAA25383}" type="sibTrans" cxnId="{EC11CC09-17B2-444D-90F4-9B6D2618F246}">
      <dgm:prSet/>
      <dgm:spPr/>
      <dgm:t>
        <a:bodyPr/>
        <a:lstStyle/>
        <a:p>
          <a:endParaRPr lang="en-US" sz="1200">
            <a:effectLst/>
          </a:endParaRPr>
        </a:p>
      </dgm:t>
    </dgm:pt>
    <dgm:pt modelId="{8C9C0E58-8E43-4408-AB40-18AEC5BEF49C}">
      <dgm:prSet custT="1"/>
      <dgm:spPr/>
      <dgm:t>
        <a:bodyPr/>
        <a:lstStyle/>
        <a:p>
          <a:pPr marL="0" lvl="0" defTabSz="977900">
            <a:lnSpc>
              <a:spcPct val="100000"/>
            </a:lnSpc>
            <a:spcBef>
              <a:spcPct val="0"/>
            </a:spcBef>
            <a:spcAft>
              <a:spcPts val="600"/>
            </a:spcAft>
            <a:buNone/>
          </a:pPr>
          <a:r>
            <a:rPr lang="en-US" sz="1200" b="0" i="0" u="none" dirty="0">
              <a:effectLst/>
              <a:latin typeface="Arial" panose="020B0604020202020204" pitchFamily="34" charset="0"/>
              <a:cs typeface="Arial" panose="020B0604020202020204" pitchFamily="34" charset="0"/>
            </a:rPr>
            <a:t>Community-</a:t>
          </a:r>
          <a:r>
            <a:rPr lang="en-US" sz="1200" b="0" i="0" u="none" baseline="0" dirty="0">
              <a:effectLst/>
              <a:latin typeface="Arial" panose="020B0604020202020204" pitchFamily="34" charset="0"/>
              <a:cs typeface="Arial" panose="020B0604020202020204" pitchFamily="34" charset="0"/>
            </a:rPr>
            <a:t>Based Social Marketing</a:t>
          </a:r>
          <a:endParaRPr lang="en-US" sz="1200" dirty="0">
            <a:effectLst/>
            <a:latin typeface="Arial" panose="020B0604020202020204" pitchFamily="34" charset="0"/>
            <a:cs typeface="Arial" panose="020B0604020202020204" pitchFamily="34" charset="0"/>
          </a:endParaRPr>
        </a:p>
      </dgm:t>
    </dgm:pt>
    <dgm:pt modelId="{70F31B2C-7273-4319-8A12-7C4861A216A1}" type="parTrans" cxnId="{B557E6D8-AC91-4366-A68B-2D9FEB6C5703}">
      <dgm:prSet/>
      <dgm:spPr/>
      <dgm:t>
        <a:bodyPr/>
        <a:lstStyle/>
        <a:p>
          <a:endParaRPr lang="en-US" sz="1200">
            <a:effectLst/>
          </a:endParaRPr>
        </a:p>
      </dgm:t>
    </dgm:pt>
    <dgm:pt modelId="{6DA3C80E-7A8C-4935-A058-D0F451587612}" type="sibTrans" cxnId="{B557E6D8-AC91-4366-A68B-2D9FEB6C5703}">
      <dgm:prSet/>
      <dgm:spPr/>
      <dgm:t>
        <a:bodyPr/>
        <a:lstStyle/>
        <a:p>
          <a:endParaRPr lang="en-US" sz="1200">
            <a:effectLst/>
          </a:endParaRPr>
        </a:p>
      </dgm:t>
    </dgm:pt>
    <dgm:pt modelId="{3A53E6A4-233A-4633-BAB1-A01557C1CACC}">
      <dgm:prSet custT="1"/>
      <dgm:spPr/>
      <dgm:t>
        <a:bodyPr/>
        <a:lstStyle/>
        <a:p>
          <a:pPr marL="0" lvl="0" defTabSz="977900">
            <a:lnSpc>
              <a:spcPct val="100000"/>
            </a:lnSpc>
            <a:spcBef>
              <a:spcPct val="0"/>
            </a:spcBef>
            <a:spcAft>
              <a:spcPts val="600"/>
            </a:spcAft>
            <a:buNone/>
          </a:pPr>
          <a:r>
            <a:rPr lang="en-US" sz="1200" b="0" i="0" u="none" dirty="0">
              <a:effectLst/>
              <a:latin typeface="Arial" panose="020B0604020202020204" pitchFamily="34" charset="0"/>
              <a:cs typeface="Arial" panose="020B0604020202020204" pitchFamily="34" charset="0"/>
            </a:rPr>
            <a:t>Social Media</a:t>
          </a:r>
        </a:p>
      </dgm:t>
    </dgm:pt>
    <dgm:pt modelId="{89CA76AD-0452-48E1-AAB3-6D92FADB8EAB}" type="parTrans" cxnId="{0A0BF386-D9F8-4C27-8821-15FCBA36C672}">
      <dgm:prSet/>
      <dgm:spPr/>
      <dgm:t>
        <a:bodyPr/>
        <a:lstStyle/>
        <a:p>
          <a:endParaRPr lang="en-US" sz="1200">
            <a:effectLst/>
          </a:endParaRPr>
        </a:p>
      </dgm:t>
    </dgm:pt>
    <dgm:pt modelId="{4ACFF82A-FCD2-4C70-AADD-E831564CC232}" type="sibTrans" cxnId="{0A0BF386-D9F8-4C27-8821-15FCBA36C672}">
      <dgm:prSet/>
      <dgm:spPr/>
      <dgm:t>
        <a:bodyPr/>
        <a:lstStyle/>
        <a:p>
          <a:endParaRPr lang="en-US" sz="1200">
            <a:effectLst/>
          </a:endParaRPr>
        </a:p>
      </dgm:t>
    </dgm:pt>
    <dgm:pt modelId="{141009FD-D769-4B1E-8D84-FEA46786A28F}">
      <dgm:prSet phldrT="[Text]" custT="1"/>
      <dgm:spPr/>
      <dgm:t>
        <a:bodyPr/>
        <a:lstStyle/>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ea typeface="+mn-ea"/>
              <a:cs typeface="Arial" panose="020B0604020202020204" pitchFamily="34" charset="0"/>
            </a:rPr>
            <a:t>Web-Based Real-Time Feedback</a:t>
          </a:r>
        </a:p>
      </dgm:t>
    </dgm:pt>
    <dgm:pt modelId="{519158DD-8FD7-4F42-909E-209DE329D4E2}" type="parTrans" cxnId="{1822B4E7-8E92-4BB5-BD20-771D15F828BC}">
      <dgm:prSet/>
      <dgm:spPr/>
      <dgm:t>
        <a:bodyPr/>
        <a:lstStyle/>
        <a:p>
          <a:endParaRPr lang="en-US" sz="1200">
            <a:effectLst/>
          </a:endParaRPr>
        </a:p>
      </dgm:t>
    </dgm:pt>
    <dgm:pt modelId="{FB302A87-5C18-4AA4-AAA0-6E1B6F020F4F}" type="sibTrans" cxnId="{1822B4E7-8E92-4BB5-BD20-771D15F828BC}">
      <dgm:prSet/>
      <dgm:spPr/>
      <dgm:t>
        <a:bodyPr/>
        <a:lstStyle/>
        <a:p>
          <a:endParaRPr lang="en-US" sz="1200">
            <a:effectLst/>
          </a:endParaRPr>
        </a:p>
      </dgm:t>
    </dgm:pt>
    <dgm:pt modelId="{D61336A3-08B7-47F9-AA7B-C26472669C9E}">
      <dgm:prSet phldrT="[Text]" custT="1"/>
      <dgm:spPr/>
      <dgm:t>
        <a:bodyPr/>
        <a:lstStyle/>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ea typeface="+mn-ea"/>
              <a:cs typeface="Arial" panose="020B0604020202020204" pitchFamily="34" charset="0"/>
            </a:rPr>
            <a:t>*In Home Display </a:t>
          </a:r>
          <a:br>
            <a:rPr lang="en-US" sz="1200" b="0" i="0" u="none" kern="1200" dirty="0">
              <a:effectLst/>
              <a:latin typeface="Arial" panose="020B0604020202020204" pitchFamily="34" charset="0"/>
              <a:ea typeface="+mn-ea"/>
              <a:cs typeface="Arial" panose="020B0604020202020204" pitchFamily="34" charset="0"/>
            </a:rPr>
          </a:br>
          <a:r>
            <a:rPr lang="en-US" sz="1200" b="0" i="0" u="none" kern="1200" dirty="0">
              <a:effectLst/>
              <a:latin typeface="Arial" panose="020B0604020202020204" pitchFamily="34" charset="0"/>
              <a:ea typeface="+mn-ea"/>
              <a:cs typeface="Arial" panose="020B0604020202020204" pitchFamily="34" charset="0"/>
            </a:rPr>
            <a:t>Real-Time Feedback</a:t>
          </a:r>
        </a:p>
      </dgm:t>
    </dgm:pt>
    <dgm:pt modelId="{70A4B408-1E68-4472-9F95-69AB96540B97}" type="parTrans" cxnId="{E4FFB68E-FD34-4408-AD4F-93649A475289}">
      <dgm:prSet/>
      <dgm:spPr/>
      <dgm:t>
        <a:bodyPr/>
        <a:lstStyle/>
        <a:p>
          <a:endParaRPr lang="en-US" sz="1200">
            <a:effectLst/>
          </a:endParaRPr>
        </a:p>
      </dgm:t>
    </dgm:pt>
    <dgm:pt modelId="{0A7B9A88-4A4C-4EBF-9D79-415D4063B950}" type="sibTrans" cxnId="{E4FFB68E-FD34-4408-AD4F-93649A475289}">
      <dgm:prSet/>
      <dgm:spPr/>
      <dgm:t>
        <a:bodyPr/>
        <a:lstStyle/>
        <a:p>
          <a:endParaRPr lang="en-US" sz="1200">
            <a:effectLst/>
          </a:endParaRPr>
        </a:p>
      </dgm:t>
    </dgm:pt>
    <dgm:pt modelId="{6FC95303-59F9-4E13-828E-3C33ECBDD74A}">
      <dgm:prSet phldrT="[Text]" custT="1"/>
      <dgm:spPr/>
      <dgm:t>
        <a:bodyPr/>
        <a:lstStyle/>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ea typeface="+mn-ea"/>
              <a:cs typeface="Arial" panose="020B0604020202020204" pitchFamily="34" charset="0"/>
            </a:rPr>
            <a:t>Small Residential Competitions</a:t>
          </a:r>
        </a:p>
      </dgm:t>
    </dgm:pt>
    <dgm:pt modelId="{077D3155-8B84-4353-8D1D-DBBF79B5F136}" type="parTrans" cxnId="{91BA617F-A9BA-4E3C-840D-F4B55BE5332B}">
      <dgm:prSet/>
      <dgm:spPr/>
      <dgm:t>
        <a:bodyPr/>
        <a:lstStyle/>
        <a:p>
          <a:endParaRPr lang="en-US" sz="1200">
            <a:effectLst/>
          </a:endParaRPr>
        </a:p>
      </dgm:t>
    </dgm:pt>
    <dgm:pt modelId="{228B6A20-35FE-4855-9BBA-513063584BAD}" type="sibTrans" cxnId="{91BA617F-A9BA-4E3C-840D-F4B55BE5332B}">
      <dgm:prSet/>
      <dgm:spPr/>
      <dgm:t>
        <a:bodyPr/>
        <a:lstStyle/>
        <a:p>
          <a:endParaRPr lang="en-US" sz="1200">
            <a:effectLst/>
          </a:endParaRPr>
        </a:p>
      </dgm:t>
    </dgm:pt>
    <dgm:pt modelId="{3C72E894-D8B4-4891-A4B3-3C7C4D75D0B1}">
      <dgm:prSet phldrT="[Text]" custT="1"/>
      <dgm:spPr/>
      <dgm:t>
        <a:bodyPr/>
        <a:lstStyle/>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ea typeface="+mn-ea"/>
              <a:cs typeface="Arial" panose="020B0604020202020204" pitchFamily="34" charset="0"/>
            </a:rPr>
            <a:t>Large Residential Competitions</a:t>
          </a:r>
        </a:p>
      </dgm:t>
    </dgm:pt>
    <dgm:pt modelId="{158F029B-3004-479B-8631-78709A78B517}" type="parTrans" cxnId="{02E43419-89D1-49D2-94AC-036C4B24404A}">
      <dgm:prSet/>
      <dgm:spPr/>
      <dgm:t>
        <a:bodyPr/>
        <a:lstStyle/>
        <a:p>
          <a:endParaRPr lang="en-US" sz="1200">
            <a:effectLst/>
          </a:endParaRPr>
        </a:p>
      </dgm:t>
    </dgm:pt>
    <dgm:pt modelId="{D4259DC4-3607-45A8-AC40-8B2249185663}" type="sibTrans" cxnId="{02E43419-89D1-49D2-94AC-036C4B24404A}">
      <dgm:prSet/>
      <dgm:spPr/>
      <dgm:t>
        <a:bodyPr/>
        <a:lstStyle/>
        <a:p>
          <a:endParaRPr lang="en-US" sz="1200">
            <a:effectLst/>
          </a:endParaRPr>
        </a:p>
      </dgm:t>
    </dgm:pt>
    <dgm:pt modelId="{C834922D-0535-4F69-9D98-35817F48BF2B}" type="pres">
      <dgm:prSet presAssocID="{0323B17A-1B97-4857-BA77-63171F3CBA7C}" presName="Name0" presStyleCnt="0">
        <dgm:presLayoutVars>
          <dgm:dir/>
          <dgm:animLvl val="lvl"/>
          <dgm:resizeHandles val="exact"/>
        </dgm:presLayoutVars>
      </dgm:prSet>
      <dgm:spPr/>
    </dgm:pt>
    <dgm:pt modelId="{2D780D10-913F-4957-9F5E-3AFD470FEE16}" type="pres">
      <dgm:prSet presAssocID="{3B649C3D-2C17-4017-9899-7FA1594CA1CC}" presName="compositeNode" presStyleCnt="0">
        <dgm:presLayoutVars>
          <dgm:bulletEnabled val="1"/>
        </dgm:presLayoutVars>
      </dgm:prSet>
      <dgm:spPr/>
    </dgm:pt>
    <dgm:pt modelId="{4395670E-8DBC-4395-BB38-EF659C71AA25}" type="pres">
      <dgm:prSet presAssocID="{3B649C3D-2C17-4017-9899-7FA1594CA1CC}" presName="bgRect" presStyleLbl="node1" presStyleIdx="0" presStyleCnt="2"/>
      <dgm:spPr/>
    </dgm:pt>
    <dgm:pt modelId="{F17FD801-69BD-4ECC-A36E-F28A3E8682E1}" type="pres">
      <dgm:prSet presAssocID="{3B649C3D-2C17-4017-9899-7FA1594CA1CC}" presName="parentNode" presStyleLbl="node1" presStyleIdx="0" presStyleCnt="2">
        <dgm:presLayoutVars>
          <dgm:chMax val="0"/>
          <dgm:bulletEnabled val="1"/>
        </dgm:presLayoutVars>
      </dgm:prSet>
      <dgm:spPr/>
    </dgm:pt>
    <dgm:pt modelId="{39BB9AB1-3A61-453F-B231-98D464FD5EDD}" type="pres">
      <dgm:prSet presAssocID="{3B649C3D-2C17-4017-9899-7FA1594CA1CC}" presName="childNode" presStyleLbl="node1" presStyleIdx="0" presStyleCnt="2">
        <dgm:presLayoutVars>
          <dgm:bulletEnabled val="1"/>
        </dgm:presLayoutVars>
      </dgm:prSet>
      <dgm:spPr/>
    </dgm:pt>
    <dgm:pt modelId="{CE007C6A-EDF0-4173-82C6-C4E84E2EB0E6}" type="pres">
      <dgm:prSet presAssocID="{D61F0250-9B52-43AD-85B7-702626558915}" presName="hSp" presStyleCnt="0"/>
      <dgm:spPr/>
    </dgm:pt>
    <dgm:pt modelId="{FEBA2D54-0B2F-4C00-BB25-EFDAEA79BFE0}" type="pres">
      <dgm:prSet presAssocID="{D61F0250-9B52-43AD-85B7-702626558915}" presName="vProcSp" presStyleCnt="0"/>
      <dgm:spPr/>
    </dgm:pt>
    <dgm:pt modelId="{928F13DC-9809-40AA-ACC7-73C721B8F493}" type="pres">
      <dgm:prSet presAssocID="{D61F0250-9B52-43AD-85B7-702626558915}" presName="vSp1" presStyleCnt="0"/>
      <dgm:spPr/>
    </dgm:pt>
    <dgm:pt modelId="{4CB86EB9-1637-413E-BFC7-7012CBD6C28D}" type="pres">
      <dgm:prSet presAssocID="{D61F0250-9B52-43AD-85B7-702626558915}" presName="simulatedConn" presStyleLbl="solidFgAcc1" presStyleIdx="0" presStyleCnt="1"/>
      <dgm:spPr/>
    </dgm:pt>
    <dgm:pt modelId="{263E0347-CB7F-4245-9358-3EF2622CF6FD}" type="pres">
      <dgm:prSet presAssocID="{D61F0250-9B52-43AD-85B7-702626558915}" presName="vSp2" presStyleCnt="0"/>
      <dgm:spPr/>
    </dgm:pt>
    <dgm:pt modelId="{09E04D2F-FF6D-4E9E-8267-B5ACA6BF9C4D}" type="pres">
      <dgm:prSet presAssocID="{D61F0250-9B52-43AD-85B7-702626558915}" presName="sibTrans" presStyleCnt="0"/>
      <dgm:spPr/>
    </dgm:pt>
    <dgm:pt modelId="{B61E5E0F-3CDD-4F0C-9900-633E2EF937F7}" type="pres">
      <dgm:prSet presAssocID="{C1B64A8C-1D2D-4580-9D8B-19859210B2C4}" presName="compositeNode" presStyleCnt="0">
        <dgm:presLayoutVars>
          <dgm:bulletEnabled val="1"/>
        </dgm:presLayoutVars>
      </dgm:prSet>
      <dgm:spPr/>
    </dgm:pt>
    <dgm:pt modelId="{2E3DDD08-58A3-4E25-B2DC-2F076F5980BB}" type="pres">
      <dgm:prSet presAssocID="{C1B64A8C-1D2D-4580-9D8B-19859210B2C4}" presName="bgRect" presStyleLbl="node1" presStyleIdx="1" presStyleCnt="2"/>
      <dgm:spPr/>
    </dgm:pt>
    <dgm:pt modelId="{8F066C72-3B40-46EC-88C9-DB2BDF678CB2}" type="pres">
      <dgm:prSet presAssocID="{C1B64A8C-1D2D-4580-9D8B-19859210B2C4}" presName="parentNode" presStyleLbl="node1" presStyleIdx="1" presStyleCnt="2">
        <dgm:presLayoutVars>
          <dgm:chMax val="0"/>
          <dgm:bulletEnabled val="1"/>
        </dgm:presLayoutVars>
      </dgm:prSet>
      <dgm:spPr/>
    </dgm:pt>
    <dgm:pt modelId="{A045B125-1AAC-4EBB-B444-999B4D9FD76C}" type="pres">
      <dgm:prSet presAssocID="{C1B64A8C-1D2D-4580-9D8B-19859210B2C4}" presName="childNode" presStyleLbl="node1" presStyleIdx="1" presStyleCnt="2">
        <dgm:presLayoutVars>
          <dgm:bulletEnabled val="1"/>
        </dgm:presLayoutVars>
      </dgm:prSet>
      <dgm:spPr/>
    </dgm:pt>
  </dgm:ptLst>
  <dgm:cxnLst>
    <dgm:cxn modelId="{24221208-2D9D-49DA-AFA5-20B5252A76B3}" type="presOf" srcId="{0570B450-15C8-43CF-9328-0E49EFFAD4BC}" destId="{39BB9AB1-3A61-453F-B231-98D464FD5EDD}" srcOrd="0" destOrd="5" presId="urn:microsoft.com/office/officeart/2005/8/layout/hProcess7"/>
    <dgm:cxn modelId="{EC11CC09-17B2-444D-90F4-9B6D2618F246}" srcId="{3B649C3D-2C17-4017-9899-7FA1594CA1CC}" destId="{0570B450-15C8-43CF-9328-0E49EFFAD4BC}" srcOrd="5" destOrd="0" parTransId="{1A30E1A1-289F-43E0-B05F-DDC6C75B9D18}" sibTransId="{33118019-85E5-44A6-89A9-67E5AAA25383}"/>
    <dgm:cxn modelId="{02E43419-89D1-49D2-94AC-036C4B24404A}" srcId="{C1B64A8C-1D2D-4580-9D8B-19859210B2C4}" destId="{3C72E894-D8B4-4891-A4B3-3C7C4D75D0B1}" srcOrd="4" destOrd="0" parTransId="{158F029B-3004-479B-8631-78709A78B517}" sibTransId="{D4259DC4-3607-45A8-AC40-8B2249185663}"/>
    <dgm:cxn modelId="{37A25221-1662-4269-9C94-2B323452FB20}" srcId="{C1B64A8C-1D2D-4580-9D8B-19859210B2C4}" destId="{F6AB8458-BE0B-4378-BAB3-05B04341E319}" srcOrd="0" destOrd="0" parTransId="{7E93F9AA-05AA-4F23-9A83-BBD05EB3A731}" sibTransId="{8965968E-9048-4C74-8BCF-024CB9B5ADE2}"/>
    <dgm:cxn modelId="{7ED1C928-6181-4749-B97D-CA3857DEB1E8}" type="presOf" srcId="{E6177255-E85B-4C14-BFB4-7E1FB88E45AC}" destId="{39BB9AB1-3A61-453F-B231-98D464FD5EDD}" srcOrd="0" destOrd="3" presId="urn:microsoft.com/office/officeart/2005/8/layout/hProcess7"/>
    <dgm:cxn modelId="{A0F3BE35-75CA-48F8-BDAF-49C98CC0D54C}" type="presOf" srcId="{0323B17A-1B97-4857-BA77-63171F3CBA7C}" destId="{C834922D-0535-4F69-9D98-35817F48BF2B}" srcOrd="0" destOrd="0" presId="urn:microsoft.com/office/officeart/2005/8/layout/hProcess7"/>
    <dgm:cxn modelId="{F3FDCF3C-293D-487E-AF27-A046C8EC6ABA}" type="presOf" srcId="{D4B8BDEA-3E96-4508-A989-896B3F462971}" destId="{39BB9AB1-3A61-453F-B231-98D464FD5EDD}" srcOrd="0" destOrd="1" presId="urn:microsoft.com/office/officeart/2005/8/layout/hProcess7"/>
    <dgm:cxn modelId="{31D53340-D624-4FC4-B549-4CC235AEE1BA}" type="presOf" srcId="{3C72E894-D8B4-4891-A4B3-3C7C4D75D0B1}" destId="{A045B125-1AAC-4EBB-B444-999B4D9FD76C}" srcOrd="0" destOrd="4" presId="urn:microsoft.com/office/officeart/2005/8/layout/hProcess7"/>
    <dgm:cxn modelId="{D237A546-35DE-4B25-8730-00E7468FBED8}" type="presOf" srcId="{F6AB8458-BE0B-4378-BAB3-05B04341E319}" destId="{A045B125-1AAC-4EBB-B444-999B4D9FD76C}" srcOrd="0" destOrd="0" presId="urn:microsoft.com/office/officeart/2005/8/layout/hProcess7"/>
    <dgm:cxn modelId="{96018F68-E5A8-46EE-977E-D436A03647AA}" srcId="{0323B17A-1B97-4857-BA77-63171F3CBA7C}" destId="{C1B64A8C-1D2D-4580-9D8B-19859210B2C4}" srcOrd="1" destOrd="0" parTransId="{4B29DD7A-8BEB-4F9D-851F-BA243064BDF8}" sibTransId="{8A7A2A5F-E925-4132-A4D1-1891932FFC2B}"/>
    <dgm:cxn modelId="{DDF15C49-59E3-4A32-9A51-394067522BDC}" srcId="{3B649C3D-2C17-4017-9899-7FA1594CA1CC}" destId="{245F0654-5ADE-49E1-92BE-75ADA5B5D4B8}" srcOrd="4" destOrd="0" parTransId="{EC11A982-4586-40BB-B845-39546A7272F5}" sibTransId="{C7FC9387-D108-458F-AD9E-C6F8CF988E4B}"/>
    <dgm:cxn modelId="{AECB5569-869B-4BA2-B848-F2CDE8912677}" type="presOf" srcId="{3B649C3D-2C17-4017-9899-7FA1594CA1CC}" destId="{4395670E-8DBC-4395-BB38-EF659C71AA25}" srcOrd="0" destOrd="0" presId="urn:microsoft.com/office/officeart/2005/8/layout/hProcess7"/>
    <dgm:cxn modelId="{90030A6C-152B-4689-B29D-F2846A1BFF87}" type="presOf" srcId="{C1B64A8C-1D2D-4580-9D8B-19859210B2C4}" destId="{8F066C72-3B40-46EC-88C9-DB2BDF678CB2}" srcOrd="1" destOrd="0" presId="urn:microsoft.com/office/officeart/2005/8/layout/hProcess7"/>
    <dgm:cxn modelId="{DEE4496D-E7E3-475D-8A17-839FF71CA978}" srcId="{3B649C3D-2C17-4017-9899-7FA1594CA1CC}" destId="{D4B8BDEA-3E96-4508-A989-896B3F462971}" srcOrd="1" destOrd="0" parTransId="{A6B821F2-519B-4B74-9B38-AAD5057D7267}" sibTransId="{20393421-E099-431E-B647-A0DD1B269D32}"/>
    <dgm:cxn modelId="{35D57550-1336-4B52-992C-B218597B9F0D}" srcId="{3B649C3D-2C17-4017-9899-7FA1594CA1CC}" destId="{C17D4567-5E5B-4B14-8B12-E5707FE8935A}" srcOrd="0" destOrd="0" parTransId="{A9FC905F-0DF0-4356-9D8A-C83C00D60F36}" sibTransId="{E9D5FDF1-B8E4-450A-A1A9-2D5D357CC97A}"/>
    <dgm:cxn modelId="{CB2A3A7E-B964-434E-B6A8-C9A9EA12E691}" type="presOf" srcId="{6FC95303-59F9-4E13-828E-3C33ECBDD74A}" destId="{A045B125-1AAC-4EBB-B444-999B4D9FD76C}" srcOrd="0" destOrd="3" presId="urn:microsoft.com/office/officeart/2005/8/layout/hProcess7"/>
    <dgm:cxn modelId="{91BA617F-A9BA-4E3C-840D-F4B55BE5332B}" srcId="{C1B64A8C-1D2D-4580-9D8B-19859210B2C4}" destId="{6FC95303-59F9-4E13-828E-3C33ECBDD74A}" srcOrd="3" destOrd="0" parTransId="{077D3155-8B84-4353-8D1D-DBBF79B5F136}" sibTransId="{228B6A20-35FE-4855-9BBA-513063584BAD}"/>
    <dgm:cxn modelId="{0A0BF386-D9F8-4C27-8821-15FCBA36C672}" srcId="{3B649C3D-2C17-4017-9899-7FA1594CA1CC}" destId="{3A53E6A4-233A-4633-BAB1-A01557C1CACC}" srcOrd="7" destOrd="0" parTransId="{89CA76AD-0452-48E1-AAB3-6D92FADB8EAB}" sibTransId="{4ACFF82A-FCD2-4C70-AADD-E831564CC232}"/>
    <dgm:cxn modelId="{E4FFB68E-FD34-4408-AD4F-93649A475289}" srcId="{C1B64A8C-1D2D-4580-9D8B-19859210B2C4}" destId="{D61336A3-08B7-47F9-AA7B-C26472669C9E}" srcOrd="2" destOrd="0" parTransId="{70A4B408-1E68-4472-9F95-69AB96540B97}" sibTransId="{0A7B9A88-4A4C-4EBF-9D79-415D4063B950}"/>
    <dgm:cxn modelId="{8AFF06A2-DC0F-48FC-9C98-E1BCB1B7719F}" type="presOf" srcId="{245F0654-5ADE-49E1-92BE-75ADA5B5D4B8}" destId="{39BB9AB1-3A61-453F-B231-98D464FD5EDD}" srcOrd="0" destOrd="4" presId="urn:microsoft.com/office/officeart/2005/8/layout/hProcess7"/>
    <dgm:cxn modelId="{0DCC5AAA-6D17-45E1-8EDD-EE70EA40B681}" type="presOf" srcId="{141009FD-D769-4B1E-8D84-FEA46786A28F}" destId="{A045B125-1AAC-4EBB-B444-999B4D9FD76C}" srcOrd="0" destOrd="1" presId="urn:microsoft.com/office/officeart/2005/8/layout/hProcess7"/>
    <dgm:cxn modelId="{ABFEC8AA-D4C6-408A-84EA-521D0060EA63}" type="presOf" srcId="{C1B64A8C-1D2D-4580-9D8B-19859210B2C4}" destId="{2E3DDD08-58A3-4E25-B2DC-2F076F5980BB}" srcOrd="0" destOrd="0" presId="urn:microsoft.com/office/officeart/2005/8/layout/hProcess7"/>
    <dgm:cxn modelId="{7137BBAD-1C5F-4A76-94ED-FEAF88E01F07}" type="presOf" srcId="{8C9C0E58-8E43-4408-AB40-18AEC5BEF49C}" destId="{39BB9AB1-3A61-453F-B231-98D464FD5EDD}" srcOrd="0" destOrd="6" presId="urn:microsoft.com/office/officeart/2005/8/layout/hProcess7"/>
    <dgm:cxn modelId="{7AC0CAAF-A781-4295-85EF-07A301AD4013}" type="presOf" srcId="{3B649C3D-2C17-4017-9899-7FA1594CA1CC}" destId="{F17FD801-69BD-4ECC-A36E-F28A3E8682E1}" srcOrd="1" destOrd="0" presId="urn:microsoft.com/office/officeart/2005/8/layout/hProcess7"/>
    <dgm:cxn modelId="{DC904ACB-980D-431E-B685-4427904D320D}" srcId="{3B649C3D-2C17-4017-9899-7FA1594CA1CC}" destId="{7CFF9BD8-6BC6-43BF-B637-2FAEBCD951B0}" srcOrd="2" destOrd="0" parTransId="{E5B69FBC-4387-4020-AF71-B290CAA46515}" sibTransId="{F8DBF108-5E05-44E0-AE8D-FB7CF2D23251}"/>
    <dgm:cxn modelId="{B557E6D8-AC91-4366-A68B-2D9FEB6C5703}" srcId="{3B649C3D-2C17-4017-9899-7FA1594CA1CC}" destId="{8C9C0E58-8E43-4408-AB40-18AEC5BEF49C}" srcOrd="6" destOrd="0" parTransId="{70F31B2C-7273-4319-8A12-7C4861A216A1}" sibTransId="{6DA3C80E-7A8C-4935-A058-D0F451587612}"/>
    <dgm:cxn modelId="{DB5260DB-50AC-4BA6-ACC9-424AE2E5E823}" srcId="{0323B17A-1B97-4857-BA77-63171F3CBA7C}" destId="{3B649C3D-2C17-4017-9899-7FA1594CA1CC}" srcOrd="0" destOrd="0" parTransId="{1C566021-B9B2-4025-A47A-82E19134D0F2}" sibTransId="{D61F0250-9B52-43AD-85B7-702626558915}"/>
    <dgm:cxn modelId="{92CAC7DC-4F6F-49D6-B6CA-575BFF4AF01F}" srcId="{3B649C3D-2C17-4017-9899-7FA1594CA1CC}" destId="{E6177255-E85B-4C14-BFB4-7E1FB88E45AC}" srcOrd="3" destOrd="0" parTransId="{CD9AEA71-7182-4979-8007-C70484296D62}" sibTransId="{73A3FA1C-A9C6-4EF0-9114-650EC3651EFB}"/>
    <dgm:cxn modelId="{CA19DCE5-41D6-44C6-AA5F-38A468A8B2A8}" type="presOf" srcId="{D61336A3-08B7-47F9-AA7B-C26472669C9E}" destId="{A045B125-1AAC-4EBB-B444-999B4D9FD76C}" srcOrd="0" destOrd="2" presId="urn:microsoft.com/office/officeart/2005/8/layout/hProcess7"/>
    <dgm:cxn modelId="{1822B4E7-8E92-4BB5-BD20-771D15F828BC}" srcId="{C1B64A8C-1D2D-4580-9D8B-19859210B2C4}" destId="{141009FD-D769-4B1E-8D84-FEA46786A28F}" srcOrd="1" destOrd="0" parTransId="{519158DD-8FD7-4F42-909E-209DE329D4E2}" sibTransId="{FB302A87-5C18-4AA4-AAA0-6E1B6F020F4F}"/>
    <dgm:cxn modelId="{51EE58F9-15E8-4241-9C0D-039EC02E1F5E}" type="presOf" srcId="{7CFF9BD8-6BC6-43BF-B637-2FAEBCD951B0}" destId="{39BB9AB1-3A61-453F-B231-98D464FD5EDD}" srcOrd="0" destOrd="2" presId="urn:microsoft.com/office/officeart/2005/8/layout/hProcess7"/>
    <dgm:cxn modelId="{DD03B4FA-DCB9-4F20-BD7D-E4C6EBC0436F}" type="presOf" srcId="{C17D4567-5E5B-4B14-8B12-E5707FE8935A}" destId="{39BB9AB1-3A61-453F-B231-98D464FD5EDD}" srcOrd="0" destOrd="0" presId="urn:microsoft.com/office/officeart/2005/8/layout/hProcess7"/>
    <dgm:cxn modelId="{CE9D40FD-3F40-4C30-9CC8-D0760C04F6B2}" type="presOf" srcId="{3A53E6A4-233A-4633-BAB1-A01557C1CACC}" destId="{39BB9AB1-3A61-453F-B231-98D464FD5EDD}" srcOrd="0" destOrd="7" presId="urn:microsoft.com/office/officeart/2005/8/layout/hProcess7"/>
    <dgm:cxn modelId="{781B1840-509C-4BEC-BD69-546E013F3A29}" type="presParOf" srcId="{C834922D-0535-4F69-9D98-35817F48BF2B}" destId="{2D780D10-913F-4957-9F5E-3AFD470FEE16}" srcOrd="0" destOrd="0" presId="urn:microsoft.com/office/officeart/2005/8/layout/hProcess7"/>
    <dgm:cxn modelId="{FD4A4247-B717-4400-B704-E3EA8347591C}" type="presParOf" srcId="{2D780D10-913F-4957-9F5E-3AFD470FEE16}" destId="{4395670E-8DBC-4395-BB38-EF659C71AA25}" srcOrd="0" destOrd="0" presId="urn:microsoft.com/office/officeart/2005/8/layout/hProcess7"/>
    <dgm:cxn modelId="{2ACC0D41-23A0-4827-BC60-1E249BA90287}" type="presParOf" srcId="{2D780D10-913F-4957-9F5E-3AFD470FEE16}" destId="{F17FD801-69BD-4ECC-A36E-F28A3E8682E1}" srcOrd="1" destOrd="0" presId="urn:microsoft.com/office/officeart/2005/8/layout/hProcess7"/>
    <dgm:cxn modelId="{9EE36CFA-4569-4B1F-97AB-08BA436A9821}" type="presParOf" srcId="{2D780D10-913F-4957-9F5E-3AFD470FEE16}" destId="{39BB9AB1-3A61-453F-B231-98D464FD5EDD}" srcOrd="2" destOrd="0" presId="urn:microsoft.com/office/officeart/2005/8/layout/hProcess7"/>
    <dgm:cxn modelId="{3916D2DD-08CE-4748-807E-3FF88A744D5D}" type="presParOf" srcId="{C834922D-0535-4F69-9D98-35817F48BF2B}" destId="{CE007C6A-EDF0-4173-82C6-C4E84E2EB0E6}" srcOrd="1" destOrd="0" presId="urn:microsoft.com/office/officeart/2005/8/layout/hProcess7"/>
    <dgm:cxn modelId="{900F62CB-4E3A-44F2-92AD-E7E9085127A0}" type="presParOf" srcId="{C834922D-0535-4F69-9D98-35817F48BF2B}" destId="{FEBA2D54-0B2F-4C00-BB25-EFDAEA79BFE0}" srcOrd="2" destOrd="0" presId="urn:microsoft.com/office/officeart/2005/8/layout/hProcess7"/>
    <dgm:cxn modelId="{9FE22214-B752-4A8D-AAB4-1063C2648F2C}" type="presParOf" srcId="{FEBA2D54-0B2F-4C00-BB25-EFDAEA79BFE0}" destId="{928F13DC-9809-40AA-ACC7-73C721B8F493}" srcOrd="0" destOrd="0" presId="urn:microsoft.com/office/officeart/2005/8/layout/hProcess7"/>
    <dgm:cxn modelId="{73B1A5F3-4506-457B-8418-AB8A5BD6A376}" type="presParOf" srcId="{FEBA2D54-0B2F-4C00-BB25-EFDAEA79BFE0}" destId="{4CB86EB9-1637-413E-BFC7-7012CBD6C28D}" srcOrd="1" destOrd="0" presId="urn:microsoft.com/office/officeart/2005/8/layout/hProcess7"/>
    <dgm:cxn modelId="{E865FF0F-9BEF-433F-B2F9-0D6E9E170DFE}" type="presParOf" srcId="{FEBA2D54-0B2F-4C00-BB25-EFDAEA79BFE0}" destId="{263E0347-CB7F-4245-9358-3EF2622CF6FD}" srcOrd="2" destOrd="0" presId="urn:microsoft.com/office/officeart/2005/8/layout/hProcess7"/>
    <dgm:cxn modelId="{7D5B651C-694C-4013-B9D1-40B9B250E27B}" type="presParOf" srcId="{C834922D-0535-4F69-9D98-35817F48BF2B}" destId="{09E04D2F-FF6D-4E9E-8267-B5ACA6BF9C4D}" srcOrd="3" destOrd="0" presId="urn:microsoft.com/office/officeart/2005/8/layout/hProcess7"/>
    <dgm:cxn modelId="{E330CB8E-6DAA-4FF1-A8B3-EE9125D76C0B}" type="presParOf" srcId="{C834922D-0535-4F69-9D98-35817F48BF2B}" destId="{B61E5E0F-3CDD-4F0C-9900-633E2EF937F7}" srcOrd="4" destOrd="0" presId="urn:microsoft.com/office/officeart/2005/8/layout/hProcess7"/>
    <dgm:cxn modelId="{42FFF34D-2373-463F-B49C-976C83D7E6DF}" type="presParOf" srcId="{B61E5E0F-3CDD-4F0C-9900-633E2EF937F7}" destId="{2E3DDD08-58A3-4E25-B2DC-2F076F5980BB}" srcOrd="0" destOrd="0" presId="urn:microsoft.com/office/officeart/2005/8/layout/hProcess7"/>
    <dgm:cxn modelId="{83381FFF-A01F-4ED1-AB13-D7670A67EA46}" type="presParOf" srcId="{B61E5E0F-3CDD-4F0C-9900-633E2EF937F7}" destId="{8F066C72-3B40-46EC-88C9-DB2BDF678CB2}" srcOrd="1" destOrd="0" presId="urn:microsoft.com/office/officeart/2005/8/layout/hProcess7"/>
    <dgm:cxn modelId="{D1DB7F12-0EDF-47DD-A2A1-2DAE9F7C0462}" type="presParOf" srcId="{B61E5E0F-3CDD-4F0C-9900-633E2EF937F7}" destId="{A045B125-1AAC-4EBB-B444-999B4D9FD76C}" srcOrd="2" destOrd="0" presId="urn:microsoft.com/office/officeart/2005/8/layout/hProcess7"/>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23B17A-1B97-4857-BA77-63171F3CBA7C}" type="doc">
      <dgm:prSet loTypeId="urn:microsoft.com/office/officeart/2005/8/layout/hProcess7" loCatId="process" qsTypeId="urn:microsoft.com/office/officeart/2005/8/quickstyle/simple1" qsCatId="simple" csTypeId="urn:microsoft.com/office/officeart/2005/8/colors/accent1_1" csCatId="accent1" phldr="1"/>
      <dgm:spPr/>
      <dgm:t>
        <a:bodyPr/>
        <a:lstStyle/>
        <a:p>
          <a:endParaRPr lang="en-US"/>
        </a:p>
      </dgm:t>
    </dgm:pt>
    <dgm:pt modelId="{3B649C3D-2C17-4017-9899-7FA1594CA1CC}">
      <dgm:prSet phldrT="[Text]" custT="1"/>
      <dgm:spPr/>
      <dgm:t>
        <a:bodyPr/>
        <a:lstStyle/>
        <a:p>
          <a:r>
            <a:rPr lang="en-US" sz="1800" b="0" dirty="0">
              <a:ln/>
              <a:effectLst/>
              <a:latin typeface="Arial" panose="020B0604020202020204" pitchFamily="34" charset="0"/>
              <a:cs typeface="Arial" panose="020B0604020202020204" pitchFamily="34" charset="0"/>
            </a:rPr>
            <a:t>DAWG Meeting</a:t>
          </a:r>
        </a:p>
      </dgm:t>
    </dgm:pt>
    <dgm:pt modelId="{1C566021-B9B2-4025-A47A-82E19134D0F2}" type="parTrans" cxnId="{DB5260DB-50AC-4BA6-ACC9-424AE2E5E823}">
      <dgm:prSet/>
      <dgm:spPr/>
      <dgm:t>
        <a:bodyPr/>
        <a:lstStyle/>
        <a:p>
          <a:endParaRPr lang="en-US" sz="1200" b="0">
            <a:ln>
              <a:noFill/>
            </a:ln>
            <a:effectLst/>
          </a:endParaRPr>
        </a:p>
      </dgm:t>
    </dgm:pt>
    <dgm:pt modelId="{D61F0250-9B52-43AD-85B7-702626558915}" type="sibTrans" cxnId="{DB5260DB-50AC-4BA6-ACC9-424AE2E5E823}">
      <dgm:prSet/>
      <dgm:spPr/>
      <dgm:t>
        <a:bodyPr/>
        <a:lstStyle/>
        <a:p>
          <a:endParaRPr lang="en-US" sz="1200" b="0">
            <a:ln>
              <a:noFill/>
            </a:ln>
            <a:effectLst/>
          </a:endParaRPr>
        </a:p>
      </dgm:t>
    </dgm:pt>
    <dgm:pt modelId="{C1B64A8C-1D2D-4580-9D8B-19859210B2C4}">
      <dgm:prSet phldrT="[Text]" custT="1"/>
      <dgm:spPr/>
      <dgm:t>
        <a:bodyPr/>
        <a:lstStyle/>
        <a:p>
          <a:r>
            <a:rPr lang="en-US" sz="1800" b="0" dirty="0">
              <a:ln/>
              <a:effectLst/>
              <a:latin typeface="Arial" panose="020B0604020202020204" pitchFamily="34" charset="0"/>
              <a:cs typeface="Arial" panose="020B0604020202020204" pitchFamily="34" charset="0"/>
            </a:rPr>
            <a:t>Final Model</a:t>
          </a:r>
        </a:p>
      </dgm:t>
    </dgm:pt>
    <dgm:pt modelId="{4B29DD7A-8BEB-4F9D-851F-BA243064BDF8}" type="parTrans" cxnId="{96018F68-E5A8-46EE-977E-D436A03647AA}">
      <dgm:prSet/>
      <dgm:spPr/>
      <dgm:t>
        <a:bodyPr/>
        <a:lstStyle/>
        <a:p>
          <a:endParaRPr lang="en-US" sz="1200" b="0">
            <a:ln>
              <a:noFill/>
            </a:ln>
            <a:effectLst/>
          </a:endParaRPr>
        </a:p>
      </dgm:t>
    </dgm:pt>
    <dgm:pt modelId="{8A7A2A5F-E925-4132-A4D1-1891932FFC2B}" type="sibTrans" cxnId="{96018F68-E5A8-46EE-977E-D436A03647AA}">
      <dgm:prSet/>
      <dgm:spPr/>
      <dgm:t>
        <a:bodyPr/>
        <a:lstStyle/>
        <a:p>
          <a:endParaRPr lang="en-US" sz="1200" b="0">
            <a:ln>
              <a:noFill/>
            </a:ln>
            <a:effectLst/>
          </a:endParaRPr>
        </a:p>
      </dgm:t>
    </dgm:pt>
    <dgm:pt modelId="{F6AB8458-BE0B-4378-BAB3-05B04341E319}">
      <dgm:prSet phldrT="[Text]" custT="1"/>
      <dgm:spPr/>
      <dgm:t>
        <a:bodyPr/>
        <a:lstStyle/>
        <a:p>
          <a:pPr marL="0" marR="0" lvl="0" indent="0" defTabSz="914400" eaLnBrk="1" fontAlgn="auto" latinLnBrk="0" hangingPunct="1">
            <a:lnSpc>
              <a:spcPct val="100000"/>
            </a:lnSpc>
            <a:spcBef>
              <a:spcPts val="0"/>
            </a:spcBef>
            <a:spcAft>
              <a:spcPts val="600"/>
            </a:spcAft>
            <a:buClrTx/>
            <a:buSzTx/>
            <a:buFontTx/>
            <a:buNone/>
            <a:tabLst/>
            <a:defRPr/>
          </a:pPr>
          <a:r>
            <a:rPr lang="en-US" sz="1200" b="0" dirty="0">
              <a:ln/>
              <a:effectLst/>
              <a:latin typeface="Arial" panose="020B0604020202020204" pitchFamily="34" charset="0"/>
              <a:cs typeface="Arial" panose="020B0604020202020204" pitchFamily="34" charset="0"/>
            </a:rPr>
            <a:t>Building Operator Certification</a:t>
          </a:r>
        </a:p>
        <a:p>
          <a:pPr marL="0" marR="0" lvl="0" indent="0" defTabSz="933450" eaLnBrk="1" fontAlgn="auto" latinLnBrk="0" hangingPunct="1">
            <a:lnSpc>
              <a:spcPct val="100000"/>
            </a:lnSpc>
            <a:spcBef>
              <a:spcPct val="0"/>
            </a:spcBef>
            <a:spcAft>
              <a:spcPts val="600"/>
            </a:spcAft>
            <a:buClrTx/>
            <a:buSzTx/>
            <a:buFontTx/>
            <a:buNone/>
            <a:tabLst/>
            <a:defRPr/>
          </a:pPr>
          <a:r>
            <a:rPr lang="en-US" sz="1200" b="0" dirty="0">
              <a:ln/>
              <a:effectLst/>
              <a:latin typeface="Arial" panose="020B0604020202020204" pitchFamily="34" charset="0"/>
              <a:cs typeface="Arial" panose="020B0604020202020204" pitchFamily="34" charset="0"/>
            </a:rPr>
            <a:t>*Business Energy Reports</a:t>
          </a:r>
        </a:p>
        <a:p>
          <a:pPr marL="0" marR="0" lvl="0" indent="0" defTabSz="933450" eaLnBrk="1" fontAlgn="auto" latinLnBrk="0" hangingPunct="1">
            <a:lnSpc>
              <a:spcPct val="100000"/>
            </a:lnSpc>
            <a:spcBef>
              <a:spcPct val="0"/>
            </a:spcBef>
            <a:spcAft>
              <a:spcPts val="600"/>
            </a:spcAft>
            <a:buClrTx/>
            <a:buSzTx/>
            <a:buFontTx/>
            <a:buNone/>
            <a:tabLst/>
            <a:defRPr/>
          </a:pPr>
          <a:r>
            <a:rPr lang="en-US" sz="1200" b="0" dirty="0">
              <a:ln/>
              <a:effectLst/>
              <a:latin typeface="Arial" panose="020B0604020202020204" pitchFamily="34" charset="0"/>
              <a:cs typeface="Arial" panose="020B0604020202020204" pitchFamily="34" charset="0"/>
            </a:rPr>
            <a:t>BEIMS</a:t>
          </a:r>
        </a:p>
        <a:p>
          <a:pPr marL="0" marR="0" lvl="0" indent="0" defTabSz="933450" eaLnBrk="1" fontAlgn="auto" latinLnBrk="0" hangingPunct="1">
            <a:lnSpc>
              <a:spcPct val="100000"/>
            </a:lnSpc>
            <a:spcBef>
              <a:spcPct val="0"/>
            </a:spcBef>
            <a:spcAft>
              <a:spcPts val="600"/>
            </a:spcAft>
            <a:buClrTx/>
            <a:buSzTx/>
            <a:buFontTx/>
            <a:buNone/>
            <a:tabLst/>
            <a:defRPr/>
          </a:pPr>
          <a:r>
            <a:rPr lang="en-US" sz="1200" b="0" dirty="0">
              <a:ln/>
              <a:effectLst/>
              <a:latin typeface="Arial" panose="020B0604020202020204" pitchFamily="34" charset="0"/>
              <a:cs typeface="Arial" panose="020B0604020202020204" pitchFamily="34" charset="0"/>
            </a:rPr>
            <a:t>Commercial Competitions</a:t>
          </a:r>
        </a:p>
        <a:p>
          <a:pPr marL="0" marR="0" lvl="0" indent="0" defTabSz="933450" eaLnBrk="1" fontAlgn="auto" latinLnBrk="0" hangingPunct="1">
            <a:lnSpc>
              <a:spcPct val="100000"/>
            </a:lnSpc>
            <a:spcBef>
              <a:spcPct val="0"/>
            </a:spcBef>
            <a:spcAft>
              <a:spcPts val="600"/>
            </a:spcAft>
            <a:buClrTx/>
            <a:buSzTx/>
            <a:buFontTx/>
            <a:buNone/>
            <a:tabLst/>
            <a:defRPr/>
          </a:pPr>
          <a:r>
            <a:rPr lang="en-US" sz="1200" b="0" dirty="0">
              <a:ln/>
              <a:effectLst/>
              <a:latin typeface="Arial" panose="020B0604020202020204" pitchFamily="34" charset="0"/>
              <a:cs typeface="Arial" panose="020B0604020202020204" pitchFamily="34" charset="0"/>
            </a:rPr>
            <a:t>Strategic Energy Management (including Industrial sector)</a:t>
          </a:r>
        </a:p>
      </dgm:t>
    </dgm:pt>
    <dgm:pt modelId="{7E93F9AA-05AA-4F23-9A83-BBD05EB3A731}" type="parTrans" cxnId="{37A25221-1662-4269-9C94-2B323452FB20}">
      <dgm:prSet/>
      <dgm:spPr/>
      <dgm:t>
        <a:bodyPr/>
        <a:lstStyle/>
        <a:p>
          <a:endParaRPr lang="en-US" sz="1200" b="0">
            <a:ln>
              <a:noFill/>
            </a:ln>
            <a:effectLst/>
          </a:endParaRPr>
        </a:p>
      </dgm:t>
    </dgm:pt>
    <dgm:pt modelId="{8965968E-9048-4C74-8BCF-024CB9B5ADE2}" type="sibTrans" cxnId="{37A25221-1662-4269-9C94-2B323452FB20}">
      <dgm:prSet/>
      <dgm:spPr/>
      <dgm:t>
        <a:bodyPr/>
        <a:lstStyle/>
        <a:p>
          <a:endParaRPr lang="en-US" sz="1200" b="0">
            <a:ln>
              <a:noFill/>
            </a:ln>
            <a:effectLst/>
          </a:endParaRPr>
        </a:p>
      </dgm:t>
    </dgm:pt>
    <dgm:pt modelId="{0387CCBA-3A1D-4216-BD43-18A58A906ED3}">
      <dgm:prSet phldrT="[Text]" custT="1"/>
      <dgm:spPr/>
      <dgm:t>
        <a:bodyPr/>
        <a:lstStyle/>
        <a:p>
          <a:r>
            <a:rPr lang="en-US" sz="1200" b="0" i="0" u="none" dirty="0">
              <a:ln/>
              <a:effectLst/>
              <a:latin typeface="Arial" panose="020B0604020202020204" pitchFamily="34" charset="0"/>
              <a:cs typeface="Arial" panose="020B0604020202020204" pitchFamily="34" charset="0"/>
            </a:rPr>
            <a:t>Audits</a:t>
          </a:r>
          <a:endParaRPr lang="en-US" sz="1200" b="0" dirty="0">
            <a:ln/>
            <a:effectLst/>
            <a:latin typeface="Arial" panose="020B0604020202020204" pitchFamily="34" charset="0"/>
            <a:cs typeface="Arial" panose="020B0604020202020204" pitchFamily="34" charset="0"/>
          </a:endParaRPr>
        </a:p>
      </dgm:t>
    </dgm:pt>
    <dgm:pt modelId="{2EE8FB44-C373-45CA-B010-A63690B0123B}" type="parTrans" cxnId="{232F940C-DB7C-4942-897B-47A264837D57}">
      <dgm:prSet/>
      <dgm:spPr/>
      <dgm:t>
        <a:bodyPr/>
        <a:lstStyle/>
        <a:p>
          <a:endParaRPr lang="en-US" sz="1200" b="0">
            <a:ln>
              <a:noFill/>
            </a:ln>
            <a:effectLst/>
          </a:endParaRPr>
        </a:p>
      </dgm:t>
    </dgm:pt>
    <dgm:pt modelId="{1EAF7054-A6D7-4617-A4B2-4C22991996B9}" type="sibTrans" cxnId="{232F940C-DB7C-4942-897B-47A264837D57}">
      <dgm:prSet/>
      <dgm:spPr/>
      <dgm:t>
        <a:bodyPr/>
        <a:lstStyle/>
        <a:p>
          <a:endParaRPr lang="en-US" sz="1200" b="0">
            <a:ln>
              <a:noFill/>
            </a:ln>
            <a:effectLst/>
          </a:endParaRPr>
        </a:p>
      </dgm:t>
    </dgm:pt>
    <dgm:pt modelId="{7F7C532D-D610-48D7-9FD7-146F089F5FB2}">
      <dgm:prSet custT="1"/>
      <dgm:spPr/>
      <dgm:t>
        <a:bodyPr/>
        <a:lstStyle/>
        <a:p>
          <a:r>
            <a:rPr lang="en-US" sz="1200" b="0" i="0" u="none" dirty="0">
              <a:ln/>
              <a:effectLst/>
              <a:latin typeface="Arial" panose="020B0604020202020204" pitchFamily="34" charset="0"/>
              <a:cs typeface="Arial" panose="020B0604020202020204" pitchFamily="34" charset="0"/>
            </a:rPr>
            <a:t>Building Operator Training</a:t>
          </a:r>
        </a:p>
      </dgm:t>
    </dgm:pt>
    <dgm:pt modelId="{A2C46738-D42E-46E9-9137-38CC1720BE7B}" type="parTrans" cxnId="{82EBAEFD-393A-43BD-875F-12CB54CDCF19}">
      <dgm:prSet/>
      <dgm:spPr/>
      <dgm:t>
        <a:bodyPr/>
        <a:lstStyle/>
        <a:p>
          <a:endParaRPr lang="en-US" sz="1200" b="0">
            <a:ln>
              <a:noFill/>
            </a:ln>
            <a:effectLst/>
          </a:endParaRPr>
        </a:p>
      </dgm:t>
    </dgm:pt>
    <dgm:pt modelId="{E844708F-26E4-4261-989C-9B8A3D2E6EA6}" type="sibTrans" cxnId="{82EBAEFD-393A-43BD-875F-12CB54CDCF19}">
      <dgm:prSet/>
      <dgm:spPr/>
      <dgm:t>
        <a:bodyPr/>
        <a:lstStyle/>
        <a:p>
          <a:endParaRPr lang="en-US" sz="1200" b="0">
            <a:ln>
              <a:noFill/>
            </a:ln>
            <a:effectLst/>
          </a:endParaRPr>
        </a:p>
      </dgm:t>
    </dgm:pt>
    <dgm:pt modelId="{43134FFB-E623-45AB-9485-082634E254E1}">
      <dgm:prSet custT="1"/>
      <dgm:spPr/>
      <dgm:t>
        <a:bodyPr/>
        <a:lstStyle/>
        <a:p>
          <a:r>
            <a:rPr lang="en-US" sz="1200" b="0" i="0" u="none" dirty="0">
              <a:ln/>
              <a:effectLst/>
              <a:latin typeface="Arial" panose="020B0604020202020204" pitchFamily="34" charset="0"/>
              <a:cs typeface="Arial" panose="020B0604020202020204" pitchFamily="34" charset="0"/>
            </a:rPr>
            <a:t>Feedback /</a:t>
          </a:r>
          <a:r>
            <a:rPr lang="en-US" sz="1200" b="0" i="0" u="none" baseline="0" dirty="0">
              <a:ln/>
              <a:effectLst/>
              <a:latin typeface="Arial" panose="020B0604020202020204" pitchFamily="34" charset="0"/>
              <a:cs typeface="Arial" panose="020B0604020202020204" pitchFamily="34" charset="0"/>
            </a:rPr>
            <a:t> Business Energy Reports / BEIMS</a:t>
          </a:r>
          <a:endParaRPr lang="en-US" sz="1200" b="0" i="0" u="none" dirty="0">
            <a:ln/>
            <a:effectLst/>
            <a:latin typeface="Arial" panose="020B0604020202020204" pitchFamily="34" charset="0"/>
            <a:cs typeface="Arial" panose="020B0604020202020204" pitchFamily="34" charset="0"/>
          </a:endParaRPr>
        </a:p>
      </dgm:t>
    </dgm:pt>
    <dgm:pt modelId="{2A161E24-D1C0-4595-B3EC-2DCBFBE25C74}" type="parTrans" cxnId="{3FB93AD4-6C4C-4575-89EC-20A5B8A5A828}">
      <dgm:prSet/>
      <dgm:spPr/>
      <dgm:t>
        <a:bodyPr/>
        <a:lstStyle/>
        <a:p>
          <a:endParaRPr lang="en-US" sz="1200" b="0">
            <a:ln>
              <a:noFill/>
            </a:ln>
            <a:effectLst/>
          </a:endParaRPr>
        </a:p>
      </dgm:t>
    </dgm:pt>
    <dgm:pt modelId="{B1B89BE7-99D3-433C-B6A8-9F2FED7F8A13}" type="sibTrans" cxnId="{3FB93AD4-6C4C-4575-89EC-20A5B8A5A828}">
      <dgm:prSet/>
      <dgm:spPr/>
      <dgm:t>
        <a:bodyPr/>
        <a:lstStyle/>
        <a:p>
          <a:endParaRPr lang="en-US" sz="1200" b="0">
            <a:ln>
              <a:noFill/>
            </a:ln>
            <a:effectLst/>
          </a:endParaRPr>
        </a:p>
      </dgm:t>
    </dgm:pt>
    <dgm:pt modelId="{673F5A4B-6876-4292-B7B0-E85781FAAE9F}">
      <dgm:prSet custT="1"/>
      <dgm:spPr/>
      <dgm:t>
        <a:bodyPr/>
        <a:lstStyle/>
        <a:p>
          <a:r>
            <a:rPr lang="en-US" sz="1200" b="0" i="0" u="none" dirty="0">
              <a:ln/>
              <a:effectLst/>
              <a:latin typeface="Arial" panose="020B0604020202020204" pitchFamily="34" charset="0"/>
              <a:cs typeface="Arial" panose="020B0604020202020204" pitchFamily="34" charset="0"/>
            </a:rPr>
            <a:t>Challenges/Competitions</a:t>
          </a:r>
        </a:p>
      </dgm:t>
    </dgm:pt>
    <dgm:pt modelId="{62C0E350-A748-44AA-8004-605DD37595F5}" type="parTrans" cxnId="{AA05C7E9-C72B-42EB-9AE6-207204E4E8EF}">
      <dgm:prSet/>
      <dgm:spPr/>
      <dgm:t>
        <a:bodyPr/>
        <a:lstStyle/>
        <a:p>
          <a:endParaRPr lang="en-US" sz="1200" b="0">
            <a:ln>
              <a:noFill/>
            </a:ln>
            <a:effectLst/>
          </a:endParaRPr>
        </a:p>
      </dgm:t>
    </dgm:pt>
    <dgm:pt modelId="{12F829BB-18C5-4379-90A1-6376A7BA6847}" type="sibTrans" cxnId="{AA05C7E9-C72B-42EB-9AE6-207204E4E8EF}">
      <dgm:prSet/>
      <dgm:spPr/>
      <dgm:t>
        <a:bodyPr/>
        <a:lstStyle/>
        <a:p>
          <a:endParaRPr lang="en-US" sz="1200" b="0">
            <a:ln>
              <a:noFill/>
            </a:ln>
            <a:effectLst/>
          </a:endParaRPr>
        </a:p>
      </dgm:t>
    </dgm:pt>
    <dgm:pt modelId="{1EB70B80-AF09-475B-AD2F-20A923C514D8}">
      <dgm:prSet custT="1"/>
      <dgm:spPr/>
      <dgm:t>
        <a:bodyPr/>
        <a:lstStyle/>
        <a:p>
          <a:r>
            <a:rPr lang="en-US" sz="1200" b="0" i="0" u="none" dirty="0">
              <a:ln/>
              <a:effectLst/>
              <a:latin typeface="Arial" panose="020B0604020202020204" pitchFamily="34" charset="0"/>
              <a:cs typeface="Arial" panose="020B0604020202020204" pitchFamily="34" charset="0"/>
            </a:rPr>
            <a:t>Community-Based Social Media</a:t>
          </a:r>
        </a:p>
      </dgm:t>
    </dgm:pt>
    <dgm:pt modelId="{51F568F1-BA6D-4B6F-AB10-A29F6CBFBC6F}" type="parTrans" cxnId="{01015727-D2A9-4ED4-ABD0-7B54A8A71669}">
      <dgm:prSet/>
      <dgm:spPr/>
      <dgm:t>
        <a:bodyPr/>
        <a:lstStyle/>
        <a:p>
          <a:endParaRPr lang="en-US" sz="1200" b="0">
            <a:ln>
              <a:noFill/>
            </a:ln>
            <a:effectLst/>
          </a:endParaRPr>
        </a:p>
      </dgm:t>
    </dgm:pt>
    <dgm:pt modelId="{F5F1541B-4A69-4A01-B1B7-6F1A3A2F5B06}" type="sibTrans" cxnId="{01015727-D2A9-4ED4-ABD0-7B54A8A71669}">
      <dgm:prSet/>
      <dgm:spPr/>
      <dgm:t>
        <a:bodyPr/>
        <a:lstStyle/>
        <a:p>
          <a:endParaRPr lang="en-US" sz="1200" b="0">
            <a:ln>
              <a:noFill/>
            </a:ln>
            <a:effectLst/>
          </a:endParaRPr>
        </a:p>
      </dgm:t>
    </dgm:pt>
    <dgm:pt modelId="{30CF25F5-8658-401C-985B-752E00EA1B47}">
      <dgm:prSet custT="1"/>
      <dgm:spPr/>
      <dgm:t>
        <a:bodyPr/>
        <a:lstStyle/>
        <a:p>
          <a:r>
            <a:rPr lang="en-US" sz="1200" b="0" i="0" u="none" dirty="0">
              <a:ln/>
              <a:effectLst/>
              <a:latin typeface="Arial" panose="020B0604020202020204" pitchFamily="34" charset="0"/>
              <a:cs typeface="Arial" panose="020B0604020202020204" pitchFamily="34" charset="0"/>
            </a:rPr>
            <a:t>Strategic Energy Management</a:t>
          </a:r>
        </a:p>
      </dgm:t>
    </dgm:pt>
    <dgm:pt modelId="{2EA906CF-1117-4684-A7AC-2953B67828F4}" type="parTrans" cxnId="{2031528E-64D0-4D64-A614-9BE9888EBCE3}">
      <dgm:prSet/>
      <dgm:spPr/>
      <dgm:t>
        <a:bodyPr/>
        <a:lstStyle/>
        <a:p>
          <a:endParaRPr lang="en-US" sz="1200" b="0">
            <a:ln>
              <a:noFill/>
            </a:ln>
            <a:effectLst/>
          </a:endParaRPr>
        </a:p>
      </dgm:t>
    </dgm:pt>
    <dgm:pt modelId="{659DD838-4F86-4DD3-BB61-86742E525061}" type="sibTrans" cxnId="{2031528E-64D0-4D64-A614-9BE9888EBCE3}">
      <dgm:prSet/>
      <dgm:spPr/>
      <dgm:t>
        <a:bodyPr/>
        <a:lstStyle/>
        <a:p>
          <a:endParaRPr lang="en-US" sz="1200" b="0">
            <a:ln>
              <a:noFill/>
            </a:ln>
            <a:effectLst/>
          </a:endParaRPr>
        </a:p>
      </dgm:t>
    </dgm:pt>
    <dgm:pt modelId="{B40A23C2-69ED-4B43-B4F2-BE7145B1E443}">
      <dgm:prSet custT="1"/>
      <dgm:spPr/>
      <dgm:t>
        <a:bodyPr/>
        <a:lstStyle/>
        <a:p>
          <a:r>
            <a:rPr lang="en-US" sz="1200" b="0" i="0" u="none" dirty="0">
              <a:ln/>
              <a:effectLst/>
              <a:latin typeface="Arial" panose="020B0604020202020204" pitchFamily="34" charset="0"/>
              <a:cs typeface="Arial" panose="020B0604020202020204" pitchFamily="34" charset="0"/>
            </a:rPr>
            <a:t>Green Leases</a:t>
          </a:r>
        </a:p>
      </dgm:t>
    </dgm:pt>
    <dgm:pt modelId="{518ACFDC-12B6-40FB-AFA2-EE083C537425}" type="parTrans" cxnId="{32C1101C-E558-4B4A-81A5-DB8A1DE06916}">
      <dgm:prSet/>
      <dgm:spPr/>
      <dgm:t>
        <a:bodyPr/>
        <a:lstStyle/>
        <a:p>
          <a:endParaRPr lang="en-US" sz="1200" b="0">
            <a:ln>
              <a:noFill/>
            </a:ln>
            <a:effectLst/>
          </a:endParaRPr>
        </a:p>
      </dgm:t>
    </dgm:pt>
    <dgm:pt modelId="{37C7E821-05F2-44D7-AE59-92DA9EB25A84}" type="sibTrans" cxnId="{32C1101C-E558-4B4A-81A5-DB8A1DE06916}">
      <dgm:prSet/>
      <dgm:spPr/>
      <dgm:t>
        <a:bodyPr/>
        <a:lstStyle/>
        <a:p>
          <a:endParaRPr lang="en-US" sz="1200" b="0">
            <a:ln>
              <a:noFill/>
            </a:ln>
            <a:effectLst/>
          </a:endParaRPr>
        </a:p>
      </dgm:t>
    </dgm:pt>
    <dgm:pt modelId="{5F1F5691-A985-43A9-99BA-E94ABD9FFB7C}">
      <dgm:prSet custT="1"/>
      <dgm:spPr/>
      <dgm:t>
        <a:bodyPr/>
        <a:lstStyle/>
        <a:p>
          <a:r>
            <a:rPr lang="en-US" sz="1200" b="0" i="0" u="none" dirty="0">
              <a:ln/>
              <a:effectLst/>
              <a:latin typeface="Arial" panose="020B0604020202020204" pitchFamily="34" charset="0"/>
              <a:cs typeface="Arial" panose="020B0604020202020204" pitchFamily="34" charset="0"/>
            </a:rPr>
            <a:t>Building</a:t>
          </a:r>
          <a:r>
            <a:rPr lang="en-US" sz="1200" b="0" i="0" u="none" baseline="0" dirty="0">
              <a:ln/>
              <a:effectLst/>
              <a:latin typeface="Arial" panose="020B0604020202020204" pitchFamily="34" charset="0"/>
              <a:cs typeface="Arial" panose="020B0604020202020204" pitchFamily="34" charset="0"/>
            </a:rPr>
            <a:t> Benchmarking</a:t>
          </a:r>
          <a:endParaRPr lang="en-US" sz="1200" b="0" i="0" u="none" dirty="0">
            <a:ln/>
            <a:effectLst/>
            <a:latin typeface="Arial" panose="020B0604020202020204" pitchFamily="34" charset="0"/>
            <a:cs typeface="Arial" panose="020B0604020202020204" pitchFamily="34" charset="0"/>
          </a:endParaRPr>
        </a:p>
      </dgm:t>
    </dgm:pt>
    <dgm:pt modelId="{F1BBA27D-DCA4-4E57-A321-EA4DA813C6D8}" type="parTrans" cxnId="{FFC2E9F3-6095-454F-BCB1-8796F4185E6F}">
      <dgm:prSet/>
      <dgm:spPr/>
      <dgm:t>
        <a:bodyPr/>
        <a:lstStyle/>
        <a:p>
          <a:endParaRPr lang="en-US" sz="1200" b="0">
            <a:ln>
              <a:noFill/>
            </a:ln>
            <a:effectLst/>
          </a:endParaRPr>
        </a:p>
      </dgm:t>
    </dgm:pt>
    <dgm:pt modelId="{DEA23E13-D6E9-4760-B762-B427723909E4}" type="sibTrans" cxnId="{FFC2E9F3-6095-454F-BCB1-8796F4185E6F}">
      <dgm:prSet/>
      <dgm:spPr/>
      <dgm:t>
        <a:bodyPr/>
        <a:lstStyle/>
        <a:p>
          <a:endParaRPr lang="en-US" sz="1200" b="0">
            <a:ln>
              <a:noFill/>
            </a:ln>
            <a:effectLst/>
          </a:endParaRPr>
        </a:p>
      </dgm:t>
    </dgm:pt>
    <dgm:pt modelId="{F3566B34-F60A-4009-978D-32DAFF94AD02}">
      <dgm:prSet custT="1"/>
      <dgm:spPr/>
      <dgm:t>
        <a:bodyPr/>
        <a:lstStyle/>
        <a:p>
          <a:r>
            <a:rPr lang="en-US" sz="1200" b="0" i="0" u="none" dirty="0">
              <a:ln/>
              <a:effectLst/>
              <a:latin typeface="Arial" panose="020B0604020202020204" pitchFamily="34" charset="0"/>
              <a:cs typeface="Arial" panose="020B0604020202020204" pitchFamily="34" charset="0"/>
            </a:rPr>
            <a:t>Tenant-Operator</a:t>
          </a:r>
          <a:r>
            <a:rPr lang="en-US" sz="1200" b="0" i="0" u="none" baseline="0" dirty="0">
              <a:ln/>
              <a:effectLst/>
              <a:latin typeface="Arial" panose="020B0604020202020204" pitchFamily="34" charset="0"/>
              <a:cs typeface="Arial" panose="020B0604020202020204" pitchFamily="34" charset="0"/>
            </a:rPr>
            <a:t> Engagement (COMFY)</a:t>
          </a:r>
          <a:endParaRPr lang="en-US" sz="1200" b="0" i="0" u="none" dirty="0">
            <a:ln/>
            <a:effectLst/>
            <a:latin typeface="Arial" panose="020B0604020202020204" pitchFamily="34" charset="0"/>
            <a:cs typeface="Arial" panose="020B0604020202020204" pitchFamily="34" charset="0"/>
          </a:endParaRPr>
        </a:p>
      </dgm:t>
    </dgm:pt>
    <dgm:pt modelId="{B8C9F231-C30F-4C84-A812-BF1A08595A26}" type="parTrans" cxnId="{DCDC5CC0-241D-4DA2-848B-05BBA5B25F10}">
      <dgm:prSet/>
      <dgm:spPr/>
      <dgm:t>
        <a:bodyPr/>
        <a:lstStyle/>
        <a:p>
          <a:endParaRPr lang="en-US" sz="1200" b="0">
            <a:ln>
              <a:noFill/>
            </a:ln>
            <a:effectLst/>
          </a:endParaRPr>
        </a:p>
      </dgm:t>
    </dgm:pt>
    <dgm:pt modelId="{87DAA3BA-34E1-4DE4-BB13-A5105482F18B}" type="sibTrans" cxnId="{DCDC5CC0-241D-4DA2-848B-05BBA5B25F10}">
      <dgm:prSet/>
      <dgm:spPr/>
      <dgm:t>
        <a:bodyPr/>
        <a:lstStyle/>
        <a:p>
          <a:endParaRPr lang="en-US" sz="1200" b="0">
            <a:ln>
              <a:noFill/>
            </a:ln>
            <a:effectLst/>
          </a:endParaRPr>
        </a:p>
      </dgm:t>
    </dgm:pt>
    <dgm:pt modelId="{0C49F671-D008-4408-95A8-A4326E243BF1}">
      <dgm:prSet phldrT="[Text]" custT="1"/>
      <dgm:spPr/>
      <dgm:t>
        <a:bodyPr/>
        <a:lstStyle/>
        <a:p>
          <a:pPr marL="0" lvl="0" defTabSz="933450">
            <a:lnSpc>
              <a:spcPct val="100000"/>
            </a:lnSpc>
            <a:spcBef>
              <a:spcPct val="0"/>
            </a:spcBef>
            <a:spcAft>
              <a:spcPts val="600"/>
            </a:spcAft>
            <a:buNone/>
          </a:pPr>
          <a:r>
            <a:rPr lang="en-US" sz="1200" b="0" dirty="0">
              <a:ln/>
              <a:effectLst/>
              <a:latin typeface="Arial" panose="020B0604020202020204" pitchFamily="34" charset="0"/>
              <a:cs typeface="Arial" panose="020B0604020202020204" pitchFamily="34" charset="0"/>
            </a:rPr>
            <a:t>*Building Benchmarking</a:t>
          </a:r>
        </a:p>
        <a:p>
          <a:pPr marL="0" lvl="0" defTabSz="933450">
            <a:lnSpc>
              <a:spcPct val="100000"/>
            </a:lnSpc>
            <a:spcBef>
              <a:spcPct val="0"/>
            </a:spcBef>
            <a:spcAft>
              <a:spcPts val="600"/>
            </a:spcAft>
            <a:buNone/>
          </a:pPr>
          <a:r>
            <a:rPr lang="en-US" sz="1200" b="0" dirty="0" err="1">
              <a:ln/>
              <a:effectLst/>
              <a:latin typeface="Arial" panose="020B0604020202020204" pitchFamily="34" charset="0"/>
              <a:cs typeface="Arial" panose="020B0604020202020204" pitchFamily="34" charset="0"/>
            </a:rPr>
            <a:t>Retrocommissioning</a:t>
          </a:r>
          <a:endParaRPr lang="en-US" sz="1200" b="0" dirty="0">
            <a:ln/>
            <a:effectLst/>
            <a:latin typeface="Arial" panose="020B0604020202020204" pitchFamily="34" charset="0"/>
            <a:cs typeface="Arial" panose="020B0604020202020204" pitchFamily="34" charset="0"/>
          </a:endParaRPr>
        </a:p>
      </dgm:t>
    </dgm:pt>
    <dgm:pt modelId="{C684489E-E40F-408C-A8E8-AE4ED048F677}" type="parTrans" cxnId="{85638CD7-D915-4390-A9E4-B919C4773078}">
      <dgm:prSet/>
      <dgm:spPr/>
      <dgm:t>
        <a:bodyPr/>
        <a:lstStyle/>
        <a:p>
          <a:endParaRPr lang="en-US" sz="1200" b="0">
            <a:ln>
              <a:noFill/>
            </a:ln>
            <a:effectLst/>
          </a:endParaRPr>
        </a:p>
      </dgm:t>
    </dgm:pt>
    <dgm:pt modelId="{104D1EC1-E869-414D-B1C9-E5F872286868}" type="sibTrans" cxnId="{85638CD7-D915-4390-A9E4-B919C4773078}">
      <dgm:prSet/>
      <dgm:spPr/>
      <dgm:t>
        <a:bodyPr/>
        <a:lstStyle/>
        <a:p>
          <a:endParaRPr lang="en-US" sz="1200" b="0">
            <a:ln>
              <a:noFill/>
            </a:ln>
            <a:effectLst/>
          </a:endParaRPr>
        </a:p>
      </dgm:t>
    </dgm:pt>
    <dgm:pt modelId="{23E32635-10C9-4C66-833A-2081FB2EB5EA}">
      <dgm:prSet phldrT="[Text]" custT="1"/>
      <dgm:spPr/>
      <dgm:t>
        <a:bodyPr/>
        <a:lstStyle/>
        <a:p>
          <a:pPr marL="0" lvl="0" defTabSz="933450">
            <a:lnSpc>
              <a:spcPct val="100000"/>
            </a:lnSpc>
            <a:spcBef>
              <a:spcPct val="0"/>
            </a:spcBef>
            <a:spcAft>
              <a:spcPts val="600"/>
            </a:spcAft>
            <a:buNone/>
          </a:pPr>
          <a:endParaRPr lang="en-US" sz="1200" b="0" dirty="0">
            <a:ln>
              <a:noFill/>
            </a:ln>
            <a:effectLst/>
            <a:latin typeface="Arial" panose="020B0604020202020204" pitchFamily="34" charset="0"/>
            <a:cs typeface="Arial" panose="020B0604020202020204" pitchFamily="34" charset="0"/>
          </a:endParaRPr>
        </a:p>
      </dgm:t>
    </dgm:pt>
    <dgm:pt modelId="{2035102B-39F2-485F-88F1-B9A57B32BF9A}" type="parTrans" cxnId="{36BC34EC-F287-47CB-9374-A7101AFADA85}">
      <dgm:prSet/>
      <dgm:spPr/>
      <dgm:t>
        <a:bodyPr/>
        <a:lstStyle/>
        <a:p>
          <a:endParaRPr lang="en-US" sz="1200" b="0">
            <a:ln>
              <a:noFill/>
            </a:ln>
            <a:effectLst/>
          </a:endParaRPr>
        </a:p>
      </dgm:t>
    </dgm:pt>
    <dgm:pt modelId="{048A81D2-69E0-4AD1-914F-5216D54056D8}" type="sibTrans" cxnId="{36BC34EC-F287-47CB-9374-A7101AFADA85}">
      <dgm:prSet/>
      <dgm:spPr/>
      <dgm:t>
        <a:bodyPr/>
        <a:lstStyle/>
        <a:p>
          <a:endParaRPr lang="en-US" sz="1200" b="0">
            <a:ln>
              <a:noFill/>
            </a:ln>
            <a:effectLst/>
          </a:endParaRPr>
        </a:p>
      </dgm:t>
    </dgm:pt>
    <dgm:pt modelId="{F2FD8781-31D2-4580-9DE8-449B9F4D2505}">
      <dgm:prSet phldrT="[Text]" custT="1"/>
      <dgm:spPr/>
      <dgm:t>
        <a:bodyPr/>
        <a:lstStyle/>
        <a:p>
          <a:pPr marL="0" lvl="0" defTabSz="933450">
            <a:lnSpc>
              <a:spcPct val="100000"/>
            </a:lnSpc>
            <a:spcBef>
              <a:spcPct val="0"/>
            </a:spcBef>
            <a:spcAft>
              <a:spcPts val="600"/>
            </a:spcAft>
            <a:buNone/>
          </a:pPr>
          <a:endParaRPr lang="en-US" sz="1200" b="0" dirty="0">
            <a:ln>
              <a:noFill/>
            </a:ln>
            <a:effectLst/>
            <a:latin typeface="Arial" panose="020B0604020202020204" pitchFamily="34" charset="0"/>
            <a:cs typeface="Arial" panose="020B0604020202020204" pitchFamily="34" charset="0"/>
          </a:endParaRPr>
        </a:p>
      </dgm:t>
    </dgm:pt>
    <dgm:pt modelId="{0A1B5629-1DAF-4AA9-9DDC-9D9CF3A61D58}" type="parTrans" cxnId="{CC36E577-465E-4666-B888-29BE5704A023}">
      <dgm:prSet/>
      <dgm:spPr/>
      <dgm:t>
        <a:bodyPr/>
        <a:lstStyle/>
        <a:p>
          <a:endParaRPr lang="en-US" sz="1200" b="0">
            <a:ln>
              <a:noFill/>
            </a:ln>
            <a:effectLst/>
          </a:endParaRPr>
        </a:p>
      </dgm:t>
    </dgm:pt>
    <dgm:pt modelId="{24257218-36D1-4C98-9445-4F9216FA7084}" type="sibTrans" cxnId="{CC36E577-465E-4666-B888-29BE5704A023}">
      <dgm:prSet/>
      <dgm:spPr/>
      <dgm:t>
        <a:bodyPr/>
        <a:lstStyle/>
        <a:p>
          <a:endParaRPr lang="en-US" sz="1200" b="0">
            <a:ln>
              <a:noFill/>
            </a:ln>
            <a:effectLst/>
          </a:endParaRPr>
        </a:p>
      </dgm:t>
    </dgm:pt>
    <dgm:pt modelId="{D5B9FFFE-CB31-4F6A-8B02-88B44B8FAB97}">
      <dgm:prSet phldrT="[Text]" custT="1"/>
      <dgm:spPr/>
      <dgm:t>
        <a:bodyPr/>
        <a:lstStyle/>
        <a:p>
          <a:pPr marL="0" lvl="0" defTabSz="933450">
            <a:lnSpc>
              <a:spcPct val="100000"/>
            </a:lnSpc>
            <a:spcBef>
              <a:spcPct val="0"/>
            </a:spcBef>
            <a:spcAft>
              <a:spcPts val="600"/>
            </a:spcAft>
            <a:buNone/>
          </a:pPr>
          <a:endParaRPr lang="en-US" sz="1200" b="0" dirty="0">
            <a:ln>
              <a:noFill/>
            </a:ln>
            <a:effectLst/>
            <a:latin typeface="Arial" panose="020B0604020202020204" pitchFamily="34" charset="0"/>
            <a:cs typeface="Arial" panose="020B0604020202020204" pitchFamily="34" charset="0"/>
          </a:endParaRPr>
        </a:p>
      </dgm:t>
    </dgm:pt>
    <dgm:pt modelId="{7F54AC56-708F-4FDE-B15C-E7E2E6E17231}" type="parTrans" cxnId="{DDD2248D-57DD-4A17-99D3-6925CE3ECC9C}">
      <dgm:prSet/>
      <dgm:spPr/>
      <dgm:t>
        <a:bodyPr/>
        <a:lstStyle/>
        <a:p>
          <a:endParaRPr lang="en-US" sz="1200" b="0">
            <a:ln>
              <a:noFill/>
            </a:ln>
            <a:effectLst/>
          </a:endParaRPr>
        </a:p>
      </dgm:t>
    </dgm:pt>
    <dgm:pt modelId="{4059FFA3-6A64-4102-9F63-9FF34E80817A}" type="sibTrans" cxnId="{DDD2248D-57DD-4A17-99D3-6925CE3ECC9C}">
      <dgm:prSet/>
      <dgm:spPr/>
      <dgm:t>
        <a:bodyPr/>
        <a:lstStyle/>
        <a:p>
          <a:endParaRPr lang="en-US" sz="1200" b="0">
            <a:ln>
              <a:noFill/>
            </a:ln>
            <a:effectLst/>
          </a:endParaRPr>
        </a:p>
      </dgm:t>
    </dgm:pt>
    <dgm:pt modelId="{C834922D-0535-4F69-9D98-35817F48BF2B}" type="pres">
      <dgm:prSet presAssocID="{0323B17A-1B97-4857-BA77-63171F3CBA7C}" presName="Name0" presStyleCnt="0">
        <dgm:presLayoutVars>
          <dgm:dir/>
          <dgm:animLvl val="lvl"/>
          <dgm:resizeHandles val="exact"/>
        </dgm:presLayoutVars>
      </dgm:prSet>
      <dgm:spPr/>
    </dgm:pt>
    <dgm:pt modelId="{2D780D10-913F-4957-9F5E-3AFD470FEE16}" type="pres">
      <dgm:prSet presAssocID="{3B649C3D-2C17-4017-9899-7FA1594CA1CC}" presName="compositeNode" presStyleCnt="0">
        <dgm:presLayoutVars>
          <dgm:bulletEnabled val="1"/>
        </dgm:presLayoutVars>
      </dgm:prSet>
      <dgm:spPr/>
    </dgm:pt>
    <dgm:pt modelId="{4395670E-8DBC-4395-BB38-EF659C71AA25}" type="pres">
      <dgm:prSet presAssocID="{3B649C3D-2C17-4017-9899-7FA1594CA1CC}" presName="bgRect" presStyleLbl="node1" presStyleIdx="0" presStyleCnt="2"/>
      <dgm:spPr/>
    </dgm:pt>
    <dgm:pt modelId="{F17FD801-69BD-4ECC-A36E-F28A3E8682E1}" type="pres">
      <dgm:prSet presAssocID="{3B649C3D-2C17-4017-9899-7FA1594CA1CC}" presName="parentNode" presStyleLbl="node1" presStyleIdx="0" presStyleCnt="2">
        <dgm:presLayoutVars>
          <dgm:chMax val="0"/>
          <dgm:bulletEnabled val="1"/>
        </dgm:presLayoutVars>
      </dgm:prSet>
      <dgm:spPr/>
    </dgm:pt>
    <dgm:pt modelId="{39BB9AB1-3A61-453F-B231-98D464FD5EDD}" type="pres">
      <dgm:prSet presAssocID="{3B649C3D-2C17-4017-9899-7FA1594CA1CC}" presName="childNode" presStyleLbl="node1" presStyleIdx="0" presStyleCnt="2">
        <dgm:presLayoutVars>
          <dgm:bulletEnabled val="1"/>
        </dgm:presLayoutVars>
      </dgm:prSet>
      <dgm:spPr/>
    </dgm:pt>
    <dgm:pt modelId="{CE007C6A-EDF0-4173-82C6-C4E84E2EB0E6}" type="pres">
      <dgm:prSet presAssocID="{D61F0250-9B52-43AD-85B7-702626558915}" presName="hSp" presStyleCnt="0"/>
      <dgm:spPr/>
    </dgm:pt>
    <dgm:pt modelId="{FEBA2D54-0B2F-4C00-BB25-EFDAEA79BFE0}" type="pres">
      <dgm:prSet presAssocID="{D61F0250-9B52-43AD-85B7-702626558915}" presName="vProcSp" presStyleCnt="0"/>
      <dgm:spPr/>
    </dgm:pt>
    <dgm:pt modelId="{928F13DC-9809-40AA-ACC7-73C721B8F493}" type="pres">
      <dgm:prSet presAssocID="{D61F0250-9B52-43AD-85B7-702626558915}" presName="vSp1" presStyleCnt="0"/>
      <dgm:spPr/>
    </dgm:pt>
    <dgm:pt modelId="{4CB86EB9-1637-413E-BFC7-7012CBD6C28D}" type="pres">
      <dgm:prSet presAssocID="{D61F0250-9B52-43AD-85B7-702626558915}" presName="simulatedConn" presStyleLbl="solidFgAcc1" presStyleIdx="0" presStyleCnt="1"/>
      <dgm:spPr/>
    </dgm:pt>
    <dgm:pt modelId="{263E0347-CB7F-4245-9358-3EF2622CF6FD}" type="pres">
      <dgm:prSet presAssocID="{D61F0250-9B52-43AD-85B7-702626558915}" presName="vSp2" presStyleCnt="0"/>
      <dgm:spPr/>
    </dgm:pt>
    <dgm:pt modelId="{09E04D2F-FF6D-4E9E-8267-B5ACA6BF9C4D}" type="pres">
      <dgm:prSet presAssocID="{D61F0250-9B52-43AD-85B7-702626558915}" presName="sibTrans" presStyleCnt="0"/>
      <dgm:spPr/>
    </dgm:pt>
    <dgm:pt modelId="{B61E5E0F-3CDD-4F0C-9900-633E2EF937F7}" type="pres">
      <dgm:prSet presAssocID="{C1B64A8C-1D2D-4580-9D8B-19859210B2C4}" presName="compositeNode" presStyleCnt="0">
        <dgm:presLayoutVars>
          <dgm:bulletEnabled val="1"/>
        </dgm:presLayoutVars>
      </dgm:prSet>
      <dgm:spPr/>
    </dgm:pt>
    <dgm:pt modelId="{2E3DDD08-58A3-4E25-B2DC-2F076F5980BB}" type="pres">
      <dgm:prSet presAssocID="{C1B64A8C-1D2D-4580-9D8B-19859210B2C4}" presName="bgRect" presStyleLbl="node1" presStyleIdx="1" presStyleCnt="2"/>
      <dgm:spPr/>
    </dgm:pt>
    <dgm:pt modelId="{8F066C72-3B40-46EC-88C9-DB2BDF678CB2}" type="pres">
      <dgm:prSet presAssocID="{C1B64A8C-1D2D-4580-9D8B-19859210B2C4}" presName="parentNode" presStyleLbl="node1" presStyleIdx="1" presStyleCnt="2">
        <dgm:presLayoutVars>
          <dgm:chMax val="0"/>
          <dgm:bulletEnabled val="1"/>
        </dgm:presLayoutVars>
      </dgm:prSet>
      <dgm:spPr/>
    </dgm:pt>
    <dgm:pt modelId="{A045B125-1AAC-4EBB-B444-999B4D9FD76C}" type="pres">
      <dgm:prSet presAssocID="{C1B64A8C-1D2D-4580-9D8B-19859210B2C4}" presName="childNode" presStyleLbl="node1" presStyleIdx="1" presStyleCnt="2">
        <dgm:presLayoutVars>
          <dgm:bulletEnabled val="1"/>
        </dgm:presLayoutVars>
      </dgm:prSet>
      <dgm:spPr/>
    </dgm:pt>
  </dgm:ptLst>
  <dgm:cxnLst>
    <dgm:cxn modelId="{93485A00-8D25-4309-8B85-B8A23B10B544}" type="presOf" srcId="{0323B17A-1B97-4857-BA77-63171F3CBA7C}" destId="{C834922D-0535-4F69-9D98-35817F48BF2B}" srcOrd="0" destOrd="0" presId="urn:microsoft.com/office/officeart/2005/8/layout/hProcess7"/>
    <dgm:cxn modelId="{0E3A2802-35B6-4740-A2BD-284709B40888}" type="presOf" srcId="{23E32635-10C9-4C66-833A-2081FB2EB5EA}" destId="{A045B125-1AAC-4EBB-B444-999B4D9FD76C}" srcOrd="0" destOrd="2" presId="urn:microsoft.com/office/officeart/2005/8/layout/hProcess7"/>
    <dgm:cxn modelId="{232F940C-DB7C-4942-897B-47A264837D57}" srcId="{3B649C3D-2C17-4017-9899-7FA1594CA1CC}" destId="{0387CCBA-3A1D-4216-BD43-18A58A906ED3}" srcOrd="0" destOrd="0" parTransId="{2EE8FB44-C373-45CA-B010-A63690B0123B}" sibTransId="{1EAF7054-A6D7-4617-A4B2-4C22991996B9}"/>
    <dgm:cxn modelId="{00ACE811-647B-44C4-B122-F9F15BDDB004}" type="presOf" srcId="{0C49F671-D008-4408-95A8-A4326E243BF1}" destId="{A045B125-1AAC-4EBB-B444-999B4D9FD76C}" srcOrd="0" destOrd="1" presId="urn:microsoft.com/office/officeart/2005/8/layout/hProcess7"/>
    <dgm:cxn modelId="{3CACE817-7706-4045-8FB1-269BD102737A}" type="presOf" srcId="{7F7C532D-D610-48D7-9FD7-146F089F5FB2}" destId="{39BB9AB1-3A61-453F-B231-98D464FD5EDD}" srcOrd="0" destOrd="1" presId="urn:microsoft.com/office/officeart/2005/8/layout/hProcess7"/>
    <dgm:cxn modelId="{32C1101C-E558-4B4A-81A5-DB8A1DE06916}" srcId="{3B649C3D-2C17-4017-9899-7FA1594CA1CC}" destId="{B40A23C2-69ED-4B43-B4F2-BE7145B1E443}" srcOrd="6" destOrd="0" parTransId="{518ACFDC-12B6-40FB-AFA2-EE083C537425}" sibTransId="{37C7E821-05F2-44D7-AE59-92DA9EB25A84}"/>
    <dgm:cxn modelId="{37A25221-1662-4269-9C94-2B323452FB20}" srcId="{C1B64A8C-1D2D-4580-9D8B-19859210B2C4}" destId="{F6AB8458-BE0B-4378-BAB3-05B04341E319}" srcOrd="0" destOrd="0" parTransId="{7E93F9AA-05AA-4F23-9A83-BBD05EB3A731}" sibTransId="{8965968E-9048-4C74-8BCF-024CB9B5ADE2}"/>
    <dgm:cxn modelId="{01015727-D2A9-4ED4-ABD0-7B54A8A71669}" srcId="{3B649C3D-2C17-4017-9899-7FA1594CA1CC}" destId="{1EB70B80-AF09-475B-AD2F-20A923C514D8}" srcOrd="4" destOrd="0" parTransId="{51F568F1-BA6D-4B6F-AB10-A29F6CBFBC6F}" sibTransId="{F5F1541B-4A69-4A01-B1B7-6F1A3A2F5B06}"/>
    <dgm:cxn modelId="{96018F68-E5A8-46EE-977E-D436A03647AA}" srcId="{0323B17A-1B97-4857-BA77-63171F3CBA7C}" destId="{C1B64A8C-1D2D-4580-9D8B-19859210B2C4}" srcOrd="1" destOrd="0" parTransId="{4B29DD7A-8BEB-4F9D-851F-BA243064BDF8}" sibTransId="{8A7A2A5F-E925-4132-A4D1-1891932FFC2B}"/>
    <dgm:cxn modelId="{5A0DBD6A-20F2-4690-9761-F9C5C38BFCB3}" type="presOf" srcId="{B40A23C2-69ED-4B43-B4F2-BE7145B1E443}" destId="{39BB9AB1-3A61-453F-B231-98D464FD5EDD}" srcOrd="0" destOrd="6" presId="urn:microsoft.com/office/officeart/2005/8/layout/hProcess7"/>
    <dgm:cxn modelId="{BE111852-E4DC-45D4-8E12-5A6EC1D86B76}" type="presOf" srcId="{0387CCBA-3A1D-4216-BD43-18A58A906ED3}" destId="{39BB9AB1-3A61-453F-B231-98D464FD5EDD}" srcOrd="0" destOrd="0" presId="urn:microsoft.com/office/officeart/2005/8/layout/hProcess7"/>
    <dgm:cxn modelId="{CC36E577-465E-4666-B888-29BE5704A023}" srcId="{C1B64A8C-1D2D-4580-9D8B-19859210B2C4}" destId="{F2FD8781-31D2-4580-9DE8-449B9F4D2505}" srcOrd="3" destOrd="0" parTransId="{0A1B5629-1DAF-4AA9-9DDC-9D9CF3A61D58}" sibTransId="{24257218-36D1-4C98-9445-4F9216FA7084}"/>
    <dgm:cxn modelId="{E6582D59-33CF-4C5C-A768-E9233AEB40A6}" type="presOf" srcId="{673F5A4B-6876-4292-B7B0-E85781FAAE9F}" destId="{39BB9AB1-3A61-453F-B231-98D464FD5EDD}" srcOrd="0" destOrd="3" presId="urn:microsoft.com/office/officeart/2005/8/layout/hProcess7"/>
    <dgm:cxn modelId="{B7028D87-9E4F-4504-BD60-6FC8F6F1732F}" type="presOf" srcId="{C1B64A8C-1D2D-4580-9D8B-19859210B2C4}" destId="{2E3DDD08-58A3-4E25-B2DC-2F076F5980BB}" srcOrd="0" destOrd="0" presId="urn:microsoft.com/office/officeart/2005/8/layout/hProcess7"/>
    <dgm:cxn modelId="{DDD2248D-57DD-4A17-99D3-6925CE3ECC9C}" srcId="{C1B64A8C-1D2D-4580-9D8B-19859210B2C4}" destId="{D5B9FFFE-CB31-4F6A-8B02-88B44B8FAB97}" srcOrd="4" destOrd="0" parTransId="{7F54AC56-708F-4FDE-B15C-E7E2E6E17231}" sibTransId="{4059FFA3-6A64-4102-9F63-9FF34E80817A}"/>
    <dgm:cxn modelId="{2031528E-64D0-4D64-A614-9BE9888EBCE3}" srcId="{3B649C3D-2C17-4017-9899-7FA1594CA1CC}" destId="{30CF25F5-8658-401C-985B-752E00EA1B47}" srcOrd="5" destOrd="0" parTransId="{2EA906CF-1117-4684-A7AC-2953B67828F4}" sibTransId="{659DD838-4F86-4DD3-BB61-86742E525061}"/>
    <dgm:cxn modelId="{8492F493-88CB-4019-BB60-3A515A6F2BE3}" type="presOf" srcId="{D5B9FFFE-CB31-4F6A-8B02-88B44B8FAB97}" destId="{A045B125-1AAC-4EBB-B444-999B4D9FD76C}" srcOrd="0" destOrd="4" presId="urn:microsoft.com/office/officeart/2005/8/layout/hProcess7"/>
    <dgm:cxn modelId="{BFD6DC9A-8500-4534-8A10-3CE78510F4EF}" type="presOf" srcId="{5F1F5691-A985-43A9-99BA-E94ABD9FFB7C}" destId="{39BB9AB1-3A61-453F-B231-98D464FD5EDD}" srcOrd="0" destOrd="7" presId="urn:microsoft.com/office/officeart/2005/8/layout/hProcess7"/>
    <dgm:cxn modelId="{BA38D39C-127D-43DA-A5FD-4744FE1F7FE6}" type="presOf" srcId="{1EB70B80-AF09-475B-AD2F-20A923C514D8}" destId="{39BB9AB1-3A61-453F-B231-98D464FD5EDD}" srcOrd="0" destOrd="4" presId="urn:microsoft.com/office/officeart/2005/8/layout/hProcess7"/>
    <dgm:cxn modelId="{A08AF0AD-92BC-4B03-A135-E9F4E911ED68}" type="presOf" srcId="{C1B64A8C-1D2D-4580-9D8B-19859210B2C4}" destId="{8F066C72-3B40-46EC-88C9-DB2BDF678CB2}" srcOrd="1" destOrd="0" presId="urn:microsoft.com/office/officeart/2005/8/layout/hProcess7"/>
    <dgm:cxn modelId="{DCDC5CC0-241D-4DA2-848B-05BBA5B25F10}" srcId="{3B649C3D-2C17-4017-9899-7FA1594CA1CC}" destId="{F3566B34-F60A-4009-978D-32DAFF94AD02}" srcOrd="8" destOrd="0" parTransId="{B8C9F231-C30F-4C84-A812-BF1A08595A26}" sibTransId="{87DAA3BA-34E1-4DE4-BB13-A5105482F18B}"/>
    <dgm:cxn modelId="{E40F10C7-B680-435A-B31B-895C8B09F7CD}" type="presOf" srcId="{43134FFB-E623-45AB-9485-082634E254E1}" destId="{39BB9AB1-3A61-453F-B231-98D464FD5EDD}" srcOrd="0" destOrd="2" presId="urn:microsoft.com/office/officeart/2005/8/layout/hProcess7"/>
    <dgm:cxn modelId="{DAC0ABC8-607A-4F15-88B0-C9C7A27C7A95}" type="presOf" srcId="{30CF25F5-8658-401C-985B-752E00EA1B47}" destId="{39BB9AB1-3A61-453F-B231-98D464FD5EDD}" srcOrd="0" destOrd="5" presId="urn:microsoft.com/office/officeart/2005/8/layout/hProcess7"/>
    <dgm:cxn modelId="{3FB93AD4-6C4C-4575-89EC-20A5B8A5A828}" srcId="{3B649C3D-2C17-4017-9899-7FA1594CA1CC}" destId="{43134FFB-E623-45AB-9485-082634E254E1}" srcOrd="2" destOrd="0" parTransId="{2A161E24-D1C0-4595-B3EC-2DCBFBE25C74}" sibTransId="{B1B89BE7-99D3-433C-B6A8-9F2FED7F8A13}"/>
    <dgm:cxn modelId="{85638CD7-D915-4390-A9E4-B919C4773078}" srcId="{C1B64A8C-1D2D-4580-9D8B-19859210B2C4}" destId="{0C49F671-D008-4408-95A8-A4326E243BF1}" srcOrd="1" destOrd="0" parTransId="{C684489E-E40F-408C-A8E8-AE4ED048F677}" sibTransId="{104D1EC1-E869-414D-B1C9-E5F872286868}"/>
    <dgm:cxn modelId="{DB5260DB-50AC-4BA6-ACC9-424AE2E5E823}" srcId="{0323B17A-1B97-4857-BA77-63171F3CBA7C}" destId="{3B649C3D-2C17-4017-9899-7FA1594CA1CC}" srcOrd="0" destOrd="0" parTransId="{1C566021-B9B2-4025-A47A-82E19134D0F2}" sibTransId="{D61F0250-9B52-43AD-85B7-702626558915}"/>
    <dgm:cxn modelId="{AE579ADB-78DA-4A5A-B4C3-43026C7CFB5C}" type="presOf" srcId="{F3566B34-F60A-4009-978D-32DAFF94AD02}" destId="{39BB9AB1-3A61-453F-B231-98D464FD5EDD}" srcOrd="0" destOrd="8" presId="urn:microsoft.com/office/officeart/2005/8/layout/hProcess7"/>
    <dgm:cxn modelId="{5B8199E2-2A93-474C-9EBA-936CFA4C3E15}" type="presOf" srcId="{3B649C3D-2C17-4017-9899-7FA1594CA1CC}" destId="{F17FD801-69BD-4ECC-A36E-F28A3E8682E1}" srcOrd="1" destOrd="0" presId="urn:microsoft.com/office/officeart/2005/8/layout/hProcess7"/>
    <dgm:cxn modelId="{4B39CCE5-BFE8-40C7-ABA1-1835D5D6DB16}" type="presOf" srcId="{3B649C3D-2C17-4017-9899-7FA1594CA1CC}" destId="{4395670E-8DBC-4395-BB38-EF659C71AA25}" srcOrd="0" destOrd="0" presId="urn:microsoft.com/office/officeart/2005/8/layout/hProcess7"/>
    <dgm:cxn modelId="{AA05C7E9-C72B-42EB-9AE6-207204E4E8EF}" srcId="{3B649C3D-2C17-4017-9899-7FA1594CA1CC}" destId="{673F5A4B-6876-4292-B7B0-E85781FAAE9F}" srcOrd="3" destOrd="0" parTransId="{62C0E350-A748-44AA-8004-605DD37595F5}" sibTransId="{12F829BB-18C5-4379-90A1-6376A7BA6847}"/>
    <dgm:cxn modelId="{36BC34EC-F287-47CB-9374-A7101AFADA85}" srcId="{C1B64A8C-1D2D-4580-9D8B-19859210B2C4}" destId="{23E32635-10C9-4C66-833A-2081FB2EB5EA}" srcOrd="2" destOrd="0" parTransId="{2035102B-39F2-485F-88F1-B9A57B32BF9A}" sibTransId="{048A81D2-69E0-4AD1-914F-5216D54056D8}"/>
    <dgm:cxn modelId="{FFC2E9F3-6095-454F-BCB1-8796F4185E6F}" srcId="{3B649C3D-2C17-4017-9899-7FA1594CA1CC}" destId="{5F1F5691-A985-43A9-99BA-E94ABD9FFB7C}" srcOrd="7" destOrd="0" parTransId="{F1BBA27D-DCA4-4E57-A321-EA4DA813C6D8}" sibTransId="{DEA23E13-D6E9-4760-B762-B427723909E4}"/>
    <dgm:cxn modelId="{686EF3F9-D24D-4AAD-9106-5F514E6368C3}" type="presOf" srcId="{F6AB8458-BE0B-4378-BAB3-05B04341E319}" destId="{A045B125-1AAC-4EBB-B444-999B4D9FD76C}" srcOrd="0" destOrd="0" presId="urn:microsoft.com/office/officeart/2005/8/layout/hProcess7"/>
    <dgm:cxn modelId="{857CF5FC-7440-492B-94F3-AABB621F44B5}" type="presOf" srcId="{F2FD8781-31D2-4580-9DE8-449B9F4D2505}" destId="{A045B125-1AAC-4EBB-B444-999B4D9FD76C}" srcOrd="0" destOrd="3" presId="urn:microsoft.com/office/officeart/2005/8/layout/hProcess7"/>
    <dgm:cxn modelId="{82EBAEFD-393A-43BD-875F-12CB54CDCF19}" srcId="{3B649C3D-2C17-4017-9899-7FA1594CA1CC}" destId="{7F7C532D-D610-48D7-9FD7-146F089F5FB2}" srcOrd="1" destOrd="0" parTransId="{A2C46738-D42E-46E9-9137-38CC1720BE7B}" sibTransId="{E844708F-26E4-4261-989C-9B8A3D2E6EA6}"/>
    <dgm:cxn modelId="{2CA538FF-57B7-4421-8AC1-CFD396FBDB80}" type="presParOf" srcId="{C834922D-0535-4F69-9D98-35817F48BF2B}" destId="{2D780D10-913F-4957-9F5E-3AFD470FEE16}" srcOrd="0" destOrd="0" presId="urn:microsoft.com/office/officeart/2005/8/layout/hProcess7"/>
    <dgm:cxn modelId="{15163FF6-27FB-4485-9EAC-D96B52413788}" type="presParOf" srcId="{2D780D10-913F-4957-9F5E-3AFD470FEE16}" destId="{4395670E-8DBC-4395-BB38-EF659C71AA25}" srcOrd="0" destOrd="0" presId="urn:microsoft.com/office/officeart/2005/8/layout/hProcess7"/>
    <dgm:cxn modelId="{70D8ADE9-48A0-4C2C-911D-E55E929A5748}" type="presParOf" srcId="{2D780D10-913F-4957-9F5E-3AFD470FEE16}" destId="{F17FD801-69BD-4ECC-A36E-F28A3E8682E1}" srcOrd="1" destOrd="0" presId="urn:microsoft.com/office/officeart/2005/8/layout/hProcess7"/>
    <dgm:cxn modelId="{8A797BF9-8551-45F4-85BE-E4449971CB73}" type="presParOf" srcId="{2D780D10-913F-4957-9F5E-3AFD470FEE16}" destId="{39BB9AB1-3A61-453F-B231-98D464FD5EDD}" srcOrd="2" destOrd="0" presId="urn:microsoft.com/office/officeart/2005/8/layout/hProcess7"/>
    <dgm:cxn modelId="{B5DF95F5-B82E-489B-8B34-2A6816241D4A}" type="presParOf" srcId="{C834922D-0535-4F69-9D98-35817F48BF2B}" destId="{CE007C6A-EDF0-4173-82C6-C4E84E2EB0E6}" srcOrd="1" destOrd="0" presId="urn:microsoft.com/office/officeart/2005/8/layout/hProcess7"/>
    <dgm:cxn modelId="{886A2DB1-C473-45F9-95EA-C4218DFB89F5}" type="presParOf" srcId="{C834922D-0535-4F69-9D98-35817F48BF2B}" destId="{FEBA2D54-0B2F-4C00-BB25-EFDAEA79BFE0}" srcOrd="2" destOrd="0" presId="urn:microsoft.com/office/officeart/2005/8/layout/hProcess7"/>
    <dgm:cxn modelId="{B0B2F71D-00C5-42E5-A5BC-1F808753F3B2}" type="presParOf" srcId="{FEBA2D54-0B2F-4C00-BB25-EFDAEA79BFE0}" destId="{928F13DC-9809-40AA-ACC7-73C721B8F493}" srcOrd="0" destOrd="0" presId="urn:microsoft.com/office/officeart/2005/8/layout/hProcess7"/>
    <dgm:cxn modelId="{FE47335F-194A-4327-935E-C0D7FC7B73B2}" type="presParOf" srcId="{FEBA2D54-0B2F-4C00-BB25-EFDAEA79BFE0}" destId="{4CB86EB9-1637-413E-BFC7-7012CBD6C28D}" srcOrd="1" destOrd="0" presId="urn:microsoft.com/office/officeart/2005/8/layout/hProcess7"/>
    <dgm:cxn modelId="{09F228EF-5181-42A4-8193-A4B182E33508}" type="presParOf" srcId="{FEBA2D54-0B2F-4C00-BB25-EFDAEA79BFE0}" destId="{263E0347-CB7F-4245-9358-3EF2622CF6FD}" srcOrd="2" destOrd="0" presId="urn:microsoft.com/office/officeart/2005/8/layout/hProcess7"/>
    <dgm:cxn modelId="{B24A20EB-1B2E-4DBC-BBF0-915EBA751B05}" type="presParOf" srcId="{C834922D-0535-4F69-9D98-35817F48BF2B}" destId="{09E04D2F-FF6D-4E9E-8267-B5ACA6BF9C4D}" srcOrd="3" destOrd="0" presId="urn:microsoft.com/office/officeart/2005/8/layout/hProcess7"/>
    <dgm:cxn modelId="{8249C99D-C657-481B-966D-41E2D7A0A32C}" type="presParOf" srcId="{C834922D-0535-4F69-9D98-35817F48BF2B}" destId="{B61E5E0F-3CDD-4F0C-9900-633E2EF937F7}" srcOrd="4" destOrd="0" presId="urn:microsoft.com/office/officeart/2005/8/layout/hProcess7"/>
    <dgm:cxn modelId="{2F0085CF-180B-4DBC-B59F-E2BCA7C8EA6A}" type="presParOf" srcId="{B61E5E0F-3CDD-4F0C-9900-633E2EF937F7}" destId="{2E3DDD08-58A3-4E25-B2DC-2F076F5980BB}" srcOrd="0" destOrd="0" presId="urn:microsoft.com/office/officeart/2005/8/layout/hProcess7"/>
    <dgm:cxn modelId="{9D860683-4138-4610-8C52-C3854BDD6400}" type="presParOf" srcId="{B61E5E0F-3CDD-4F0C-9900-633E2EF937F7}" destId="{8F066C72-3B40-46EC-88C9-DB2BDF678CB2}" srcOrd="1" destOrd="0" presId="urn:microsoft.com/office/officeart/2005/8/layout/hProcess7"/>
    <dgm:cxn modelId="{9F69D882-F288-4936-ADDF-A78706EDEAF8}" type="presParOf" srcId="{B61E5E0F-3CDD-4F0C-9900-633E2EF937F7}" destId="{A045B125-1AAC-4EBB-B444-999B4D9FD76C}" srcOrd="2" destOrd="0" presId="urn:microsoft.com/office/officeart/2005/8/layout/hProcess7"/>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95670E-8DBC-4395-BB38-EF659C71AA25}">
      <dsp:nvSpPr>
        <dsp:cNvPr id="0" name=""/>
        <dsp:cNvSpPr/>
      </dsp:nvSpPr>
      <dsp:spPr>
        <a:xfrm>
          <a:off x="943" y="0"/>
          <a:ext cx="2401775" cy="2457450"/>
        </a:xfrm>
        <a:prstGeom prst="roundRect">
          <a:avLst>
            <a:gd name="adj" fmla="val 5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marL="0" lvl="0" indent="0" algn="r" defTabSz="800100">
            <a:lnSpc>
              <a:spcPct val="90000"/>
            </a:lnSpc>
            <a:spcBef>
              <a:spcPct val="0"/>
            </a:spcBef>
            <a:spcAft>
              <a:spcPct val="35000"/>
            </a:spcAft>
            <a:buNone/>
          </a:pPr>
          <a:r>
            <a:rPr lang="en-US" sz="1800" kern="1200" dirty="0">
              <a:effectLst/>
              <a:latin typeface="Arial" panose="020B0604020202020204" pitchFamily="34" charset="0"/>
              <a:cs typeface="Arial" panose="020B0604020202020204" pitchFamily="34" charset="0"/>
            </a:rPr>
            <a:t>DAWG Meeting</a:t>
          </a:r>
        </a:p>
      </dsp:txBody>
      <dsp:txXfrm rot="16200000">
        <a:off x="-766433" y="767376"/>
        <a:ext cx="2015109" cy="480355"/>
      </dsp:txXfrm>
    </dsp:sp>
    <dsp:sp modelId="{39BB9AB1-3A61-453F-B231-98D464FD5EDD}">
      <dsp:nvSpPr>
        <dsp:cNvPr id="0" name=""/>
        <dsp:cNvSpPr/>
      </dsp:nvSpPr>
      <dsp:spPr>
        <a:xfrm>
          <a:off x="481298" y="0"/>
          <a:ext cx="1789323" cy="24574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cs typeface="Arial" panose="020B0604020202020204" pitchFamily="34" charset="0"/>
            </a:rPr>
            <a:t>Audits</a:t>
          </a:r>
          <a:endParaRPr lang="en-US" sz="1200" b="0" kern="1200" dirty="0">
            <a:effectLst/>
            <a:latin typeface="Arial" panose="020B0604020202020204" pitchFamily="34" charset="0"/>
            <a:cs typeface="Arial" panose="020B0604020202020204" pitchFamily="34" charset="0"/>
          </a:endParaRPr>
        </a:p>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cs typeface="Arial" panose="020B0604020202020204" pitchFamily="34" charset="0"/>
            </a:rPr>
            <a:t>Mailed Feedback</a:t>
          </a:r>
          <a:endParaRPr lang="en-US" sz="1200" kern="1200" dirty="0">
            <a:effectLst/>
            <a:latin typeface="Arial" panose="020B0604020202020204" pitchFamily="34" charset="0"/>
            <a:cs typeface="Arial" panose="020B0604020202020204" pitchFamily="34" charset="0"/>
          </a:endParaRPr>
        </a:p>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cs typeface="Arial" panose="020B0604020202020204" pitchFamily="34" charset="0"/>
            </a:rPr>
            <a:t>Real-Time Feedback</a:t>
          </a:r>
          <a:endParaRPr lang="en-US" sz="1200" kern="1200" dirty="0">
            <a:effectLst/>
            <a:latin typeface="Arial" panose="020B0604020202020204" pitchFamily="34" charset="0"/>
            <a:cs typeface="Arial" panose="020B0604020202020204" pitchFamily="34" charset="0"/>
          </a:endParaRPr>
        </a:p>
        <a:p>
          <a:pPr marL="0" marR="0" lvl="0" indent="0" algn="l" defTabSz="914400" eaLnBrk="1" fontAlgn="auto" latinLnBrk="0" hangingPunct="1">
            <a:lnSpc>
              <a:spcPct val="100000"/>
            </a:lnSpc>
            <a:spcBef>
              <a:spcPct val="0"/>
            </a:spcBef>
            <a:spcAft>
              <a:spcPts val="600"/>
            </a:spcAft>
            <a:buClrTx/>
            <a:buSzTx/>
            <a:buFontTx/>
            <a:buNone/>
            <a:tabLst/>
            <a:defRPr/>
          </a:pPr>
          <a:r>
            <a:rPr lang="en-US" sz="1200" b="0" i="0" u="none" kern="1200" dirty="0">
              <a:effectLst/>
              <a:latin typeface="Arial" panose="020B0604020202020204" pitchFamily="34" charset="0"/>
              <a:cs typeface="Arial" panose="020B0604020202020204" pitchFamily="34" charset="0"/>
            </a:rPr>
            <a:t>Web-Based</a:t>
          </a:r>
          <a:r>
            <a:rPr lang="en-US" sz="1200" b="0" i="0" u="none" kern="1200" baseline="0" dirty="0">
              <a:effectLst/>
              <a:latin typeface="Arial" panose="020B0604020202020204" pitchFamily="34" charset="0"/>
              <a:cs typeface="Arial" panose="020B0604020202020204" pitchFamily="34" charset="0"/>
            </a:rPr>
            <a:t> Feedback</a:t>
          </a:r>
        </a:p>
        <a:p>
          <a:pPr marL="0" marR="0" lvl="0" indent="0" algn="l" defTabSz="914400" eaLnBrk="1" fontAlgn="auto" latinLnBrk="0" hangingPunct="1">
            <a:lnSpc>
              <a:spcPct val="100000"/>
            </a:lnSpc>
            <a:spcBef>
              <a:spcPct val="0"/>
            </a:spcBef>
            <a:spcAft>
              <a:spcPts val="600"/>
            </a:spcAft>
            <a:buClrTx/>
            <a:buSzTx/>
            <a:buFontTx/>
            <a:buNone/>
            <a:tabLst/>
            <a:defRPr/>
          </a:pPr>
          <a:r>
            <a:rPr lang="en-US" sz="1200" b="0" i="0" u="none" kern="1200" dirty="0">
              <a:effectLst/>
              <a:latin typeface="Arial" panose="020B0604020202020204" pitchFamily="34" charset="0"/>
              <a:cs typeface="Arial" panose="020B0604020202020204" pitchFamily="34" charset="0"/>
            </a:rPr>
            <a:t>Prepay (e.g. </a:t>
          </a:r>
          <a:r>
            <a:rPr lang="en-US" sz="1200" b="0" i="0" u="none" kern="1200" dirty="0" err="1">
              <a:effectLst/>
              <a:latin typeface="Arial" panose="020B0604020202020204" pitchFamily="34" charset="0"/>
              <a:cs typeface="Arial" panose="020B0604020202020204" pitchFamily="34" charset="0"/>
            </a:rPr>
            <a:t>mPower</a:t>
          </a:r>
          <a:r>
            <a:rPr lang="en-US" sz="1200" b="0" i="0" u="none" kern="1200" dirty="0">
              <a:effectLst/>
              <a:latin typeface="Arial" panose="020B0604020202020204" pitchFamily="34" charset="0"/>
              <a:cs typeface="Arial" panose="020B0604020202020204" pitchFamily="34" charset="0"/>
            </a:rPr>
            <a:t>)</a:t>
          </a:r>
          <a:endParaRPr lang="en-US" sz="1200" kern="1200" dirty="0">
            <a:effectLst/>
            <a:latin typeface="Arial" panose="020B0604020202020204" pitchFamily="34" charset="0"/>
            <a:cs typeface="Arial" panose="020B0604020202020204" pitchFamily="34" charset="0"/>
          </a:endParaRPr>
        </a:p>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cs typeface="Arial" panose="020B0604020202020204" pitchFamily="34" charset="0"/>
            </a:rPr>
            <a:t>Smart Thermostats</a:t>
          </a:r>
          <a:endParaRPr lang="en-US" sz="1200" kern="1200" dirty="0">
            <a:effectLst/>
            <a:latin typeface="Arial" panose="020B0604020202020204" pitchFamily="34" charset="0"/>
            <a:cs typeface="Arial" panose="020B0604020202020204" pitchFamily="34" charset="0"/>
          </a:endParaRPr>
        </a:p>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cs typeface="Arial" panose="020B0604020202020204" pitchFamily="34" charset="0"/>
            </a:rPr>
            <a:t>Challenges/Competitions</a:t>
          </a:r>
          <a:endParaRPr lang="en-US" sz="1200" kern="1200" dirty="0">
            <a:effectLst/>
            <a:latin typeface="Arial" panose="020B0604020202020204" pitchFamily="34" charset="0"/>
            <a:cs typeface="Arial" panose="020B0604020202020204" pitchFamily="34" charset="0"/>
          </a:endParaRPr>
        </a:p>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cs typeface="Arial" panose="020B0604020202020204" pitchFamily="34" charset="0"/>
            </a:rPr>
            <a:t>Community-</a:t>
          </a:r>
          <a:r>
            <a:rPr lang="en-US" sz="1200" b="0" i="0" u="none" kern="1200" baseline="0" dirty="0">
              <a:effectLst/>
              <a:latin typeface="Arial" panose="020B0604020202020204" pitchFamily="34" charset="0"/>
              <a:cs typeface="Arial" panose="020B0604020202020204" pitchFamily="34" charset="0"/>
            </a:rPr>
            <a:t>Based Social Marketing</a:t>
          </a:r>
          <a:endParaRPr lang="en-US" sz="1200" kern="1200" dirty="0">
            <a:effectLst/>
            <a:latin typeface="Arial" panose="020B0604020202020204" pitchFamily="34" charset="0"/>
            <a:cs typeface="Arial" panose="020B0604020202020204" pitchFamily="34" charset="0"/>
          </a:endParaRPr>
        </a:p>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cs typeface="Arial" panose="020B0604020202020204" pitchFamily="34" charset="0"/>
            </a:rPr>
            <a:t>Social Media</a:t>
          </a:r>
        </a:p>
      </dsp:txBody>
      <dsp:txXfrm>
        <a:off x="481298" y="0"/>
        <a:ext cx="1789323" cy="2457450"/>
      </dsp:txXfrm>
    </dsp:sp>
    <dsp:sp modelId="{2E3DDD08-58A3-4E25-B2DC-2F076F5980BB}">
      <dsp:nvSpPr>
        <dsp:cNvPr id="0" name=""/>
        <dsp:cNvSpPr/>
      </dsp:nvSpPr>
      <dsp:spPr>
        <a:xfrm>
          <a:off x="2486781" y="0"/>
          <a:ext cx="2401775" cy="2457450"/>
        </a:xfrm>
        <a:prstGeom prst="roundRect">
          <a:avLst>
            <a:gd name="adj" fmla="val 5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marL="0" lvl="0" indent="0" algn="r" defTabSz="800100">
            <a:lnSpc>
              <a:spcPct val="90000"/>
            </a:lnSpc>
            <a:spcBef>
              <a:spcPct val="0"/>
            </a:spcBef>
            <a:spcAft>
              <a:spcPct val="35000"/>
            </a:spcAft>
            <a:buNone/>
          </a:pPr>
          <a:r>
            <a:rPr lang="en-US" sz="1800" kern="1200" dirty="0">
              <a:effectLst/>
              <a:latin typeface="Arial" panose="020B0604020202020204" pitchFamily="34" charset="0"/>
              <a:cs typeface="Arial" panose="020B0604020202020204" pitchFamily="34" charset="0"/>
            </a:rPr>
            <a:t>Final Model</a:t>
          </a:r>
        </a:p>
      </dsp:txBody>
      <dsp:txXfrm rot="16200000">
        <a:off x="1719404" y="767376"/>
        <a:ext cx="2015109" cy="480355"/>
      </dsp:txXfrm>
    </dsp:sp>
    <dsp:sp modelId="{4CB86EB9-1637-413E-BFC7-7012CBD6C28D}">
      <dsp:nvSpPr>
        <dsp:cNvPr id="0" name=""/>
        <dsp:cNvSpPr/>
      </dsp:nvSpPr>
      <dsp:spPr>
        <a:xfrm rot="5400000">
          <a:off x="2318119" y="1927687"/>
          <a:ext cx="361340" cy="360266"/>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045B125-1AAC-4EBB-B444-999B4D9FD76C}">
      <dsp:nvSpPr>
        <dsp:cNvPr id="0" name=""/>
        <dsp:cNvSpPr/>
      </dsp:nvSpPr>
      <dsp:spPr>
        <a:xfrm>
          <a:off x="2967136" y="0"/>
          <a:ext cx="1789323" cy="24574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ea typeface="+mn-ea"/>
              <a:cs typeface="Arial" panose="020B0604020202020204" pitchFamily="34" charset="0"/>
            </a:rPr>
            <a:t>Home Energy Reports</a:t>
          </a:r>
        </a:p>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ea typeface="+mn-ea"/>
              <a:cs typeface="Arial" panose="020B0604020202020204" pitchFamily="34" charset="0"/>
            </a:rPr>
            <a:t>Web-Based Real-Time Feedback</a:t>
          </a:r>
        </a:p>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ea typeface="+mn-ea"/>
              <a:cs typeface="Arial" panose="020B0604020202020204" pitchFamily="34" charset="0"/>
            </a:rPr>
            <a:t>*In Home Display </a:t>
          </a:r>
          <a:br>
            <a:rPr lang="en-US" sz="1200" b="0" i="0" u="none" kern="1200" dirty="0">
              <a:effectLst/>
              <a:latin typeface="Arial" panose="020B0604020202020204" pitchFamily="34" charset="0"/>
              <a:ea typeface="+mn-ea"/>
              <a:cs typeface="Arial" panose="020B0604020202020204" pitchFamily="34" charset="0"/>
            </a:rPr>
          </a:br>
          <a:r>
            <a:rPr lang="en-US" sz="1200" b="0" i="0" u="none" kern="1200" dirty="0">
              <a:effectLst/>
              <a:latin typeface="Arial" panose="020B0604020202020204" pitchFamily="34" charset="0"/>
              <a:ea typeface="+mn-ea"/>
              <a:cs typeface="Arial" panose="020B0604020202020204" pitchFamily="34" charset="0"/>
            </a:rPr>
            <a:t>Real-Time Feedback</a:t>
          </a:r>
        </a:p>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ea typeface="+mn-ea"/>
              <a:cs typeface="Arial" panose="020B0604020202020204" pitchFamily="34" charset="0"/>
            </a:rPr>
            <a:t>Small Residential Competitions</a:t>
          </a:r>
        </a:p>
        <a:p>
          <a:pPr marL="0" lvl="0" indent="0" algn="l" defTabSz="977900">
            <a:lnSpc>
              <a:spcPct val="100000"/>
            </a:lnSpc>
            <a:spcBef>
              <a:spcPct val="0"/>
            </a:spcBef>
            <a:spcAft>
              <a:spcPts val="600"/>
            </a:spcAft>
            <a:buNone/>
          </a:pPr>
          <a:r>
            <a:rPr lang="en-US" sz="1200" b="0" i="0" u="none" kern="1200" dirty="0">
              <a:effectLst/>
              <a:latin typeface="Arial" panose="020B0604020202020204" pitchFamily="34" charset="0"/>
              <a:ea typeface="+mn-ea"/>
              <a:cs typeface="Arial" panose="020B0604020202020204" pitchFamily="34" charset="0"/>
            </a:rPr>
            <a:t>Large Residential Competitions</a:t>
          </a:r>
        </a:p>
      </dsp:txBody>
      <dsp:txXfrm>
        <a:off x="2967136" y="0"/>
        <a:ext cx="1789323" cy="24574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95670E-8DBC-4395-BB38-EF659C71AA25}">
      <dsp:nvSpPr>
        <dsp:cNvPr id="0" name=""/>
        <dsp:cNvSpPr/>
      </dsp:nvSpPr>
      <dsp:spPr>
        <a:xfrm>
          <a:off x="958" y="0"/>
          <a:ext cx="2441077" cy="2705100"/>
        </a:xfrm>
        <a:prstGeom prst="roundRect">
          <a:avLst>
            <a:gd name="adj" fmla="val 5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marL="0" lvl="0" indent="0" algn="r" defTabSz="800100">
            <a:lnSpc>
              <a:spcPct val="90000"/>
            </a:lnSpc>
            <a:spcBef>
              <a:spcPct val="0"/>
            </a:spcBef>
            <a:spcAft>
              <a:spcPct val="35000"/>
            </a:spcAft>
            <a:buNone/>
          </a:pPr>
          <a:r>
            <a:rPr lang="en-US" sz="1800" b="0" kern="1200" dirty="0">
              <a:ln/>
              <a:effectLst/>
              <a:latin typeface="Arial" panose="020B0604020202020204" pitchFamily="34" charset="0"/>
              <a:cs typeface="Arial" panose="020B0604020202020204" pitchFamily="34" charset="0"/>
            </a:rPr>
            <a:t>DAWG Meeting</a:t>
          </a:r>
        </a:p>
      </dsp:txBody>
      <dsp:txXfrm rot="16200000">
        <a:off x="-864024" y="864983"/>
        <a:ext cx="2218182" cy="488215"/>
      </dsp:txXfrm>
    </dsp:sp>
    <dsp:sp modelId="{39BB9AB1-3A61-453F-B231-98D464FD5EDD}">
      <dsp:nvSpPr>
        <dsp:cNvPr id="0" name=""/>
        <dsp:cNvSpPr/>
      </dsp:nvSpPr>
      <dsp:spPr>
        <a:xfrm>
          <a:off x="489174" y="0"/>
          <a:ext cx="1818602" cy="270510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US" sz="1200" b="0" i="0" u="none" kern="1200" dirty="0">
              <a:ln/>
              <a:effectLst/>
              <a:latin typeface="Arial" panose="020B0604020202020204" pitchFamily="34" charset="0"/>
              <a:cs typeface="Arial" panose="020B0604020202020204" pitchFamily="34" charset="0"/>
            </a:rPr>
            <a:t>Audits</a:t>
          </a:r>
          <a:endParaRPr lang="en-US" sz="1200" b="0" kern="1200" dirty="0">
            <a:ln/>
            <a:effectLst/>
            <a:latin typeface="Arial" panose="020B0604020202020204" pitchFamily="34" charset="0"/>
            <a:cs typeface="Arial" panose="020B0604020202020204" pitchFamily="34" charset="0"/>
          </a:endParaRPr>
        </a:p>
        <a:p>
          <a:pPr marL="0" lvl="0" indent="0" algn="l" defTabSz="533400">
            <a:lnSpc>
              <a:spcPct val="90000"/>
            </a:lnSpc>
            <a:spcBef>
              <a:spcPct val="0"/>
            </a:spcBef>
            <a:spcAft>
              <a:spcPct val="35000"/>
            </a:spcAft>
            <a:buNone/>
          </a:pPr>
          <a:r>
            <a:rPr lang="en-US" sz="1200" b="0" i="0" u="none" kern="1200" dirty="0">
              <a:ln/>
              <a:effectLst/>
              <a:latin typeface="Arial" panose="020B0604020202020204" pitchFamily="34" charset="0"/>
              <a:cs typeface="Arial" panose="020B0604020202020204" pitchFamily="34" charset="0"/>
            </a:rPr>
            <a:t>Building Operator Training</a:t>
          </a:r>
        </a:p>
        <a:p>
          <a:pPr marL="0" lvl="0" indent="0" algn="l" defTabSz="533400">
            <a:lnSpc>
              <a:spcPct val="90000"/>
            </a:lnSpc>
            <a:spcBef>
              <a:spcPct val="0"/>
            </a:spcBef>
            <a:spcAft>
              <a:spcPct val="35000"/>
            </a:spcAft>
            <a:buNone/>
          </a:pPr>
          <a:r>
            <a:rPr lang="en-US" sz="1200" b="0" i="0" u="none" kern="1200" dirty="0">
              <a:ln/>
              <a:effectLst/>
              <a:latin typeface="Arial" panose="020B0604020202020204" pitchFamily="34" charset="0"/>
              <a:cs typeface="Arial" panose="020B0604020202020204" pitchFamily="34" charset="0"/>
            </a:rPr>
            <a:t>Feedback /</a:t>
          </a:r>
          <a:r>
            <a:rPr lang="en-US" sz="1200" b="0" i="0" u="none" kern="1200" baseline="0" dirty="0">
              <a:ln/>
              <a:effectLst/>
              <a:latin typeface="Arial" panose="020B0604020202020204" pitchFamily="34" charset="0"/>
              <a:cs typeface="Arial" panose="020B0604020202020204" pitchFamily="34" charset="0"/>
            </a:rPr>
            <a:t> Business Energy Reports / BEIMS</a:t>
          </a:r>
          <a:endParaRPr lang="en-US" sz="1200" b="0" i="0" u="none" kern="1200" dirty="0">
            <a:ln/>
            <a:effectLst/>
            <a:latin typeface="Arial" panose="020B0604020202020204" pitchFamily="34" charset="0"/>
            <a:cs typeface="Arial" panose="020B0604020202020204" pitchFamily="34" charset="0"/>
          </a:endParaRPr>
        </a:p>
        <a:p>
          <a:pPr marL="0" lvl="0" indent="0" algn="l" defTabSz="533400">
            <a:lnSpc>
              <a:spcPct val="90000"/>
            </a:lnSpc>
            <a:spcBef>
              <a:spcPct val="0"/>
            </a:spcBef>
            <a:spcAft>
              <a:spcPct val="35000"/>
            </a:spcAft>
            <a:buNone/>
          </a:pPr>
          <a:r>
            <a:rPr lang="en-US" sz="1200" b="0" i="0" u="none" kern="1200" dirty="0">
              <a:ln/>
              <a:effectLst/>
              <a:latin typeface="Arial" panose="020B0604020202020204" pitchFamily="34" charset="0"/>
              <a:cs typeface="Arial" panose="020B0604020202020204" pitchFamily="34" charset="0"/>
            </a:rPr>
            <a:t>Challenges/Competitions</a:t>
          </a:r>
        </a:p>
        <a:p>
          <a:pPr marL="0" lvl="0" indent="0" algn="l" defTabSz="533400">
            <a:lnSpc>
              <a:spcPct val="90000"/>
            </a:lnSpc>
            <a:spcBef>
              <a:spcPct val="0"/>
            </a:spcBef>
            <a:spcAft>
              <a:spcPct val="35000"/>
            </a:spcAft>
            <a:buNone/>
          </a:pPr>
          <a:r>
            <a:rPr lang="en-US" sz="1200" b="0" i="0" u="none" kern="1200" dirty="0">
              <a:ln/>
              <a:effectLst/>
              <a:latin typeface="Arial" panose="020B0604020202020204" pitchFamily="34" charset="0"/>
              <a:cs typeface="Arial" panose="020B0604020202020204" pitchFamily="34" charset="0"/>
            </a:rPr>
            <a:t>Community-Based Social Media</a:t>
          </a:r>
        </a:p>
        <a:p>
          <a:pPr marL="0" lvl="0" indent="0" algn="l" defTabSz="533400">
            <a:lnSpc>
              <a:spcPct val="90000"/>
            </a:lnSpc>
            <a:spcBef>
              <a:spcPct val="0"/>
            </a:spcBef>
            <a:spcAft>
              <a:spcPct val="35000"/>
            </a:spcAft>
            <a:buNone/>
          </a:pPr>
          <a:r>
            <a:rPr lang="en-US" sz="1200" b="0" i="0" u="none" kern="1200" dirty="0">
              <a:ln/>
              <a:effectLst/>
              <a:latin typeface="Arial" panose="020B0604020202020204" pitchFamily="34" charset="0"/>
              <a:cs typeface="Arial" panose="020B0604020202020204" pitchFamily="34" charset="0"/>
            </a:rPr>
            <a:t>Strategic Energy Management</a:t>
          </a:r>
        </a:p>
        <a:p>
          <a:pPr marL="0" lvl="0" indent="0" algn="l" defTabSz="533400">
            <a:lnSpc>
              <a:spcPct val="90000"/>
            </a:lnSpc>
            <a:spcBef>
              <a:spcPct val="0"/>
            </a:spcBef>
            <a:spcAft>
              <a:spcPct val="35000"/>
            </a:spcAft>
            <a:buNone/>
          </a:pPr>
          <a:r>
            <a:rPr lang="en-US" sz="1200" b="0" i="0" u="none" kern="1200" dirty="0">
              <a:ln/>
              <a:effectLst/>
              <a:latin typeface="Arial" panose="020B0604020202020204" pitchFamily="34" charset="0"/>
              <a:cs typeface="Arial" panose="020B0604020202020204" pitchFamily="34" charset="0"/>
            </a:rPr>
            <a:t>Green Leases</a:t>
          </a:r>
        </a:p>
        <a:p>
          <a:pPr marL="0" lvl="0" indent="0" algn="l" defTabSz="533400">
            <a:lnSpc>
              <a:spcPct val="90000"/>
            </a:lnSpc>
            <a:spcBef>
              <a:spcPct val="0"/>
            </a:spcBef>
            <a:spcAft>
              <a:spcPct val="35000"/>
            </a:spcAft>
            <a:buNone/>
          </a:pPr>
          <a:r>
            <a:rPr lang="en-US" sz="1200" b="0" i="0" u="none" kern="1200" dirty="0">
              <a:ln/>
              <a:effectLst/>
              <a:latin typeface="Arial" panose="020B0604020202020204" pitchFamily="34" charset="0"/>
              <a:cs typeface="Arial" panose="020B0604020202020204" pitchFamily="34" charset="0"/>
            </a:rPr>
            <a:t>Building</a:t>
          </a:r>
          <a:r>
            <a:rPr lang="en-US" sz="1200" b="0" i="0" u="none" kern="1200" baseline="0" dirty="0">
              <a:ln/>
              <a:effectLst/>
              <a:latin typeface="Arial" panose="020B0604020202020204" pitchFamily="34" charset="0"/>
              <a:cs typeface="Arial" panose="020B0604020202020204" pitchFamily="34" charset="0"/>
            </a:rPr>
            <a:t> Benchmarking</a:t>
          </a:r>
          <a:endParaRPr lang="en-US" sz="1200" b="0" i="0" u="none" kern="1200" dirty="0">
            <a:ln/>
            <a:effectLst/>
            <a:latin typeface="Arial" panose="020B0604020202020204" pitchFamily="34" charset="0"/>
            <a:cs typeface="Arial" panose="020B0604020202020204" pitchFamily="34" charset="0"/>
          </a:endParaRPr>
        </a:p>
        <a:p>
          <a:pPr marL="0" lvl="0" indent="0" algn="l" defTabSz="533400">
            <a:lnSpc>
              <a:spcPct val="90000"/>
            </a:lnSpc>
            <a:spcBef>
              <a:spcPct val="0"/>
            </a:spcBef>
            <a:spcAft>
              <a:spcPct val="35000"/>
            </a:spcAft>
            <a:buNone/>
          </a:pPr>
          <a:r>
            <a:rPr lang="en-US" sz="1200" b="0" i="0" u="none" kern="1200" dirty="0">
              <a:ln/>
              <a:effectLst/>
              <a:latin typeface="Arial" panose="020B0604020202020204" pitchFamily="34" charset="0"/>
              <a:cs typeface="Arial" panose="020B0604020202020204" pitchFamily="34" charset="0"/>
            </a:rPr>
            <a:t>Tenant-Operator</a:t>
          </a:r>
          <a:r>
            <a:rPr lang="en-US" sz="1200" b="0" i="0" u="none" kern="1200" baseline="0" dirty="0">
              <a:ln/>
              <a:effectLst/>
              <a:latin typeface="Arial" panose="020B0604020202020204" pitchFamily="34" charset="0"/>
              <a:cs typeface="Arial" panose="020B0604020202020204" pitchFamily="34" charset="0"/>
            </a:rPr>
            <a:t> Engagement (COMFY)</a:t>
          </a:r>
          <a:endParaRPr lang="en-US" sz="1200" b="0" i="0" u="none" kern="1200" dirty="0">
            <a:ln/>
            <a:effectLst/>
            <a:latin typeface="Arial" panose="020B0604020202020204" pitchFamily="34" charset="0"/>
            <a:cs typeface="Arial" panose="020B0604020202020204" pitchFamily="34" charset="0"/>
          </a:endParaRPr>
        </a:p>
      </dsp:txBody>
      <dsp:txXfrm>
        <a:off x="489174" y="0"/>
        <a:ext cx="1818602" cy="2705100"/>
      </dsp:txXfrm>
    </dsp:sp>
    <dsp:sp modelId="{2E3DDD08-58A3-4E25-B2DC-2F076F5980BB}">
      <dsp:nvSpPr>
        <dsp:cNvPr id="0" name=""/>
        <dsp:cNvSpPr/>
      </dsp:nvSpPr>
      <dsp:spPr>
        <a:xfrm>
          <a:off x="2527473" y="0"/>
          <a:ext cx="2441077" cy="2705100"/>
        </a:xfrm>
        <a:prstGeom prst="roundRect">
          <a:avLst>
            <a:gd name="adj" fmla="val 5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marL="0" lvl="0" indent="0" algn="r" defTabSz="800100">
            <a:lnSpc>
              <a:spcPct val="90000"/>
            </a:lnSpc>
            <a:spcBef>
              <a:spcPct val="0"/>
            </a:spcBef>
            <a:spcAft>
              <a:spcPct val="35000"/>
            </a:spcAft>
            <a:buNone/>
          </a:pPr>
          <a:r>
            <a:rPr lang="en-US" sz="1800" b="0" kern="1200" dirty="0">
              <a:ln/>
              <a:effectLst/>
              <a:latin typeface="Arial" panose="020B0604020202020204" pitchFamily="34" charset="0"/>
              <a:cs typeface="Arial" panose="020B0604020202020204" pitchFamily="34" charset="0"/>
            </a:rPr>
            <a:t>Final Model</a:t>
          </a:r>
        </a:p>
      </dsp:txBody>
      <dsp:txXfrm rot="16200000">
        <a:off x="1662490" y="864983"/>
        <a:ext cx="2218182" cy="488215"/>
      </dsp:txXfrm>
    </dsp:sp>
    <dsp:sp modelId="{4CB86EB9-1637-413E-BFC7-7012CBD6C28D}">
      <dsp:nvSpPr>
        <dsp:cNvPr id="0" name=""/>
        <dsp:cNvSpPr/>
      </dsp:nvSpPr>
      <dsp:spPr>
        <a:xfrm rot="5400000">
          <a:off x="2340947" y="2135457"/>
          <a:ext cx="397463" cy="366161"/>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045B125-1AAC-4EBB-B444-999B4D9FD76C}">
      <dsp:nvSpPr>
        <dsp:cNvPr id="0" name=""/>
        <dsp:cNvSpPr/>
      </dsp:nvSpPr>
      <dsp:spPr>
        <a:xfrm>
          <a:off x="3015689" y="0"/>
          <a:ext cx="1818602" cy="270510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marR="0" lvl="0" indent="0" algn="l" defTabSz="914400" eaLnBrk="1" fontAlgn="auto" latinLnBrk="0" hangingPunct="1">
            <a:lnSpc>
              <a:spcPct val="100000"/>
            </a:lnSpc>
            <a:spcBef>
              <a:spcPct val="0"/>
            </a:spcBef>
            <a:spcAft>
              <a:spcPts val="600"/>
            </a:spcAft>
            <a:buClrTx/>
            <a:buSzTx/>
            <a:buFontTx/>
            <a:buNone/>
            <a:tabLst/>
            <a:defRPr/>
          </a:pPr>
          <a:r>
            <a:rPr lang="en-US" sz="1200" b="0" kern="1200" dirty="0">
              <a:ln/>
              <a:effectLst/>
              <a:latin typeface="Arial" panose="020B0604020202020204" pitchFamily="34" charset="0"/>
              <a:cs typeface="Arial" panose="020B0604020202020204" pitchFamily="34" charset="0"/>
            </a:rPr>
            <a:t>Building Operator Certification</a:t>
          </a:r>
        </a:p>
        <a:p>
          <a:pPr marL="0" marR="0" lvl="0" indent="0" algn="l" defTabSz="933450" eaLnBrk="1" fontAlgn="auto" latinLnBrk="0" hangingPunct="1">
            <a:lnSpc>
              <a:spcPct val="100000"/>
            </a:lnSpc>
            <a:spcBef>
              <a:spcPct val="0"/>
            </a:spcBef>
            <a:spcAft>
              <a:spcPts val="600"/>
            </a:spcAft>
            <a:buClrTx/>
            <a:buSzTx/>
            <a:buFontTx/>
            <a:buNone/>
            <a:tabLst/>
            <a:defRPr/>
          </a:pPr>
          <a:r>
            <a:rPr lang="en-US" sz="1200" b="0" kern="1200" dirty="0">
              <a:ln/>
              <a:effectLst/>
              <a:latin typeface="Arial" panose="020B0604020202020204" pitchFamily="34" charset="0"/>
              <a:cs typeface="Arial" panose="020B0604020202020204" pitchFamily="34" charset="0"/>
            </a:rPr>
            <a:t>*Business Energy Reports</a:t>
          </a:r>
        </a:p>
        <a:p>
          <a:pPr marL="0" marR="0" lvl="0" indent="0" algn="l" defTabSz="933450" eaLnBrk="1" fontAlgn="auto" latinLnBrk="0" hangingPunct="1">
            <a:lnSpc>
              <a:spcPct val="100000"/>
            </a:lnSpc>
            <a:spcBef>
              <a:spcPct val="0"/>
            </a:spcBef>
            <a:spcAft>
              <a:spcPts val="600"/>
            </a:spcAft>
            <a:buClrTx/>
            <a:buSzTx/>
            <a:buFontTx/>
            <a:buNone/>
            <a:tabLst/>
            <a:defRPr/>
          </a:pPr>
          <a:r>
            <a:rPr lang="en-US" sz="1200" b="0" kern="1200" dirty="0">
              <a:ln/>
              <a:effectLst/>
              <a:latin typeface="Arial" panose="020B0604020202020204" pitchFamily="34" charset="0"/>
              <a:cs typeface="Arial" panose="020B0604020202020204" pitchFamily="34" charset="0"/>
            </a:rPr>
            <a:t>BEIMS</a:t>
          </a:r>
        </a:p>
        <a:p>
          <a:pPr marL="0" marR="0" lvl="0" indent="0" algn="l" defTabSz="933450" eaLnBrk="1" fontAlgn="auto" latinLnBrk="0" hangingPunct="1">
            <a:lnSpc>
              <a:spcPct val="100000"/>
            </a:lnSpc>
            <a:spcBef>
              <a:spcPct val="0"/>
            </a:spcBef>
            <a:spcAft>
              <a:spcPts val="600"/>
            </a:spcAft>
            <a:buClrTx/>
            <a:buSzTx/>
            <a:buFontTx/>
            <a:buNone/>
            <a:tabLst/>
            <a:defRPr/>
          </a:pPr>
          <a:r>
            <a:rPr lang="en-US" sz="1200" b="0" kern="1200" dirty="0">
              <a:ln/>
              <a:effectLst/>
              <a:latin typeface="Arial" panose="020B0604020202020204" pitchFamily="34" charset="0"/>
              <a:cs typeface="Arial" panose="020B0604020202020204" pitchFamily="34" charset="0"/>
            </a:rPr>
            <a:t>Commercial Competitions</a:t>
          </a:r>
        </a:p>
        <a:p>
          <a:pPr marL="0" marR="0" lvl="0" indent="0" algn="l" defTabSz="933450" eaLnBrk="1" fontAlgn="auto" latinLnBrk="0" hangingPunct="1">
            <a:lnSpc>
              <a:spcPct val="100000"/>
            </a:lnSpc>
            <a:spcBef>
              <a:spcPct val="0"/>
            </a:spcBef>
            <a:spcAft>
              <a:spcPts val="600"/>
            </a:spcAft>
            <a:buClrTx/>
            <a:buSzTx/>
            <a:buFontTx/>
            <a:buNone/>
            <a:tabLst/>
            <a:defRPr/>
          </a:pPr>
          <a:r>
            <a:rPr lang="en-US" sz="1200" b="0" kern="1200" dirty="0">
              <a:ln/>
              <a:effectLst/>
              <a:latin typeface="Arial" panose="020B0604020202020204" pitchFamily="34" charset="0"/>
              <a:cs typeface="Arial" panose="020B0604020202020204" pitchFamily="34" charset="0"/>
            </a:rPr>
            <a:t>Strategic Energy Management (including Industrial sector)</a:t>
          </a:r>
        </a:p>
        <a:p>
          <a:pPr marL="0" lvl="0" indent="0" algn="l" defTabSz="933450">
            <a:lnSpc>
              <a:spcPct val="100000"/>
            </a:lnSpc>
            <a:spcBef>
              <a:spcPct val="0"/>
            </a:spcBef>
            <a:spcAft>
              <a:spcPts val="600"/>
            </a:spcAft>
            <a:buNone/>
          </a:pPr>
          <a:r>
            <a:rPr lang="en-US" sz="1200" b="0" kern="1200" dirty="0">
              <a:ln/>
              <a:effectLst/>
              <a:latin typeface="Arial" panose="020B0604020202020204" pitchFamily="34" charset="0"/>
              <a:cs typeface="Arial" panose="020B0604020202020204" pitchFamily="34" charset="0"/>
            </a:rPr>
            <a:t>*Building Benchmarking</a:t>
          </a:r>
        </a:p>
        <a:p>
          <a:pPr marL="0" lvl="0" indent="0" algn="l" defTabSz="933450">
            <a:lnSpc>
              <a:spcPct val="100000"/>
            </a:lnSpc>
            <a:spcBef>
              <a:spcPct val="0"/>
            </a:spcBef>
            <a:spcAft>
              <a:spcPts val="600"/>
            </a:spcAft>
            <a:buNone/>
          </a:pPr>
          <a:r>
            <a:rPr lang="en-US" sz="1200" b="0" kern="1200" dirty="0" err="1">
              <a:ln/>
              <a:effectLst/>
              <a:latin typeface="Arial" panose="020B0604020202020204" pitchFamily="34" charset="0"/>
              <a:cs typeface="Arial" panose="020B0604020202020204" pitchFamily="34" charset="0"/>
            </a:rPr>
            <a:t>Retrocommissioning</a:t>
          </a:r>
          <a:endParaRPr lang="en-US" sz="1200" b="0" kern="1200" dirty="0">
            <a:ln/>
            <a:effectLst/>
            <a:latin typeface="Arial" panose="020B0604020202020204" pitchFamily="34" charset="0"/>
            <a:cs typeface="Arial" panose="020B0604020202020204" pitchFamily="34" charset="0"/>
          </a:endParaRPr>
        </a:p>
        <a:p>
          <a:pPr marL="0" lvl="0" indent="0" algn="l" defTabSz="933450">
            <a:lnSpc>
              <a:spcPct val="100000"/>
            </a:lnSpc>
            <a:spcBef>
              <a:spcPct val="0"/>
            </a:spcBef>
            <a:spcAft>
              <a:spcPts val="600"/>
            </a:spcAft>
            <a:buNone/>
          </a:pPr>
          <a:endParaRPr lang="en-US" sz="1200" b="0" kern="1200" dirty="0">
            <a:ln>
              <a:noFill/>
            </a:ln>
            <a:effectLst/>
            <a:latin typeface="Arial" panose="020B0604020202020204" pitchFamily="34" charset="0"/>
            <a:cs typeface="Arial" panose="020B0604020202020204" pitchFamily="34" charset="0"/>
          </a:endParaRPr>
        </a:p>
        <a:p>
          <a:pPr marL="0" lvl="0" indent="0" algn="l" defTabSz="933450">
            <a:lnSpc>
              <a:spcPct val="100000"/>
            </a:lnSpc>
            <a:spcBef>
              <a:spcPct val="0"/>
            </a:spcBef>
            <a:spcAft>
              <a:spcPts val="600"/>
            </a:spcAft>
            <a:buNone/>
          </a:pPr>
          <a:endParaRPr lang="en-US" sz="1200" b="0" kern="1200" dirty="0">
            <a:ln>
              <a:noFill/>
            </a:ln>
            <a:effectLst/>
            <a:latin typeface="Arial" panose="020B0604020202020204" pitchFamily="34" charset="0"/>
            <a:cs typeface="Arial" panose="020B0604020202020204" pitchFamily="34" charset="0"/>
          </a:endParaRPr>
        </a:p>
        <a:p>
          <a:pPr marL="0" lvl="0" indent="0" algn="l" defTabSz="933450">
            <a:lnSpc>
              <a:spcPct val="100000"/>
            </a:lnSpc>
            <a:spcBef>
              <a:spcPct val="0"/>
            </a:spcBef>
            <a:spcAft>
              <a:spcPts val="600"/>
            </a:spcAft>
            <a:buNone/>
          </a:pPr>
          <a:endParaRPr lang="en-US" sz="1200" b="0" kern="1200" dirty="0">
            <a:ln>
              <a:noFill/>
            </a:ln>
            <a:effectLst/>
            <a:latin typeface="Arial" panose="020B0604020202020204" pitchFamily="34" charset="0"/>
            <a:cs typeface="Arial" panose="020B0604020202020204" pitchFamily="34" charset="0"/>
          </a:endParaRPr>
        </a:p>
      </dsp:txBody>
      <dsp:txXfrm>
        <a:off x="3015689" y="0"/>
        <a:ext cx="1818602" cy="27051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Navigant 2016 Rev">
      <a:dk1>
        <a:sysClr val="windowText" lastClr="000000"/>
      </a:dk1>
      <a:lt1>
        <a:sysClr val="window" lastClr="FFFFFF"/>
      </a:lt1>
      <a:dk2>
        <a:srgbClr val="555759"/>
      </a:dk2>
      <a:lt2>
        <a:srgbClr val="F2F2F2"/>
      </a:lt2>
      <a:accent1>
        <a:srgbClr val="95D600"/>
      </a:accent1>
      <a:accent2>
        <a:srgbClr val="648C1A"/>
      </a:accent2>
      <a:accent3>
        <a:srgbClr val="0093C9"/>
      </a:accent3>
      <a:accent4>
        <a:srgbClr val="FFB718"/>
      </a:accent4>
      <a:accent5>
        <a:srgbClr val="F07B05"/>
      </a:accent5>
      <a:accent6>
        <a:srgbClr val="AC0040"/>
      </a:accent6>
      <a:hlink>
        <a:srgbClr val="006579"/>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3900B90E16EC428DE1ADC75A19FA6E" ma:contentTypeVersion="0" ma:contentTypeDescription="Create a new document." ma:contentTypeScope="" ma:versionID="892e69ae2b65cccc9457b85227d6768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78A0D-FD06-4BCF-AE65-F4A2186F14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B17BC0-2858-402E-824C-AE9390F70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C34E1F2-7682-4CFC-9E7E-E6A67577BC0F}">
  <ds:schemaRefs>
    <ds:schemaRef ds:uri="http://schemas.microsoft.com/sharepoint/v3/contenttype/forms"/>
  </ds:schemaRefs>
</ds:datastoreItem>
</file>

<file path=customXml/itemProps4.xml><?xml version="1.0" encoding="utf-8"?>
<ds:datastoreItem xmlns:ds="http://schemas.openxmlformats.org/officeDocument/2006/customXml" ds:itemID="{B247C2AF-2B5C-4D3C-A3D5-02EBA1900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257</Pages>
  <Words>71006</Words>
  <Characters>404736</Characters>
  <Application>Microsoft Office Word</Application>
  <DocSecurity>0</DocSecurity>
  <Lines>3372</Lines>
  <Paragraphs>949</Paragraphs>
  <ScaleCrop>false</ScaleCrop>
  <HeadingPairs>
    <vt:vector size="2" baseType="variant">
      <vt:variant>
        <vt:lpstr>Title</vt:lpstr>
      </vt:variant>
      <vt:variant>
        <vt:i4>1</vt:i4>
      </vt:variant>
    </vt:vector>
  </HeadingPairs>
  <TitlesOfParts>
    <vt:vector size="1" baseType="lpstr">
      <vt:lpstr>[DOCUMENT TITLE]</vt:lpstr>
    </vt:vector>
  </TitlesOfParts>
  <Company>Navigant Consulting Inc.</Company>
  <LinksUpToDate>false</LinksUpToDate>
  <CharactersWithSpaces>474793</CharactersWithSpaces>
  <SharedDoc>false</SharedDoc>
  <HLinks>
    <vt:vector size="60" baseType="variant">
      <vt:variant>
        <vt:i4>1966139</vt:i4>
      </vt:variant>
      <vt:variant>
        <vt:i4>56</vt:i4>
      </vt:variant>
      <vt:variant>
        <vt:i4>0</vt:i4>
      </vt:variant>
      <vt:variant>
        <vt:i4>5</vt:i4>
      </vt:variant>
      <vt:variant>
        <vt:lpwstr/>
      </vt:variant>
      <vt:variant>
        <vt:lpwstr>_Toc145987735</vt:lpwstr>
      </vt:variant>
      <vt:variant>
        <vt:i4>1966139</vt:i4>
      </vt:variant>
      <vt:variant>
        <vt:i4>50</vt:i4>
      </vt:variant>
      <vt:variant>
        <vt:i4>0</vt:i4>
      </vt:variant>
      <vt:variant>
        <vt:i4>5</vt:i4>
      </vt:variant>
      <vt:variant>
        <vt:lpwstr/>
      </vt:variant>
      <vt:variant>
        <vt:lpwstr>_Toc145987734</vt:lpwstr>
      </vt:variant>
      <vt:variant>
        <vt:i4>1966139</vt:i4>
      </vt:variant>
      <vt:variant>
        <vt:i4>44</vt:i4>
      </vt:variant>
      <vt:variant>
        <vt:i4>0</vt:i4>
      </vt:variant>
      <vt:variant>
        <vt:i4>5</vt:i4>
      </vt:variant>
      <vt:variant>
        <vt:lpwstr/>
      </vt:variant>
      <vt:variant>
        <vt:lpwstr>_Toc145987733</vt:lpwstr>
      </vt:variant>
      <vt:variant>
        <vt:i4>1966139</vt:i4>
      </vt:variant>
      <vt:variant>
        <vt:i4>38</vt:i4>
      </vt:variant>
      <vt:variant>
        <vt:i4>0</vt:i4>
      </vt:variant>
      <vt:variant>
        <vt:i4>5</vt:i4>
      </vt:variant>
      <vt:variant>
        <vt:lpwstr/>
      </vt:variant>
      <vt:variant>
        <vt:lpwstr>_Toc145987732</vt:lpwstr>
      </vt:variant>
      <vt:variant>
        <vt:i4>1966139</vt:i4>
      </vt:variant>
      <vt:variant>
        <vt:i4>32</vt:i4>
      </vt:variant>
      <vt:variant>
        <vt:i4>0</vt:i4>
      </vt:variant>
      <vt:variant>
        <vt:i4>5</vt:i4>
      </vt:variant>
      <vt:variant>
        <vt:lpwstr/>
      </vt:variant>
      <vt:variant>
        <vt:lpwstr>_Toc145987731</vt:lpwstr>
      </vt:variant>
      <vt:variant>
        <vt:i4>1966139</vt:i4>
      </vt:variant>
      <vt:variant>
        <vt:i4>26</vt:i4>
      </vt:variant>
      <vt:variant>
        <vt:i4>0</vt:i4>
      </vt:variant>
      <vt:variant>
        <vt:i4>5</vt:i4>
      </vt:variant>
      <vt:variant>
        <vt:lpwstr/>
      </vt:variant>
      <vt:variant>
        <vt:lpwstr>_Toc145987730</vt:lpwstr>
      </vt:variant>
      <vt:variant>
        <vt:i4>2031675</vt:i4>
      </vt:variant>
      <vt:variant>
        <vt:i4>20</vt:i4>
      </vt:variant>
      <vt:variant>
        <vt:i4>0</vt:i4>
      </vt:variant>
      <vt:variant>
        <vt:i4>5</vt:i4>
      </vt:variant>
      <vt:variant>
        <vt:lpwstr/>
      </vt:variant>
      <vt:variant>
        <vt:lpwstr>_Toc145987729</vt:lpwstr>
      </vt:variant>
      <vt:variant>
        <vt:i4>2031675</vt:i4>
      </vt:variant>
      <vt:variant>
        <vt:i4>14</vt:i4>
      </vt:variant>
      <vt:variant>
        <vt:i4>0</vt:i4>
      </vt:variant>
      <vt:variant>
        <vt:i4>5</vt:i4>
      </vt:variant>
      <vt:variant>
        <vt:lpwstr/>
      </vt:variant>
      <vt:variant>
        <vt:lpwstr>_Toc145987728</vt:lpwstr>
      </vt:variant>
      <vt:variant>
        <vt:i4>2031675</vt:i4>
      </vt:variant>
      <vt:variant>
        <vt:i4>8</vt:i4>
      </vt:variant>
      <vt:variant>
        <vt:i4>0</vt:i4>
      </vt:variant>
      <vt:variant>
        <vt:i4>5</vt:i4>
      </vt:variant>
      <vt:variant>
        <vt:lpwstr/>
      </vt:variant>
      <vt:variant>
        <vt:lpwstr>_Toc145987727</vt:lpwstr>
      </vt:variant>
      <vt:variant>
        <vt:i4>2031675</vt:i4>
      </vt:variant>
      <vt:variant>
        <vt:i4>2</vt:i4>
      </vt:variant>
      <vt:variant>
        <vt:i4>0</vt:i4>
      </vt:variant>
      <vt:variant>
        <vt:i4>5</vt:i4>
      </vt:variant>
      <vt:variant>
        <vt:lpwstr/>
      </vt:variant>
      <vt:variant>
        <vt:lpwstr>_Toc145987726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Kristin Landry</dc:creator>
  <cp:keywords/>
  <dc:description/>
  <cp:lastModifiedBy>Amul Sathe</cp:lastModifiedBy>
  <cp:revision>27</cp:revision>
  <cp:lastPrinted>2017-06-12T22:23:00Z</cp:lastPrinted>
  <dcterms:created xsi:type="dcterms:W3CDTF">2017-08-14T21:38:00Z</dcterms:created>
  <dcterms:modified xsi:type="dcterms:W3CDTF">2017-08-23T20:53:00Z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0x010100793900B90E16EC428DE1ADC75A19FA6E</vt:lpwstr>
  </property>
  <property fmtid="{D5CDD505-2E9C-101B-9397-08002B2CF9AE}" pid="3" name="_dlc_DocIdItemGuid">
    <vt:lpwstr>2c7385da-2e45-467f-beb7-102c6f1eb5be</vt:lpwstr>
  </property>
</Properties>
</file>