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3B2E" w14:textId="77777777" w:rsidR="008E1F0F" w:rsidRDefault="008E1F0F" w:rsidP="008E1F0F">
      <w:pPr>
        <w:pStyle w:val="Heading1"/>
        <w:numPr>
          <w:ilvl w:val="0"/>
          <w:numId w:val="5"/>
        </w:numPr>
      </w:pPr>
      <w:bookmarkStart w:id="0" w:name="_Toc468095604"/>
      <w:bookmarkStart w:id="1" w:name="_GoBack"/>
      <w:bookmarkEnd w:id="1"/>
      <w:r>
        <w:t>A</w:t>
      </w:r>
      <w:commentRangeStart w:id="2"/>
      <w:r>
        <w:t xml:space="preserve">ppendix </w:t>
      </w:r>
      <w:commentRangeEnd w:id="2"/>
      <w:r>
        <w:rPr>
          <w:rStyle w:val="CommentReference"/>
          <w:rFonts w:asciiTheme="minorHAnsi" w:eastAsiaTheme="minorHAnsi" w:hAnsiTheme="minorHAnsi"/>
          <w:color w:val="auto"/>
        </w:rPr>
        <w:commentReference w:id="2"/>
      </w:r>
      <w:r>
        <w:t>A – Two Example Early Retirement-Normal Replacement Assessment Questionnaires from Other Research</w:t>
      </w:r>
      <w:bookmarkEnd w:id="0"/>
    </w:p>
    <w:p w14:paraId="7B144620" w14:textId="77777777" w:rsidR="008E1F0F" w:rsidRDefault="008E1F0F" w:rsidP="008E1F0F">
      <w:pPr>
        <w:pStyle w:val="BodyText"/>
      </w:pPr>
    </w:p>
    <w:p w14:paraId="53D3217A" w14:textId="77777777" w:rsidR="008E1F0F" w:rsidRDefault="008E1F0F" w:rsidP="008E1F0F">
      <w:pPr>
        <w:pStyle w:val="BodyText"/>
      </w:pPr>
      <w:r>
        <w:t xml:space="preserve">From the 2010 – 2012 </w:t>
      </w:r>
      <w:r w:rsidRPr="00CC3DA7">
        <w:t>Nonresidential Downstream Lighting Impact Evaluation Report</w:t>
      </w:r>
      <w:r>
        <w:t>, Appendix G:</w:t>
      </w:r>
    </w:p>
    <w:p w14:paraId="65B815DE" w14:textId="77777777" w:rsidR="008E1F0F" w:rsidRDefault="008E1F0F" w:rsidP="008E1F0F">
      <w:pPr>
        <w:pStyle w:val="BodyText"/>
      </w:pPr>
      <w:r>
        <w:t xml:space="preserve"> “</w:t>
      </w:r>
      <w:r w:rsidRPr="00AA4528">
        <w:t>Approximately how old was the equipment that were removed and</w:t>
      </w:r>
      <w:r>
        <w:t xml:space="preserve"> replaced with &amp;Prgm_LT1_Desc?”</w:t>
      </w:r>
    </w:p>
    <w:p w14:paraId="622BC99A" w14:textId="77777777" w:rsidR="008E1F0F" w:rsidRDefault="008E1F0F" w:rsidP="008E1F0F">
      <w:pPr>
        <w:pStyle w:val="BodyText"/>
        <w:numPr>
          <w:ilvl w:val="0"/>
          <w:numId w:val="2"/>
        </w:numPr>
      </w:pPr>
      <w:r>
        <w:t>Less than 5 years old</w:t>
      </w:r>
    </w:p>
    <w:p w14:paraId="44E1FE9F" w14:textId="77777777" w:rsidR="008E1F0F" w:rsidRDefault="008E1F0F" w:rsidP="008E1F0F">
      <w:pPr>
        <w:pStyle w:val="BodyText"/>
        <w:numPr>
          <w:ilvl w:val="0"/>
          <w:numId w:val="2"/>
        </w:numPr>
      </w:pPr>
      <w:r>
        <w:t>Between 5 and 10 years old</w:t>
      </w:r>
    </w:p>
    <w:p w14:paraId="2CF20642" w14:textId="77777777" w:rsidR="008E1F0F" w:rsidRDefault="008E1F0F" w:rsidP="008E1F0F">
      <w:pPr>
        <w:pStyle w:val="BodyText"/>
        <w:numPr>
          <w:ilvl w:val="0"/>
          <w:numId w:val="2"/>
        </w:numPr>
      </w:pPr>
      <w:r>
        <w:t>Between 10 and 15 years old</w:t>
      </w:r>
    </w:p>
    <w:p w14:paraId="5BE6EC6A" w14:textId="77777777" w:rsidR="008E1F0F" w:rsidRDefault="008E1F0F" w:rsidP="008E1F0F">
      <w:pPr>
        <w:pStyle w:val="BodyText"/>
        <w:numPr>
          <w:ilvl w:val="0"/>
          <w:numId w:val="2"/>
        </w:numPr>
      </w:pPr>
      <w:r>
        <w:t>More than 15 years old</w:t>
      </w:r>
    </w:p>
    <w:p w14:paraId="45088190" w14:textId="77777777" w:rsidR="008E1F0F" w:rsidRDefault="008E1F0F" w:rsidP="008E1F0F">
      <w:pPr>
        <w:pStyle w:val="BodyText"/>
      </w:pPr>
    </w:p>
    <w:p w14:paraId="725F5018" w14:textId="77777777" w:rsidR="008E1F0F" w:rsidRDefault="008E1F0F" w:rsidP="008E1F0F">
      <w:pPr>
        <w:pStyle w:val="BodyText"/>
      </w:pPr>
      <w:r>
        <w:t xml:space="preserve"> “How would you describe the condition of the lighting equipment that was removed and replaced as a result of the installation of &amp;Prgm_LT1_Desc?  Would you say it was…”</w:t>
      </w:r>
    </w:p>
    <w:p w14:paraId="4D90A04E" w14:textId="77777777" w:rsidR="008E1F0F" w:rsidRPr="002248D9" w:rsidRDefault="008E1F0F" w:rsidP="008E1F0F">
      <w:pPr>
        <w:pStyle w:val="BodyText"/>
        <w:numPr>
          <w:ilvl w:val="0"/>
          <w:numId w:val="3"/>
        </w:numPr>
      </w:pPr>
      <w:r w:rsidRPr="002248D9">
        <w:t>In poor condition</w:t>
      </w:r>
    </w:p>
    <w:p w14:paraId="4062A647" w14:textId="77777777" w:rsidR="008E1F0F" w:rsidRPr="002248D9" w:rsidRDefault="008E1F0F" w:rsidP="008E1F0F">
      <w:pPr>
        <w:pStyle w:val="BodyText"/>
        <w:numPr>
          <w:ilvl w:val="0"/>
          <w:numId w:val="3"/>
        </w:numPr>
      </w:pPr>
      <w:r w:rsidRPr="002248D9">
        <w:t>Fair condition, or</w:t>
      </w:r>
    </w:p>
    <w:p w14:paraId="2391D8BF" w14:textId="77777777" w:rsidR="008E1F0F" w:rsidRPr="002248D9" w:rsidRDefault="008E1F0F" w:rsidP="008E1F0F">
      <w:pPr>
        <w:pStyle w:val="BodyText"/>
        <w:numPr>
          <w:ilvl w:val="0"/>
          <w:numId w:val="3"/>
        </w:numPr>
      </w:pPr>
      <w:r w:rsidRPr="002248D9">
        <w:t>Good condition</w:t>
      </w:r>
    </w:p>
    <w:p w14:paraId="2D34E0E5" w14:textId="77777777" w:rsidR="008E1F0F" w:rsidRDefault="008E1F0F" w:rsidP="008E1F0F">
      <w:pPr>
        <w:pStyle w:val="BodyText"/>
      </w:pPr>
    </w:p>
    <w:p w14:paraId="60A46BEF" w14:textId="77777777" w:rsidR="008E1F0F" w:rsidRDefault="008E1F0F" w:rsidP="008E1F0F">
      <w:pPr>
        <w:pStyle w:val="BodyText"/>
      </w:pPr>
      <w:r>
        <w:t xml:space="preserve"> “</w:t>
      </w:r>
      <w:r w:rsidRPr="00B53927">
        <w:t>Approximately what percentage of the lighting equipment that was removed and replaced was broken or not working prior to installing &amp;Prgm_LT1_Desc?</w:t>
      </w:r>
      <w:r>
        <w:t>”</w:t>
      </w:r>
    </w:p>
    <w:p w14:paraId="1ECD9940" w14:textId="77777777" w:rsidR="008E1F0F" w:rsidRDefault="008E1F0F" w:rsidP="008E1F0F">
      <w:pPr>
        <w:pStyle w:val="BodyText"/>
      </w:pPr>
    </w:p>
    <w:p w14:paraId="507CF587" w14:textId="77777777" w:rsidR="008E1F0F" w:rsidRDefault="008E1F0F" w:rsidP="008E1F0F">
      <w:pPr>
        <w:pStyle w:val="BodyText"/>
      </w:pPr>
      <w:r w:rsidRPr="00193A0A">
        <w:t>“How many more years do you think your lighting system would have gone before failing and required replacement?”</w:t>
      </w:r>
    </w:p>
    <w:p w14:paraId="64E42E9B" w14:textId="77777777" w:rsidR="008E1F0F" w:rsidRDefault="008E1F0F" w:rsidP="008E1F0F">
      <w:pPr>
        <w:pStyle w:val="BodyText"/>
      </w:pPr>
    </w:p>
    <w:p w14:paraId="20DCE619" w14:textId="77777777" w:rsidR="008E1F0F" w:rsidRDefault="008E1F0F" w:rsidP="008E1F0F">
      <w:pPr>
        <w:pStyle w:val="BodyText"/>
      </w:pPr>
      <w:r w:rsidRPr="00193A0A">
        <w:t xml:space="preserve"> “If the program had not been available, what is the likelihood that you would have done this project at the same time as you did?”</w:t>
      </w:r>
    </w:p>
    <w:p w14:paraId="5574153D" w14:textId="77777777" w:rsidR="008E1F0F" w:rsidRDefault="008E1F0F" w:rsidP="008E1F0F">
      <w:pPr>
        <w:pStyle w:val="BodyText"/>
      </w:pPr>
    </w:p>
    <w:p w14:paraId="615F9BED" w14:textId="77777777" w:rsidR="008E1F0F" w:rsidRDefault="008E1F0F" w:rsidP="008E1F0F">
      <w:pPr>
        <w:pStyle w:val="BodyText"/>
      </w:pPr>
      <w:r w:rsidRPr="00193A0A">
        <w:t xml:space="preserve"> “If the program had not been available, how likely is it that you would have replaced your exi</w:t>
      </w:r>
      <w:r>
        <w:t>sting equipment within one year</w:t>
      </w:r>
      <w:r w:rsidRPr="00193A0A">
        <w:t xml:space="preserve"> of when you did?”</w:t>
      </w:r>
    </w:p>
    <w:tbl>
      <w:tblPr>
        <w:tblW w:w="8500" w:type="dxa"/>
        <w:tblInd w:w="-504" w:type="dxa"/>
        <w:tblLook w:val="04A0" w:firstRow="1" w:lastRow="0" w:firstColumn="1" w:lastColumn="0" w:noHBand="0" w:noVBand="1"/>
      </w:tblPr>
      <w:tblGrid>
        <w:gridCol w:w="8500"/>
      </w:tblGrid>
      <w:tr w:rsidR="008E1F0F" w:rsidRPr="00193A0A" w14:paraId="5A046E5B" w14:textId="77777777" w:rsidTr="00040743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DB9FA" w14:textId="77777777" w:rsidR="008E1F0F" w:rsidRPr="00193A0A" w:rsidRDefault="008E1F0F" w:rsidP="008E1F0F">
            <w:pPr>
              <w:pStyle w:val="BodyText"/>
              <w:numPr>
                <w:ilvl w:val="0"/>
                <w:numId w:val="4"/>
              </w:numPr>
              <w:rPr>
                <w:rFonts w:cstheme="minorHAnsi"/>
              </w:rPr>
            </w:pPr>
            <w:r w:rsidRPr="00193A0A">
              <w:rPr>
                <w:rFonts w:cstheme="minorHAnsi"/>
              </w:rPr>
              <w:t>Definitely would have</w:t>
            </w:r>
          </w:p>
        </w:tc>
      </w:tr>
      <w:tr w:rsidR="008E1F0F" w:rsidRPr="00193A0A" w14:paraId="689B9F91" w14:textId="77777777" w:rsidTr="00040743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7E49" w14:textId="77777777" w:rsidR="008E1F0F" w:rsidRPr="00193A0A" w:rsidRDefault="008E1F0F" w:rsidP="008E1F0F">
            <w:pPr>
              <w:pStyle w:val="BodyText"/>
              <w:numPr>
                <w:ilvl w:val="0"/>
                <w:numId w:val="4"/>
              </w:numPr>
              <w:rPr>
                <w:rFonts w:cstheme="minorHAnsi"/>
              </w:rPr>
            </w:pPr>
            <w:r w:rsidRPr="00193A0A">
              <w:rPr>
                <w:rFonts w:cstheme="minorHAnsi"/>
              </w:rPr>
              <w:t>Probably would have</w:t>
            </w:r>
          </w:p>
        </w:tc>
      </w:tr>
      <w:tr w:rsidR="008E1F0F" w:rsidRPr="00193A0A" w14:paraId="440C88A7" w14:textId="77777777" w:rsidTr="00040743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70FE" w14:textId="77777777" w:rsidR="008E1F0F" w:rsidRPr="00193A0A" w:rsidRDefault="008E1F0F" w:rsidP="008E1F0F">
            <w:pPr>
              <w:pStyle w:val="BodyText"/>
              <w:numPr>
                <w:ilvl w:val="0"/>
                <w:numId w:val="4"/>
              </w:numPr>
              <w:rPr>
                <w:rFonts w:cstheme="minorHAnsi"/>
              </w:rPr>
            </w:pPr>
            <w:r w:rsidRPr="00193A0A">
              <w:rPr>
                <w:rFonts w:cstheme="minorHAnsi"/>
              </w:rPr>
              <w:t>50-50 chance</w:t>
            </w:r>
          </w:p>
        </w:tc>
      </w:tr>
      <w:tr w:rsidR="008E1F0F" w:rsidRPr="00193A0A" w14:paraId="400D961F" w14:textId="77777777" w:rsidTr="00040743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5A57" w14:textId="77777777" w:rsidR="008E1F0F" w:rsidRPr="00193A0A" w:rsidRDefault="008E1F0F" w:rsidP="008E1F0F">
            <w:pPr>
              <w:pStyle w:val="BodyText"/>
              <w:numPr>
                <w:ilvl w:val="0"/>
                <w:numId w:val="4"/>
              </w:numPr>
              <w:rPr>
                <w:rFonts w:cstheme="minorHAnsi"/>
              </w:rPr>
            </w:pPr>
            <w:r w:rsidRPr="00193A0A">
              <w:rPr>
                <w:rFonts w:cstheme="minorHAnsi"/>
              </w:rPr>
              <w:t xml:space="preserve">Probably not </w:t>
            </w:r>
          </w:p>
        </w:tc>
      </w:tr>
      <w:tr w:rsidR="008E1F0F" w:rsidRPr="00193A0A" w14:paraId="425BC666" w14:textId="77777777" w:rsidTr="00040743">
        <w:trPr>
          <w:trHeight w:val="25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4E6EC" w14:textId="77777777" w:rsidR="008E1F0F" w:rsidRPr="00193A0A" w:rsidRDefault="008E1F0F" w:rsidP="008E1F0F">
            <w:pPr>
              <w:pStyle w:val="BodyText"/>
              <w:numPr>
                <w:ilvl w:val="0"/>
                <w:numId w:val="4"/>
              </w:numPr>
              <w:rPr>
                <w:rFonts w:cstheme="minorHAnsi"/>
              </w:rPr>
            </w:pPr>
            <w:r w:rsidRPr="00193A0A">
              <w:rPr>
                <w:rFonts w:cstheme="minorHAnsi"/>
              </w:rPr>
              <w:t xml:space="preserve">Definitely not </w:t>
            </w:r>
          </w:p>
        </w:tc>
      </w:tr>
    </w:tbl>
    <w:p w14:paraId="55D708A7" w14:textId="77777777" w:rsidR="008E1F0F" w:rsidRDefault="008E1F0F" w:rsidP="008E1F0F">
      <w:pPr>
        <w:pStyle w:val="BodyText"/>
      </w:pPr>
    </w:p>
    <w:p w14:paraId="3573C117" w14:textId="77777777" w:rsidR="008E1F0F" w:rsidRDefault="008E1F0F" w:rsidP="008E1F0F">
      <w:pPr>
        <w:pStyle w:val="BodyText"/>
      </w:pPr>
      <w:r w:rsidRPr="00193A0A">
        <w:t>“</w:t>
      </w:r>
      <w:r w:rsidRPr="00AA4528">
        <w:t>There are usually a number of reasons why an organization like yours decides to participate in energy efficient pro</w:t>
      </w:r>
      <w:r>
        <w:t>grams like this one by install</w:t>
      </w:r>
      <w:r w:rsidRPr="00AA4528">
        <w:t>ing energy efficient lights.  In your own words, can you tell me why you decided to participate in this program?</w:t>
      </w:r>
      <w:r w:rsidRPr="00193A0A">
        <w:t>”</w:t>
      </w:r>
    </w:p>
    <w:p w14:paraId="34C361B4" w14:textId="77777777" w:rsidR="008E1F0F" w:rsidRPr="002905C0" w:rsidRDefault="008E1F0F" w:rsidP="008E1F0F">
      <w:pPr>
        <w:pStyle w:val="BodyText"/>
        <w:ind w:left="720"/>
      </w:pPr>
      <w:r w:rsidRPr="002905C0">
        <w:t>1</w:t>
      </w:r>
      <w:r w:rsidRPr="002905C0">
        <w:tab/>
        <w:t>To replace old or outdated lighting equipment</w:t>
      </w:r>
    </w:p>
    <w:p w14:paraId="468801C5" w14:textId="77777777" w:rsidR="008E1F0F" w:rsidRPr="002905C0" w:rsidRDefault="008E1F0F" w:rsidP="008E1F0F">
      <w:pPr>
        <w:pStyle w:val="BodyText"/>
        <w:ind w:left="720"/>
      </w:pPr>
      <w:r w:rsidRPr="002905C0">
        <w:t>2</w:t>
      </w:r>
      <w:r w:rsidRPr="002905C0">
        <w:tab/>
        <w:t>As part of a planned remodeling, build-out, or expansion</w:t>
      </w:r>
    </w:p>
    <w:p w14:paraId="6AB8B210" w14:textId="77777777" w:rsidR="008E1F0F" w:rsidRPr="002905C0" w:rsidRDefault="008E1F0F" w:rsidP="008E1F0F">
      <w:pPr>
        <w:pStyle w:val="BodyText"/>
        <w:ind w:left="720"/>
      </w:pPr>
      <w:r w:rsidRPr="002905C0">
        <w:t>5</w:t>
      </w:r>
      <w:r w:rsidRPr="002905C0">
        <w:tab/>
        <w:t>Had process problems and were seeking a solution</w:t>
      </w:r>
    </w:p>
    <w:p w14:paraId="4A94054D" w14:textId="77777777" w:rsidR="008E1F0F" w:rsidRPr="002905C0" w:rsidRDefault="008E1F0F" w:rsidP="008E1F0F">
      <w:pPr>
        <w:pStyle w:val="BodyText"/>
        <w:ind w:left="720"/>
      </w:pPr>
      <w:r w:rsidRPr="002905C0">
        <w:lastRenderedPageBreak/>
        <w:t>6</w:t>
      </w:r>
      <w:r w:rsidRPr="002905C0">
        <w:tab/>
        <w:t>To improve lighting equipment performance</w:t>
      </w:r>
    </w:p>
    <w:p w14:paraId="2B9C2D9F" w14:textId="77777777" w:rsidR="008E1F0F" w:rsidRPr="002905C0" w:rsidRDefault="008E1F0F" w:rsidP="008E1F0F">
      <w:pPr>
        <w:pStyle w:val="BodyText"/>
        <w:ind w:left="720"/>
      </w:pPr>
      <w:r w:rsidRPr="002905C0">
        <w:t>8</w:t>
      </w:r>
      <w:r w:rsidRPr="002905C0">
        <w:tab/>
        <w:t>To comply with codes set by regulatory agencies</w:t>
      </w:r>
    </w:p>
    <w:p w14:paraId="218EEDA7" w14:textId="77777777" w:rsidR="008E1F0F" w:rsidRDefault="008E1F0F" w:rsidP="008E1F0F">
      <w:pPr>
        <w:pStyle w:val="BodyText"/>
        <w:ind w:left="720"/>
      </w:pPr>
      <w:r w:rsidRPr="002905C0">
        <w:t>10</w:t>
      </w:r>
      <w:r w:rsidRPr="002905C0">
        <w:tab/>
        <w:t>To comply with company policies regarding regular lighting retrofits or remodeling</w:t>
      </w:r>
    </w:p>
    <w:p w14:paraId="033FDEB0" w14:textId="77777777" w:rsidR="008E1F0F" w:rsidRPr="002905C0" w:rsidRDefault="008E1F0F" w:rsidP="008E1F0F">
      <w:pPr>
        <w:pStyle w:val="BodyText"/>
        <w:ind w:left="720"/>
      </w:pPr>
    </w:p>
    <w:p w14:paraId="444EB032" w14:textId="77777777" w:rsidR="008E1F0F" w:rsidRPr="002905C0" w:rsidRDefault="008E1F0F" w:rsidP="008E1F0F">
      <w:pPr>
        <w:pStyle w:val="BodyText"/>
      </w:pPr>
      <w:r w:rsidRPr="002905C0">
        <w:t>Now using this scale please rate the importance of each of the following in your decision to implement the MEASURE at this time.</w:t>
      </w:r>
    </w:p>
    <w:p w14:paraId="19CA5917" w14:textId="77777777" w:rsidR="008E1F0F" w:rsidRPr="002905C0" w:rsidRDefault="008E1F0F" w:rsidP="008E1F0F">
      <w:pPr>
        <w:pStyle w:val="BodyText"/>
        <w:ind w:left="720"/>
      </w:pPr>
      <w:r w:rsidRPr="002905C0">
        <w:t>N3a.</w:t>
      </w:r>
      <w:r w:rsidRPr="002905C0">
        <w:tab/>
        <w:t>The age or condition of the old equipment (Corresponds to A3 = 1)</w:t>
      </w:r>
    </w:p>
    <w:p w14:paraId="02C8998E" w14:textId="77777777" w:rsidR="008E1F0F" w:rsidRPr="002905C0" w:rsidRDefault="008E1F0F" w:rsidP="008E1F0F">
      <w:pPr>
        <w:pStyle w:val="BodyText"/>
        <w:ind w:left="720"/>
      </w:pPr>
      <w:r w:rsidRPr="002905C0">
        <w:t>N3j.</w:t>
      </w:r>
      <w:r w:rsidRPr="002905C0">
        <w:tab/>
        <w:t xml:space="preserve">Standard practice in your business/industry (Corresponds to A3 </w:t>
      </w:r>
      <w:r>
        <w:t>=10)</w:t>
      </w:r>
      <w:r w:rsidRPr="002905C0">
        <w:t xml:space="preserve"> </w:t>
      </w:r>
    </w:p>
    <w:p w14:paraId="64B79A06" w14:textId="77777777" w:rsidR="008E1F0F" w:rsidRPr="002905C0" w:rsidRDefault="008E1F0F" w:rsidP="008E1F0F">
      <w:pPr>
        <w:pStyle w:val="BodyText"/>
        <w:ind w:left="720"/>
      </w:pPr>
      <w:r w:rsidRPr="002905C0">
        <w:t>N3m.</w:t>
      </w:r>
      <w:r w:rsidRPr="002905C0">
        <w:tab/>
        <w:t>Corporate policy or guidelines (Corresponds to A3 =10)</w:t>
      </w:r>
    </w:p>
    <w:p w14:paraId="729CD649" w14:textId="77777777" w:rsidR="008E1F0F" w:rsidRPr="002905C0" w:rsidRDefault="008E1F0F" w:rsidP="008E1F0F">
      <w:pPr>
        <w:pStyle w:val="BodyText"/>
        <w:ind w:left="720"/>
      </w:pPr>
      <w:r w:rsidRPr="002905C0">
        <w:t>N3o.</w:t>
      </w:r>
      <w:r w:rsidRPr="002905C0">
        <w:tab/>
        <w:t xml:space="preserve"> To improve your overall quality of lighting (Corresponds to A3 = 5 or 6)</w:t>
      </w:r>
    </w:p>
    <w:p w14:paraId="05D593E7" w14:textId="77777777" w:rsidR="008E1F0F" w:rsidRPr="002905C0" w:rsidRDefault="008E1F0F" w:rsidP="008E1F0F">
      <w:pPr>
        <w:pStyle w:val="BodyText"/>
        <w:ind w:left="720"/>
      </w:pPr>
      <w:r w:rsidRPr="002905C0">
        <w:t>N3p.</w:t>
      </w:r>
      <w:r w:rsidRPr="002905C0">
        <w:tab/>
        <w:t>Compliance with state or federal regulations or standards such as Title 24 (Corresponds to A3 = 8)</w:t>
      </w:r>
    </w:p>
    <w:p w14:paraId="6D97AF40" w14:textId="77777777" w:rsidR="008E1F0F" w:rsidRPr="002905C0" w:rsidRDefault="008E1F0F" w:rsidP="008E1F0F">
      <w:pPr>
        <w:pStyle w:val="BodyText"/>
        <w:ind w:left="720"/>
      </w:pPr>
      <w:r w:rsidRPr="002905C0">
        <w:t>N3r.</w:t>
      </w:r>
      <w:r w:rsidRPr="002905C0">
        <w:tab/>
        <w:t>Compliance with your organization's normal remodeling or lighting replacement practices (Corresponds to A3 = 2 or 10)</w:t>
      </w:r>
    </w:p>
    <w:p w14:paraId="6F2B1C23" w14:textId="77777777" w:rsidR="008E1F0F" w:rsidRDefault="008E1F0F" w:rsidP="008E1F0F">
      <w:pPr>
        <w:pStyle w:val="BodyText"/>
      </w:pPr>
      <w:r>
        <w:br w:type="page"/>
      </w:r>
    </w:p>
    <w:p w14:paraId="63E36E83" w14:textId="77777777" w:rsidR="00E34C39" w:rsidRDefault="008E1F0F" w:rsidP="008E1F0F">
      <w:r>
        <w:t xml:space="preserve">From the HVAC Early Retirement Questionnaire in </w:t>
      </w:r>
      <w:r w:rsidRPr="00CC3DA7">
        <w:rPr>
          <w:i/>
        </w:rPr>
        <w:t>ER Customer Questionnaire To SCE 22Aug2016.xlsx</w:t>
      </w:r>
      <w:r>
        <w:t>, “Final ED Version” tab.</w:t>
      </w:r>
    </w:p>
    <w:p w14:paraId="271384E9" w14:textId="77777777" w:rsidR="008E1F0F" w:rsidRDefault="008E1F0F" w:rsidP="008E1F0F">
      <w:r w:rsidRPr="00CC3DA7">
        <w:rPr>
          <w:noProof/>
          <w:bdr w:val="single" w:sz="4" w:space="0" w:color="auto"/>
        </w:rPr>
        <w:drawing>
          <wp:inline distT="0" distB="0" distL="0" distR="0" wp14:anchorId="32DEB902" wp14:editId="256C5DD1">
            <wp:extent cx="4048837" cy="762530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81" cy="76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epideh Shahinfard" w:date="2017-04-17T12:59:00Z" w:initials="SS">
    <w:p w14:paraId="0499091E" w14:textId="77777777" w:rsidR="008E1F0F" w:rsidRDefault="008E1F0F">
      <w:pPr>
        <w:pStyle w:val="CommentText"/>
      </w:pPr>
      <w:r>
        <w:rPr>
          <w:rStyle w:val="CommentReference"/>
        </w:rPr>
        <w:annotationRef/>
      </w:r>
      <w:r>
        <w:t>From Section 7, Appendix A, of Draft POE document distributed before Nov. 28 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90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627"/>
    <w:multiLevelType w:val="hybridMultilevel"/>
    <w:tmpl w:val="AA3650BC"/>
    <w:lvl w:ilvl="0" w:tplc="85A8F4F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1F6"/>
    <w:multiLevelType w:val="hybridMultilevel"/>
    <w:tmpl w:val="A82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66C"/>
    <w:multiLevelType w:val="hybridMultilevel"/>
    <w:tmpl w:val="E108A018"/>
    <w:lvl w:ilvl="0" w:tplc="48D0D8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5660"/>
    <w:multiLevelType w:val="multilevel"/>
    <w:tmpl w:val="916450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5B9BD5" w:themeColor="accent1"/>
        <w:w w:val="99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4F80BC"/>
        <w:spacing w:val="-1"/>
        <w:w w:val="99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FE2429D"/>
    <w:multiLevelType w:val="hybridMultilevel"/>
    <w:tmpl w:val="228CC558"/>
    <w:lvl w:ilvl="0" w:tplc="85A8F4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pideh Shahinfard">
    <w15:presenceInfo w15:providerId="AD" w15:userId="S-1-5-21-1244020187-519449412-911163043-17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F"/>
    <w:rsid w:val="00065E9F"/>
    <w:rsid w:val="001E643F"/>
    <w:rsid w:val="008E1F0F"/>
    <w:rsid w:val="00E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8FF8"/>
  <w15:chartTrackingRefBased/>
  <w15:docId w15:val="{8C0FE303-C61A-44C2-860B-F09BADE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8E1F0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1F0F"/>
    <w:pPr>
      <w:numPr>
        <w:numId w:val="1"/>
      </w:numPr>
      <w:spacing w:before="30"/>
      <w:outlineLvl w:val="0"/>
    </w:pPr>
    <w:rPr>
      <w:rFonts w:ascii="Lucida Bright" w:eastAsia="Lucida Bright" w:hAnsi="Lucida Bright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F0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F0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F0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F0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F0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F0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F0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F0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F0F"/>
    <w:rPr>
      <w:rFonts w:ascii="Lucida Bright" w:eastAsia="Lucida Bright" w:hAnsi="Lucida Bright"/>
      <w:color w:val="5B9BD5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1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F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F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F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F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E1F0F"/>
    <w:rPr>
      <w:rFonts w:ascii="Corbel" w:eastAsia="Corbel" w:hAnsi="Corbe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1F0F"/>
    <w:rPr>
      <w:rFonts w:ascii="Corbel" w:eastAsia="Corbel" w:hAnsi="Corbe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1C3E-5ED4-4F72-AD17-466C1ACACFD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dc75c247-7f53-4913-864a-4160aff1c45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561D0-2E7C-49C5-AA40-ED146B318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CE888-10D8-4A53-8532-E906F251A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D5A25-86E3-440E-B59D-F997FD2E93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52863B-D4EF-47DB-8DBB-1E138606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Shahinfard</dc:creator>
  <cp:keywords/>
  <dc:description/>
  <cp:lastModifiedBy>Arlis Reynolds</cp:lastModifiedBy>
  <cp:revision>2</cp:revision>
  <dcterms:created xsi:type="dcterms:W3CDTF">2017-04-17T20:12:00Z</dcterms:created>
  <dcterms:modified xsi:type="dcterms:W3CDTF">2017-04-17T20:12:00Z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/>
  </property>
  <property fmtid="{D5CDD505-2E9C-101B-9397-08002B2CF9AE}" pid="4" name="Locations">
    <vt:lpwstr/>
  </property>
  <property fmtid="{D5CDD505-2E9C-101B-9397-08002B2CF9AE}" pid="5" name="ContractDivisions">
    <vt:lpwstr/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Clients">
    <vt:lpwstr/>
  </property>
  <property fmtid="{D5CDD505-2E9C-101B-9397-08002B2CF9AE}" pid="13" name="ProjectServiceSectors">
    <vt:lpwstr/>
  </property>
</Properties>
</file>