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1D10" w14:textId="11D1DCC6" w:rsidR="00272660" w:rsidRPr="00050AC4" w:rsidRDefault="00B13D71">
      <w:pPr>
        <w:rPr>
          <w:rFonts w:cstheme="minorHAnsi"/>
          <w:sz w:val="24"/>
          <w:szCs w:val="24"/>
        </w:rPr>
      </w:pPr>
      <w:r w:rsidRPr="00050AC4">
        <w:rPr>
          <w:rFonts w:cstheme="minorHAnsi"/>
          <w:sz w:val="24"/>
          <w:szCs w:val="24"/>
        </w:rPr>
        <w:t xml:space="preserve">During the discussions in the Track 2 Working Group </w:t>
      </w:r>
      <w:r w:rsidR="007E5689" w:rsidRPr="00050AC4">
        <w:rPr>
          <w:rFonts w:cstheme="minorHAnsi"/>
          <w:sz w:val="24"/>
          <w:szCs w:val="24"/>
        </w:rPr>
        <w:t xml:space="preserve">(T2WG) </w:t>
      </w:r>
      <w:r w:rsidRPr="00050AC4">
        <w:rPr>
          <w:rFonts w:cstheme="minorHAnsi"/>
          <w:sz w:val="24"/>
          <w:szCs w:val="24"/>
        </w:rPr>
        <w:t>meetings</w:t>
      </w:r>
      <w:r w:rsidR="00BB06B7">
        <w:rPr>
          <w:rFonts w:cstheme="minorHAnsi"/>
          <w:sz w:val="24"/>
          <w:szCs w:val="24"/>
        </w:rPr>
        <w:t>,</w:t>
      </w:r>
      <w:r w:rsidRPr="00050AC4">
        <w:rPr>
          <w:rFonts w:cstheme="minorHAnsi"/>
          <w:sz w:val="24"/>
          <w:szCs w:val="24"/>
        </w:rPr>
        <w:t xml:space="preserve"> it was identified that several part</w:t>
      </w:r>
      <w:r w:rsidR="00BB06B7">
        <w:rPr>
          <w:rFonts w:cstheme="minorHAnsi"/>
          <w:sz w:val="24"/>
          <w:szCs w:val="24"/>
        </w:rPr>
        <w:t>ies</w:t>
      </w:r>
      <w:r w:rsidRPr="00050AC4">
        <w:rPr>
          <w:rFonts w:cstheme="minorHAnsi"/>
          <w:sz w:val="24"/>
          <w:szCs w:val="24"/>
        </w:rPr>
        <w:t xml:space="preserve"> had very different interpretations of the direction provided in </w:t>
      </w:r>
      <w:r w:rsidR="00BB06B7">
        <w:rPr>
          <w:rFonts w:cstheme="minorHAnsi"/>
          <w:sz w:val="24"/>
          <w:szCs w:val="24"/>
        </w:rPr>
        <w:t xml:space="preserve">Commission </w:t>
      </w:r>
      <w:r w:rsidRPr="00050AC4">
        <w:rPr>
          <w:rFonts w:cstheme="minorHAnsi"/>
          <w:sz w:val="24"/>
          <w:szCs w:val="24"/>
        </w:rPr>
        <w:t xml:space="preserve">Resolution E-4818. </w:t>
      </w:r>
      <w:r w:rsidR="00BB06B7">
        <w:rPr>
          <w:rFonts w:cstheme="minorHAnsi"/>
          <w:sz w:val="24"/>
          <w:szCs w:val="24"/>
        </w:rPr>
        <w:t>This</w:t>
      </w:r>
      <w:r w:rsidRPr="00050AC4">
        <w:rPr>
          <w:rFonts w:cstheme="minorHAnsi"/>
          <w:sz w:val="24"/>
          <w:szCs w:val="24"/>
        </w:rPr>
        <w:t xml:space="preserve"> Resolution was </w:t>
      </w:r>
      <w:r w:rsidR="00BB06B7">
        <w:rPr>
          <w:rFonts w:cstheme="minorHAnsi"/>
          <w:sz w:val="24"/>
          <w:szCs w:val="24"/>
        </w:rPr>
        <w:t>authored</w:t>
      </w:r>
      <w:r w:rsidR="00BB06B7" w:rsidRPr="00050AC4">
        <w:rPr>
          <w:rFonts w:cstheme="minorHAnsi"/>
          <w:sz w:val="24"/>
          <w:szCs w:val="24"/>
        </w:rPr>
        <w:t xml:space="preserve"> </w:t>
      </w:r>
      <w:r w:rsidRPr="00050AC4">
        <w:rPr>
          <w:rFonts w:cstheme="minorHAnsi"/>
          <w:sz w:val="24"/>
          <w:szCs w:val="24"/>
        </w:rPr>
        <w:t>by Commission staff and presented to the Commission for vote, which passed</w:t>
      </w:r>
      <w:r w:rsidR="00BB06B7">
        <w:rPr>
          <w:rFonts w:cstheme="minorHAnsi"/>
          <w:sz w:val="24"/>
          <w:szCs w:val="24"/>
        </w:rPr>
        <w:t>.</w:t>
      </w:r>
      <w:r w:rsidRPr="00050AC4">
        <w:rPr>
          <w:rFonts w:cstheme="minorHAnsi"/>
          <w:sz w:val="24"/>
          <w:szCs w:val="24"/>
        </w:rPr>
        <w:t xml:space="preserve"> </w:t>
      </w:r>
      <w:r w:rsidR="00BB06B7">
        <w:rPr>
          <w:rFonts w:cstheme="minorHAnsi"/>
          <w:sz w:val="24"/>
          <w:szCs w:val="24"/>
        </w:rPr>
        <w:t xml:space="preserve">It is appropriate for </w:t>
      </w:r>
      <w:r w:rsidRPr="00050AC4">
        <w:rPr>
          <w:rFonts w:cstheme="minorHAnsi"/>
          <w:sz w:val="24"/>
          <w:szCs w:val="24"/>
        </w:rPr>
        <w:t xml:space="preserve">Commission staff </w:t>
      </w:r>
      <w:r w:rsidR="00BB06B7">
        <w:rPr>
          <w:rFonts w:cstheme="minorHAnsi"/>
          <w:sz w:val="24"/>
          <w:szCs w:val="24"/>
        </w:rPr>
        <w:t xml:space="preserve">to </w:t>
      </w:r>
      <w:r w:rsidRPr="00050AC4">
        <w:rPr>
          <w:rFonts w:cstheme="minorHAnsi"/>
          <w:sz w:val="24"/>
          <w:szCs w:val="24"/>
        </w:rPr>
        <w:t>provide</w:t>
      </w:r>
      <w:r w:rsidR="00354898">
        <w:rPr>
          <w:rFonts w:cstheme="minorHAnsi"/>
          <w:sz w:val="24"/>
          <w:szCs w:val="24"/>
        </w:rPr>
        <w:t xml:space="preserve"> the below</w:t>
      </w:r>
      <w:r w:rsidRPr="00050AC4">
        <w:rPr>
          <w:rFonts w:cstheme="minorHAnsi"/>
          <w:sz w:val="24"/>
          <w:szCs w:val="24"/>
        </w:rPr>
        <w:t xml:space="preserve"> specific clarifications on the direction as well as discussion contained within the Resolution. </w:t>
      </w:r>
    </w:p>
    <w:p w14:paraId="7089FE99" w14:textId="30A270B5" w:rsidR="00B13D71" w:rsidRPr="00050AC4" w:rsidRDefault="007E5689" w:rsidP="00B13D7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50AC4">
        <w:rPr>
          <w:rFonts w:eastAsia="Times New Roman" w:cstheme="minorHAnsi"/>
          <w:sz w:val="24"/>
          <w:szCs w:val="24"/>
        </w:rPr>
        <w:t>The below four issues were brought up in the T2WG meetings. Clarifications are pro</w:t>
      </w:r>
      <w:r w:rsidR="009632EA">
        <w:rPr>
          <w:rFonts w:eastAsia="Times New Roman" w:cstheme="minorHAnsi"/>
          <w:sz w:val="24"/>
          <w:szCs w:val="24"/>
        </w:rPr>
        <w:t>vided for each issue following the issue statement.</w:t>
      </w:r>
    </w:p>
    <w:p w14:paraId="78F9234C" w14:textId="77777777" w:rsidR="00B13D71" w:rsidRPr="00050AC4" w:rsidRDefault="00B13D71" w:rsidP="00B13D7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CC1439" w14:textId="77777777" w:rsidR="00B13D71" w:rsidRPr="00050AC4" w:rsidRDefault="00B13D71" w:rsidP="0051123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50AC4">
        <w:rPr>
          <w:rFonts w:asciiTheme="minorHAnsi" w:hAnsiTheme="minorHAnsi" w:cstheme="minorHAnsi"/>
          <w:sz w:val="24"/>
          <w:szCs w:val="24"/>
        </w:rPr>
        <w:t>Whether Direct-to-Decision and Direct-to-Default are applicable to pr</w:t>
      </w:r>
      <w:bookmarkStart w:id="0" w:name="_GoBack"/>
      <w:bookmarkEnd w:id="0"/>
      <w:r w:rsidR="00812E26" w:rsidRPr="00050AC4">
        <w:rPr>
          <w:rFonts w:asciiTheme="minorHAnsi" w:hAnsiTheme="minorHAnsi" w:cstheme="minorHAnsi"/>
          <w:sz w:val="24"/>
          <w:szCs w:val="24"/>
        </w:rPr>
        <w:t>ojects, programs, or equipment.</w:t>
      </w:r>
    </w:p>
    <w:p w14:paraId="18307AB1" w14:textId="77777777" w:rsidR="00F54BEC" w:rsidRPr="00050AC4" w:rsidRDefault="007E5689" w:rsidP="007E5689">
      <w:pPr>
        <w:spacing w:before="240" w:after="240"/>
        <w:ind w:left="720"/>
        <w:rPr>
          <w:rFonts w:eastAsia="Times New Roman" w:cstheme="minorHAnsi"/>
          <w:i/>
          <w:sz w:val="24"/>
          <w:szCs w:val="24"/>
        </w:rPr>
      </w:pPr>
      <w:r w:rsidRPr="00050AC4">
        <w:rPr>
          <w:rFonts w:eastAsia="Times New Roman" w:cstheme="minorHAnsi"/>
          <w:i/>
          <w:sz w:val="24"/>
          <w:szCs w:val="24"/>
        </w:rPr>
        <w:t>Commission staff c</w:t>
      </w:r>
      <w:r w:rsidR="00F54BEC" w:rsidRPr="00050AC4">
        <w:rPr>
          <w:rFonts w:eastAsia="Times New Roman" w:cstheme="minorHAnsi"/>
          <w:i/>
          <w:sz w:val="24"/>
          <w:szCs w:val="24"/>
        </w:rPr>
        <w:t>larification:</w:t>
      </w:r>
    </w:p>
    <w:p w14:paraId="16DFA3AE" w14:textId="4BEDB8E9" w:rsidR="00F54BEC" w:rsidRPr="00050AC4" w:rsidRDefault="007E5689" w:rsidP="007E5689">
      <w:pPr>
        <w:spacing w:before="240" w:after="240"/>
        <w:ind w:left="720"/>
        <w:rPr>
          <w:rFonts w:eastAsia="Times New Roman" w:cstheme="minorHAnsi"/>
          <w:i/>
          <w:sz w:val="24"/>
          <w:szCs w:val="24"/>
        </w:rPr>
      </w:pPr>
      <w:r w:rsidRPr="00050AC4">
        <w:rPr>
          <w:rFonts w:eastAsia="Times New Roman" w:cstheme="minorHAnsi"/>
          <w:i/>
          <w:sz w:val="24"/>
          <w:szCs w:val="24"/>
        </w:rPr>
        <w:t>Direct-to-Decision and Direct-to-Default</w:t>
      </w:r>
      <w:r w:rsidRPr="00050AC4">
        <w:rPr>
          <w:rFonts w:cstheme="minorHAnsi"/>
          <w:i/>
          <w:sz w:val="24"/>
          <w:szCs w:val="24"/>
        </w:rPr>
        <w:t xml:space="preserve"> </w:t>
      </w:r>
      <w:r w:rsidR="00812E26" w:rsidRPr="00050AC4">
        <w:rPr>
          <w:rFonts w:cstheme="minorHAnsi"/>
          <w:i/>
          <w:sz w:val="24"/>
          <w:szCs w:val="24"/>
        </w:rPr>
        <w:t xml:space="preserve">(D2D) </w:t>
      </w:r>
      <w:r w:rsidRPr="00050AC4">
        <w:rPr>
          <w:rFonts w:cstheme="minorHAnsi"/>
          <w:i/>
          <w:sz w:val="24"/>
          <w:szCs w:val="24"/>
        </w:rPr>
        <w:t>options are q</w:t>
      </w:r>
      <w:r w:rsidR="00B13D71" w:rsidRPr="00050AC4">
        <w:rPr>
          <w:rFonts w:cstheme="minorHAnsi"/>
          <w:i/>
          <w:sz w:val="24"/>
          <w:szCs w:val="24"/>
        </w:rPr>
        <w:t xml:space="preserve">ualified </w:t>
      </w:r>
      <w:r w:rsidR="00812E26" w:rsidRPr="00050AC4">
        <w:rPr>
          <w:rFonts w:cstheme="minorHAnsi"/>
          <w:i/>
          <w:sz w:val="24"/>
          <w:szCs w:val="24"/>
        </w:rPr>
        <w:t xml:space="preserve">by Commission staff </w:t>
      </w:r>
      <w:r w:rsidR="00B13D71" w:rsidRPr="00050AC4">
        <w:rPr>
          <w:rFonts w:cstheme="minorHAnsi"/>
          <w:i/>
          <w:sz w:val="24"/>
          <w:szCs w:val="24"/>
        </w:rPr>
        <w:t>at the program level</w:t>
      </w:r>
      <w:r w:rsidR="00812E26" w:rsidRPr="00050AC4">
        <w:rPr>
          <w:rFonts w:cstheme="minorHAnsi"/>
          <w:i/>
          <w:sz w:val="24"/>
          <w:szCs w:val="24"/>
        </w:rPr>
        <w:t xml:space="preserve"> via submissions from the Program Administrators (PAs).  Once D2D option(s) for a program(s) are approved by Commission staff</w:t>
      </w:r>
      <w:r w:rsidR="00354898">
        <w:rPr>
          <w:rFonts w:cstheme="minorHAnsi"/>
          <w:i/>
          <w:sz w:val="24"/>
          <w:szCs w:val="24"/>
        </w:rPr>
        <w:t>,</w:t>
      </w:r>
      <w:r w:rsidR="00812E26" w:rsidRPr="00050AC4">
        <w:rPr>
          <w:rFonts w:cstheme="minorHAnsi"/>
          <w:i/>
          <w:sz w:val="24"/>
          <w:szCs w:val="24"/>
        </w:rPr>
        <w:t xml:space="preserve"> projects or measures proposed within those program</w:t>
      </w:r>
      <w:r w:rsidR="00F54BEC" w:rsidRPr="00050AC4">
        <w:rPr>
          <w:rFonts w:cstheme="minorHAnsi"/>
          <w:i/>
          <w:sz w:val="24"/>
          <w:szCs w:val="24"/>
        </w:rPr>
        <w:t>(s)</w:t>
      </w:r>
      <w:r w:rsidR="00812E26" w:rsidRPr="00050AC4">
        <w:rPr>
          <w:rFonts w:cstheme="minorHAnsi"/>
          <w:i/>
          <w:sz w:val="24"/>
          <w:szCs w:val="24"/>
        </w:rPr>
        <w:t xml:space="preserve"> </w:t>
      </w:r>
      <w:r w:rsidR="00F54BEC" w:rsidRPr="00050AC4">
        <w:rPr>
          <w:rFonts w:cstheme="minorHAnsi"/>
          <w:i/>
          <w:sz w:val="24"/>
          <w:szCs w:val="24"/>
        </w:rPr>
        <w:t>are then</w:t>
      </w:r>
      <w:r w:rsidR="00812E26" w:rsidRPr="00050AC4">
        <w:rPr>
          <w:rFonts w:cstheme="minorHAnsi"/>
          <w:i/>
          <w:sz w:val="24"/>
          <w:szCs w:val="24"/>
        </w:rPr>
        <w:t xml:space="preserve"> able to be qualified for Accelerated Replacement (AR) treatment via the D2D simplified protocol rather than the tiered </w:t>
      </w:r>
      <w:r w:rsidR="00812E26" w:rsidRPr="00050AC4">
        <w:rPr>
          <w:rFonts w:eastAsia="Times New Roman" w:cstheme="minorHAnsi"/>
          <w:i/>
          <w:sz w:val="24"/>
          <w:szCs w:val="24"/>
        </w:rPr>
        <w:t>Preponderance-of-Evidence (</w:t>
      </w:r>
      <w:proofErr w:type="spellStart"/>
      <w:r w:rsidR="00812E26" w:rsidRPr="00050AC4">
        <w:rPr>
          <w:rFonts w:eastAsia="Times New Roman" w:cstheme="minorHAnsi"/>
          <w:i/>
          <w:sz w:val="24"/>
          <w:szCs w:val="24"/>
        </w:rPr>
        <w:t>PoE</w:t>
      </w:r>
      <w:proofErr w:type="spellEnd"/>
      <w:r w:rsidR="00812E26" w:rsidRPr="00050AC4">
        <w:rPr>
          <w:rFonts w:eastAsia="Times New Roman" w:cstheme="minorHAnsi"/>
          <w:i/>
          <w:sz w:val="24"/>
          <w:szCs w:val="24"/>
        </w:rPr>
        <w:t>) protocol.</w:t>
      </w:r>
      <w:r w:rsidR="00F54BEC" w:rsidRPr="00050AC4">
        <w:rPr>
          <w:rFonts w:eastAsia="Times New Roman" w:cstheme="minorHAnsi"/>
          <w:i/>
          <w:sz w:val="24"/>
          <w:szCs w:val="24"/>
        </w:rPr>
        <w:t xml:space="preserve"> Commission staff will develop a</w:t>
      </w:r>
      <w:r w:rsidR="0037260A">
        <w:rPr>
          <w:rFonts w:eastAsia="Times New Roman" w:cstheme="minorHAnsi"/>
          <w:i/>
          <w:sz w:val="24"/>
          <w:szCs w:val="24"/>
        </w:rPr>
        <w:t xml:space="preserve"> process for</w:t>
      </w:r>
      <w:r w:rsidR="00F54BEC" w:rsidRPr="00050AC4">
        <w:rPr>
          <w:rFonts w:eastAsia="Times New Roman" w:cstheme="minorHAnsi"/>
          <w:i/>
          <w:sz w:val="24"/>
          <w:szCs w:val="24"/>
        </w:rPr>
        <w:t xml:space="preserve"> </w:t>
      </w:r>
      <w:r w:rsidR="0037260A">
        <w:rPr>
          <w:rFonts w:eastAsia="Times New Roman" w:cstheme="minorHAnsi"/>
          <w:i/>
          <w:sz w:val="24"/>
          <w:szCs w:val="24"/>
        </w:rPr>
        <w:t xml:space="preserve">the </w:t>
      </w:r>
      <w:r w:rsidR="00F54BEC" w:rsidRPr="00050AC4">
        <w:rPr>
          <w:rFonts w:eastAsia="Times New Roman" w:cstheme="minorHAnsi"/>
          <w:i/>
          <w:sz w:val="24"/>
          <w:szCs w:val="24"/>
        </w:rPr>
        <w:t xml:space="preserve">submission, review and approval </w:t>
      </w:r>
      <w:r w:rsidR="0037260A">
        <w:rPr>
          <w:rFonts w:eastAsia="Times New Roman" w:cstheme="minorHAnsi"/>
          <w:i/>
          <w:sz w:val="24"/>
          <w:szCs w:val="24"/>
        </w:rPr>
        <w:t>of D2D program options</w:t>
      </w:r>
      <w:r w:rsidR="00F54BEC" w:rsidRPr="00050AC4">
        <w:rPr>
          <w:rFonts w:eastAsia="Times New Roman" w:cstheme="minorHAnsi"/>
          <w:i/>
          <w:sz w:val="24"/>
          <w:szCs w:val="24"/>
        </w:rPr>
        <w:t>.</w:t>
      </w:r>
    </w:p>
    <w:p w14:paraId="1C9719B6" w14:textId="77777777" w:rsidR="00B13D71" w:rsidRPr="00050AC4" w:rsidRDefault="00F54BEC" w:rsidP="007E5689">
      <w:pPr>
        <w:spacing w:before="240" w:after="240"/>
        <w:ind w:left="720"/>
        <w:rPr>
          <w:rFonts w:eastAsia="Times New Roman" w:cstheme="minorHAnsi"/>
          <w:i/>
          <w:sz w:val="24"/>
          <w:szCs w:val="24"/>
        </w:rPr>
      </w:pPr>
      <w:r w:rsidRPr="00050AC4">
        <w:rPr>
          <w:rFonts w:eastAsia="Times New Roman" w:cstheme="minorHAnsi"/>
          <w:i/>
          <w:sz w:val="24"/>
          <w:szCs w:val="24"/>
        </w:rPr>
        <w:t xml:space="preserve">The following Resolution </w:t>
      </w:r>
      <w:r w:rsidR="00511239" w:rsidRPr="00050AC4">
        <w:rPr>
          <w:rFonts w:eastAsia="Times New Roman" w:cstheme="minorHAnsi"/>
          <w:i/>
          <w:sz w:val="24"/>
          <w:szCs w:val="24"/>
        </w:rPr>
        <w:t>E</w:t>
      </w:r>
      <w:r w:rsidRPr="00050AC4">
        <w:rPr>
          <w:rFonts w:eastAsia="Times New Roman" w:cstheme="minorHAnsi"/>
          <w:i/>
          <w:sz w:val="24"/>
          <w:szCs w:val="24"/>
        </w:rPr>
        <w:t>-4818 Ordering Paragraph (OP) 18 provides the overall direction on the D2D submission, review and approval requirements:</w:t>
      </w:r>
    </w:p>
    <w:p w14:paraId="6BC22A3D" w14:textId="77777777" w:rsidR="00F54BEC" w:rsidRPr="00050AC4" w:rsidRDefault="00F54BEC" w:rsidP="00F54BEC">
      <w:pPr>
        <w:spacing w:before="240" w:after="240"/>
        <w:ind w:left="1440"/>
        <w:rPr>
          <w:rFonts w:cstheme="minorHAnsi"/>
          <w:i/>
          <w:sz w:val="24"/>
          <w:szCs w:val="24"/>
        </w:rPr>
      </w:pPr>
      <w:r w:rsidRPr="00050AC4">
        <w:rPr>
          <w:rFonts w:cstheme="minorHAnsi"/>
          <w:i/>
          <w:sz w:val="24"/>
          <w:szCs w:val="24"/>
        </w:rPr>
        <w:t>18. We direct the Program Administrators to adhere to the direct-to-decision and direct-to-default standards as stipulated in the corresponding sections of this Resolution, and summarized below:</w:t>
      </w:r>
    </w:p>
    <w:p w14:paraId="12DB5F2C" w14:textId="77777777" w:rsidR="00F54BEC" w:rsidRPr="00050AC4" w:rsidRDefault="00F54BEC" w:rsidP="00F54BEC">
      <w:pPr>
        <w:pStyle w:val="ListParagraph"/>
        <w:numPr>
          <w:ilvl w:val="0"/>
          <w:numId w:val="5"/>
        </w:numPr>
        <w:spacing w:before="240" w:after="240"/>
        <w:ind w:left="1800"/>
        <w:rPr>
          <w:rFonts w:asciiTheme="minorHAnsi" w:hAnsiTheme="minorHAnsi" w:cstheme="minorHAnsi"/>
          <w:i/>
          <w:sz w:val="24"/>
          <w:szCs w:val="24"/>
        </w:rPr>
      </w:pPr>
      <w:r w:rsidRPr="00050AC4">
        <w:rPr>
          <w:rFonts w:asciiTheme="minorHAnsi" w:hAnsiTheme="minorHAnsi" w:cstheme="minorHAnsi"/>
          <w:i/>
          <w:sz w:val="24"/>
          <w:szCs w:val="24"/>
        </w:rPr>
        <w:t>Program designs, program rules and customer eligibility criteria are submitted to the Commission for approval, with a strong argument or data supported case indicative of inducing accelerated replacement.</w:t>
      </w:r>
    </w:p>
    <w:p w14:paraId="04DEDBF3" w14:textId="77777777" w:rsidR="00F54BEC" w:rsidRPr="00050AC4" w:rsidRDefault="00F54BEC" w:rsidP="00F54BEC">
      <w:pPr>
        <w:pStyle w:val="ListParagraph"/>
        <w:numPr>
          <w:ilvl w:val="0"/>
          <w:numId w:val="5"/>
        </w:numPr>
        <w:spacing w:before="240" w:after="240"/>
        <w:ind w:left="1800"/>
        <w:rPr>
          <w:rFonts w:asciiTheme="minorHAnsi" w:hAnsiTheme="minorHAnsi" w:cstheme="minorHAnsi"/>
          <w:i/>
          <w:sz w:val="24"/>
          <w:szCs w:val="24"/>
        </w:rPr>
      </w:pPr>
      <w:r w:rsidRPr="00050AC4">
        <w:rPr>
          <w:rFonts w:asciiTheme="minorHAnsi" w:hAnsiTheme="minorHAnsi" w:cstheme="minorHAnsi"/>
          <w:i/>
          <w:sz w:val="24"/>
          <w:szCs w:val="24"/>
        </w:rPr>
        <w:t>Program rules must specify eligibility criteria and the evidence of program eligibility and/or program influence that will be collected for each installation.</w:t>
      </w:r>
    </w:p>
    <w:p w14:paraId="74A8BF42" w14:textId="77777777" w:rsidR="00F54BEC" w:rsidRPr="00050AC4" w:rsidRDefault="00F54BEC" w:rsidP="00F54BEC">
      <w:pPr>
        <w:pStyle w:val="ListParagraph"/>
        <w:numPr>
          <w:ilvl w:val="0"/>
          <w:numId w:val="5"/>
        </w:numPr>
        <w:spacing w:before="240" w:after="240"/>
        <w:ind w:left="1800"/>
        <w:rPr>
          <w:rFonts w:asciiTheme="minorHAnsi" w:hAnsiTheme="minorHAnsi" w:cstheme="minorHAnsi"/>
          <w:i/>
          <w:sz w:val="24"/>
          <w:szCs w:val="24"/>
        </w:rPr>
      </w:pPr>
      <w:r w:rsidRPr="00050AC4">
        <w:rPr>
          <w:rFonts w:asciiTheme="minorHAnsi" w:hAnsiTheme="minorHAnsi" w:cstheme="minorHAnsi"/>
          <w:i/>
          <w:sz w:val="24"/>
          <w:szCs w:val="24"/>
        </w:rPr>
        <w:t xml:space="preserve">Specified evidence must be collected for each installation as part of the program </w:t>
      </w:r>
      <w:proofErr w:type="gramStart"/>
      <w:r w:rsidRPr="00050AC4">
        <w:rPr>
          <w:rFonts w:asciiTheme="minorHAnsi" w:hAnsiTheme="minorHAnsi" w:cstheme="minorHAnsi"/>
          <w:i/>
          <w:sz w:val="24"/>
          <w:szCs w:val="24"/>
        </w:rPr>
        <w:t>implementation,</w:t>
      </w:r>
      <w:proofErr w:type="gramEnd"/>
      <w:r w:rsidRPr="00050AC4">
        <w:rPr>
          <w:rFonts w:asciiTheme="minorHAnsi" w:hAnsiTheme="minorHAnsi" w:cstheme="minorHAnsi"/>
          <w:i/>
          <w:sz w:val="24"/>
          <w:szCs w:val="24"/>
        </w:rPr>
        <w:t xml:space="preserve"> and this evidence be made available to the Commission upon request and submitted as supporting documentation with energy savings claims.</w:t>
      </w:r>
    </w:p>
    <w:p w14:paraId="08BE39D8" w14:textId="77777777" w:rsidR="007E5689" w:rsidRPr="00050AC4" w:rsidRDefault="00B13D71" w:rsidP="0051123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50AC4">
        <w:rPr>
          <w:rFonts w:asciiTheme="minorHAnsi" w:hAnsiTheme="minorHAnsi" w:cstheme="minorHAnsi"/>
          <w:sz w:val="24"/>
          <w:szCs w:val="24"/>
        </w:rPr>
        <w:lastRenderedPageBreak/>
        <w:t>What is allowed for broken/non-operating equipment and equipment that are performing sub-</w:t>
      </w:r>
      <w:proofErr w:type="gramStart"/>
      <w:r w:rsidRPr="00050AC4">
        <w:rPr>
          <w:rFonts w:asciiTheme="minorHAnsi" w:hAnsiTheme="minorHAnsi" w:cstheme="minorHAnsi"/>
          <w:sz w:val="24"/>
          <w:szCs w:val="24"/>
        </w:rPr>
        <w:t>optimally.</w:t>
      </w:r>
      <w:proofErr w:type="gramEnd"/>
      <w:r w:rsidRPr="00050AC4">
        <w:rPr>
          <w:rFonts w:asciiTheme="minorHAnsi" w:hAnsiTheme="minorHAnsi" w:cstheme="minorHAnsi"/>
          <w:sz w:val="24"/>
          <w:szCs w:val="24"/>
        </w:rPr>
        <w:t xml:space="preserve"> Can </w:t>
      </w:r>
      <w:proofErr w:type="spellStart"/>
      <w:r w:rsidRPr="00050AC4">
        <w:rPr>
          <w:rFonts w:asciiTheme="minorHAnsi" w:hAnsiTheme="minorHAnsi" w:cstheme="minorHAnsi"/>
          <w:sz w:val="24"/>
          <w:szCs w:val="24"/>
        </w:rPr>
        <w:t>broken</w:t>
      </w:r>
      <w:proofErr w:type="spellEnd"/>
      <w:r w:rsidRPr="00050AC4">
        <w:rPr>
          <w:rFonts w:asciiTheme="minorHAnsi" w:hAnsiTheme="minorHAnsi" w:cstheme="minorHAnsi"/>
          <w:sz w:val="24"/>
          <w:szCs w:val="24"/>
        </w:rPr>
        <w:t xml:space="preserve">/non-operating equipment qualify for Repair Eligible? (Task 3) </w:t>
      </w:r>
    </w:p>
    <w:p w14:paraId="04BDD87B" w14:textId="77777777" w:rsidR="00F54BEC" w:rsidRPr="00050AC4" w:rsidRDefault="007E5689" w:rsidP="007E5689">
      <w:pPr>
        <w:spacing w:before="240" w:after="240"/>
        <w:ind w:left="720"/>
        <w:rPr>
          <w:rFonts w:eastAsia="Times New Roman" w:cstheme="minorHAnsi"/>
          <w:i/>
          <w:sz w:val="24"/>
          <w:szCs w:val="24"/>
        </w:rPr>
      </w:pPr>
      <w:r w:rsidRPr="00050AC4">
        <w:rPr>
          <w:rFonts w:eastAsia="Times New Roman" w:cstheme="minorHAnsi"/>
          <w:i/>
          <w:sz w:val="24"/>
          <w:szCs w:val="24"/>
        </w:rPr>
        <w:t>Commission staff c</w:t>
      </w:r>
      <w:r w:rsidR="00F54BEC" w:rsidRPr="00050AC4">
        <w:rPr>
          <w:rFonts w:eastAsia="Times New Roman" w:cstheme="minorHAnsi"/>
          <w:i/>
          <w:sz w:val="24"/>
          <w:szCs w:val="24"/>
        </w:rPr>
        <w:t>larification:</w:t>
      </w:r>
    </w:p>
    <w:p w14:paraId="0226A554" w14:textId="77777777" w:rsidR="00B13D71" w:rsidRPr="00050AC4" w:rsidRDefault="008C2C9B" w:rsidP="007E5689">
      <w:pPr>
        <w:spacing w:before="240" w:after="240"/>
        <w:ind w:left="720"/>
        <w:rPr>
          <w:rFonts w:cstheme="minorHAnsi"/>
          <w:i/>
          <w:sz w:val="24"/>
          <w:szCs w:val="24"/>
        </w:rPr>
      </w:pPr>
      <w:r w:rsidRPr="00050AC4">
        <w:rPr>
          <w:rFonts w:cstheme="minorHAnsi"/>
          <w:i/>
          <w:sz w:val="24"/>
          <w:szCs w:val="24"/>
        </w:rPr>
        <w:t>OP 4 of Resolution E-4818 is clear</w:t>
      </w:r>
      <w:r w:rsidR="009632EA">
        <w:rPr>
          <w:rFonts w:cstheme="minorHAnsi"/>
          <w:i/>
          <w:sz w:val="24"/>
          <w:szCs w:val="24"/>
        </w:rPr>
        <w:t xml:space="preserve"> in its direction on this point.</w:t>
      </w:r>
      <w:r w:rsidR="00B13D71" w:rsidRPr="00050AC4">
        <w:rPr>
          <w:rFonts w:cstheme="minorHAnsi"/>
          <w:i/>
          <w:sz w:val="24"/>
          <w:szCs w:val="24"/>
        </w:rPr>
        <w:t xml:space="preserve">  </w:t>
      </w:r>
    </w:p>
    <w:p w14:paraId="1FA1354D" w14:textId="77777777" w:rsidR="008C2C9B" w:rsidRPr="00050AC4" w:rsidRDefault="008C2C9B" w:rsidP="008C2C9B">
      <w:pPr>
        <w:spacing w:before="240" w:after="240"/>
        <w:ind w:left="1440"/>
        <w:rPr>
          <w:rFonts w:cstheme="minorHAnsi"/>
          <w:i/>
          <w:sz w:val="24"/>
          <w:szCs w:val="24"/>
        </w:rPr>
      </w:pPr>
      <w:r w:rsidRPr="00050AC4">
        <w:rPr>
          <w:rFonts w:cstheme="minorHAnsi"/>
          <w:i/>
          <w:sz w:val="24"/>
          <w:szCs w:val="24"/>
        </w:rPr>
        <w:t>4. We direct the Program Administrators to apply a normal replacement baseline where the existing equipment is not operational or not meeting the existing service requirements. This applies to all types of equipment, including add-on equipment.</w:t>
      </w:r>
    </w:p>
    <w:p w14:paraId="06867DC8" w14:textId="7B5F3813" w:rsidR="009632EA" w:rsidRDefault="009632EA" w:rsidP="008C2C9B">
      <w:pPr>
        <w:spacing w:before="240" w:after="240"/>
        <w:ind w:left="720"/>
        <w:rPr>
          <w:rFonts w:cstheme="minorHAnsi"/>
          <w:i/>
          <w:sz w:val="24"/>
          <w:szCs w:val="24"/>
        </w:rPr>
      </w:pPr>
      <w:r w:rsidRPr="00050AC4">
        <w:rPr>
          <w:rFonts w:cstheme="minorHAnsi"/>
          <w:i/>
          <w:sz w:val="24"/>
          <w:szCs w:val="24"/>
        </w:rPr>
        <w:t xml:space="preserve">The previous draft baseline </w:t>
      </w:r>
      <w:r w:rsidR="0037260A">
        <w:rPr>
          <w:rFonts w:cstheme="minorHAnsi"/>
          <w:i/>
          <w:sz w:val="24"/>
          <w:szCs w:val="24"/>
        </w:rPr>
        <w:t xml:space="preserve">decision </w:t>
      </w:r>
      <w:r w:rsidRPr="00050AC4">
        <w:rPr>
          <w:rFonts w:cstheme="minorHAnsi"/>
          <w:i/>
          <w:sz w:val="24"/>
          <w:szCs w:val="24"/>
        </w:rPr>
        <w:t xml:space="preserve">flowchart offered by Commission staff was </w:t>
      </w:r>
      <w:r w:rsidR="0037260A">
        <w:rPr>
          <w:rFonts w:cstheme="minorHAnsi"/>
          <w:i/>
          <w:sz w:val="24"/>
          <w:szCs w:val="24"/>
        </w:rPr>
        <w:t>un</w:t>
      </w:r>
      <w:r w:rsidRPr="00050AC4">
        <w:rPr>
          <w:rFonts w:cstheme="minorHAnsi"/>
          <w:i/>
          <w:sz w:val="24"/>
          <w:szCs w:val="24"/>
        </w:rPr>
        <w:t xml:space="preserve">clear or </w:t>
      </w:r>
      <w:r w:rsidR="0037260A">
        <w:rPr>
          <w:rFonts w:cstheme="minorHAnsi"/>
          <w:i/>
          <w:sz w:val="24"/>
          <w:szCs w:val="24"/>
        </w:rPr>
        <w:t>in</w:t>
      </w:r>
      <w:r w:rsidRPr="00050AC4">
        <w:rPr>
          <w:rFonts w:cstheme="minorHAnsi"/>
          <w:i/>
          <w:sz w:val="24"/>
          <w:szCs w:val="24"/>
        </w:rPr>
        <w:t xml:space="preserve">correct on this point and </w:t>
      </w:r>
      <w:r w:rsidR="0037260A">
        <w:rPr>
          <w:rFonts w:cstheme="minorHAnsi"/>
          <w:i/>
          <w:sz w:val="24"/>
          <w:szCs w:val="24"/>
        </w:rPr>
        <w:t>Commission staff will provide a corrected version</w:t>
      </w:r>
      <w:r w:rsidRPr="00050AC4">
        <w:rPr>
          <w:rFonts w:cstheme="minorHAnsi"/>
          <w:i/>
          <w:sz w:val="24"/>
          <w:szCs w:val="24"/>
        </w:rPr>
        <w:t>.</w:t>
      </w:r>
    </w:p>
    <w:p w14:paraId="70940B9D" w14:textId="0EF72BB7" w:rsidR="008C2C9B" w:rsidRPr="00050AC4" w:rsidRDefault="008C2C9B" w:rsidP="008C2C9B">
      <w:pPr>
        <w:spacing w:before="240" w:after="240"/>
        <w:ind w:left="720"/>
        <w:rPr>
          <w:rFonts w:cstheme="minorHAnsi"/>
          <w:i/>
          <w:sz w:val="24"/>
          <w:szCs w:val="24"/>
        </w:rPr>
      </w:pPr>
      <w:proofErr w:type="gramStart"/>
      <w:r w:rsidRPr="00050AC4">
        <w:rPr>
          <w:rFonts w:cstheme="minorHAnsi"/>
          <w:i/>
          <w:sz w:val="24"/>
          <w:szCs w:val="24"/>
        </w:rPr>
        <w:t>Sub-optimal equipment performance, where the equipment is still operational and meeting the service requirements, is not precluded for “existing conditions” baseline treat</w:t>
      </w:r>
      <w:r w:rsidR="0037260A">
        <w:rPr>
          <w:rFonts w:cstheme="minorHAnsi"/>
          <w:i/>
          <w:sz w:val="24"/>
          <w:szCs w:val="24"/>
        </w:rPr>
        <w:t>ment by this OP.</w:t>
      </w:r>
      <w:proofErr w:type="gramEnd"/>
      <w:r w:rsidR="0037260A">
        <w:rPr>
          <w:rFonts w:cstheme="minorHAnsi"/>
          <w:i/>
          <w:sz w:val="24"/>
          <w:szCs w:val="24"/>
        </w:rPr>
        <w:t xml:space="preserve"> H</w:t>
      </w:r>
      <w:r w:rsidR="00A53487" w:rsidRPr="00050AC4">
        <w:rPr>
          <w:rFonts w:cstheme="minorHAnsi"/>
          <w:i/>
          <w:sz w:val="24"/>
          <w:szCs w:val="24"/>
        </w:rPr>
        <w:t>owever, the phrase “meeting the existing service requirements” may need clarification as well. Commission staff will provide guidance on this topic and will solicit input and comments from stakeholders.</w:t>
      </w:r>
    </w:p>
    <w:p w14:paraId="7A8E7B72" w14:textId="2BD50061" w:rsidR="00A53487" w:rsidRPr="00050AC4" w:rsidRDefault="00A53487" w:rsidP="008C2C9B">
      <w:pPr>
        <w:spacing w:before="240" w:after="240"/>
        <w:ind w:left="720"/>
        <w:rPr>
          <w:rFonts w:cstheme="minorHAnsi"/>
          <w:i/>
          <w:sz w:val="24"/>
          <w:szCs w:val="24"/>
        </w:rPr>
      </w:pPr>
      <w:r w:rsidRPr="00050AC4">
        <w:rPr>
          <w:rFonts w:cstheme="minorHAnsi"/>
          <w:i/>
          <w:sz w:val="24"/>
          <w:szCs w:val="24"/>
        </w:rPr>
        <w:t xml:space="preserve">Commission staff observes that stakeholder may have been confused by the discussion </w:t>
      </w:r>
      <w:r w:rsidR="0037260A">
        <w:rPr>
          <w:rFonts w:cstheme="minorHAnsi"/>
          <w:i/>
          <w:sz w:val="24"/>
          <w:szCs w:val="24"/>
        </w:rPr>
        <w:t xml:space="preserve">in the Resolution </w:t>
      </w:r>
      <w:r w:rsidRPr="00050AC4">
        <w:rPr>
          <w:rFonts w:cstheme="minorHAnsi"/>
          <w:i/>
          <w:sz w:val="24"/>
          <w:szCs w:val="24"/>
        </w:rPr>
        <w:t>st</w:t>
      </w:r>
      <w:r w:rsidR="00901889">
        <w:rPr>
          <w:rFonts w:cstheme="minorHAnsi"/>
          <w:i/>
          <w:sz w:val="24"/>
          <w:szCs w:val="24"/>
        </w:rPr>
        <w:t xml:space="preserve">arting at the bottom of page 31, </w:t>
      </w:r>
      <w:r w:rsidRPr="00050AC4">
        <w:rPr>
          <w:rFonts w:cstheme="minorHAnsi"/>
          <w:i/>
          <w:sz w:val="24"/>
          <w:szCs w:val="24"/>
        </w:rPr>
        <w:t>including table 6</w:t>
      </w:r>
      <w:r w:rsidR="00901889">
        <w:rPr>
          <w:rFonts w:cstheme="minorHAnsi"/>
          <w:i/>
          <w:sz w:val="24"/>
          <w:szCs w:val="24"/>
        </w:rPr>
        <w:t>,</w:t>
      </w:r>
      <w:r w:rsidRPr="00050AC4">
        <w:rPr>
          <w:rFonts w:cstheme="minorHAnsi"/>
          <w:i/>
          <w:sz w:val="24"/>
          <w:szCs w:val="24"/>
        </w:rPr>
        <w:t xml:space="preserve"> which discusses and </w:t>
      </w:r>
      <w:r w:rsidR="0037260A">
        <w:rPr>
          <w:rFonts w:cstheme="minorHAnsi"/>
          <w:i/>
          <w:sz w:val="24"/>
          <w:szCs w:val="24"/>
        </w:rPr>
        <w:t xml:space="preserve">provides </w:t>
      </w:r>
      <w:r w:rsidR="0037260A" w:rsidRPr="00050AC4">
        <w:rPr>
          <w:rFonts w:cstheme="minorHAnsi"/>
          <w:i/>
          <w:sz w:val="24"/>
          <w:szCs w:val="24"/>
        </w:rPr>
        <w:t xml:space="preserve">scenarios </w:t>
      </w:r>
      <w:r w:rsidR="0037260A">
        <w:rPr>
          <w:rFonts w:cstheme="minorHAnsi"/>
          <w:i/>
          <w:sz w:val="24"/>
          <w:szCs w:val="24"/>
        </w:rPr>
        <w:t>of</w:t>
      </w:r>
      <w:r w:rsidRPr="00050AC4">
        <w:rPr>
          <w:rFonts w:cstheme="minorHAnsi"/>
          <w:i/>
          <w:sz w:val="24"/>
          <w:szCs w:val="24"/>
        </w:rPr>
        <w:t xml:space="preserve"> non-functional and sub-optimal performance. However, as noted in that discussion and table, those scenarios are</w:t>
      </w:r>
      <w:r w:rsidRPr="00050AC4">
        <w:rPr>
          <w:rFonts w:cstheme="minorHAnsi"/>
          <w:b/>
          <w:i/>
          <w:sz w:val="24"/>
          <w:szCs w:val="24"/>
        </w:rPr>
        <w:t xml:space="preserve"> not adopted</w:t>
      </w:r>
      <w:r w:rsidRPr="00050AC4">
        <w:rPr>
          <w:rFonts w:cstheme="minorHAnsi"/>
          <w:i/>
          <w:sz w:val="24"/>
          <w:szCs w:val="24"/>
        </w:rPr>
        <w:t xml:space="preserve"> </w:t>
      </w:r>
      <w:r w:rsidR="00901889">
        <w:rPr>
          <w:rFonts w:cstheme="minorHAnsi"/>
          <w:i/>
          <w:sz w:val="24"/>
          <w:szCs w:val="24"/>
        </w:rPr>
        <w:t xml:space="preserve">as defining “repair eligible” equipment </w:t>
      </w:r>
      <w:r w:rsidRPr="00050AC4">
        <w:rPr>
          <w:rFonts w:cstheme="minorHAnsi"/>
          <w:i/>
          <w:sz w:val="24"/>
          <w:szCs w:val="24"/>
        </w:rPr>
        <w:t>by the Resolution.</w:t>
      </w:r>
    </w:p>
    <w:p w14:paraId="4722B688" w14:textId="77777777" w:rsidR="007E5689" w:rsidRPr="00050AC4" w:rsidRDefault="00B13D71" w:rsidP="00511239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50AC4">
        <w:rPr>
          <w:rFonts w:asciiTheme="minorHAnsi" w:hAnsiTheme="minorHAnsi" w:cstheme="minorHAnsi"/>
          <w:sz w:val="24"/>
          <w:szCs w:val="24"/>
        </w:rPr>
        <w:t>Whether small businesses are allowed under Direct to Decision and/or Direct to Default path. What is the purpose of small business definition?</w:t>
      </w:r>
      <w:r w:rsidR="00A53487" w:rsidRPr="00050AC4">
        <w:rPr>
          <w:rFonts w:asciiTheme="minorHAnsi" w:hAnsiTheme="minorHAnsi" w:cstheme="minorHAnsi"/>
          <w:sz w:val="24"/>
          <w:szCs w:val="24"/>
        </w:rPr>
        <w:t xml:space="preserve"> (Task 4)</w:t>
      </w:r>
    </w:p>
    <w:p w14:paraId="19C14B76" w14:textId="77777777" w:rsidR="00A53487" w:rsidRPr="00050AC4" w:rsidRDefault="007E5689" w:rsidP="007E5689">
      <w:pPr>
        <w:spacing w:before="240" w:after="240"/>
        <w:ind w:left="720"/>
        <w:rPr>
          <w:rFonts w:eastAsia="Times New Roman" w:cstheme="minorHAnsi"/>
          <w:i/>
          <w:sz w:val="24"/>
          <w:szCs w:val="24"/>
        </w:rPr>
      </w:pPr>
      <w:r w:rsidRPr="00050AC4">
        <w:rPr>
          <w:rFonts w:eastAsia="Times New Roman" w:cstheme="minorHAnsi"/>
          <w:i/>
          <w:sz w:val="24"/>
          <w:szCs w:val="24"/>
        </w:rPr>
        <w:t>Commission staff c</w:t>
      </w:r>
      <w:r w:rsidR="00A53487" w:rsidRPr="00050AC4">
        <w:rPr>
          <w:rFonts w:eastAsia="Times New Roman" w:cstheme="minorHAnsi"/>
          <w:i/>
          <w:sz w:val="24"/>
          <w:szCs w:val="24"/>
        </w:rPr>
        <w:t>larification:</w:t>
      </w:r>
    </w:p>
    <w:p w14:paraId="2778AF5B" w14:textId="77777777" w:rsidR="00B13D71" w:rsidRPr="00050AC4" w:rsidRDefault="00A53487" w:rsidP="007E5689">
      <w:pPr>
        <w:spacing w:before="240" w:after="240"/>
        <w:ind w:left="720"/>
        <w:rPr>
          <w:rFonts w:cstheme="minorHAnsi"/>
          <w:i/>
          <w:sz w:val="24"/>
          <w:szCs w:val="24"/>
        </w:rPr>
      </w:pPr>
      <w:r w:rsidRPr="00050AC4">
        <w:rPr>
          <w:rFonts w:cstheme="minorHAnsi"/>
          <w:i/>
          <w:sz w:val="24"/>
          <w:szCs w:val="24"/>
        </w:rPr>
        <w:t xml:space="preserve">The purpose of defining “small business” is to support </w:t>
      </w:r>
      <w:r w:rsidR="00511239" w:rsidRPr="00050AC4">
        <w:rPr>
          <w:rFonts w:cstheme="minorHAnsi"/>
          <w:i/>
          <w:sz w:val="24"/>
          <w:szCs w:val="24"/>
        </w:rPr>
        <w:t xml:space="preserve">program </w:t>
      </w:r>
      <w:r w:rsidRPr="00050AC4">
        <w:rPr>
          <w:rFonts w:cstheme="minorHAnsi"/>
          <w:i/>
          <w:sz w:val="24"/>
          <w:szCs w:val="24"/>
        </w:rPr>
        <w:t xml:space="preserve">D2D </w:t>
      </w:r>
      <w:r w:rsidR="00511239" w:rsidRPr="00050AC4">
        <w:rPr>
          <w:rFonts w:cstheme="minorHAnsi"/>
          <w:i/>
          <w:sz w:val="24"/>
          <w:szCs w:val="24"/>
        </w:rPr>
        <w:t xml:space="preserve">option </w:t>
      </w:r>
      <w:r w:rsidRPr="00050AC4">
        <w:rPr>
          <w:rFonts w:cstheme="minorHAnsi"/>
          <w:i/>
          <w:sz w:val="24"/>
          <w:szCs w:val="24"/>
        </w:rPr>
        <w:t>designs that would elect to target a “small business” segment. This definition, once adopted, can be used in PA submittals to Commission staff for review and approval of D2D options</w:t>
      </w:r>
      <w:r w:rsidR="00511239" w:rsidRPr="00050AC4">
        <w:rPr>
          <w:rFonts w:cstheme="minorHAnsi"/>
          <w:i/>
          <w:sz w:val="24"/>
          <w:szCs w:val="24"/>
        </w:rPr>
        <w:t xml:space="preserve"> which use the “small business” designation for identification of a class of customers eligible for D2D treatment</w:t>
      </w:r>
      <w:r w:rsidR="00B13D71" w:rsidRPr="00050AC4">
        <w:rPr>
          <w:rFonts w:cstheme="minorHAnsi"/>
          <w:i/>
          <w:sz w:val="24"/>
          <w:szCs w:val="24"/>
        </w:rPr>
        <w:t xml:space="preserve">.  </w:t>
      </w:r>
      <w:r w:rsidR="00511239" w:rsidRPr="00050AC4">
        <w:rPr>
          <w:rFonts w:cstheme="minorHAnsi"/>
          <w:i/>
          <w:sz w:val="24"/>
          <w:szCs w:val="24"/>
        </w:rPr>
        <w:t>This designation will only be one aspect of the eligibility for D2D treatment within a program</w:t>
      </w:r>
      <w:r w:rsidR="00BF7FB8" w:rsidRPr="00050AC4">
        <w:rPr>
          <w:rFonts w:cstheme="minorHAnsi"/>
          <w:i/>
          <w:sz w:val="24"/>
          <w:szCs w:val="24"/>
        </w:rPr>
        <w:t xml:space="preserve"> with an approved D2D option</w:t>
      </w:r>
      <w:r w:rsidR="00511239" w:rsidRPr="00050AC4">
        <w:rPr>
          <w:rFonts w:cstheme="minorHAnsi"/>
          <w:i/>
          <w:sz w:val="24"/>
          <w:szCs w:val="24"/>
        </w:rPr>
        <w:t>; all the other requirements set forth in E-4818 OP 18, listed above, also apply.</w:t>
      </w:r>
      <w:r w:rsidR="00901889">
        <w:rPr>
          <w:rFonts w:cstheme="minorHAnsi"/>
          <w:i/>
          <w:sz w:val="24"/>
          <w:szCs w:val="24"/>
        </w:rPr>
        <w:t xml:space="preserve"> However, Commission staff anticipates that D2D treatment proposals for programs targeting small business will likely gain approval swiftly and without difficulty pending a small business definition that meets </w:t>
      </w:r>
      <w:r w:rsidR="00A54324">
        <w:rPr>
          <w:rFonts w:cstheme="minorHAnsi"/>
          <w:i/>
          <w:sz w:val="24"/>
          <w:szCs w:val="24"/>
        </w:rPr>
        <w:t xml:space="preserve">the </w:t>
      </w:r>
      <w:r w:rsidR="00901889">
        <w:rPr>
          <w:rFonts w:cstheme="minorHAnsi"/>
          <w:i/>
          <w:sz w:val="24"/>
          <w:szCs w:val="24"/>
        </w:rPr>
        <w:t xml:space="preserve">Commission staff understanding of underserved </w:t>
      </w:r>
      <w:r w:rsidR="00A54324">
        <w:rPr>
          <w:rFonts w:cstheme="minorHAnsi"/>
          <w:i/>
          <w:sz w:val="24"/>
          <w:szCs w:val="24"/>
        </w:rPr>
        <w:t xml:space="preserve">(or slow to pursue equipment upgrades) portion of the </w:t>
      </w:r>
      <w:r w:rsidR="00901889">
        <w:rPr>
          <w:rFonts w:cstheme="minorHAnsi"/>
          <w:i/>
          <w:sz w:val="24"/>
          <w:szCs w:val="24"/>
        </w:rPr>
        <w:t xml:space="preserve">nonresidential </w:t>
      </w:r>
      <w:r w:rsidR="00A54324">
        <w:rPr>
          <w:rFonts w:cstheme="minorHAnsi"/>
          <w:i/>
          <w:sz w:val="24"/>
          <w:szCs w:val="24"/>
        </w:rPr>
        <w:t>market.</w:t>
      </w:r>
    </w:p>
    <w:p w14:paraId="5BEC0675" w14:textId="77777777" w:rsidR="007E5689" w:rsidRPr="00050AC4" w:rsidRDefault="007E5689" w:rsidP="00511239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050AC4">
        <w:rPr>
          <w:rFonts w:eastAsia="Times New Roman" w:cstheme="minorHAnsi"/>
          <w:sz w:val="24"/>
          <w:szCs w:val="24"/>
        </w:rPr>
        <w:lastRenderedPageBreak/>
        <w:t xml:space="preserve">The last bullet point of OP 18 </w:t>
      </w:r>
      <w:r w:rsidR="00B13D71" w:rsidRPr="00B13D71">
        <w:rPr>
          <w:rFonts w:eastAsia="Times New Roman" w:cstheme="minorHAnsi"/>
          <w:sz w:val="24"/>
          <w:szCs w:val="24"/>
        </w:rPr>
        <w:t>seemed contra</w:t>
      </w:r>
      <w:r w:rsidRPr="00050AC4">
        <w:rPr>
          <w:rFonts w:eastAsia="Times New Roman" w:cstheme="minorHAnsi"/>
          <w:sz w:val="24"/>
          <w:szCs w:val="24"/>
        </w:rPr>
        <w:t xml:space="preserve">dictory to the idea that the </w:t>
      </w:r>
      <w:r w:rsidR="00050AC4">
        <w:rPr>
          <w:rFonts w:eastAsia="Times New Roman" w:cstheme="minorHAnsi"/>
          <w:sz w:val="24"/>
          <w:szCs w:val="24"/>
        </w:rPr>
        <w:t>D2D</w:t>
      </w:r>
      <w:r w:rsidRPr="00050AC4">
        <w:rPr>
          <w:rFonts w:eastAsia="Times New Roman" w:cstheme="minorHAnsi"/>
          <w:sz w:val="24"/>
          <w:szCs w:val="24"/>
        </w:rPr>
        <w:t xml:space="preserve"> options allow the bypass of the tiered </w:t>
      </w:r>
      <w:proofErr w:type="spellStart"/>
      <w:r w:rsidR="00812E26" w:rsidRPr="00050AC4">
        <w:rPr>
          <w:rFonts w:eastAsia="Times New Roman" w:cstheme="minorHAnsi"/>
          <w:sz w:val="24"/>
          <w:szCs w:val="24"/>
        </w:rPr>
        <w:t>PoE</w:t>
      </w:r>
      <w:proofErr w:type="spellEnd"/>
      <w:r w:rsidRPr="00050AC4">
        <w:rPr>
          <w:rFonts w:eastAsia="Times New Roman" w:cstheme="minorHAnsi"/>
          <w:sz w:val="24"/>
          <w:szCs w:val="24"/>
        </w:rPr>
        <w:t xml:space="preserve"> requirements.</w:t>
      </w:r>
      <w:r w:rsidR="00812E26" w:rsidRPr="00050AC4">
        <w:rPr>
          <w:rFonts w:eastAsia="Times New Roman" w:cstheme="minorHAnsi"/>
          <w:sz w:val="24"/>
          <w:szCs w:val="24"/>
        </w:rPr>
        <w:t xml:space="preserve"> (</w:t>
      </w:r>
      <w:proofErr w:type="gramStart"/>
      <w:r w:rsidR="00812E26" w:rsidRPr="00050AC4">
        <w:rPr>
          <w:rFonts w:eastAsia="Times New Roman" w:cstheme="minorHAnsi"/>
          <w:sz w:val="24"/>
          <w:szCs w:val="24"/>
        </w:rPr>
        <w:t>text</w:t>
      </w:r>
      <w:proofErr w:type="gramEnd"/>
      <w:r w:rsidR="00812E26" w:rsidRPr="00050AC4">
        <w:rPr>
          <w:rFonts w:eastAsia="Times New Roman" w:cstheme="minorHAnsi"/>
          <w:sz w:val="24"/>
          <w:szCs w:val="24"/>
        </w:rPr>
        <w:t xml:space="preserve"> of OP 18 in question: “All projects qualifying for an accelerated replacement baseline under a direct-to-decision or direct-to-default condition must fulfill appropriate tiered preponderance of evidence requirements for equipment viability.”)</w:t>
      </w:r>
    </w:p>
    <w:p w14:paraId="08C08C86" w14:textId="77777777" w:rsidR="009632EA" w:rsidRPr="009632EA" w:rsidRDefault="007E5689" w:rsidP="007E5689">
      <w:pPr>
        <w:spacing w:before="240" w:after="24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9632EA">
        <w:rPr>
          <w:rFonts w:eastAsia="Times New Roman" w:cstheme="minorHAnsi"/>
          <w:i/>
          <w:sz w:val="24"/>
          <w:szCs w:val="24"/>
        </w:rPr>
        <w:t>Commission staff c</w:t>
      </w:r>
      <w:r w:rsidR="009632EA" w:rsidRPr="009632EA">
        <w:rPr>
          <w:rFonts w:eastAsia="Times New Roman" w:cstheme="minorHAnsi"/>
          <w:i/>
          <w:sz w:val="24"/>
          <w:szCs w:val="24"/>
        </w:rPr>
        <w:t>larification:</w:t>
      </w:r>
    </w:p>
    <w:p w14:paraId="5DDBB83C" w14:textId="77777777" w:rsidR="00B13D71" w:rsidRPr="00B13D71" w:rsidRDefault="00B13D71" w:rsidP="007E5689">
      <w:pPr>
        <w:spacing w:before="240" w:after="24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13D71">
        <w:rPr>
          <w:rFonts w:eastAsia="Times New Roman" w:cstheme="minorHAnsi"/>
          <w:i/>
          <w:sz w:val="24"/>
          <w:szCs w:val="24"/>
        </w:rPr>
        <w:t xml:space="preserve">CPUC staff </w:t>
      </w:r>
      <w:r w:rsidR="007E5689" w:rsidRPr="009632EA">
        <w:rPr>
          <w:rFonts w:eastAsia="Times New Roman" w:cstheme="minorHAnsi"/>
          <w:i/>
          <w:sz w:val="24"/>
          <w:szCs w:val="24"/>
        </w:rPr>
        <w:t>considers the inclusion of this last bullet as</w:t>
      </w:r>
      <w:r w:rsidRPr="00B13D71">
        <w:rPr>
          <w:rFonts w:eastAsia="Times New Roman" w:cstheme="minorHAnsi"/>
          <w:i/>
          <w:sz w:val="24"/>
          <w:szCs w:val="24"/>
        </w:rPr>
        <w:t xml:space="preserve"> a typo, and </w:t>
      </w:r>
      <w:r w:rsidR="007E5689" w:rsidRPr="009632EA">
        <w:rPr>
          <w:rFonts w:eastAsia="Times New Roman" w:cstheme="minorHAnsi"/>
          <w:i/>
          <w:sz w:val="24"/>
          <w:szCs w:val="24"/>
        </w:rPr>
        <w:t>is exploring the options</w:t>
      </w:r>
      <w:r w:rsidRPr="00B13D71">
        <w:rPr>
          <w:rFonts w:eastAsia="Times New Roman" w:cstheme="minorHAnsi"/>
          <w:i/>
          <w:sz w:val="24"/>
          <w:szCs w:val="24"/>
        </w:rPr>
        <w:t xml:space="preserve"> to correct </w:t>
      </w:r>
      <w:r w:rsidR="007E5689" w:rsidRPr="009632EA">
        <w:rPr>
          <w:rFonts w:eastAsia="Times New Roman" w:cstheme="minorHAnsi"/>
          <w:i/>
          <w:sz w:val="24"/>
          <w:szCs w:val="24"/>
        </w:rPr>
        <w:t>this ASAP</w:t>
      </w:r>
      <w:r w:rsidRPr="00B13D71">
        <w:rPr>
          <w:rFonts w:eastAsia="Times New Roman" w:cstheme="minorHAnsi"/>
          <w:i/>
          <w:sz w:val="24"/>
          <w:szCs w:val="24"/>
        </w:rPr>
        <w:t>.</w:t>
      </w:r>
    </w:p>
    <w:p w14:paraId="5137C18B" w14:textId="77777777" w:rsidR="00B13D71" w:rsidRDefault="00B13D71"/>
    <w:p w14:paraId="6308D2FA" w14:textId="77777777" w:rsidR="00B13D71" w:rsidRDefault="00B13D71"/>
    <w:sectPr w:rsidR="00B13D71" w:rsidSect="00B13D7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2E3D2" w14:textId="77777777" w:rsidR="006A5BD6" w:rsidRDefault="006A5BD6" w:rsidP="00B13D71">
      <w:pPr>
        <w:spacing w:after="0" w:line="240" w:lineRule="auto"/>
      </w:pPr>
      <w:r>
        <w:separator/>
      </w:r>
    </w:p>
  </w:endnote>
  <w:endnote w:type="continuationSeparator" w:id="0">
    <w:p w14:paraId="2DD44E5A" w14:textId="77777777" w:rsidR="006A5BD6" w:rsidRDefault="006A5BD6" w:rsidP="00B13D71">
      <w:pPr>
        <w:spacing w:after="0" w:line="240" w:lineRule="auto"/>
      </w:pPr>
      <w:r>
        <w:continuationSeparator/>
      </w:r>
    </w:p>
  </w:endnote>
  <w:endnote w:type="continuationNotice" w:id="1">
    <w:p w14:paraId="461A2853" w14:textId="77777777" w:rsidR="006A5BD6" w:rsidRDefault="006A5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7B98C" w14:textId="6765235F" w:rsidR="00B13D71" w:rsidRDefault="00B13D71" w:rsidP="00B13D7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7CA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7E957" w14:textId="77777777" w:rsidR="006A5BD6" w:rsidRDefault="006A5BD6" w:rsidP="00B13D71">
      <w:pPr>
        <w:spacing w:after="0" w:line="240" w:lineRule="auto"/>
      </w:pPr>
      <w:r>
        <w:separator/>
      </w:r>
    </w:p>
  </w:footnote>
  <w:footnote w:type="continuationSeparator" w:id="0">
    <w:p w14:paraId="127A3655" w14:textId="77777777" w:rsidR="006A5BD6" w:rsidRDefault="006A5BD6" w:rsidP="00B13D71">
      <w:pPr>
        <w:spacing w:after="0" w:line="240" w:lineRule="auto"/>
      </w:pPr>
      <w:r>
        <w:continuationSeparator/>
      </w:r>
    </w:p>
  </w:footnote>
  <w:footnote w:type="continuationNotice" w:id="1">
    <w:p w14:paraId="42EC86A6" w14:textId="77777777" w:rsidR="006A5BD6" w:rsidRDefault="006A5B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2A6B9" w14:textId="77777777" w:rsidR="00B13D71" w:rsidRDefault="00B13D71" w:rsidP="00050AC4">
    <w:pPr>
      <w:pStyle w:val="Header"/>
      <w:jc w:val="right"/>
    </w:pPr>
    <w:r>
      <w:t>Clarification on direction provided in Resolution E-4818</w:t>
    </w:r>
  </w:p>
  <w:p w14:paraId="6912E23E" w14:textId="77777777" w:rsidR="00050AC4" w:rsidRDefault="00050AC4" w:rsidP="00050AC4">
    <w:pPr>
      <w:pStyle w:val="Header"/>
      <w:jc w:val="right"/>
    </w:pPr>
    <w:r>
      <w:t>Provided by Commission staff 22 May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5366" w14:textId="77777777" w:rsidR="00B13D71" w:rsidRDefault="00B13D71" w:rsidP="00B13D71">
    <w:pPr>
      <w:pStyle w:val="Header"/>
      <w:jc w:val="center"/>
      <w:rPr>
        <w:rFonts w:ascii="Arial" w:hAnsi="Arial" w:cs="Arial"/>
        <w:sz w:val="32"/>
        <w:szCs w:val="32"/>
      </w:rPr>
    </w:pPr>
    <w:r w:rsidRPr="00B13D71">
      <w:rPr>
        <w:rFonts w:ascii="Arial" w:hAnsi="Arial" w:cs="Arial"/>
        <w:sz w:val="32"/>
        <w:szCs w:val="32"/>
      </w:rPr>
      <w:t xml:space="preserve">Clarification on </w:t>
    </w:r>
    <w:r>
      <w:rPr>
        <w:rFonts w:ascii="Arial" w:hAnsi="Arial" w:cs="Arial"/>
        <w:sz w:val="32"/>
        <w:szCs w:val="32"/>
      </w:rPr>
      <w:t>D</w:t>
    </w:r>
    <w:r w:rsidRPr="00B13D71">
      <w:rPr>
        <w:rFonts w:ascii="Arial" w:hAnsi="Arial" w:cs="Arial"/>
        <w:sz w:val="32"/>
        <w:szCs w:val="32"/>
      </w:rPr>
      <w:t xml:space="preserve">irection </w:t>
    </w:r>
    <w:r>
      <w:rPr>
        <w:rFonts w:ascii="Arial" w:hAnsi="Arial" w:cs="Arial"/>
        <w:sz w:val="32"/>
        <w:szCs w:val="32"/>
      </w:rPr>
      <w:t>P</w:t>
    </w:r>
    <w:r w:rsidRPr="00B13D71">
      <w:rPr>
        <w:rFonts w:ascii="Arial" w:hAnsi="Arial" w:cs="Arial"/>
        <w:sz w:val="32"/>
        <w:szCs w:val="32"/>
      </w:rPr>
      <w:t>rovided in Resolution E-4818</w:t>
    </w:r>
  </w:p>
  <w:p w14:paraId="09A74B9F" w14:textId="77777777" w:rsidR="00050AC4" w:rsidRDefault="00050AC4" w:rsidP="00B13D71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Provided by Commission Staff</w:t>
    </w:r>
  </w:p>
  <w:p w14:paraId="720CC4E3" w14:textId="453948CE" w:rsidR="00050AC4" w:rsidRPr="00050AC4" w:rsidRDefault="00050AC4" w:rsidP="00B13D71">
    <w:pPr>
      <w:pStyle w:val="Header"/>
      <w:jc w:val="center"/>
      <w:rPr>
        <w:rFonts w:ascii="Arial" w:hAnsi="Arial" w:cs="Arial"/>
        <w:sz w:val="24"/>
        <w:szCs w:val="24"/>
      </w:rPr>
    </w:pPr>
    <w:r w:rsidRPr="00050AC4">
      <w:rPr>
        <w:rFonts w:ascii="Arial" w:hAnsi="Arial" w:cs="Arial"/>
        <w:sz w:val="24"/>
        <w:szCs w:val="24"/>
      </w:rPr>
      <w:t xml:space="preserve">May </w:t>
    </w:r>
    <w:r w:rsidR="00BB06B7">
      <w:rPr>
        <w:rFonts w:ascii="Arial" w:hAnsi="Arial" w:cs="Arial"/>
        <w:sz w:val="24"/>
        <w:szCs w:val="24"/>
      </w:rPr>
      <w:t xml:space="preserve">23, </w:t>
    </w:r>
    <w:r w:rsidRPr="00050AC4">
      <w:rPr>
        <w:rFonts w:ascii="Arial" w:hAnsi="Arial" w:cs="Arial"/>
        <w:sz w:val="24"/>
        <w:szCs w:val="24"/>
      </w:rPr>
      <w:t>2017</w:t>
    </w:r>
  </w:p>
  <w:p w14:paraId="6EEA2628" w14:textId="77777777" w:rsidR="00050AC4" w:rsidRPr="00050AC4" w:rsidRDefault="00050AC4" w:rsidP="00B13D7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3212"/>
    <w:multiLevelType w:val="hybridMultilevel"/>
    <w:tmpl w:val="2BD6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61E5"/>
    <w:multiLevelType w:val="hybridMultilevel"/>
    <w:tmpl w:val="95F2F3E0"/>
    <w:lvl w:ilvl="0" w:tplc="E27417E8">
      <w:numFmt w:val="bullet"/>
      <w:lvlText w:val=""/>
      <w:lvlJc w:val="left"/>
      <w:pPr>
        <w:ind w:left="744" w:hanging="384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D67BC"/>
    <w:multiLevelType w:val="hybridMultilevel"/>
    <w:tmpl w:val="DD1E4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890C97"/>
    <w:multiLevelType w:val="hybridMultilevel"/>
    <w:tmpl w:val="52A60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1"/>
    <w:rsid w:val="00050AC4"/>
    <w:rsid w:val="000D4E31"/>
    <w:rsid w:val="001E4151"/>
    <w:rsid w:val="0023706D"/>
    <w:rsid w:val="00272660"/>
    <w:rsid w:val="002F4F69"/>
    <w:rsid w:val="00354898"/>
    <w:rsid w:val="0037260A"/>
    <w:rsid w:val="003935BB"/>
    <w:rsid w:val="00511239"/>
    <w:rsid w:val="005C09BC"/>
    <w:rsid w:val="005F559A"/>
    <w:rsid w:val="00666864"/>
    <w:rsid w:val="006A5BD6"/>
    <w:rsid w:val="007764FA"/>
    <w:rsid w:val="007E5689"/>
    <w:rsid w:val="00812E26"/>
    <w:rsid w:val="008C2C9B"/>
    <w:rsid w:val="00901889"/>
    <w:rsid w:val="009632EA"/>
    <w:rsid w:val="00A53487"/>
    <w:rsid w:val="00A54324"/>
    <w:rsid w:val="00AE00B6"/>
    <w:rsid w:val="00B13D71"/>
    <w:rsid w:val="00BB06B7"/>
    <w:rsid w:val="00BF7FB8"/>
    <w:rsid w:val="00C519E1"/>
    <w:rsid w:val="00CF5A7A"/>
    <w:rsid w:val="00DA4027"/>
    <w:rsid w:val="00DA5511"/>
    <w:rsid w:val="00DD7CA6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1"/>
  </w:style>
  <w:style w:type="paragraph" w:styleId="Footer">
    <w:name w:val="footer"/>
    <w:basedOn w:val="Normal"/>
    <w:link w:val="FooterChar"/>
    <w:uiPriority w:val="99"/>
    <w:unhideWhenUsed/>
    <w:rsid w:val="00B1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71"/>
  </w:style>
  <w:style w:type="paragraph" w:styleId="ListParagraph">
    <w:name w:val="List Paragraph"/>
    <w:basedOn w:val="Normal"/>
    <w:uiPriority w:val="34"/>
    <w:qFormat/>
    <w:rsid w:val="00B13D7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1"/>
  </w:style>
  <w:style w:type="paragraph" w:styleId="Footer">
    <w:name w:val="footer"/>
    <w:basedOn w:val="Normal"/>
    <w:link w:val="FooterChar"/>
    <w:uiPriority w:val="99"/>
    <w:unhideWhenUsed/>
    <w:rsid w:val="00B1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71"/>
  </w:style>
  <w:style w:type="paragraph" w:styleId="ListParagraph">
    <w:name w:val="List Paragraph"/>
    <w:basedOn w:val="Normal"/>
    <w:uiPriority w:val="34"/>
    <w:qFormat/>
    <w:rsid w:val="00B13D7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Hirsch</dc:creator>
  <cp:lastModifiedBy>Lai, Peter</cp:lastModifiedBy>
  <cp:revision>7</cp:revision>
  <cp:lastPrinted>2017-05-23T16:26:00Z</cp:lastPrinted>
  <dcterms:created xsi:type="dcterms:W3CDTF">2017-05-22T20:38:00Z</dcterms:created>
  <dcterms:modified xsi:type="dcterms:W3CDTF">2017-05-23T16:26:00Z</dcterms:modified>
</cp:coreProperties>
</file>