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115"/>
        <w:gridCol w:w="3235"/>
      </w:tblGrid>
      <w:tr w:rsidR="00145AE0" w:rsidRPr="00704550" w14:paraId="35AFF4E2" w14:textId="77777777" w:rsidTr="002C64CA">
        <w:tc>
          <w:tcPr>
            <w:tcW w:w="6115" w:type="dxa"/>
            <w:vAlign w:val="center"/>
          </w:tcPr>
          <w:p w14:paraId="5CFE9C76" w14:textId="2BC45AEB" w:rsidR="00145AE0" w:rsidRPr="0048584C" w:rsidRDefault="00145AE0" w:rsidP="00B74434">
            <w:pPr>
              <w:rPr>
                <w:b/>
                <w:sz w:val="36"/>
                <w:szCs w:val="36"/>
              </w:rPr>
            </w:pPr>
            <w:r w:rsidRPr="0048584C">
              <w:rPr>
                <w:b/>
                <w:sz w:val="36"/>
                <w:szCs w:val="36"/>
              </w:rPr>
              <w:t>Track 2 Working Group</w:t>
            </w:r>
            <w:r w:rsidR="006D50C3" w:rsidRPr="0048584C">
              <w:rPr>
                <w:b/>
                <w:sz w:val="36"/>
                <w:szCs w:val="36"/>
              </w:rPr>
              <w:t xml:space="preserve"> (T2WG)</w:t>
            </w:r>
          </w:p>
          <w:p w14:paraId="7F942F25" w14:textId="5B774BED" w:rsidR="00145AE0" w:rsidRPr="0048584C" w:rsidRDefault="00145AE0" w:rsidP="00B74434">
            <w:pPr>
              <w:rPr>
                <w:b/>
                <w:sz w:val="36"/>
                <w:szCs w:val="36"/>
              </w:rPr>
            </w:pPr>
            <w:r w:rsidRPr="0048584C">
              <w:rPr>
                <w:b/>
                <w:sz w:val="36"/>
                <w:szCs w:val="36"/>
              </w:rPr>
              <w:t>Meeting Notes</w:t>
            </w:r>
          </w:p>
          <w:p w14:paraId="0710C2E9" w14:textId="2216C68B" w:rsidR="00145AE0" w:rsidRPr="00145AE0" w:rsidRDefault="00EA2387" w:rsidP="00B74434">
            <w:r>
              <w:rPr>
                <w:b/>
                <w:sz w:val="36"/>
                <w:szCs w:val="36"/>
              </w:rPr>
              <w:t>Meeting 5</w:t>
            </w:r>
            <w:r w:rsidR="006D50C3" w:rsidRPr="0048584C">
              <w:rPr>
                <w:b/>
                <w:sz w:val="36"/>
                <w:szCs w:val="36"/>
              </w:rPr>
              <w:t xml:space="preserve"> </w:t>
            </w:r>
          </w:p>
        </w:tc>
        <w:tc>
          <w:tcPr>
            <w:tcW w:w="3235" w:type="dxa"/>
          </w:tcPr>
          <w:p w14:paraId="03462510" w14:textId="710B3A4D" w:rsidR="00145AE0" w:rsidRPr="00145AE0" w:rsidRDefault="00145AE0" w:rsidP="00B74434">
            <w:r w:rsidRPr="00145AE0">
              <w:t xml:space="preserve">Tuesday, </w:t>
            </w:r>
            <w:r w:rsidR="00EA2387">
              <w:t>June</w:t>
            </w:r>
            <w:r w:rsidRPr="00145AE0">
              <w:t xml:space="preserve"> </w:t>
            </w:r>
            <w:r w:rsidR="00BC37B9">
              <w:t>6</w:t>
            </w:r>
            <w:r w:rsidRPr="00145AE0">
              <w:t>, 2017</w:t>
            </w:r>
          </w:p>
          <w:p w14:paraId="338A5C9B" w14:textId="231BF9AD" w:rsidR="00145AE0" w:rsidRPr="00145AE0" w:rsidRDefault="00145AE0" w:rsidP="00B74434">
            <w:r w:rsidRPr="00145AE0">
              <w:t>10 am to 4:00 pm</w:t>
            </w:r>
          </w:p>
          <w:p w14:paraId="45DB7E95" w14:textId="4AB1400F" w:rsidR="00145AE0" w:rsidRPr="00145AE0" w:rsidRDefault="00EA2387" w:rsidP="00B74434">
            <w:r>
              <w:t xml:space="preserve">Arup </w:t>
            </w:r>
            <w:r w:rsidR="00BC37B9">
              <w:t>Offices</w:t>
            </w:r>
          </w:p>
          <w:p w14:paraId="1D538263" w14:textId="5F17E7EA" w:rsidR="00EA2387" w:rsidRPr="00A25781" w:rsidRDefault="00EA2387" w:rsidP="00EA2387">
            <w:pPr>
              <w:rPr>
                <w:lang w:val="es-US"/>
              </w:rPr>
            </w:pPr>
            <w:r w:rsidRPr="00A25781">
              <w:rPr>
                <w:lang w:val="es-US"/>
              </w:rPr>
              <w:t>12777 W Jefferson Blvd</w:t>
            </w:r>
          </w:p>
          <w:p w14:paraId="291214AD" w14:textId="27BDDEA4" w:rsidR="00145AE0" w:rsidRPr="00A25781" w:rsidRDefault="00EA2387" w:rsidP="00EA2387">
            <w:pPr>
              <w:rPr>
                <w:lang w:val="es-US"/>
              </w:rPr>
            </w:pPr>
            <w:r w:rsidRPr="00A25781">
              <w:rPr>
                <w:lang w:val="es-US"/>
              </w:rPr>
              <w:t>Los Angeles, CA 90066</w:t>
            </w:r>
          </w:p>
        </w:tc>
      </w:tr>
    </w:tbl>
    <w:p w14:paraId="1C02D133" w14:textId="77777777" w:rsidR="00145AE0" w:rsidRPr="00A25781" w:rsidRDefault="00145AE0" w:rsidP="00145AE0">
      <w:pPr>
        <w:pStyle w:val="NoSpacing"/>
        <w:rPr>
          <w:rFonts w:ascii="Arial" w:hAnsi="Arial" w:cs="Arial"/>
        </w:rPr>
      </w:pPr>
    </w:p>
    <w:p w14:paraId="369B1B89" w14:textId="0D472A51" w:rsidR="0058327F" w:rsidRPr="00ED705A" w:rsidRDefault="00B31EA1" w:rsidP="00D817B5">
      <w:pPr>
        <w:pStyle w:val="NoSpacing"/>
        <w:rPr>
          <w:rFonts w:ascii="Arial" w:hAnsi="Arial" w:cs="Arial"/>
          <w:lang w:val="en-US"/>
        </w:rPr>
      </w:pPr>
      <w:r w:rsidRPr="00D640E1">
        <w:rPr>
          <w:rFonts w:ascii="Arial" w:hAnsi="Arial" w:cs="Arial"/>
          <w:i/>
          <w:color w:val="FF0000"/>
          <w:lang w:val="en-US"/>
        </w:rPr>
        <w:t xml:space="preserve">These </w:t>
      </w:r>
      <w:r w:rsidRPr="00CD28CF">
        <w:rPr>
          <w:rFonts w:ascii="Arial" w:hAnsi="Arial" w:cs="Arial"/>
          <w:i/>
          <w:color w:val="FF0000"/>
          <w:u w:val="single"/>
          <w:lang w:val="en-US"/>
        </w:rPr>
        <w:t>draft</w:t>
      </w:r>
      <w:r w:rsidRPr="00D640E1">
        <w:rPr>
          <w:rFonts w:ascii="Arial" w:hAnsi="Arial" w:cs="Arial"/>
          <w:i/>
          <w:color w:val="FF0000"/>
          <w:lang w:val="en-US"/>
        </w:rPr>
        <w:t xml:space="preserve"> meeting notes have been distributed to T2WG participants for review and </w:t>
      </w:r>
      <w:r w:rsidR="00CD28CF">
        <w:rPr>
          <w:rFonts w:ascii="Arial" w:hAnsi="Arial" w:cs="Arial"/>
          <w:i/>
          <w:color w:val="FF0000"/>
          <w:lang w:val="en-US"/>
        </w:rPr>
        <w:t>are</w:t>
      </w:r>
      <w:r w:rsidRPr="00D640E1">
        <w:rPr>
          <w:rFonts w:ascii="Arial" w:hAnsi="Arial" w:cs="Arial"/>
          <w:i/>
          <w:color w:val="FF0000"/>
          <w:lang w:val="en-US"/>
        </w:rPr>
        <w:t xml:space="preserve"> subject to change. </w:t>
      </w:r>
      <w:r w:rsidR="00111D3D" w:rsidRPr="00ED705A">
        <w:rPr>
          <w:rFonts w:ascii="Arial" w:hAnsi="Arial" w:cs="Arial"/>
          <w:i/>
          <w:color w:val="FF0000"/>
          <w:lang w:val="en-US"/>
        </w:rPr>
        <w:t>F</w:t>
      </w:r>
      <w:r w:rsidRPr="00ED705A">
        <w:rPr>
          <w:rFonts w:ascii="Arial" w:hAnsi="Arial" w:cs="Arial"/>
          <w:i/>
          <w:color w:val="FF0000"/>
          <w:lang w:val="en-US"/>
        </w:rPr>
        <w:t>inal meeting notes will</w:t>
      </w:r>
      <w:r w:rsidR="00111D3D" w:rsidRPr="00ED705A">
        <w:rPr>
          <w:rFonts w:ascii="Arial" w:hAnsi="Arial" w:cs="Arial"/>
          <w:i/>
          <w:color w:val="FF0000"/>
          <w:lang w:val="en-US"/>
        </w:rPr>
        <w:t xml:space="preserve"> </w:t>
      </w:r>
      <w:r w:rsidR="00111D3D" w:rsidRPr="00D640E1">
        <w:rPr>
          <w:rFonts w:ascii="Arial" w:hAnsi="Arial" w:cs="Arial"/>
          <w:i/>
          <w:color w:val="FF0000"/>
          <w:lang w:val="en-US"/>
        </w:rPr>
        <w:t>be</w:t>
      </w:r>
      <w:r w:rsidR="00111D3D" w:rsidRPr="00ED705A">
        <w:rPr>
          <w:rFonts w:ascii="Arial" w:hAnsi="Arial" w:cs="Arial"/>
          <w:i/>
          <w:color w:val="FF0000"/>
          <w:lang w:val="en-US"/>
        </w:rPr>
        <w:t xml:space="preserve"> posted on the T2WG web</w:t>
      </w:r>
      <w:r w:rsidR="00D640E1" w:rsidRPr="00ED705A">
        <w:rPr>
          <w:rFonts w:ascii="Arial" w:hAnsi="Arial" w:cs="Arial"/>
          <w:i/>
          <w:color w:val="FF0000"/>
          <w:lang w:val="en-US"/>
        </w:rPr>
        <w:t xml:space="preserve"> </w:t>
      </w:r>
      <w:r w:rsidR="00111D3D" w:rsidRPr="00ED705A">
        <w:rPr>
          <w:rFonts w:ascii="Arial" w:hAnsi="Arial" w:cs="Arial"/>
          <w:i/>
          <w:color w:val="FF0000"/>
          <w:lang w:val="en-US"/>
        </w:rPr>
        <w:t xml:space="preserve">page. </w:t>
      </w:r>
      <w:r w:rsidR="00491B1A" w:rsidRPr="00ED705A">
        <w:rPr>
          <w:rFonts w:ascii="Arial" w:hAnsi="Arial" w:cs="Arial"/>
          <w:i/>
          <w:u w:val="single"/>
          <w:lang w:val="en-US"/>
        </w:rPr>
        <w:br/>
      </w:r>
    </w:p>
    <w:p w14:paraId="6B1A3775" w14:textId="675B4345" w:rsidR="00111D3D" w:rsidRPr="00D640E1" w:rsidRDefault="00111D3D" w:rsidP="00D817B5">
      <w:pPr>
        <w:pStyle w:val="NoSpacing"/>
        <w:rPr>
          <w:rFonts w:ascii="Arial" w:hAnsi="Arial" w:cs="Arial"/>
          <w:lang w:val="en-US"/>
        </w:rPr>
      </w:pPr>
      <w:r w:rsidRPr="00D640E1">
        <w:rPr>
          <w:rFonts w:ascii="Arial" w:hAnsi="Arial" w:cs="Arial"/>
          <w:lang w:val="en-US"/>
        </w:rPr>
        <w:t xml:space="preserve">Find T2WG materials at: </w:t>
      </w:r>
      <w:hyperlink r:id="rId12" w:history="1">
        <w:r w:rsidRPr="00D640E1">
          <w:rPr>
            <w:rStyle w:val="Hyperlink"/>
            <w:rFonts w:ascii="Arial" w:hAnsi="Arial" w:cs="Arial"/>
            <w:lang w:val="en-US"/>
          </w:rPr>
          <w:t>http://t2wg.cadmusweb.com/</w:t>
        </w:r>
      </w:hyperlink>
    </w:p>
    <w:p w14:paraId="7C8D880B" w14:textId="54C5A943" w:rsidR="00491B1A" w:rsidRPr="00D817B5" w:rsidRDefault="0058327F" w:rsidP="00B74434">
      <w:pPr>
        <w:rPr>
          <w:b/>
          <w:i/>
        </w:rPr>
      </w:pPr>
      <w:r w:rsidRPr="00D817B5">
        <w:rPr>
          <w:bCs/>
          <w:color w:val="000000"/>
        </w:rPr>
        <w:t xml:space="preserve">Email </w:t>
      </w:r>
      <w:hyperlink r:id="rId13" w:history="1">
        <w:r w:rsidRPr="00D817B5">
          <w:rPr>
            <w:rStyle w:val="Hyperlink"/>
          </w:rPr>
          <w:t>t2wg@cadmusgroup.com</w:t>
        </w:r>
      </w:hyperlink>
      <w:r w:rsidRPr="00D817B5">
        <w:rPr>
          <w:bCs/>
          <w:color w:val="000000"/>
        </w:rPr>
        <w:t xml:space="preserve"> to join the T2WG mail list.</w:t>
      </w:r>
    </w:p>
    <w:p w14:paraId="02E2C11A" w14:textId="77777777" w:rsidR="00145AE0" w:rsidRPr="00416FE8" w:rsidRDefault="00145AE0" w:rsidP="00B74434">
      <w:pPr>
        <w:pStyle w:val="Heading2"/>
      </w:pPr>
      <w:r w:rsidRPr="00416FE8">
        <w:t>Attendees</w:t>
      </w:r>
    </w:p>
    <w:p w14:paraId="5E3996D3" w14:textId="33FA2401" w:rsidR="00145AE0" w:rsidRPr="00437ADF" w:rsidRDefault="00437ADF" w:rsidP="00B74434">
      <w:r>
        <w:t xml:space="preserve">See </w:t>
      </w:r>
      <w:r w:rsidR="001F0452">
        <w:t>last page</w:t>
      </w:r>
      <w:r>
        <w:t xml:space="preserve"> for the list of attendees who participated in-person or over the phone.</w:t>
      </w:r>
    </w:p>
    <w:p w14:paraId="13A683E5" w14:textId="085EC4CC" w:rsidR="00145AE0" w:rsidRDefault="00145AE0" w:rsidP="00B74434">
      <w:pPr>
        <w:pStyle w:val="Heading2"/>
      </w:pPr>
      <w:r w:rsidRPr="00145AE0">
        <w:t>Action Items</w:t>
      </w:r>
    </w:p>
    <w:p w14:paraId="36B07923" w14:textId="1FC58554" w:rsidR="001738E7" w:rsidRDefault="001738E7" w:rsidP="00515246">
      <w:pPr>
        <w:pStyle w:val="No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
        <w:gridCol w:w="6946"/>
        <w:gridCol w:w="2065"/>
      </w:tblGrid>
      <w:tr w:rsidR="009A1CAE" w14:paraId="2626B0B6" w14:textId="77777777" w:rsidTr="009A1CAE">
        <w:tc>
          <w:tcPr>
            <w:tcW w:w="9350" w:type="dxa"/>
            <w:gridSpan w:val="3"/>
            <w:shd w:val="clear" w:color="auto" w:fill="D9D9D9" w:themeFill="background1" w:themeFillShade="D9"/>
            <w:tcMar>
              <w:top w:w="0" w:type="dxa"/>
              <w:left w:w="108" w:type="dxa"/>
              <w:bottom w:w="0" w:type="dxa"/>
              <w:right w:w="108" w:type="dxa"/>
            </w:tcMar>
          </w:tcPr>
          <w:p w14:paraId="1538266C" w14:textId="444D5939" w:rsidR="009A1CAE" w:rsidRDefault="009A1CAE" w:rsidP="009A1CAE">
            <w:pPr>
              <w:spacing w:after="0" w:line="276" w:lineRule="auto"/>
              <w:rPr>
                <w:b/>
                <w:bCs/>
              </w:rPr>
            </w:pPr>
            <w:r>
              <w:rPr>
                <w:b/>
                <w:bCs/>
              </w:rPr>
              <w:t>Tasks 1-4</w:t>
            </w:r>
          </w:p>
        </w:tc>
      </w:tr>
      <w:tr w:rsidR="009A1CAE" w14:paraId="08D48AB5" w14:textId="77777777" w:rsidTr="00F118F4">
        <w:tc>
          <w:tcPr>
            <w:tcW w:w="0" w:type="auto"/>
            <w:tcMar>
              <w:top w:w="0" w:type="dxa"/>
              <w:left w:w="108" w:type="dxa"/>
              <w:bottom w:w="0" w:type="dxa"/>
              <w:right w:w="108" w:type="dxa"/>
            </w:tcMar>
            <w:hideMark/>
          </w:tcPr>
          <w:p w14:paraId="6CCA9192" w14:textId="77777777" w:rsidR="009A1CAE" w:rsidRDefault="009A1CAE" w:rsidP="009A1CAE">
            <w:pPr>
              <w:spacing w:after="0" w:line="276" w:lineRule="auto"/>
              <w:rPr>
                <w:rFonts w:ascii="Calibri" w:hAnsi="Calibri" w:cs="Times New Roman"/>
                <w:color w:val="000000"/>
              </w:rPr>
            </w:pPr>
            <w:r>
              <w:rPr>
                <w:color w:val="000000"/>
              </w:rPr>
              <w:t>1</w:t>
            </w:r>
          </w:p>
        </w:tc>
        <w:tc>
          <w:tcPr>
            <w:tcW w:w="6946" w:type="dxa"/>
            <w:tcMar>
              <w:top w:w="0" w:type="dxa"/>
              <w:left w:w="108" w:type="dxa"/>
              <w:bottom w:w="0" w:type="dxa"/>
              <w:right w:w="108" w:type="dxa"/>
            </w:tcMar>
          </w:tcPr>
          <w:p w14:paraId="323F707F" w14:textId="14A511C2" w:rsidR="009A1CAE" w:rsidRDefault="00F118F4" w:rsidP="009A1CAE">
            <w:pPr>
              <w:spacing w:after="0" w:line="276" w:lineRule="auto"/>
            </w:pPr>
            <w:r>
              <w:t>Skim</w:t>
            </w:r>
            <w:r w:rsidR="009A1CAE">
              <w:t xml:space="preserve"> draft report and send any immediate suggestions on layout and clarity </w:t>
            </w:r>
          </w:p>
        </w:tc>
        <w:tc>
          <w:tcPr>
            <w:tcW w:w="2065" w:type="dxa"/>
            <w:tcMar>
              <w:top w:w="0" w:type="dxa"/>
              <w:left w:w="108" w:type="dxa"/>
              <w:bottom w:w="0" w:type="dxa"/>
              <w:right w:w="108" w:type="dxa"/>
            </w:tcMar>
          </w:tcPr>
          <w:p w14:paraId="46CB85B0" w14:textId="38461450" w:rsidR="009A1CAE" w:rsidRPr="00F118F4" w:rsidRDefault="00F118F4" w:rsidP="009A1CAE">
            <w:pPr>
              <w:spacing w:after="0" w:line="276" w:lineRule="auto"/>
              <w:rPr>
                <w:bCs/>
              </w:rPr>
            </w:pPr>
            <w:r>
              <w:rPr>
                <w:bCs/>
              </w:rPr>
              <w:t>All – Due COB Tuesday, 6/13</w:t>
            </w:r>
          </w:p>
        </w:tc>
      </w:tr>
      <w:tr w:rsidR="009A1CAE" w:rsidRPr="009A1CAE" w14:paraId="0F8F9882" w14:textId="77777777" w:rsidTr="00F118F4">
        <w:tc>
          <w:tcPr>
            <w:tcW w:w="0" w:type="auto"/>
            <w:tcMar>
              <w:top w:w="0" w:type="dxa"/>
              <w:left w:w="108" w:type="dxa"/>
              <w:bottom w:w="0" w:type="dxa"/>
              <w:right w:w="108" w:type="dxa"/>
            </w:tcMar>
            <w:hideMark/>
          </w:tcPr>
          <w:p w14:paraId="36FA6C3A" w14:textId="77777777" w:rsidR="009A1CAE" w:rsidRDefault="009A1CAE" w:rsidP="009A1CAE">
            <w:pPr>
              <w:spacing w:after="0" w:line="276" w:lineRule="auto"/>
              <w:rPr>
                <w:rFonts w:ascii="Calibri" w:hAnsi="Calibri" w:cs="Times New Roman"/>
                <w:color w:val="000000"/>
              </w:rPr>
            </w:pPr>
            <w:r>
              <w:rPr>
                <w:color w:val="000000"/>
              </w:rPr>
              <w:t>2</w:t>
            </w:r>
          </w:p>
        </w:tc>
        <w:tc>
          <w:tcPr>
            <w:tcW w:w="6946" w:type="dxa"/>
            <w:tcMar>
              <w:top w:w="0" w:type="dxa"/>
              <w:left w:w="108" w:type="dxa"/>
              <w:bottom w:w="0" w:type="dxa"/>
              <w:right w:w="108" w:type="dxa"/>
            </w:tcMar>
          </w:tcPr>
          <w:p w14:paraId="4016ABB6" w14:textId="61B88E78" w:rsidR="009A1CAE" w:rsidRDefault="009A1CAE" w:rsidP="009A1CAE">
            <w:pPr>
              <w:spacing w:after="0" w:line="276" w:lineRule="auto"/>
            </w:pPr>
            <w:r>
              <w:t>Host phone calls to discuss task-specific proposals</w:t>
            </w:r>
          </w:p>
        </w:tc>
        <w:tc>
          <w:tcPr>
            <w:tcW w:w="2065" w:type="dxa"/>
            <w:tcMar>
              <w:top w:w="0" w:type="dxa"/>
              <w:left w:w="108" w:type="dxa"/>
              <w:bottom w:w="0" w:type="dxa"/>
              <w:right w:w="108" w:type="dxa"/>
            </w:tcMar>
          </w:tcPr>
          <w:p w14:paraId="40C63943" w14:textId="2B51CCE4" w:rsidR="009A1CAE" w:rsidRPr="009A1CAE" w:rsidRDefault="005A0A54" w:rsidP="009A1CAE">
            <w:pPr>
              <w:spacing w:after="0" w:line="276" w:lineRule="auto"/>
              <w:rPr>
                <w:bCs/>
              </w:rPr>
            </w:pPr>
            <w:r>
              <w:rPr>
                <w:bCs/>
              </w:rPr>
              <w:t>Week of 6/12</w:t>
            </w:r>
          </w:p>
        </w:tc>
      </w:tr>
      <w:tr w:rsidR="009A1CAE" w:rsidRPr="009A1CAE" w14:paraId="2AA6FD94" w14:textId="77777777" w:rsidTr="00F118F4">
        <w:tc>
          <w:tcPr>
            <w:tcW w:w="0" w:type="auto"/>
            <w:tcMar>
              <w:top w:w="0" w:type="dxa"/>
              <w:left w:w="108" w:type="dxa"/>
              <w:bottom w:w="0" w:type="dxa"/>
              <w:right w:w="108" w:type="dxa"/>
            </w:tcMar>
            <w:hideMark/>
          </w:tcPr>
          <w:p w14:paraId="38118E8F" w14:textId="5733DFED" w:rsidR="009A1CAE" w:rsidRDefault="009A1CAE" w:rsidP="009A1CAE">
            <w:pPr>
              <w:spacing w:after="0" w:line="276" w:lineRule="auto"/>
              <w:rPr>
                <w:rFonts w:ascii="Calibri" w:hAnsi="Calibri" w:cs="Times New Roman"/>
                <w:color w:val="000000"/>
              </w:rPr>
            </w:pPr>
            <w:r>
              <w:rPr>
                <w:color w:val="000000"/>
              </w:rPr>
              <w:t>3</w:t>
            </w:r>
          </w:p>
        </w:tc>
        <w:tc>
          <w:tcPr>
            <w:tcW w:w="6946" w:type="dxa"/>
            <w:tcMar>
              <w:top w:w="0" w:type="dxa"/>
              <w:left w:w="108" w:type="dxa"/>
              <w:bottom w:w="0" w:type="dxa"/>
              <w:right w:w="108" w:type="dxa"/>
            </w:tcMar>
          </w:tcPr>
          <w:p w14:paraId="1496CF54" w14:textId="31EBDE9C" w:rsidR="009A1CAE" w:rsidRDefault="005A0A54" w:rsidP="009A1CAE">
            <w:pPr>
              <w:spacing w:after="0" w:line="276" w:lineRule="auto"/>
            </w:pPr>
            <w:r>
              <w:t>P</w:t>
            </w:r>
            <w:r w:rsidR="009A1CAE">
              <w:t xml:space="preserve">rovide </w:t>
            </w:r>
            <w:r w:rsidR="00F118F4">
              <w:t xml:space="preserve">comments and </w:t>
            </w:r>
            <w:r w:rsidR="009A1CAE">
              <w:t>positions on</w:t>
            </w:r>
            <w:r>
              <w:t xml:space="preserve"> each</w:t>
            </w:r>
            <w:r w:rsidR="009A1CAE">
              <w:t xml:space="preserve"> proposal</w:t>
            </w:r>
            <w:r>
              <w:t xml:space="preserve">/recommendation in the </w:t>
            </w:r>
            <w:hyperlink r:id="rId14" w:history="1">
              <w:r w:rsidRPr="001E7922">
                <w:rPr>
                  <w:rStyle w:val="Hyperlink"/>
                </w:rPr>
                <w:t>Draft-v1 report</w:t>
              </w:r>
            </w:hyperlink>
            <w:r>
              <w:t xml:space="preserve"> – </w:t>
            </w:r>
            <w:r w:rsidR="009A1CAE">
              <w:t>Cadmus will send a template for this</w:t>
            </w:r>
            <w:r>
              <w:t xml:space="preserve"> OR you may send comments directly in the report (use tracked changes please!)</w:t>
            </w:r>
          </w:p>
        </w:tc>
        <w:tc>
          <w:tcPr>
            <w:tcW w:w="2065" w:type="dxa"/>
            <w:tcMar>
              <w:top w:w="0" w:type="dxa"/>
              <w:left w:w="108" w:type="dxa"/>
              <w:bottom w:w="0" w:type="dxa"/>
              <w:right w:w="108" w:type="dxa"/>
            </w:tcMar>
          </w:tcPr>
          <w:p w14:paraId="789C9903" w14:textId="308FC2A2" w:rsidR="009A1CAE" w:rsidRPr="009A1CAE" w:rsidRDefault="009A1CAE" w:rsidP="009A1CAE">
            <w:pPr>
              <w:spacing w:after="0" w:line="276" w:lineRule="auto"/>
              <w:rPr>
                <w:bCs/>
              </w:rPr>
            </w:pPr>
            <w:r>
              <w:rPr>
                <w:bCs/>
              </w:rPr>
              <w:t xml:space="preserve">All – Due </w:t>
            </w:r>
            <w:r w:rsidR="005A0A54">
              <w:rPr>
                <w:bCs/>
              </w:rPr>
              <w:t>COB Thursday, 6/15</w:t>
            </w:r>
          </w:p>
        </w:tc>
      </w:tr>
      <w:tr w:rsidR="009A1CAE" w14:paraId="40FF71C4" w14:textId="77777777" w:rsidTr="009A1CAE">
        <w:tc>
          <w:tcPr>
            <w:tcW w:w="9350" w:type="dxa"/>
            <w:gridSpan w:val="3"/>
            <w:shd w:val="clear" w:color="auto" w:fill="D9D9D9" w:themeFill="background1" w:themeFillShade="D9"/>
            <w:tcMar>
              <w:top w:w="0" w:type="dxa"/>
              <w:left w:w="108" w:type="dxa"/>
              <w:bottom w:w="0" w:type="dxa"/>
              <w:right w:w="108" w:type="dxa"/>
            </w:tcMar>
          </w:tcPr>
          <w:p w14:paraId="0350775A" w14:textId="2B5DCDB5" w:rsidR="009A1CAE" w:rsidRDefault="009A1CAE" w:rsidP="009A1CAE">
            <w:pPr>
              <w:spacing w:after="0" w:line="276" w:lineRule="auto"/>
              <w:rPr>
                <w:b/>
                <w:bCs/>
              </w:rPr>
            </w:pPr>
            <w:r>
              <w:rPr>
                <w:b/>
                <w:bCs/>
              </w:rPr>
              <w:t>Task 5</w:t>
            </w:r>
          </w:p>
        </w:tc>
      </w:tr>
      <w:tr w:rsidR="00647FF2" w14:paraId="52DDC103" w14:textId="77777777" w:rsidTr="00F118F4">
        <w:tc>
          <w:tcPr>
            <w:tcW w:w="0" w:type="auto"/>
            <w:tcMar>
              <w:top w:w="0" w:type="dxa"/>
              <w:left w:w="108" w:type="dxa"/>
              <w:bottom w:w="0" w:type="dxa"/>
              <w:right w:w="108" w:type="dxa"/>
            </w:tcMar>
            <w:hideMark/>
          </w:tcPr>
          <w:p w14:paraId="2A61359A" w14:textId="442051F2" w:rsidR="00647FF2" w:rsidRDefault="009A1CAE" w:rsidP="00647FF2">
            <w:pPr>
              <w:spacing w:after="0" w:line="276" w:lineRule="auto"/>
              <w:rPr>
                <w:rFonts w:ascii="Calibri" w:hAnsi="Calibri" w:cs="Times New Roman"/>
                <w:color w:val="000000"/>
              </w:rPr>
            </w:pPr>
            <w:r>
              <w:rPr>
                <w:color w:val="000000"/>
              </w:rPr>
              <w:t>4</w:t>
            </w:r>
          </w:p>
        </w:tc>
        <w:tc>
          <w:tcPr>
            <w:tcW w:w="6946" w:type="dxa"/>
            <w:tcMar>
              <w:top w:w="0" w:type="dxa"/>
              <w:left w:w="108" w:type="dxa"/>
              <w:bottom w:w="0" w:type="dxa"/>
              <w:right w:w="108" w:type="dxa"/>
            </w:tcMar>
          </w:tcPr>
          <w:p w14:paraId="5C686A38" w14:textId="0DD33B7F" w:rsidR="00647FF2" w:rsidRDefault="009A1CAE" w:rsidP="00647FF2">
            <w:pPr>
              <w:spacing w:after="0" w:line="276" w:lineRule="auto"/>
            </w:pPr>
            <w:r>
              <w:t>Host phone calls to discuss task-specific proposals</w:t>
            </w:r>
          </w:p>
        </w:tc>
        <w:tc>
          <w:tcPr>
            <w:tcW w:w="2065" w:type="dxa"/>
            <w:tcMar>
              <w:top w:w="0" w:type="dxa"/>
              <w:left w:w="108" w:type="dxa"/>
              <w:bottom w:w="0" w:type="dxa"/>
              <w:right w:w="108" w:type="dxa"/>
            </w:tcMar>
          </w:tcPr>
          <w:p w14:paraId="2CBFBDB6" w14:textId="168709D3" w:rsidR="00647FF2" w:rsidRPr="009A1CAE" w:rsidRDefault="009A1CAE" w:rsidP="00647FF2">
            <w:pPr>
              <w:spacing w:after="0" w:line="276" w:lineRule="auto"/>
              <w:rPr>
                <w:bCs/>
              </w:rPr>
            </w:pPr>
            <w:r w:rsidRPr="009A1CAE">
              <w:rPr>
                <w:bCs/>
              </w:rPr>
              <w:t xml:space="preserve">Cadmus </w:t>
            </w:r>
          </w:p>
        </w:tc>
      </w:tr>
      <w:tr w:rsidR="009A1CAE" w14:paraId="07C545A0" w14:textId="77777777" w:rsidTr="009A1CAE">
        <w:tc>
          <w:tcPr>
            <w:tcW w:w="9350" w:type="dxa"/>
            <w:gridSpan w:val="3"/>
            <w:shd w:val="clear" w:color="auto" w:fill="D9D9D9" w:themeFill="background1" w:themeFillShade="D9"/>
            <w:tcMar>
              <w:top w:w="0" w:type="dxa"/>
              <w:left w:w="108" w:type="dxa"/>
              <w:bottom w:w="0" w:type="dxa"/>
              <w:right w:w="108" w:type="dxa"/>
            </w:tcMar>
          </w:tcPr>
          <w:p w14:paraId="245263A4" w14:textId="036211DB" w:rsidR="009A1CAE" w:rsidRDefault="009A1CAE" w:rsidP="009A1CAE">
            <w:pPr>
              <w:spacing w:after="0" w:line="276" w:lineRule="auto"/>
              <w:rPr>
                <w:b/>
                <w:bCs/>
              </w:rPr>
            </w:pPr>
            <w:r>
              <w:rPr>
                <w:b/>
                <w:bCs/>
              </w:rPr>
              <w:t xml:space="preserve">Task 6 </w:t>
            </w:r>
          </w:p>
        </w:tc>
      </w:tr>
      <w:tr w:rsidR="00647FF2" w14:paraId="7C40BF54" w14:textId="77777777" w:rsidTr="00F118F4">
        <w:tc>
          <w:tcPr>
            <w:tcW w:w="0" w:type="auto"/>
            <w:tcMar>
              <w:top w:w="0" w:type="dxa"/>
              <w:left w:w="108" w:type="dxa"/>
              <w:bottom w:w="0" w:type="dxa"/>
              <w:right w:w="108" w:type="dxa"/>
            </w:tcMar>
            <w:hideMark/>
          </w:tcPr>
          <w:p w14:paraId="60F6AE94" w14:textId="3BB3BC40" w:rsidR="00647FF2" w:rsidRDefault="009A1CAE" w:rsidP="00647FF2">
            <w:pPr>
              <w:spacing w:after="0" w:line="276" w:lineRule="auto"/>
              <w:rPr>
                <w:color w:val="000000"/>
              </w:rPr>
            </w:pPr>
            <w:r>
              <w:rPr>
                <w:color w:val="000000"/>
              </w:rPr>
              <w:t>5</w:t>
            </w:r>
          </w:p>
        </w:tc>
        <w:tc>
          <w:tcPr>
            <w:tcW w:w="6946" w:type="dxa"/>
            <w:tcMar>
              <w:top w:w="0" w:type="dxa"/>
              <w:left w:w="108" w:type="dxa"/>
              <w:bottom w:w="0" w:type="dxa"/>
              <w:right w:w="108" w:type="dxa"/>
            </w:tcMar>
          </w:tcPr>
          <w:p w14:paraId="3F259149" w14:textId="6741D6C4" w:rsidR="00647FF2" w:rsidRDefault="00C418EE" w:rsidP="00647FF2">
            <w:pPr>
              <w:spacing w:after="0" w:line="276" w:lineRule="auto"/>
            </w:pPr>
            <w:r w:rsidRPr="00280D14">
              <w:t>Provide any additional goals,</w:t>
            </w:r>
            <w:r w:rsidR="00280D14" w:rsidRPr="00280D14">
              <w:t xml:space="preserve"> vision, or recommendations to our </w:t>
            </w:r>
            <w:r w:rsidRPr="00280D14">
              <w:t>brainstorm</w:t>
            </w:r>
            <w:r w:rsidR="00280D14" w:rsidRPr="00280D14">
              <w:t xml:space="preserve"> by </w:t>
            </w:r>
            <w:r w:rsidR="009A1CAE">
              <w:t>COB</w:t>
            </w:r>
            <w:r w:rsidR="00280D14" w:rsidRPr="00280D14">
              <w:t xml:space="preserve"> on Monday 6/12. Compiled notes from these brainstorms are in the “Task 6 – Custom Streamlining Materials” folder on the T2WG website.</w:t>
            </w:r>
          </w:p>
        </w:tc>
        <w:tc>
          <w:tcPr>
            <w:tcW w:w="2065" w:type="dxa"/>
            <w:tcMar>
              <w:top w:w="0" w:type="dxa"/>
              <w:left w:w="108" w:type="dxa"/>
              <w:bottom w:w="0" w:type="dxa"/>
              <w:right w:w="108" w:type="dxa"/>
            </w:tcMar>
          </w:tcPr>
          <w:p w14:paraId="1F43848C" w14:textId="4880E446" w:rsidR="00647FF2" w:rsidRDefault="00C418EE" w:rsidP="00647FF2">
            <w:pPr>
              <w:spacing w:after="0" w:line="276" w:lineRule="auto"/>
            </w:pPr>
            <w:r>
              <w:t>All</w:t>
            </w:r>
            <w:r w:rsidR="00280D14">
              <w:t xml:space="preserve"> – Due </w:t>
            </w:r>
            <w:r w:rsidR="009A1CAE">
              <w:t xml:space="preserve">COB </w:t>
            </w:r>
            <w:r w:rsidR="00280D14">
              <w:t>Monday, 6/12</w:t>
            </w:r>
          </w:p>
        </w:tc>
      </w:tr>
      <w:tr w:rsidR="00647FF2" w14:paraId="7EC0DB9D" w14:textId="77777777" w:rsidTr="00F118F4">
        <w:tc>
          <w:tcPr>
            <w:tcW w:w="0" w:type="auto"/>
            <w:tcMar>
              <w:top w:w="0" w:type="dxa"/>
              <w:left w:w="108" w:type="dxa"/>
              <w:bottom w:w="0" w:type="dxa"/>
              <w:right w:w="108" w:type="dxa"/>
            </w:tcMar>
            <w:hideMark/>
          </w:tcPr>
          <w:p w14:paraId="5AF8FCDD" w14:textId="44B353C1" w:rsidR="00647FF2" w:rsidRDefault="009A1CAE" w:rsidP="00647FF2">
            <w:pPr>
              <w:autoSpaceDE w:val="0"/>
              <w:autoSpaceDN w:val="0"/>
              <w:spacing w:after="0" w:line="276" w:lineRule="auto"/>
              <w:rPr>
                <w:color w:val="000000"/>
              </w:rPr>
            </w:pPr>
            <w:r>
              <w:rPr>
                <w:color w:val="000000"/>
              </w:rPr>
              <w:t>6</w:t>
            </w:r>
          </w:p>
        </w:tc>
        <w:tc>
          <w:tcPr>
            <w:tcW w:w="6946" w:type="dxa"/>
            <w:tcMar>
              <w:top w:w="0" w:type="dxa"/>
              <w:left w:w="108" w:type="dxa"/>
              <w:bottom w:w="0" w:type="dxa"/>
              <w:right w:w="108" w:type="dxa"/>
            </w:tcMar>
          </w:tcPr>
          <w:p w14:paraId="1385B5A0" w14:textId="7977CBCC" w:rsidR="00647FF2" w:rsidRDefault="00280D14" w:rsidP="00647FF2">
            <w:pPr>
              <w:autoSpaceDE w:val="0"/>
              <w:autoSpaceDN w:val="0"/>
              <w:spacing w:after="0" w:line="276" w:lineRule="auto"/>
              <w:rPr>
                <w:color w:val="000000"/>
              </w:rPr>
            </w:pPr>
            <w:r>
              <w:rPr>
                <w:color w:val="000000"/>
              </w:rPr>
              <w:t>Send any additional material you have on the Custom EAR process such as previous analysis or proposals, that you think are relevant and helpful to improving the Custom EAR process</w:t>
            </w:r>
          </w:p>
        </w:tc>
        <w:tc>
          <w:tcPr>
            <w:tcW w:w="2065" w:type="dxa"/>
            <w:tcMar>
              <w:top w:w="0" w:type="dxa"/>
              <w:left w:w="108" w:type="dxa"/>
              <w:bottom w:w="0" w:type="dxa"/>
              <w:right w:w="108" w:type="dxa"/>
            </w:tcMar>
          </w:tcPr>
          <w:p w14:paraId="0B956E9B" w14:textId="630106D8" w:rsidR="00647FF2" w:rsidRDefault="00C418EE" w:rsidP="00647FF2">
            <w:pPr>
              <w:spacing w:after="0" w:line="276" w:lineRule="auto"/>
            </w:pPr>
            <w:r>
              <w:t>All</w:t>
            </w:r>
            <w:r w:rsidR="00280D14">
              <w:t xml:space="preserve"> – Due </w:t>
            </w:r>
            <w:r w:rsidR="005A0A54">
              <w:t xml:space="preserve">COB </w:t>
            </w:r>
            <w:r w:rsidR="00280D14">
              <w:t>Thursday, 6/15</w:t>
            </w:r>
          </w:p>
        </w:tc>
      </w:tr>
    </w:tbl>
    <w:p w14:paraId="79B6C3F2" w14:textId="5BF24170" w:rsidR="00DB1609" w:rsidRDefault="00DB1609" w:rsidP="00B74434">
      <w:pPr>
        <w:pStyle w:val="Heading2"/>
      </w:pPr>
    </w:p>
    <w:p w14:paraId="347A40E7" w14:textId="23BF373C" w:rsidR="00145AE0" w:rsidRPr="00EC0DA7" w:rsidRDefault="00145AE0" w:rsidP="00B74434">
      <w:pPr>
        <w:pStyle w:val="Heading2"/>
      </w:pPr>
      <w:r w:rsidRPr="00145AE0">
        <w:t>Next Meeting</w:t>
      </w:r>
      <w:r w:rsidR="00D17B26">
        <w:t>s</w:t>
      </w:r>
    </w:p>
    <w:p w14:paraId="5B1667F9" w14:textId="6F47863A" w:rsidR="0076470F" w:rsidRDefault="00514903" w:rsidP="00514903">
      <w:pPr>
        <w:pStyle w:val="NoSpacing"/>
        <w:keepNext/>
        <w:keepLines/>
        <w:tabs>
          <w:tab w:val="left" w:pos="2945"/>
        </w:tabs>
        <w:rPr>
          <w:rFonts w:ascii="Arial" w:hAnsi="Arial" w:cs="Arial"/>
          <w:lang w:val="en-US"/>
        </w:rPr>
      </w:pPr>
      <w:r>
        <w:rPr>
          <w:rFonts w:ascii="Arial" w:hAnsi="Arial" w:cs="Arial"/>
          <w:lang w:val="en-US"/>
        </w:rPr>
        <w:tab/>
      </w:r>
    </w:p>
    <w:p w14:paraId="56D83039" w14:textId="48624BD0" w:rsidR="00EA2387" w:rsidRPr="0076470F" w:rsidRDefault="00EA2387" w:rsidP="00EA2387">
      <w:pPr>
        <w:pStyle w:val="NoSpacing"/>
        <w:keepNext/>
        <w:keepLines/>
        <w:rPr>
          <w:rFonts w:ascii="Arial" w:hAnsi="Arial" w:cs="Arial"/>
          <w:b/>
          <w:lang w:val="en-US"/>
        </w:rPr>
      </w:pPr>
      <w:r>
        <w:rPr>
          <w:rFonts w:ascii="Arial" w:hAnsi="Arial" w:cs="Arial"/>
          <w:b/>
          <w:lang w:val="en-US"/>
        </w:rPr>
        <w:t>Ad Hoc Phone Meetings</w:t>
      </w:r>
    </w:p>
    <w:p w14:paraId="1F075E95" w14:textId="0093329C" w:rsidR="00EA2387" w:rsidRPr="00925708" w:rsidRDefault="00EA2387" w:rsidP="00EA2387">
      <w:pPr>
        <w:pStyle w:val="NoSpacing"/>
        <w:keepNext/>
        <w:keepLines/>
        <w:rPr>
          <w:rFonts w:ascii="Arial" w:hAnsi="Arial" w:cs="Arial"/>
          <w:i/>
          <w:color w:val="FF0000"/>
          <w:lang w:val="en-US"/>
        </w:rPr>
      </w:pPr>
      <w:r w:rsidRPr="00925708">
        <w:rPr>
          <w:rFonts w:ascii="Arial" w:hAnsi="Arial" w:cs="Arial"/>
          <w:i/>
          <w:color w:val="FF0000"/>
          <w:lang w:val="en-US"/>
        </w:rPr>
        <w:t>Stay tuned for task-specific phone meetings</w:t>
      </w:r>
    </w:p>
    <w:p w14:paraId="1ED58A9E" w14:textId="77777777" w:rsidR="00EA2387" w:rsidRDefault="00EA2387" w:rsidP="0076470F">
      <w:pPr>
        <w:pStyle w:val="NoSpacing"/>
        <w:keepNext/>
        <w:keepLines/>
        <w:rPr>
          <w:rFonts w:ascii="Arial" w:hAnsi="Arial" w:cs="Arial"/>
          <w:b/>
          <w:lang w:val="en-US"/>
        </w:rPr>
      </w:pPr>
    </w:p>
    <w:p w14:paraId="32C975CE" w14:textId="5E6D36A0" w:rsidR="0076470F" w:rsidRPr="0076470F" w:rsidRDefault="00EA2387" w:rsidP="0076470F">
      <w:pPr>
        <w:pStyle w:val="NoSpacing"/>
        <w:keepNext/>
        <w:keepLines/>
        <w:rPr>
          <w:rFonts w:ascii="Arial" w:hAnsi="Arial" w:cs="Arial"/>
          <w:b/>
          <w:lang w:val="en-US"/>
        </w:rPr>
      </w:pPr>
      <w:r>
        <w:rPr>
          <w:rFonts w:ascii="Arial" w:hAnsi="Arial" w:cs="Arial"/>
          <w:b/>
          <w:lang w:val="en-US"/>
        </w:rPr>
        <w:t>Meeting #6</w:t>
      </w:r>
    </w:p>
    <w:p w14:paraId="75B93434" w14:textId="6DDACC13" w:rsidR="0076470F" w:rsidRPr="0076470F" w:rsidRDefault="00EA2387" w:rsidP="0076470F">
      <w:pPr>
        <w:pStyle w:val="NoSpacing"/>
        <w:keepNext/>
        <w:keepLines/>
        <w:rPr>
          <w:rFonts w:ascii="Arial" w:hAnsi="Arial" w:cs="Arial"/>
          <w:lang w:val="en-US"/>
        </w:rPr>
      </w:pPr>
      <w:r>
        <w:rPr>
          <w:rFonts w:ascii="Arial" w:hAnsi="Arial" w:cs="Arial"/>
          <w:lang w:val="en-US"/>
        </w:rPr>
        <w:t>Monday</w:t>
      </w:r>
      <w:r w:rsidR="0076470F" w:rsidRPr="0076470F">
        <w:rPr>
          <w:rFonts w:ascii="Arial" w:hAnsi="Arial" w:cs="Arial"/>
          <w:lang w:val="en-US"/>
        </w:rPr>
        <w:t xml:space="preserve">, </w:t>
      </w:r>
      <w:r>
        <w:rPr>
          <w:rFonts w:ascii="Arial" w:hAnsi="Arial" w:cs="Arial"/>
          <w:lang w:val="en-US"/>
        </w:rPr>
        <w:t>July</w:t>
      </w:r>
      <w:r w:rsidR="0076470F" w:rsidRPr="0076470F">
        <w:rPr>
          <w:rFonts w:ascii="Arial" w:hAnsi="Arial" w:cs="Arial"/>
          <w:lang w:val="en-US"/>
        </w:rPr>
        <w:t xml:space="preserve"> 10, 2017 </w:t>
      </w:r>
    </w:p>
    <w:p w14:paraId="5D149CF5" w14:textId="77777777" w:rsidR="0076470F" w:rsidRPr="0076470F" w:rsidRDefault="0076470F" w:rsidP="0076470F">
      <w:pPr>
        <w:pStyle w:val="NoSpacing"/>
        <w:keepNext/>
        <w:keepLines/>
        <w:rPr>
          <w:rFonts w:ascii="Arial" w:hAnsi="Arial" w:cs="Arial"/>
          <w:lang w:val="en-US"/>
        </w:rPr>
      </w:pPr>
      <w:r w:rsidRPr="0076470F">
        <w:rPr>
          <w:rFonts w:ascii="Arial" w:hAnsi="Arial" w:cs="Arial"/>
          <w:lang w:val="en-US"/>
        </w:rPr>
        <w:t xml:space="preserve">10 a.m. – 4 p.m. </w:t>
      </w:r>
    </w:p>
    <w:p w14:paraId="497FB848" w14:textId="77777777" w:rsidR="00EA2387" w:rsidRDefault="00EA2387" w:rsidP="0076470F">
      <w:pPr>
        <w:pStyle w:val="NoSpacing"/>
        <w:keepNext/>
        <w:keepLines/>
        <w:rPr>
          <w:rFonts w:ascii="Arial" w:hAnsi="Arial" w:cs="Arial"/>
          <w:lang w:val="en-US"/>
        </w:rPr>
      </w:pPr>
      <w:r>
        <w:rPr>
          <w:rFonts w:ascii="Arial" w:hAnsi="Arial" w:cs="Arial"/>
          <w:lang w:val="en-US"/>
        </w:rPr>
        <w:t>PG&amp;E Pacific Energy Center</w:t>
      </w:r>
    </w:p>
    <w:p w14:paraId="7AD65CC2" w14:textId="0B800656" w:rsidR="0076470F" w:rsidRPr="0076470F" w:rsidRDefault="00EA2387" w:rsidP="0076470F">
      <w:pPr>
        <w:pStyle w:val="NoSpacing"/>
        <w:keepNext/>
        <w:keepLines/>
        <w:rPr>
          <w:rFonts w:ascii="Arial" w:hAnsi="Arial" w:cs="Arial"/>
          <w:lang w:val="en-US"/>
        </w:rPr>
      </w:pPr>
      <w:r w:rsidRPr="00EA2387">
        <w:rPr>
          <w:rFonts w:ascii="Arial" w:hAnsi="Arial" w:cs="Arial"/>
          <w:lang w:val="en-US"/>
        </w:rPr>
        <w:t>851 Howard St, San Francisco CA</w:t>
      </w:r>
    </w:p>
    <w:p w14:paraId="5F25A77F" w14:textId="6D0C7418" w:rsidR="005632BB" w:rsidRPr="00141C06" w:rsidRDefault="00EA2387" w:rsidP="00B74434">
      <w:pPr>
        <w:rPr>
          <w:i/>
        </w:rPr>
      </w:pPr>
      <w:r w:rsidRPr="00EA2387">
        <w:rPr>
          <w:i/>
        </w:rPr>
        <w:t>** PG&amp;E will cater lunch for in-person attendees</w:t>
      </w:r>
      <w:r w:rsidR="005632BB" w:rsidRPr="005632BB">
        <w:t xml:space="preserve"> </w:t>
      </w:r>
    </w:p>
    <w:p w14:paraId="227DAE2A" w14:textId="7C580C6A" w:rsidR="00EC0DA7" w:rsidRDefault="0015129F" w:rsidP="00B74434">
      <w:pPr>
        <w:pStyle w:val="Heading2"/>
      </w:pPr>
      <w:r w:rsidRPr="0015129F">
        <w:lastRenderedPageBreak/>
        <w:t>Meeting Notes</w:t>
      </w:r>
    </w:p>
    <w:p w14:paraId="40666E32" w14:textId="7E3418ED" w:rsidR="007C6AC5" w:rsidRPr="009C0308" w:rsidRDefault="007C6AC5" w:rsidP="007C6AC5">
      <w:pPr>
        <w:pStyle w:val="NoSpacing"/>
        <w:rPr>
          <w:rFonts w:ascii="Arial" w:hAnsi="Arial" w:cs="Arial"/>
          <w:lang w:val="en-US"/>
        </w:rPr>
      </w:pPr>
    </w:p>
    <w:p w14:paraId="2FDDA0CD" w14:textId="77777777" w:rsidR="00925708" w:rsidRPr="00EA2387" w:rsidRDefault="00925708" w:rsidP="00925708">
      <w:pPr>
        <w:rPr>
          <w:rStyle w:val="Hyperlink"/>
        </w:rPr>
      </w:pPr>
      <w:r w:rsidRPr="00386048">
        <w:t xml:space="preserve">Meeting agenda: </w:t>
      </w:r>
      <w:r>
        <w:fldChar w:fldCharType="begin"/>
      </w:r>
      <w:r>
        <w:instrText xml:space="preserve"> HYPERLINK "http://t2wg.cadmusweb.com/Documents/Meeting%205%20-%20June%206/T2WG_20170602_MeetingAgenda_Final.pdf" </w:instrText>
      </w:r>
      <w:r>
        <w:fldChar w:fldCharType="separate"/>
      </w:r>
      <w:r w:rsidRPr="00EA2387">
        <w:rPr>
          <w:rStyle w:val="Hyperlink"/>
        </w:rPr>
        <w:t>T2WG_20170</w:t>
      </w:r>
      <w:r>
        <w:rPr>
          <w:rStyle w:val="Hyperlink"/>
        </w:rPr>
        <w:t>60</w:t>
      </w:r>
      <w:r w:rsidRPr="00EA2387">
        <w:rPr>
          <w:rStyle w:val="Hyperlink"/>
        </w:rPr>
        <w:t>6_MeetingAgenda</w:t>
      </w:r>
    </w:p>
    <w:p w14:paraId="412D316A" w14:textId="3F3A688D" w:rsidR="00495060" w:rsidRPr="00B74434" w:rsidRDefault="00925708" w:rsidP="00B74434">
      <w:pPr>
        <w:rPr>
          <w:b/>
          <w:i/>
          <w:u w:val="single"/>
        </w:rPr>
      </w:pPr>
      <w:r>
        <w:fldChar w:fldCharType="end"/>
      </w:r>
      <w:r>
        <w:rPr>
          <w:b/>
          <w:i/>
          <w:u w:val="single"/>
        </w:rPr>
        <w:t>Preliminary DRAFT T2WG Report on Tasks 1-4</w:t>
      </w:r>
    </w:p>
    <w:p w14:paraId="4A650A8A" w14:textId="4EC33333" w:rsidR="00925708" w:rsidRDefault="00C418EE" w:rsidP="00925708">
      <w:r>
        <w:t xml:space="preserve">The </w:t>
      </w:r>
      <w:hyperlink r:id="rId15" w:history="1">
        <w:r w:rsidRPr="00C418EE">
          <w:rPr>
            <w:rStyle w:val="Hyperlink"/>
          </w:rPr>
          <w:t>draft report</w:t>
        </w:r>
      </w:hyperlink>
      <w:r>
        <w:t xml:space="preserve"> is in the “DRAFT REPORTS” folder at </w:t>
      </w:r>
      <w:hyperlink r:id="rId16" w:history="1">
        <w:r w:rsidRPr="00000A2B">
          <w:rPr>
            <w:rStyle w:val="Hyperlink"/>
          </w:rPr>
          <w:t>http://t2wg.cadmusweb.com/</w:t>
        </w:r>
      </w:hyperlink>
      <w:r>
        <w:t xml:space="preserve"> </w:t>
      </w:r>
      <w:r w:rsidRPr="00C418EE">
        <w:t xml:space="preserve"> </w:t>
      </w:r>
    </w:p>
    <w:p w14:paraId="41A188BF" w14:textId="77777777" w:rsidR="002C5D79" w:rsidRDefault="002C5D79" w:rsidP="00925708">
      <w:r>
        <w:t xml:space="preserve">This initial draft is a compilation of comments and proposals discussed for Tasks 1-4. For each task, the report includes four sections: </w:t>
      </w:r>
    </w:p>
    <w:p w14:paraId="12FA4EE9" w14:textId="77777777" w:rsidR="002C5D79" w:rsidRDefault="002C5D79" w:rsidP="00AC60EF">
      <w:pPr>
        <w:pStyle w:val="ListParagraph"/>
        <w:numPr>
          <w:ilvl w:val="0"/>
          <w:numId w:val="2"/>
        </w:numPr>
      </w:pPr>
      <w:r w:rsidRPr="002C5D79">
        <w:rPr>
          <w:b/>
        </w:rPr>
        <w:t>Background</w:t>
      </w:r>
      <w:r>
        <w:t xml:space="preserve"> includes the </w:t>
      </w:r>
    </w:p>
    <w:p w14:paraId="72FE4C0D" w14:textId="6C2FB310" w:rsidR="002C5D79" w:rsidRDefault="002C5D79" w:rsidP="00AC60EF">
      <w:pPr>
        <w:pStyle w:val="ListParagraph"/>
        <w:numPr>
          <w:ilvl w:val="0"/>
          <w:numId w:val="2"/>
        </w:numPr>
      </w:pPr>
      <w:r w:rsidRPr="002C5D79">
        <w:rPr>
          <w:b/>
        </w:rPr>
        <w:t>Discussion</w:t>
      </w:r>
      <w:r>
        <w:t xml:space="preserve"> summarizes the comments and issues discussed during working group meetings</w:t>
      </w:r>
    </w:p>
    <w:p w14:paraId="16FFDA72" w14:textId="144BE03C" w:rsidR="002C5D79" w:rsidRDefault="002C5D79" w:rsidP="00AC60EF">
      <w:pPr>
        <w:pStyle w:val="ListParagraph"/>
        <w:numPr>
          <w:ilvl w:val="0"/>
          <w:numId w:val="2"/>
        </w:numPr>
      </w:pPr>
      <w:r w:rsidRPr="002C5D79">
        <w:rPr>
          <w:b/>
        </w:rPr>
        <w:t>Recommendation</w:t>
      </w:r>
      <w:r>
        <w:t xml:space="preserve"> presents the </w:t>
      </w:r>
    </w:p>
    <w:p w14:paraId="19BA8C33" w14:textId="46238181" w:rsidR="002C5D79" w:rsidRDefault="002C5D79" w:rsidP="00AC60EF">
      <w:pPr>
        <w:pStyle w:val="ListParagraph"/>
        <w:numPr>
          <w:ilvl w:val="0"/>
          <w:numId w:val="2"/>
        </w:numPr>
      </w:pPr>
      <w:r>
        <w:t>Stakeholder Comments is a placeholder for the stakeholder responses to the T2WG recommendation(s).</w:t>
      </w:r>
    </w:p>
    <w:p w14:paraId="31901B52" w14:textId="24F01047" w:rsidR="002C5D79" w:rsidRDefault="002C5D79" w:rsidP="002C5D79">
      <w:r>
        <w:t xml:space="preserve">Yellow highlighted indicates areas where we still need input or discussion – reviewers should pay special attention to these areas. </w:t>
      </w:r>
    </w:p>
    <w:p w14:paraId="28AD4278" w14:textId="6428E176" w:rsidR="002C5D79" w:rsidRDefault="002C5D79" w:rsidP="002C5D79">
      <w:r>
        <w:t xml:space="preserve">The goal of T2WG is to provide a single shared recommendation for each tasks, but where we have not and cannot reach consensus on a single recommendation, the report will present the multiple recommendations and stakeholder reasons for and against each recommendation. </w:t>
      </w:r>
    </w:p>
    <w:p w14:paraId="51B0D84B" w14:textId="5BE91867" w:rsidR="002C5D79" w:rsidRDefault="002C5D79" w:rsidP="002C5D79">
      <w:r>
        <w:t xml:space="preserve">The report is intended to share the voices of stakeholders, so we encourage your feedback on the format, organization, and clarity of the content. </w:t>
      </w:r>
    </w:p>
    <w:p w14:paraId="486A0289" w14:textId="180F51A3" w:rsidR="00393549" w:rsidRDefault="00393549" w:rsidP="002C5D79">
      <w:r w:rsidRPr="00393549">
        <w:t xml:space="preserve">Staff </w:t>
      </w:r>
      <w:r>
        <w:t xml:space="preserve">clarified they </w:t>
      </w:r>
      <w:r w:rsidRPr="00393549">
        <w:t xml:space="preserve">will not filter any of the content, but will clarify </w:t>
      </w:r>
      <w:r>
        <w:t xml:space="preserve">their own recommendations, </w:t>
      </w:r>
      <w:r w:rsidRPr="00393549">
        <w:t>which should be consistent with what has been dis</w:t>
      </w:r>
      <w:r>
        <w:t>cussed through the T2WG process.</w:t>
      </w:r>
    </w:p>
    <w:p w14:paraId="3DFF9469" w14:textId="69F3C8C4" w:rsidR="002C5D79" w:rsidRDefault="002C5D79" w:rsidP="002C5D79">
      <w:r>
        <w:t>[</w:t>
      </w:r>
      <w:r w:rsidRPr="002C5D79">
        <w:rPr>
          <w:highlight w:val="yellow"/>
        </w:rPr>
        <w:t>ACTION 1</w:t>
      </w:r>
      <w:r>
        <w:t>]</w:t>
      </w:r>
      <w:r w:rsidRPr="002C5D79">
        <w:t xml:space="preserve"> </w:t>
      </w:r>
      <w:r>
        <w:t xml:space="preserve">Skim draft report and send any immediate suggestions on layout and clarity. </w:t>
      </w:r>
    </w:p>
    <w:p w14:paraId="0F5E6A20" w14:textId="4847D337" w:rsidR="002C5D79" w:rsidRDefault="002C5D79" w:rsidP="002C5D79">
      <w:r>
        <w:t>[</w:t>
      </w:r>
      <w:r w:rsidRPr="002C5D79">
        <w:rPr>
          <w:highlight w:val="yellow"/>
        </w:rPr>
        <w:t>ACTION 2</w:t>
      </w:r>
      <w:r>
        <w:t>]</w:t>
      </w:r>
      <w:r w:rsidRPr="002C5D79">
        <w:t xml:space="preserve"> </w:t>
      </w:r>
      <w:r>
        <w:t>We also ask stakeholders to review the existing proposals and provide comments and positions on each proposal/recommendation in the Draft-v1 report – Cadmus will send a template for this OR you may send comments directly in the report (use tracked changes please!)</w:t>
      </w:r>
    </w:p>
    <w:p w14:paraId="718F28A8" w14:textId="30DE8228" w:rsidR="002C5D79" w:rsidRPr="00C418EE" w:rsidRDefault="002C5D79" w:rsidP="002C5D79">
      <w:r>
        <w:t>[</w:t>
      </w:r>
      <w:r w:rsidRPr="002C5D79">
        <w:rPr>
          <w:highlight w:val="yellow"/>
        </w:rPr>
        <w:t>ACTION 3</w:t>
      </w:r>
      <w:r>
        <w:t>]</w:t>
      </w:r>
      <w:r w:rsidRPr="002C5D79">
        <w:t xml:space="preserve"> </w:t>
      </w:r>
      <w:r>
        <w:t>Cadmus will organize task-specific phone calls in the next week to clarify concerns, develop recommendations, and try to close the gap on key issues.</w:t>
      </w:r>
    </w:p>
    <w:p w14:paraId="640EBF25" w14:textId="6D755C5B" w:rsidR="00925708" w:rsidRDefault="00925708" w:rsidP="00925708">
      <w:pPr>
        <w:rPr>
          <w:b/>
          <w:i/>
          <w:u w:val="single"/>
        </w:rPr>
      </w:pPr>
      <w:r>
        <w:rPr>
          <w:b/>
          <w:i/>
          <w:u w:val="single"/>
        </w:rPr>
        <w:t>Staff Presentation on Task 6</w:t>
      </w:r>
    </w:p>
    <w:p w14:paraId="5CC1A9AF" w14:textId="76A1C674" w:rsidR="00925708" w:rsidRDefault="00925708" w:rsidP="00925708">
      <w:pPr>
        <w:rPr>
          <w:rStyle w:val="Hyperlink"/>
        </w:rPr>
      </w:pPr>
      <w:r w:rsidRPr="00386048">
        <w:t xml:space="preserve">Meeting presentation slides: </w:t>
      </w:r>
      <w:hyperlink r:id="rId17" w:history="1">
        <w:r>
          <w:rPr>
            <w:rStyle w:val="Hyperlink"/>
          </w:rPr>
          <w:t>T2WG_20170606_MeetingPPT</w:t>
        </w:r>
      </w:hyperlink>
    </w:p>
    <w:p w14:paraId="5E61C780" w14:textId="3596060C" w:rsidR="00393549" w:rsidRDefault="00393549" w:rsidP="00393549">
      <w:r w:rsidRPr="00393549">
        <w:t xml:space="preserve">On the </w:t>
      </w:r>
      <w:r>
        <w:t>length of review time – Peter noted that the review team is understaffed</w:t>
      </w:r>
    </w:p>
    <w:p w14:paraId="5B4AFF4D" w14:textId="77777777" w:rsidR="00A24BE8" w:rsidRDefault="00393549" w:rsidP="00393549">
      <w:r>
        <w:t>On</w:t>
      </w:r>
      <w:r w:rsidRPr="0092366A">
        <w:t xml:space="preserve"> expected time for review for a particular </w:t>
      </w:r>
      <w:r>
        <w:t xml:space="preserve">project – Peter noted that </w:t>
      </w:r>
      <w:r w:rsidRPr="0092366A">
        <w:t xml:space="preserve">review time depends </w:t>
      </w:r>
      <w:r>
        <w:t>on the complexity of the project. In</w:t>
      </w:r>
      <w:r w:rsidRPr="0092366A">
        <w:t xml:space="preserve"> the past there were problems collecting all project documentation</w:t>
      </w:r>
      <w:r>
        <w:t xml:space="preserve">, so the team </w:t>
      </w:r>
      <w:r w:rsidRPr="0092366A">
        <w:t xml:space="preserve">implemented a checklist to ensure </w:t>
      </w:r>
      <w:r>
        <w:t xml:space="preserve">project submissions included all the necessary documentation. Keith added that </w:t>
      </w:r>
      <w:r w:rsidRPr="0092366A">
        <w:t xml:space="preserve">review can be anywhere from a few </w:t>
      </w:r>
      <w:r>
        <w:t xml:space="preserve">hours to a few days. </w:t>
      </w:r>
      <w:r w:rsidRPr="000D4058">
        <w:t xml:space="preserve">Jeff </w:t>
      </w:r>
      <w:r w:rsidR="00A24BE8">
        <w:t xml:space="preserve">added that </w:t>
      </w:r>
      <w:r w:rsidRPr="000D4058">
        <w:t>there is a r</w:t>
      </w:r>
      <w:r w:rsidR="00A24BE8">
        <w:t>equired timframe</w:t>
      </w:r>
      <w:r w:rsidRPr="000D4058">
        <w:t xml:space="preserve">, but nobody meets it. The target </w:t>
      </w:r>
      <w:r w:rsidRPr="000D4058">
        <w:lastRenderedPageBreak/>
        <w:t>timeframe is 2 weeks</w:t>
      </w:r>
      <w:r>
        <w:t xml:space="preserve">. Keith noted that CPUC </w:t>
      </w:r>
      <w:r w:rsidR="00A24BE8">
        <w:t>had</w:t>
      </w:r>
      <w:r>
        <w:t xml:space="preserve"> changed the protocol to ask IOUs to prioritize specific projects.</w:t>
      </w:r>
    </w:p>
    <w:p w14:paraId="7AD6B441" w14:textId="4F13C0C3" w:rsidR="00393549" w:rsidRPr="00A24BE8" w:rsidRDefault="00A24BE8" w:rsidP="00393549">
      <w:r w:rsidRPr="00A24BE8">
        <w:t xml:space="preserve">Issues resulting in project delays include: </w:t>
      </w:r>
    </w:p>
    <w:p w14:paraId="19CE2E42" w14:textId="77777777" w:rsidR="00393549" w:rsidRPr="0092366A" w:rsidRDefault="00393549" w:rsidP="00393549">
      <w:pPr>
        <w:pStyle w:val="ListParagraph"/>
        <w:numPr>
          <w:ilvl w:val="0"/>
          <w:numId w:val="5"/>
        </w:numPr>
      </w:pPr>
      <w:r w:rsidRPr="0092366A">
        <w:t>CPUC is understaffed due to budget constraints</w:t>
      </w:r>
    </w:p>
    <w:p w14:paraId="15D14B35" w14:textId="77777777" w:rsidR="00393549" w:rsidRPr="0092366A" w:rsidRDefault="00393549" w:rsidP="00393549">
      <w:pPr>
        <w:pStyle w:val="ListParagraph"/>
        <w:numPr>
          <w:ilvl w:val="0"/>
          <w:numId w:val="5"/>
        </w:numPr>
      </w:pPr>
      <w:r w:rsidRPr="0092366A">
        <w:t>Incomplete documentation</w:t>
      </w:r>
    </w:p>
    <w:p w14:paraId="193EF0B2" w14:textId="77777777" w:rsidR="00393549" w:rsidRPr="0092366A" w:rsidRDefault="00393549" w:rsidP="00393549">
      <w:pPr>
        <w:pStyle w:val="ListParagraph"/>
        <w:numPr>
          <w:ilvl w:val="0"/>
          <w:numId w:val="5"/>
        </w:numPr>
      </w:pPr>
      <w:r w:rsidRPr="0092366A">
        <w:t>Requests for additional information</w:t>
      </w:r>
    </w:p>
    <w:p w14:paraId="1EA4983C" w14:textId="77777777" w:rsidR="00393549" w:rsidRPr="0092366A" w:rsidRDefault="00393549" w:rsidP="00393549">
      <w:pPr>
        <w:pStyle w:val="ListParagraph"/>
        <w:numPr>
          <w:ilvl w:val="0"/>
          <w:numId w:val="5"/>
        </w:numPr>
      </w:pPr>
      <w:r w:rsidRPr="0092366A">
        <w:t>Back and forth communication between CPUC and IOUs</w:t>
      </w:r>
    </w:p>
    <w:p w14:paraId="2B70F8C9" w14:textId="27810C46" w:rsidR="00393549" w:rsidRDefault="00393549" w:rsidP="00393549">
      <w:pPr>
        <w:pStyle w:val="ListParagraph"/>
        <w:numPr>
          <w:ilvl w:val="0"/>
          <w:numId w:val="5"/>
        </w:numPr>
      </w:pPr>
      <w:r w:rsidRPr="0092366A">
        <w:t xml:space="preserve">Some project files are well organized – some projects include a spreadsheet that describes all the 20+ documents in the project file </w:t>
      </w:r>
    </w:p>
    <w:p w14:paraId="69AB1E17" w14:textId="1DFC4880" w:rsidR="00A24BE8" w:rsidRDefault="00393549" w:rsidP="00393549">
      <w:pPr>
        <w:pStyle w:val="ListParagraph"/>
        <w:numPr>
          <w:ilvl w:val="0"/>
          <w:numId w:val="5"/>
        </w:numPr>
      </w:pPr>
      <w:r>
        <w:t xml:space="preserve">Disorganized or not-well-labeled documentation takes time for Staff to sort through </w:t>
      </w:r>
    </w:p>
    <w:p w14:paraId="1D0753F1" w14:textId="29AF01F8" w:rsidR="00393549" w:rsidRDefault="00393549" w:rsidP="00393549">
      <w:r>
        <w:t xml:space="preserve">Slide 12 – </w:t>
      </w:r>
      <w:r w:rsidR="00A24BE8">
        <w:t xml:space="preserve">Staff have been keeping track of the number and type of corrective actions issues during Custom EAR – since they just started collecting these data in 2015, they cannot compare directly to past year; </w:t>
      </w:r>
      <w:r>
        <w:t>K</w:t>
      </w:r>
      <w:r w:rsidR="00A24BE8">
        <w:t>eith noted that reviewers</w:t>
      </w:r>
      <w:r>
        <w:t xml:space="preserve"> keep seein</w:t>
      </w:r>
      <w:r w:rsidR="00A24BE8">
        <w:t>g the same issues over and over.</w:t>
      </w:r>
    </w:p>
    <w:p w14:paraId="2688100E" w14:textId="41890C52" w:rsidR="00393549" w:rsidRDefault="00A24BE8" w:rsidP="00393549">
      <w:r>
        <w:t xml:space="preserve">Jeff noted that the </w:t>
      </w:r>
      <w:r w:rsidR="00393549">
        <w:t xml:space="preserve">number of projects has gone down; the number of corrective actions per project is </w:t>
      </w:r>
      <w:r>
        <w:t>st</w:t>
      </w:r>
      <w:r w:rsidR="00393549">
        <w:t xml:space="preserve">able the same over years; CPUC is “waiving” more projects, but the problems per </w:t>
      </w:r>
      <w:r>
        <w:t xml:space="preserve">project has not changed much. </w:t>
      </w:r>
      <w:r w:rsidR="00393549">
        <w:t xml:space="preserve">The number of </w:t>
      </w:r>
      <w:r>
        <w:t>problems went</w:t>
      </w:r>
      <w:r w:rsidR="00393549">
        <w:t xml:space="preserve"> down in the first couple years because the documentation </w:t>
      </w:r>
      <w:r>
        <w:t>improved</w:t>
      </w:r>
      <w:r w:rsidR="00393549">
        <w:t xml:space="preserve">, </w:t>
      </w:r>
      <w:r>
        <w:t xml:space="preserve">but then </w:t>
      </w:r>
      <w:r w:rsidR="00393549">
        <w:t>more problems</w:t>
      </w:r>
      <w:r>
        <w:t xml:space="preserve"> arose.</w:t>
      </w:r>
    </w:p>
    <w:p w14:paraId="4CDCBD3B" w14:textId="63BAE8CA" w:rsidR="00393549" w:rsidRDefault="00393549" w:rsidP="00393549">
      <w:r>
        <w:t xml:space="preserve">Paden </w:t>
      </w:r>
      <w:r w:rsidR="00A24BE8">
        <w:t>noted that the</w:t>
      </w:r>
      <w:r>
        <w:t xml:space="preserve"> first three </w:t>
      </w:r>
      <w:r w:rsidR="00A24BE8">
        <w:t xml:space="preserve">types of </w:t>
      </w:r>
      <w:r>
        <w:t>issues (energy savings impacts, process, policy) have been prominent</w:t>
      </w:r>
      <w:r w:rsidR="00A24BE8">
        <w:t xml:space="preserve"> throughout, but that </w:t>
      </w:r>
      <w:r>
        <w:t xml:space="preserve">program </w:t>
      </w:r>
      <w:r w:rsidR="00A24BE8">
        <w:t>influence</w:t>
      </w:r>
      <w:r>
        <w:t xml:space="preserve"> and documentation is a new part of the review</w:t>
      </w:r>
      <w:r w:rsidR="00A24BE8">
        <w:t>.</w:t>
      </w:r>
    </w:p>
    <w:p w14:paraId="197562D2" w14:textId="56DF8884" w:rsidR="00393549" w:rsidRDefault="00A24BE8" w:rsidP="00393549">
      <w:r>
        <w:t>S</w:t>
      </w:r>
      <w:r w:rsidR="00393549">
        <w:t>taff</w:t>
      </w:r>
      <w:r>
        <w:t>/consultants</w:t>
      </w:r>
      <w:r w:rsidR="00393549">
        <w:t xml:space="preserve"> noted that the types of problems observed depends on the type</w:t>
      </w:r>
      <w:r>
        <w:t xml:space="preserve">s of projects reviewed. </w:t>
      </w:r>
      <w:r w:rsidR="00393549">
        <w:t xml:space="preserve">Jeff </w:t>
      </w:r>
      <w:r>
        <w:t>suggested that</w:t>
      </w:r>
      <w:r w:rsidR="00393549">
        <w:t>, if we focused on a particular programmat</w:t>
      </w:r>
      <w:r>
        <w:t>ic area (combination of program</w:t>
      </w:r>
      <w:r w:rsidR="00393549">
        <w:t>, then we can make some progress (e.g., focus on a lighting-focused program) – there i</w:t>
      </w:r>
      <w:r>
        <w:t>s an information flow problem. It’s</w:t>
      </w:r>
      <w:r w:rsidR="00393549">
        <w:t xml:space="preserve"> difficult when there are thousands of people involved in the activity.</w:t>
      </w:r>
    </w:p>
    <w:p w14:paraId="475CDD24" w14:textId="02484543" w:rsidR="00393549" w:rsidRDefault="00393549" w:rsidP="00393549">
      <w:r>
        <w:t xml:space="preserve">Sasha noted that </w:t>
      </w:r>
      <w:r w:rsidR="00A24BE8">
        <w:t>it’s</w:t>
      </w:r>
      <w:r>
        <w:t xml:space="preserve"> interesting that there are thousands of pl</w:t>
      </w:r>
      <w:r w:rsidR="00A24BE8">
        <w:t>ayers in this complex policy; a</w:t>
      </w:r>
      <w:r>
        <w:t xml:space="preserve">sked whether Staff’s report </w:t>
      </w:r>
      <w:r w:rsidR="00A24BE8">
        <w:t>is consistent</w:t>
      </w:r>
      <w:r>
        <w:t xml:space="preserve"> with what the IOUs are seeing in their own internal processes (for which the IOUs are reviewing at a much higher </w:t>
      </w:r>
      <w:r w:rsidR="00A24BE8">
        <w:t>volume</w:t>
      </w:r>
      <w:r>
        <w:t xml:space="preserve">). </w:t>
      </w:r>
    </w:p>
    <w:p w14:paraId="22BA95A7" w14:textId="7FAA6FBA" w:rsidR="00393549" w:rsidRDefault="00393549" w:rsidP="00393549">
      <w:r>
        <w:t>Rod – we see projects that we cancel immediately; others where they request more infor</w:t>
      </w:r>
      <w:r w:rsidR="00A24BE8">
        <w:t xml:space="preserve">mation for the project package. </w:t>
      </w:r>
      <w:r>
        <w:t>Sasha asked what percentage of projects are total reject; IOUs indicated that there are a lot of projects that never make the CMPA list; a lot of screening by the AEs</w:t>
      </w:r>
      <w:r w:rsidR="00A24BE8">
        <w:t>.</w:t>
      </w:r>
    </w:p>
    <w:p w14:paraId="6B0BF7B0" w14:textId="77777777" w:rsidR="00393549" w:rsidRDefault="00393549" w:rsidP="00393549">
      <w:r>
        <w:t xml:space="preserve">Sasha clarified that the issues Staff identified (slide 12) are issues observed </w:t>
      </w:r>
      <w:r w:rsidRPr="00A24BE8">
        <w:rPr>
          <w:u w:val="single"/>
        </w:rPr>
        <w:t>after</w:t>
      </w:r>
      <w:r>
        <w:t xml:space="preserve"> the PA internal review.</w:t>
      </w:r>
    </w:p>
    <w:p w14:paraId="452A1AD7" w14:textId="77777777" w:rsidR="00393549" w:rsidRDefault="00393549" w:rsidP="00393549">
      <w:r>
        <w:t>Keith – at the beginning of ex ante review, there were a lot of documentation problems; CPUC said it would not initiate review until the PAs had reviewed.  “Our job is to review the PAs technical due diligence, not to perform the technical review.”</w:t>
      </w:r>
    </w:p>
    <w:p w14:paraId="7B548657" w14:textId="79D624B3" w:rsidR="00393549" w:rsidRDefault="00393549" w:rsidP="00393549">
      <w:r>
        <w:t xml:space="preserve">Rich – do you have the total time from CMPA to final disposition. Peter confirmed that we has that data.  </w:t>
      </w:r>
      <w:r w:rsidR="00A24BE8">
        <w:t>W</w:t>
      </w:r>
      <w:r>
        <w:t>hat is the aver</w:t>
      </w:r>
      <w:r w:rsidR="00A24BE8">
        <w:t>age timeframe for CMPA review? &lt;&lt;follow up on this Q&gt;&gt;</w:t>
      </w:r>
    </w:p>
    <w:p w14:paraId="74B2A872" w14:textId="51C651B7" w:rsidR="00393549" w:rsidRDefault="00393549" w:rsidP="00393549">
      <w:r>
        <w:lastRenderedPageBreak/>
        <w:t>Peter – they track the start and end of the process, but not all the steps in the middle.  Shawn commented that the information is available because the back and forth</w:t>
      </w:r>
      <w:r w:rsidR="00A24BE8">
        <w:t xml:space="preserve"> is documented, </w:t>
      </w:r>
      <w:r>
        <w:t xml:space="preserve">but the </w:t>
      </w:r>
      <w:r w:rsidR="00A24BE8">
        <w:t>steps aren’t tracked.</w:t>
      </w:r>
    </w:p>
    <w:p w14:paraId="3DA33B59" w14:textId="006471DB" w:rsidR="00393549" w:rsidRDefault="00A24BE8" w:rsidP="00393549">
      <w:r>
        <w:t xml:space="preserve">Jeff noted that </w:t>
      </w:r>
      <w:r w:rsidR="00393549">
        <w:t>CPUC has timestam</w:t>
      </w:r>
      <w:r>
        <w:t xml:space="preserve">ps on all its own transactions; </w:t>
      </w:r>
      <w:r w:rsidR="00393549">
        <w:t>Keith noted that there are phone calls on projects (which may resolve discuss</w:t>
      </w:r>
      <w:r>
        <w:t>ions) that may not be timestamped.</w:t>
      </w:r>
    </w:p>
    <w:p w14:paraId="3A288EC3" w14:textId="386FD775" w:rsidR="00393549" w:rsidRDefault="00393549" w:rsidP="00393549">
      <w:r>
        <w:t>Rich – of the 70 projects; how many proj</w:t>
      </w:r>
      <w:r w:rsidR="00A24BE8">
        <w:t xml:space="preserve">ects are “in the hopper”; Peter clarified that the </w:t>
      </w:r>
      <w:r>
        <w:t>last time they looked there were about 38 projects in progress.</w:t>
      </w:r>
    </w:p>
    <w:p w14:paraId="244E1B0E" w14:textId="34EEC083" w:rsidR="00393549" w:rsidRDefault="00393549" w:rsidP="00393549">
      <w:r>
        <w:t>Cody – asked for definition of “corrective actions”</w:t>
      </w:r>
      <w:r w:rsidR="00464ECE">
        <w:t xml:space="preserve"> – asked whether this included requests that weren’t necessarily corrections. E.g., Is CPUC request for contact information considered a corrective action?</w:t>
      </w:r>
      <w:r w:rsidR="00433567">
        <w:t xml:space="preserve"> </w:t>
      </w:r>
      <w:r>
        <w:t xml:space="preserve">Staff clarified that these are actually corrective actions, which are different from notes. </w:t>
      </w:r>
    </w:p>
    <w:p w14:paraId="6370B7CF" w14:textId="55DE2681" w:rsidR="00393549" w:rsidRDefault="00433567" w:rsidP="00393549">
      <w:r>
        <w:t xml:space="preserve">Jeff noted that </w:t>
      </w:r>
      <w:r w:rsidR="00393549">
        <w:t xml:space="preserve">the 24 corrective actions are summarized in a document. </w:t>
      </w:r>
      <w:r>
        <w:t>&lt;&lt;follow up&gt;&gt;</w:t>
      </w:r>
    </w:p>
    <w:p w14:paraId="7648643A" w14:textId="77777777" w:rsidR="00393549" w:rsidRPr="007C316D" w:rsidRDefault="00393549" w:rsidP="00393549">
      <w:pPr>
        <w:rPr>
          <w:i/>
          <w:u w:val="single"/>
        </w:rPr>
      </w:pPr>
      <w:r w:rsidRPr="007C316D">
        <w:rPr>
          <w:i/>
          <w:u w:val="single"/>
        </w:rPr>
        <w:t>Ex Ante Review Reality</w:t>
      </w:r>
    </w:p>
    <w:p w14:paraId="5239F1B7" w14:textId="77777777" w:rsidR="00393549" w:rsidRDefault="00393549" w:rsidP="00393549">
      <w:r>
        <w:t>Perception from Staff is that the PAs put more effort into the projects selected for EAR; concerned that the selected projects therefore are not representative of the full project population.</w:t>
      </w:r>
    </w:p>
    <w:p w14:paraId="1F2FBAE6" w14:textId="77777777" w:rsidR="00A25781" w:rsidRDefault="00A25781" w:rsidP="00393549">
      <w:r>
        <w:t xml:space="preserve">IOUs agreed that this happens: </w:t>
      </w:r>
    </w:p>
    <w:p w14:paraId="4EFE5B64" w14:textId="20232559" w:rsidR="00A25781" w:rsidRDefault="00A25781" w:rsidP="00393549">
      <w:pPr>
        <w:pStyle w:val="ListParagraph"/>
        <w:numPr>
          <w:ilvl w:val="0"/>
          <w:numId w:val="10"/>
        </w:numPr>
      </w:pPr>
      <w:r>
        <w:t xml:space="preserve">Paden – </w:t>
      </w:r>
      <w:r w:rsidR="00393549">
        <w:t xml:space="preserve">aggregating the data takes a long time; there are many people involved in the process; additional effort required because there are special requirements </w:t>
      </w:r>
      <w:r>
        <w:t xml:space="preserve">EAR </w:t>
      </w:r>
    </w:p>
    <w:p w14:paraId="5E105BBC" w14:textId="77777777" w:rsidR="00A25781" w:rsidRDefault="00393549" w:rsidP="00393549">
      <w:pPr>
        <w:pStyle w:val="ListParagraph"/>
        <w:numPr>
          <w:ilvl w:val="0"/>
          <w:numId w:val="10"/>
        </w:numPr>
      </w:pPr>
      <w:r>
        <w:t>Mark – there are confidentiality requirements that require additional review; these requirements are very burdensome; it takes a few additional hours to review that project documentation meets the confidentiality requirements.</w:t>
      </w:r>
    </w:p>
    <w:p w14:paraId="65DF14D3" w14:textId="4C755231" w:rsidR="00393549" w:rsidRDefault="00393549" w:rsidP="00393549">
      <w:pPr>
        <w:pStyle w:val="ListParagraph"/>
        <w:numPr>
          <w:ilvl w:val="0"/>
          <w:numId w:val="10"/>
        </w:numPr>
      </w:pPr>
      <w:r>
        <w:t>Ryan – PG&amp;</w:t>
      </w:r>
      <w:r w:rsidR="00A25781">
        <w:t>E definitely puts more effort; w</w:t>
      </w:r>
      <w:r>
        <w:t>e do a policy review upfront, then send for technical review; once the 3</w:t>
      </w:r>
      <w:r w:rsidRPr="00A25781">
        <w:rPr>
          <w:vertAlign w:val="superscript"/>
        </w:rPr>
        <w:t>rd</w:t>
      </w:r>
      <w:r>
        <w:t xml:space="preserve"> part review approved the document PG&amp;E doesn’t review the project again. When a project is selected, then PG&amp;E will review the project for any glaring technical issues. PG&amp;E as part of its process, conducts an additional review for selected projects</w:t>
      </w:r>
    </w:p>
    <w:p w14:paraId="3A2ED3F2" w14:textId="2CBB1B39" w:rsidR="00393549" w:rsidRDefault="00393549" w:rsidP="00393549">
      <w:r>
        <w:t xml:space="preserve">Kay – it’s clear to the </w:t>
      </w:r>
      <w:r w:rsidRPr="00A25781">
        <w:rPr>
          <w:i/>
        </w:rPr>
        <w:t xml:space="preserve">ex post </w:t>
      </w:r>
      <w:r>
        <w:t xml:space="preserve">evaluators that projects not selected do not get the same attention. An evaluator noted that there seems to be no impact on projects that do not </w:t>
      </w:r>
      <w:r w:rsidR="00A25781">
        <w:t xml:space="preserve">go </w:t>
      </w:r>
      <w:r>
        <w:t xml:space="preserve">through </w:t>
      </w:r>
      <w:r w:rsidRPr="00A25781">
        <w:rPr>
          <w:i/>
        </w:rPr>
        <w:t xml:space="preserve">ex ante </w:t>
      </w:r>
      <w:r>
        <w:t>review.</w:t>
      </w:r>
    </w:p>
    <w:p w14:paraId="500F81B1" w14:textId="2D828347" w:rsidR="007C316D" w:rsidRPr="007C316D" w:rsidRDefault="007C316D" w:rsidP="00393549">
      <w:pPr>
        <w:rPr>
          <w:i/>
          <w:u w:val="single"/>
        </w:rPr>
      </w:pPr>
      <w:r w:rsidRPr="007C316D">
        <w:rPr>
          <w:i/>
          <w:u w:val="single"/>
        </w:rPr>
        <w:t>Custom Project Overall Process</w:t>
      </w:r>
      <w:r w:rsidR="00A25781">
        <w:rPr>
          <w:i/>
          <w:u w:val="single"/>
        </w:rPr>
        <w:t xml:space="preserve"> [see figure]</w:t>
      </w:r>
    </w:p>
    <w:p w14:paraId="27BA3623" w14:textId="58994E49" w:rsidR="00393549" w:rsidRDefault="00393549" w:rsidP="00393549">
      <w:r w:rsidRPr="00647602">
        <w:t xml:space="preserve">Keith mentioned some </w:t>
      </w:r>
      <w:r w:rsidR="00A25781">
        <w:t xml:space="preserve">Tim Xu did surveys and </w:t>
      </w:r>
      <w:r>
        <w:t xml:space="preserve">found that the majority of work is performed in the initial part of the process. </w:t>
      </w:r>
    </w:p>
    <w:p w14:paraId="426742E0" w14:textId="4F6A1B6B" w:rsidR="00393549" w:rsidRDefault="00393549" w:rsidP="00393549">
      <w:r>
        <w:t>Peter confirmed that he is frustrated by the process and is hopeful that the group can make improvements on all sides.</w:t>
      </w:r>
    </w:p>
    <w:p w14:paraId="7CE871E8" w14:textId="5CF9AE0A" w:rsidR="00393549" w:rsidRDefault="00393549" w:rsidP="00393549">
      <w:r>
        <w:t>Rich expressed frustration that the implementer is not part of the review loops. Athena commented that the IOUs do follow-up with</w:t>
      </w:r>
      <w:r w:rsidR="00A25781">
        <w:t xml:space="preserve"> the necessary communications (e</w:t>
      </w:r>
      <w:r>
        <w:t>.g., deal with the implemented if needed) even if those stakeholders are not explicitly listed as part of the process.</w:t>
      </w:r>
    </w:p>
    <w:p w14:paraId="37473991" w14:textId="2CE038FE" w:rsidR="00393549" w:rsidRPr="00386048" w:rsidRDefault="00393549" w:rsidP="00925708">
      <w:r>
        <w:lastRenderedPageBreak/>
        <w:t>Spencer – the actual process is a serial review process</w:t>
      </w:r>
      <w:r w:rsidR="00A25781">
        <w:t>; t</w:t>
      </w:r>
      <w:r>
        <w:t>here is nothing happening simultaneously</w:t>
      </w:r>
    </w:p>
    <w:p w14:paraId="436019CC" w14:textId="683AEAC9" w:rsidR="00925708" w:rsidRDefault="00393549" w:rsidP="00925708">
      <w:pPr>
        <w:rPr>
          <w:b/>
          <w:i/>
          <w:u w:val="single"/>
        </w:rPr>
      </w:pPr>
      <w:r>
        <w:rPr>
          <w:b/>
          <w:i/>
          <w:u w:val="single"/>
        </w:rPr>
        <w:t>CPUC &amp; IOUs Present Custom Workflow Processes</w:t>
      </w:r>
    </w:p>
    <w:p w14:paraId="374E1BD4" w14:textId="00418323" w:rsidR="00393549" w:rsidRDefault="00393549" w:rsidP="00925708">
      <w:r w:rsidRPr="00393549">
        <w:t xml:space="preserve">CPUC and </w:t>
      </w:r>
      <w:r>
        <w:t xml:space="preserve">IOUs presented their procedures for the custom review process, referencing the workflow diagrams available in the “Task 6 – Custom Streamlining Materials” folder. The folder contains: </w:t>
      </w:r>
    </w:p>
    <w:p w14:paraId="6B1D7E2E" w14:textId="40370233" w:rsidR="00393549" w:rsidRDefault="00393549" w:rsidP="00393549">
      <w:pPr>
        <w:pStyle w:val="ListParagraph"/>
        <w:numPr>
          <w:ilvl w:val="0"/>
          <w:numId w:val="3"/>
        </w:numPr>
      </w:pPr>
      <w:r>
        <w:t>Workflows for SCE, SCG, SDG&amp;E, and PG&amp;E</w:t>
      </w:r>
    </w:p>
    <w:p w14:paraId="3EDD7819" w14:textId="5E0C0191" w:rsidR="00393549" w:rsidRDefault="00393549" w:rsidP="00393549">
      <w:pPr>
        <w:pStyle w:val="ListParagraph"/>
        <w:numPr>
          <w:ilvl w:val="0"/>
          <w:numId w:val="3"/>
        </w:numPr>
      </w:pPr>
      <w:r>
        <w:t>Custom Project Process Overview developed by Staff</w:t>
      </w:r>
    </w:p>
    <w:p w14:paraId="1452FB7F" w14:textId="5721321F" w:rsidR="00393549" w:rsidRPr="00393549" w:rsidRDefault="00393549" w:rsidP="00925708">
      <w:pPr>
        <w:pStyle w:val="ListParagraph"/>
        <w:numPr>
          <w:ilvl w:val="0"/>
          <w:numId w:val="3"/>
        </w:numPr>
      </w:pPr>
      <w:r>
        <w:t>Custom Workflow Diagram developed by Staff</w:t>
      </w:r>
    </w:p>
    <w:p w14:paraId="16A39229" w14:textId="12B4C149" w:rsidR="00393549" w:rsidRDefault="00A25781" w:rsidP="00925708">
      <w:pPr>
        <w:rPr>
          <w:i/>
          <w:u w:val="single"/>
        </w:rPr>
      </w:pPr>
      <w:r>
        <w:rPr>
          <w:i/>
          <w:u w:val="single"/>
        </w:rPr>
        <w:t>So</w:t>
      </w:r>
      <w:r w:rsidRPr="00A25781">
        <w:rPr>
          <w:i/>
          <w:u w:val="single"/>
        </w:rPr>
        <w:t>Cal Gas</w:t>
      </w:r>
      <w:r>
        <w:rPr>
          <w:i/>
          <w:u w:val="single"/>
        </w:rPr>
        <w:t xml:space="preserve"> – Shawn Fife</w:t>
      </w:r>
    </w:p>
    <w:p w14:paraId="182E3B69" w14:textId="3785456D" w:rsidR="00A25781" w:rsidRPr="00BA4FCA" w:rsidRDefault="00A25781" w:rsidP="00A25781">
      <w:pPr>
        <w:pStyle w:val="ListParagraph"/>
        <w:numPr>
          <w:ilvl w:val="0"/>
          <w:numId w:val="11"/>
        </w:numPr>
      </w:pPr>
      <w:r>
        <w:t>“</w:t>
      </w:r>
      <w:r w:rsidRPr="00BA4FCA">
        <w:t>PA</w:t>
      </w:r>
      <w:r>
        <w:t>”</w:t>
      </w:r>
      <w:r w:rsidRPr="00BA4FCA">
        <w:t xml:space="preserve"> is the output of the Engineering/Technical Review</w:t>
      </w:r>
    </w:p>
    <w:p w14:paraId="40A9DBC6" w14:textId="65CDDFA1" w:rsidR="00A25781" w:rsidRDefault="00A25781" w:rsidP="00A25781">
      <w:pPr>
        <w:pStyle w:val="ListParagraph"/>
        <w:numPr>
          <w:ilvl w:val="0"/>
          <w:numId w:val="11"/>
        </w:numPr>
      </w:pPr>
      <w:r>
        <w:t>CPUC has 30(?) days to selected a project once it’s “Ready for Review” on CMPA</w:t>
      </w:r>
    </w:p>
    <w:p w14:paraId="4F611059" w14:textId="78255AEB" w:rsidR="00A25781" w:rsidRDefault="00A25781" w:rsidP="00A25781">
      <w:pPr>
        <w:pStyle w:val="ListParagraph"/>
        <w:numPr>
          <w:ilvl w:val="0"/>
          <w:numId w:val="11"/>
        </w:numPr>
      </w:pPr>
      <w:r>
        <w:t>If a project is selected for Ex Ante Review, SCG team completes additional QC Review</w:t>
      </w:r>
    </w:p>
    <w:p w14:paraId="39B3163F" w14:textId="4CCE442B" w:rsidR="00A25781" w:rsidRDefault="00A25781" w:rsidP="00A25781">
      <w:r w:rsidRPr="00710A4A">
        <w:t>Sasha – impressed by the amount of work SCG does, especially when a p</w:t>
      </w:r>
      <w:r>
        <w:t>roject is selected for review; c</w:t>
      </w:r>
      <w:r w:rsidRPr="00710A4A">
        <w:t>oncerned by the reasons for the additional review</w:t>
      </w:r>
      <w:r>
        <w:t xml:space="preserve"> for selected projects – does this mean that SCG i</w:t>
      </w:r>
      <w:r w:rsidR="00920A92">
        <w:t xml:space="preserve">s not doing </w:t>
      </w:r>
      <w:r w:rsidR="009F0B8A">
        <w:t>full</w:t>
      </w:r>
      <w:r w:rsidR="00920A92">
        <w:t xml:space="preserve"> review or </w:t>
      </w:r>
      <w:r>
        <w:t>doesn’t have the staff for full review</w:t>
      </w:r>
      <w:r w:rsidR="00920A92">
        <w:t xml:space="preserve"> on </w:t>
      </w:r>
      <w:r>
        <w:t>all projects?</w:t>
      </w:r>
      <w:r w:rsidRPr="00710A4A">
        <w:t xml:space="preserve"> </w:t>
      </w:r>
    </w:p>
    <w:p w14:paraId="23AAA51B" w14:textId="6FAB401D" w:rsidR="00A25781" w:rsidRDefault="00A25781" w:rsidP="00A25781">
      <w:r>
        <w:t>Shawn clarified that the approach is more similar to the audit process, for which a person is always going to review the package before sending to the auditor.</w:t>
      </w:r>
      <w:r w:rsidR="00920A92">
        <w:t xml:space="preserve"> </w:t>
      </w:r>
      <w:r>
        <w:t>Mark</w:t>
      </w:r>
      <w:r w:rsidR="00920A92">
        <w:t xml:space="preserve"> added that there may be a mis</w:t>
      </w:r>
      <w:r>
        <w:t xml:space="preserve">conception that </w:t>
      </w:r>
      <w:r w:rsidR="00920A92">
        <w:t>we</w:t>
      </w:r>
      <w:r>
        <w:t xml:space="preserve"> are going back to re-develop the report</w:t>
      </w:r>
      <w:r w:rsidR="00920A92">
        <w:t xml:space="preserve">. </w:t>
      </w:r>
      <w:r>
        <w:t>The additional work and additional resources includes a policy review plus additional steps (e.g., confidentiality steps) that the PAs must do unique to the EAR process.</w:t>
      </w:r>
    </w:p>
    <w:p w14:paraId="71CD1B18" w14:textId="77777777" w:rsidR="00A25781" w:rsidRPr="00A25781" w:rsidRDefault="00A25781" w:rsidP="00A25781">
      <w:pPr>
        <w:rPr>
          <w:i/>
          <w:u w:val="single"/>
        </w:rPr>
      </w:pPr>
      <w:r w:rsidRPr="00A25781">
        <w:rPr>
          <w:i/>
          <w:u w:val="single"/>
        </w:rPr>
        <w:t>SCE – Alok</w:t>
      </w:r>
    </w:p>
    <w:p w14:paraId="235D7CA0" w14:textId="1161F521" w:rsidR="00920A92" w:rsidRDefault="00920A92" w:rsidP="00A25781">
      <w:r>
        <w:t xml:space="preserve">Reviewed process outlined in workflow documents: </w:t>
      </w:r>
    </w:p>
    <w:p w14:paraId="19C5C69B" w14:textId="77777777" w:rsidR="00920A92" w:rsidRDefault="00A25781" w:rsidP="00920A92">
      <w:pPr>
        <w:pStyle w:val="ListParagraph"/>
        <w:numPr>
          <w:ilvl w:val="0"/>
          <w:numId w:val="12"/>
        </w:numPr>
      </w:pPr>
      <w:r>
        <w:t>Every project that SCE reviews goes throug</w:t>
      </w:r>
      <w:r w:rsidR="00920A92">
        <w:t>h an internal review process</w:t>
      </w:r>
    </w:p>
    <w:p w14:paraId="00149DA6" w14:textId="45C5E9D4" w:rsidR="00920A92" w:rsidRDefault="00920A92" w:rsidP="00920A92">
      <w:pPr>
        <w:pStyle w:val="ListParagraph"/>
        <w:numPr>
          <w:ilvl w:val="1"/>
          <w:numId w:val="12"/>
        </w:numPr>
      </w:pPr>
      <w:r>
        <w:t>Smaller projects</w:t>
      </w:r>
      <w:r w:rsidR="00A25781">
        <w:t xml:space="preserve"> – SCE randomly selected 15% of projects</w:t>
      </w:r>
    </w:p>
    <w:p w14:paraId="6D776723" w14:textId="77777777" w:rsidR="00920A92" w:rsidRDefault="00920A92" w:rsidP="00A25781">
      <w:pPr>
        <w:pStyle w:val="ListParagraph"/>
        <w:numPr>
          <w:ilvl w:val="1"/>
          <w:numId w:val="12"/>
        </w:numPr>
      </w:pPr>
      <w:r>
        <w:t xml:space="preserve">Med/large projects – </w:t>
      </w:r>
      <w:r w:rsidR="00A25781">
        <w:t>comprehensive reviews on all</w:t>
      </w:r>
      <w:r>
        <w:t>(</w:t>
      </w:r>
      <w:r w:rsidR="00A25781">
        <w:t>?</w:t>
      </w:r>
      <w:r>
        <w:t>)</w:t>
      </w:r>
      <w:r w:rsidR="00A25781">
        <w:t xml:space="preserve"> projects</w:t>
      </w:r>
    </w:p>
    <w:p w14:paraId="73B5263E" w14:textId="77777777" w:rsidR="00920A92" w:rsidRDefault="00920A92" w:rsidP="00920A92">
      <w:pPr>
        <w:pStyle w:val="ListParagraph"/>
        <w:numPr>
          <w:ilvl w:val="0"/>
          <w:numId w:val="12"/>
        </w:numPr>
      </w:pPr>
      <w:r>
        <w:t>Changed process in November 2015 based on</w:t>
      </w:r>
      <w:r w:rsidR="00A25781">
        <w:t xml:space="preserve"> EAR enhancement memo </w:t>
      </w:r>
      <w:r>
        <w:t>&lt;&lt;follow up&gt;&gt;</w:t>
      </w:r>
    </w:p>
    <w:p w14:paraId="5360A640" w14:textId="77777777" w:rsidR="00920A92" w:rsidRDefault="00A25781" w:rsidP="00A25781">
      <w:pPr>
        <w:pStyle w:val="ListParagraph"/>
        <w:numPr>
          <w:ilvl w:val="0"/>
          <w:numId w:val="12"/>
        </w:numPr>
      </w:pPr>
      <w:r w:rsidRPr="00920A92">
        <w:t>Selected projects go through an additional process for packaging specific to CPUC EAR</w:t>
      </w:r>
      <w:r w:rsidR="00920A92" w:rsidRPr="00920A92">
        <w:t xml:space="preserve"> – </w:t>
      </w:r>
      <w:r w:rsidRPr="00920A92">
        <w:t>The target timeframe is 2 weeks ---- SCE starts tracking from the data of project upload to CMPA, and then tracks the project on a weekly basis (during weekly calls with CPUC)</w:t>
      </w:r>
    </w:p>
    <w:p w14:paraId="6463C34F" w14:textId="77777777" w:rsidR="00920A92" w:rsidRDefault="00A25781" w:rsidP="00A25781">
      <w:pPr>
        <w:pStyle w:val="ListParagraph"/>
        <w:numPr>
          <w:ilvl w:val="0"/>
          <w:numId w:val="12"/>
        </w:numPr>
      </w:pPr>
      <w:r w:rsidRPr="00920A92">
        <w:t>SCE indicates that its generally meeting these timeframes indicated in the review process.</w:t>
      </w:r>
    </w:p>
    <w:p w14:paraId="5431C4F1" w14:textId="0285AF4B" w:rsidR="00A25781" w:rsidRDefault="00A25781" w:rsidP="00920A92">
      <w:r>
        <w:t xml:space="preserve">SDG&amp;E (Rob) indicated their processes are similar to the SCG </w:t>
      </w:r>
      <w:r w:rsidR="009F0B8A">
        <w:t>process flow described by Shawn; Ryan said PG&amp;Es processes were similar as well.</w:t>
      </w:r>
    </w:p>
    <w:p w14:paraId="0F4BC363" w14:textId="52BB3106" w:rsidR="00A25781" w:rsidRPr="00A25781" w:rsidRDefault="00A25781" w:rsidP="00A25781">
      <w:pPr>
        <w:rPr>
          <w:i/>
          <w:u w:val="single"/>
        </w:rPr>
      </w:pPr>
      <w:r w:rsidRPr="00A25781">
        <w:rPr>
          <w:i/>
          <w:u w:val="single"/>
        </w:rPr>
        <w:t>Goals and Reality</w:t>
      </w:r>
    </w:p>
    <w:p w14:paraId="54DDB26E" w14:textId="2B66515A" w:rsidR="00A25781" w:rsidRPr="00A25781" w:rsidRDefault="00A25781" w:rsidP="00A25781">
      <w:pPr>
        <w:pStyle w:val="ListParagraph"/>
        <w:numPr>
          <w:ilvl w:val="0"/>
          <w:numId w:val="8"/>
        </w:numPr>
      </w:pPr>
      <w:r>
        <w:t xml:space="preserve">Alice – sometimes it feels like we have more than one master. We have goals based on a potential study, but not sure the potential study takes into consideration the policy rules and eligibility criteria; a </w:t>
      </w:r>
      <w:r w:rsidRPr="00A25781">
        <w:t>fundamental disconnect</w:t>
      </w:r>
      <w:r>
        <w:t>.</w:t>
      </w:r>
    </w:p>
    <w:p w14:paraId="581312FB" w14:textId="414F3094" w:rsidR="00A25781" w:rsidRDefault="00A25781" w:rsidP="00A25781">
      <w:pPr>
        <w:pStyle w:val="ListParagraph"/>
        <w:numPr>
          <w:ilvl w:val="0"/>
          <w:numId w:val="8"/>
        </w:numPr>
      </w:pPr>
      <w:r>
        <w:lastRenderedPageBreak/>
        <w:t xml:space="preserve">Jeff responded that there was a process for each potential &amp; goals study; Jeff and other consultants reviewed preliminary reports on goals and potential study; in some cases the potential on which goals are based are not aligned with the program policies.  </w:t>
      </w:r>
    </w:p>
    <w:p w14:paraId="6ECC0C09" w14:textId="77777777" w:rsidR="00A25781" w:rsidRDefault="00A25781" w:rsidP="00A25781">
      <w:pPr>
        <w:pStyle w:val="ListParagraph"/>
        <w:numPr>
          <w:ilvl w:val="0"/>
          <w:numId w:val="8"/>
        </w:numPr>
      </w:pPr>
      <w:r>
        <w:t>Alice asked Jeff’s opinion on whether the goals are possible.</w:t>
      </w:r>
    </w:p>
    <w:p w14:paraId="577481AC" w14:textId="77777777" w:rsidR="00A25781" w:rsidRDefault="00A25781" w:rsidP="00A25781">
      <w:pPr>
        <w:pStyle w:val="ListParagraph"/>
        <w:numPr>
          <w:ilvl w:val="0"/>
          <w:numId w:val="8"/>
        </w:numPr>
      </w:pPr>
      <w:r>
        <w:t>Kay acknowledged that the industrial goals are not really based on good data.</w:t>
      </w:r>
    </w:p>
    <w:p w14:paraId="171B9AAC" w14:textId="77777777" w:rsidR="00A25781" w:rsidRDefault="00A25781" w:rsidP="00A25781">
      <w:pPr>
        <w:pStyle w:val="ListParagraph"/>
        <w:numPr>
          <w:ilvl w:val="0"/>
          <w:numId w:val="8"/>
        </w:numPr>
      </w:pPr>
      <w:r>
        <w:t>Sasha – it’s worth considering the actual costs of reaching these goals</w:t>
      </w:r>
    </w:p>
    <w:p w14:paraId="3C048860" w14:textId="77777777" w:rsidR="00A25781" w:rsidRDefault="00A25781" w:rsidP="00A25781">
      <w:pPr>
        <w:pStyle w:val="ListParagraph"/>
        <w:numPr>
          <w:ilvl w:val="0"/>
          <w:numId w:val="8"/>
        </w:numPr>
      </w:pPr>
      <w:r>
        <w:t>Spencer – questioned Navigant’s methods on use of ISP – Navigant using only the policy material available online (which is incomplete)</w:t>
      </w:r>
    </w:p>
    <w:p w14:paraId="19ACA3BB" w14:textId="40D810AD" w:rsidR="00A25781" w:rsidRDefault="00A25781" w:rsidP="00A25781">
      <w:pPr>
        <w:pStyle w:val="ListParagraph"/>
        <w:numPr>
          <w:ilvl w:val="0"/>
          <w:numId w:val="8"/>
        </w:numPr>
      </w:pPr>
      <w:r>
        <w:t>Anuj – the rolling portfolio process is meant to align the goals and reality of policy and what is achievable… The process allows the goals to be adjusted over time. Said there is very little this group can do to inform what is going on. These problems are well known.</w:t>
      </w:r>
    </w:p>
    <w:p w14:paraId="2F82FB19" w14:textId="49440739" w:rsidR="00925708" w:rsidRDefault="00C418EE" w:rsidP="00925708">
      <w:pPr>
        <w:rPr>
          <w:b/>
          <w:i/>
          <w:u w:val="single"/>
        </w:rPr>
      </w:pPr>
      <w:r>
        <w:rPr>
          <w:b/>
          <w:i/>
          <w:u w:val="single"/>
        </w:rPr>
        <w:t>Small group discussions and brainstorm on Task 5 – Custom Streamlining</w:t>
      </w:r>
    </w:p>
    <w:p w14:paraId="51D5E07C" w14:textId="13190916" w:rsidR="00C418EE" w:rsidRDefault="00C418EE" w:rsidP="00925708">
      <w:r>
        <w:t xml:space="preserve">Attendees split into groups three times during the meeting to discuss these topics: </w:t>
      </w:r>
    </w:p>
    <w:p w14:paraId="427E48F7" w14:textId="1748ADD0" w:rsidR="00C418EE" w:rsidRDefault="00C418EE" w:rsidP="00AC60EF">
      <w:pPr>
        <w:pStyle w:val="ListParagraph"/>
        <w:numPr>
          <w:ilvl w:val="0"/>
          <w:numId w:val="1"/>
        </w:numPr>
      </w:pPr>
      <w:r>
        <w:t xml:space="preserve">What are our shared goals for the Custom Review process? </w:t>
      </w:r>
    </w:p>
    <w:p w14:paraId="5A40C706" w14:textId="420C38D1" w:rsidR="00C418EE" w:rsidRDefault="00C418EE" w:rsidP="00AC60EF">
      <w:pPr>
        <w:pStyle w:val="ListParagraph"/>
        <w:numPr>
          <w:ilvl w:val="0"/>
          <w:numId w:val="1"/>
        </w:numPr>
      </w:pPr>
      <w:r>
        <w:t xml:space="preserve">What does the ideal Custom Review process look like? </w:t>
      </w:r>
    </w:p>
    <w:p w14:paraId="69EC9080" w14:textId="5693A1C2" w:rsidR="00C418EE" w:rsidRPr="00C418EE" w:rsidRDefault="00C418EE" w:rsidP="00AC60EF">
      <w:pPr>
        <w:pStyle w:val="ListParagraph"/>
        <w:numPr>
          <w:ilvl w:val="0"/>
          <w:numId w:val="1"/>
        </w:numPr>
      </w:pPr>
      <w:r>
        <w:t xml:space="preserve">What </w:t>
      </w:r>
    </w:p>
    <w:p w14:paraId="21927B7E" w14:textId="77777777" w:rsidR="00393549" w:rsidRDefault="007E0790" w:rsidP="002C5D79">
      <w:hyperlink r:id="rId18" w:history="1">
        <w:r w:rsidR="00393549" w:rsidRPr="00393549">
          <w:rPr>
            <w:rStyle w:val="Hyperlink"/>
          </w:rPr>
          <w:t>Compiled notes</w:t>
        </w:r>
      </w:hyperlink>
      <w:r w:rsidR="00393549">
        <w:t xml:space="preserve"> from these brainstorms are in the “Task 6 – Custom Streamlining Materials” folder on the T2WG website. </w:t>
      </w:r>
    </w:p>
    <w:p w14:paraId="136A9FA9" w14:textId="6B2C67AE" w:rsidR="002C5D79" w:rsidRDefault="002C5D79" w:rsidP="002C5D79">
      <w:r>
        <w:t>[</w:t>
      </w:r>
      <w:r w:rsidRPr="002C5D79">
        <w:rPr>
          <w:highlight w:val="yellow"/>
        </w:rPr>
        <w:t>ACTION 5</w:t>
      </w:r>
      <w:r>
        <w:t xml:space="preserve">] Provide any additional goals, vision, or recommendations to our brainstorm by COB on Monday 6/12. </w:t>
      </w:r>
    </w:p>
    <w:p w14:paraId="3A037277" w14:textId="483BB524" w:rsidR="002C5D79" w:rsidRDefault="002C5D79" w:rsidP="002C5D79">
      <w:r>
        <w:t>[</w:t>
      </w:r>
      <w:r w:rsidRPr="002C5D79">
        <w:rPr>
          <w:highlight w:val="yellow"/>
        </w:rPr>
        <w:t>ACTION 6</w:t>
      </w:r>
      <w:r>
        <w:t>] Send any additional material you have on the Custom EAR process such as previous analysis or proposals, that you think are relevant and helpful to improving the Custom EAR process</w:t>
      </w:r>
    </w:p>
    <w:p w14:paraId="24DDF6BC" w14:textId="0E698A42" w:rsidR="006C4AD5" w:rsidRPr="002470BD" w:rsidRDefault="005C71D4" w:rsidP="002470BD">
      <w:pPr>
        <w:rPr>
          <w:b/>
          <w:u w:val="single"/>
        </w:rPr>
      </w:pPr>
      <w:r w:rsidRPr="006C4AD5">
        <w:rPr>
          <w:b/>
          <w:u w:val="single"/>
        </w:rPr>
        <w:t>ADJOURN</w:t>
      </w:r>
      <w:r w:rsidR="00864D58">
        <w:rPr>
          <w:b/>
          <w:u w:val="single"/>
        </w:rPr>
        <w:t xml:space="preserve"> – 4 PM</w:t>
      </w:r>
    </w:p>
    <w:p w14:paraId="79FCB7FE" w14:textId="569D3BD1" w:rsidR="006C4AD5" w:rsidRDefault="006C4AD5" w:rsidP="006C4AD5">
      <w:pPr>
        <w:pStyle w:val="Heading2"/>
        <w:tabs>
          <w:tab w:val="left" w:pos="3825"/>
        </w:tabs>
      </w:pPr>
    </w:p>
    <w:p w14:paraId="5503B726" w14:textId="77777777" w:rsidR="002470BD" w:rsidRDefault="002470BD" w:rsidP="00B74434">
      <w:pPr>
        <w:pStyle w:val="Heading2"/>
      </w:pPr>
      <w:r>
        <w:br w:type="page"/>
      </w:r>
    </w:p>
    <w:p w14:paraId="3F1FD33F" w14:textId="42CD31FE" w:rsidR="007B0A56" w:rsidRDefault="007B0A56" w:rsidP="00B74434">
      <w:pPr>
        <w:pStyle w:val="Heading2"/>
      </w:pPr>
      <w:r>
        <w:lastRenderedPageBreak/>
        <w:t>Meeting Participants</w:t>
      </w:r>
    </w:p>
    <w:p w14:paraId="01810F71" w14:textId="1ECEDC75" w:rsidR="00335787" w:rsidRPr="00C418EE" w:rsidRDefault="00335787" w:rsidP="001C6D64">
      <w:pPr>
        <w:pStyle w:val="NoSpacing"/>
        <w:rPr>
          <w:lang w:val="en-US"/>
        </w:rPr>
      </w:pPr>
    </w:p>
    <w:tbl>
      <w:tblPr>
        <w:tblW w:w="5000" w:type="pct"/>
        <w:tblLook w:val="04A0" w:firstRow="1" w:lastRow="0" w:firstColumn="1" w:lastColumn="0" w:noHBand="0" w:noVBand="1"/>
      </w:tblPr>
      <w:tblGrid>
        <w:gridCol w:w="2603"/>
        <w:gridCol w:w="5408"/>
        <w:gridCol w:w="1339"/>
      </w:tblGrid>
      <w:tr w:rsidR="00704550" w:rsidRPr="00704550" w14:paraId="2107C4F9" w14:textId="77777777" w:rsidTr="00704550">
        <w:tc>
          <w:tcPr>
            <w:tcW w:w="1392" w:type="pct"/>
            <w:tcBorders>
              <w:top w:val="single" w:sz="4" w:space="0" w:color="A6A6A6"/>
              <w:left w:val="single" w:sz="4" w:space="0" w:color="A6A6A6"/>
              <w:bottom w:val="single" w:sz="4" w:space="0" w:color="A6A6A6"/>
              <w:right w:val="nil"/>
            </w:tcBorders>
            <w:shd w:val="clear" w:color="A5A5A5" w:fill="A5A5A5"/>
            <w:noWrap/>
            <w:vAlign w:val="bottom"/>
            <w:hideMark/>
          </w:tcPr>
          <w:p w14:paraId="3D9A73D5" w14:textId="77777777" w:rsidR="00704550" w:rsidRPr="00704550" w:rsidRDefault="00704550" w:rsidP="00704550">
            <w:pPr>
              <w:spacing w:after="0" w:line="240" w:lineRule="auto"/>
              <w:rPr>
                <w:rFonts w:eastAsia="Times New Roman"/>
                <w:b/>
                <w:bCs/>
                <w:color w:val="FFFFFF"/>
              </w:rPr>
            </w:pPr>
            <w:r w:rsidRPr="00704550">
              <w:rPr>
                <w:rFonts w:eastAsia="Times New Roman"/>
                <w:b/>
                <w:bCs/>
                <w:color w:val="FFFFFF"/>
              </w:rPr>
              <w:t>Full Name</w:t>
            </w:r>
          </w:p>
        </w:tc>
        <w:tc>
          <w:tcPr>
            <w:tcW w:w="2892" w:type="pct"/>
            <w:tcBorders>
              <w:top w:val="single" w:sz="4" w:space="0" w:color="A6A6A6"/>
              <w:left w:val="single" w:sz="4" w:space="0" w:color="A6A6A6"/>
              <w:bottom w:val="single" w:sz="4" w:space="0" w:color="A6A6A6"/>
              <w:right w:val="single" w:sz="4" w:space="0" w:color="A6A6A6"/>
            </w:tcBorders>
            <w:shd w:val="clear" w:color="A5A5A5" w:fill="A5A5A5"/>
            <w:noWrap/>
            <w:vAlign w:val="bottom"/>
            <w:hideMark/>
          </w:tcPr>
          <w:p w14:paraId="695A919C" w14:textId="77777777" w:rsidR="00704550" w:rsidRPr="00704550" w:rsidRDefault="00704550" w:rsidP="00704550">
            <w:pPr>
              <w:spacing w:after="0" w:line="240" w:lineRule="auto"/>
              <w:rPr>
                <w:rFonts w:eastAsia="Times New Roman"/>
                <w:b/>
                <w:bCs/>
                <w:color w:val="FFFFFF"/>
              </w:rPr>
            </w:pPr>
            <w:r w:rsidRPr="00704550">
              <w:rPr>
                <w:rFonts w:eastAsia="Times New Roman"/>
                <w:b/>
                <w:bCs/>
                <w:color w:val="FFFFFF"/>
              </w:rPr>
              <w:t>Organization</w:t>
            </w:r>
          </w:p>
        </w:tc>
        <w:tc>
          <w:tcPr>
            <w:tcW w:w="716" w:type="pct"/>
            <w:tcBorders>
              <w:top w:val="single" w:sz="4" w:space="0" w:color="A6A6A6"/>
              <w:left w:val="single" w:sz="4" w:space="0" w:color="A6A6A6"/>
              <w:bottom w:val="single" w:sz="4" w:space="0" w:color="A6A6A6"/>
              <w:right w:val="single" w:sz="4" w:space="0" w:color="A6A6A6"/>
            </w:tcBorders>
            <w:shd w:val="clear" w:color="A5A5A5" w:fill="A5A5A5"/>
            <w:vAlign w:val="bottom"/>
            <w:hideMark/>
          </w:tcPr>
          <w:p w14:paraId="529108B4" w14:textId="77777777" w:rsidR="00704550" w:rsidRPr="00704550" w:rsidRDefault="00704550" w:rsidP="00704550">
            <w:pPr>
              <w:spacing w:after="0" w:line="240" w:lineRule="auto"/>
              <w:jc w:val="center"/>
              <w:rPr>
                <w:rFonts w:eastAsia="Times New Roman"/>
                <w:b/>
                <w:bCs/>
                <w:color w:val="FFFFFF"/>
              </w:rPr>
            </w:pPr>
            <w:r w:rsidRPr="00704550">
              <w:rPr>
                <w:rFonts w:eastAsia="Times New Roman"/>
                <w:b/>
                <w:bCs/>
                <w:color w:val="FFFFFF"/>
              </w:rPr>
              <w:t>Meeting 5</w:t>
            </w:r>
            <w:r w:rsidRPr="00704550">
              <w:rPr>
                <w:rFonts w:eastAsia="Times New Roman"/>
                <w:b/>
                <w:bCs/>
                <w:color w:val="FFFFFF"/>
              </w:rPr>
              <w:br/>
              <w:t>June-6</w:t>
            </w:r>
          </w:p>
        </w:tc>
      </w:tr>
      <w:tr w:rsidR="00704550" w:rsidRPr="00704550" w14:paraId="1E8644D6"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421C474B" w14:textId="77777777" w:rsidR="00704550" w:rsidRPr="00704550" w:rsidRDefault="00704550" w:rsidP="00704550">
            <w:pPr>
              <w:spacing w:after="0" w:line="240" w:lineRule="auto"/>
              <w:rPr>
                <w:rFonts w:eastAsia="Times New Roman"/>
              </w:rPr>
            </w:pPr>
            <w:r w:rsidRPr="00704550">
              <w:rPr>
                <w:rFonts w:eastAsia="Times New Roman"/>
              </w:rPr>
              <w:t>Ahmad Ganji</w:t>
            </w:r>
          </w:p>
        </w:tc>
        <w:tc>
          <w:tcPr>
            <w:tcW w:w="2892" w:type="pct"/>
            <w:tcBorders>
              <w:top w:val="nil"/>
              <w:left w:val="nil"/>
              <w:bottom w:val="single" w:sz="4" w:space="0" w:color="A6A6A6"/>
              <w:right w:val="single" w:sz="4" w:space="0" w:color="A6A6A6"/>
            </w:tcBorders>
            <w:shd w:val="clear" w:color="auto" w:fill="auto"/>
            <w:noWrap/>
            <w:vAlign w:val="bottom"/>
            <w:hideMark/>
          </w:tcPr>
          <w:p w14:paraId="51E7E2FC" w14:textId="77777777" w:rsidR="00704550" w:rsidRPr="00704550" w:rsidRDefault="00704550" w:rsidP="00704550">
            <w:pPr>
              <w:spacing w:after="0" w:line="240" w:lineRule="auto"/>
              <w:rPr>
                <w:rFonts w:eastAsia="Times New Roman"/>
              </w:rPr>
            </w:pPr>
            <w:r w:rsidRPr="00704550">
              <w:rPr>
                <w:rFonts w:eastAsia="Times New Roman"/>
              </w:rPr>
              <w:t>BASE Energy</w:t>
            </w:r>
          </w:p>
        </w:tc>
        <w:tc>
          <w:tcPr>
            <w:tcW w:w="716" w:type="pct"/>
            <w:tcBorders>
              <w:top w:val="nil"/>
              <w:left w:val="nil"/>
              <w:bottom w:val="single" w:sz="4" w:space="0" w:color="A6A6A6"/>
              <w:right w:val="single" w:sz="4" w:space="0" w:color="A6A6A6"/>
            </w:tcBorders>
            <w:shd w:val="clear" w:color="auto" w:fill="auto"/>
            <w:noWrap/>
            <w:vAlign w:val="bottom"/>
            <w:hideMark/>
          </w:tcPr>
          <w:p w14:paraId="47FBB61D"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5590FE65"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200B9877" w14:textId="77777777" w:rsidR="00704550" w:rsidRPr="00704550" w:rsidRDefault="00704550" w:rsidP="00704550">
            <w:pPr>
              <w:spacing w:after="0" w:line="240" w:lineRule="auto"/>
              <w:rPr>
                <w:rFonts w:eastAsia="Times New Roman"/>
              </w:rPr>
            </w:pPr>
            <w:r w:rsidRPr="00704550">
              <w:rPr>
                <w:rFonts w:eastAsia="Times New Roman"/>
              </w:rPr>
              <w:t>Alfredo Gutierrez</w:t>
            </w:r>
          </w:p>
        </w:tc>
        <w:tc>
          <w:tcPr>
            <w:tcW w:w="2892" w:type="pct"/>
            <w:tcBorders>
              <w:top w:val="nil"/>
              <w:left w:val="nil"/>
              <w:bottom w:val="single" w:sz="4" w:space="0" w:color="A6A6A6"/>
              <w:right w:val="single" w:sz="4" w:space="0" w:color="A6A6A6"/>
            </w:tcBorders>
            <w:shd w:val="clear" w:color="auto" w:fill="auto"/>
            <w:noWrap/>
            <w:vAlign w:val="bottom"/>
            <w:hideMark/>
          </w:tcPr>
          <w:p w14:paraId="77E4D515" w14:textId="77777777" w:rsidR="00704550" w:rsidRPr="00704550" w:rsidRDefault="00704550" w:rsidP="00704550">
            <w:pPr>
              <w:spacing w:after="0" w:line="240" w:lineRule="auto"/>
              <w:rPr>
                <w:rFonts w:eastAsia="Times New Roman"/>
              </w:rPr>
            </w:pPr>
            <w:r w:rsidRPr="00704550">
              <w:rPr>
                <w:rFonts w:eastAsia="Times New Roman"/>
              </w:rPr>
              <w:t>SoCalREN/ICF</w:t>
            </w:r>
          </w:p>
        </w:tc>
        <w:tc>
          <w:tcPr>
            <w:tcW w:w="716" w:type="pct"/>
            <w:tcBorders>
              <w:top w:val="nil"/>
              <w:left w:val="nil"/>
              <w:bottom w:val="single" w:sz="4" w:space="0" w:color="A6A6A6"/>
              <w:right w:val="single" w:sz="4" w:space="0" w:color="A6A6A6"/>
            </w:tcBorders>
            <w:shd w:val="clear" w:color="auto" w:fill="auto"/>
            <w:noWrap/>
            <w:vAlign w:val="bottom"/>
            <w:hideMark/>
          </w:tcPr>
          <w:p w14:paraId="20CF8E40"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6B13C2AB"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367C5E08" w14:textId="77777777" w:rsidR="00704550" w:rsidRPr="00704550" w:rsidRDefault="00704550" w:rsidP="00704550">
            <w:pPr>
              <w:spacing w:after="0" w:line="240" w:lineRule="auto"/>
              <w:rPr>
                <w:rFonts w:eastAsia="Times New Roman"/>
              </w:rPr>
            </w:pPr>
            <w:r w:rsidRPr="00704550">
              <w:rPr>
                <w:rFonts w:eastAsia="Times New Roman"/>
              </w:rPr>
              <w:t>Alice Beltran</w:t>
            </w:r>
          </w:p>
        </w:tc>
        <w:tc>
          <w:tcPr>
            <w:tcW w:w="2892" w:type="pct"/>
            <w:tcBorders>
              <w:top w:val="nil"/>
              <w:left w:val="nil"/>
              <w:bottom w:val="single" w:sz="4" w:space="0" w:color="A6A6A6"/>
              <w:right w:val="single" w:sz="4" w:space="0" w:color="A6A6A6"/>
            </w:tcBorders>
            <w:shd w:val="clear" w:color="auto" w:fill="auto"/>
            <w:noWrap/>
            <w:vAlign w:val="bottom"/>
            <w:hideMark/>
          </w:tcPr>
          <w:p w14:paraId="5C301D9D" w14:textId="77777777" w:rsidR="00704550" w:rsidRPr="00704550" w:rsidRDefault="00704550" w:rsidP="00704550">
            <w:pPr>
              <w:spacing w:after="0" w:line="240" w:lineRule="auto"/>
              <w:rPr>
                <w:rFonts w:eastAsia="Times New Roman"/>
              </w:rPr>
            </w:pPr>
            <w:r w:rsidRPr="00704550">
              <w:rPr>
                <w:rFonts w:eastAsia="Times New Roman"/>
              </w:rPr>
              <w:t>SoCal Gas</w:t>
            </w:r>
          </w:p>
        </w:tc>
        <w:tc>
          <w:tcPr>
            <w:tcW w:w="716" w:type="pct"/>
            <w:tcBorders>
              <w:top w:val="nil"/>
              <w:left w:val="nil"/>
              <w:bottom w:val="single" w:sz="4" w:space="0" w:color="A6A6A6"/>
              <w:right w:val="single" w:sz="4" w:space="0" w:color="A6A6A6"/>
            </w:tcBorders>
            <w:shd w:val="clear" w:color="auto" w:fill="auto"/>
            <w:noWrap/>
            <w:vAlign w:val="bottom"/>
            <w:hideMark/>
          </w:tcPr>
          <w:p w14:paraId="3CECFF87"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2EB234FF"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70201826" w14:textId="77777777" w:rsidR="00704550" w:rsidRPr="00704550" w:rsidRDefault="00704550" w:rsidP="00704550">
            <w:pPr>
              <w:spacing w:after="0" w:line="240" w:lineRule="auto"/>
              <w:rPr>
                <w:rFonts w:eastAsia="Times New Roman"/>
              </w:rPr>
            </w:pPr>
            <w:r w:rsidRPr="00704550">
              <w:rPr>
                <w:rFonts w:eastAsia="Times New Roman"/>
              </w:rPr>
              <w:t>Alok Singh</w:t>
            </w:r>
          </w:p>
        </w:tc>
        <w:tc>
          <w:tcPr>
            <w:tcW w:w="2892" w:type="pct"/>
            <w:tcBorders>
              <w:top w:val="nil"/>
              <w:left w:val="nil"/>
              <w:bottom w:val="single" w:sz="4" w:space="0" w:color="A6A6A6"/>
              <w:right w:val="single" w:sz="4" w:space="0" w:color="A6A6A6"/>
            </w:tcBorders>
            <w:shd w:val="clear" w:color="auto" w:fill="auto"/>
            <w:noWrap/>
            <w:vAlign w:val="bottom"/>
            <w:hideMark/>
          </w:tcPr>
          <w:p w14:paraId="1A4B57BA" w14:textId="77777777" w:rsidR="00704550" w:rsidRPr="00704550" w:rsidRDefault="00704550" w:rsidP="00704550">
            <w:pPr>
              <w:spacing w:after="0" w:line="240" w:lineRule="auto"/>
              <w:rPr>
                <w:rFonts w:eastAsia="Times New Roman"/>
              </w:rPr>
            </w:pPr>
            <w:r w:rsidRPr="00704550">
              <w:rPr>
                <w:rFonts w:eastAsia="Times New Roman"/>
              </w:rPr>
              <w:t>SCE</w:t>
            </w:r>
          </w:p>
        </w:tc>
        <w:tc>
          <w:tcPr>
            <w:tcW w:w="716" w:type="pct"/>
            <w:tcBorders>
              <w:top w:val="nil"/>
              <w:left w:val="nil"/>
              <w:bottom w:val="single" w:sz="4" w:space="0" w:color="A6A6A6"/>
              <w:right w:val="single" w:sz="4" w:space="0" w:color="A6A6A6"/>
            </w:tcBorders>
            <w:shd w:val="clear" w:color="auto" w:fill="auto"/>
            <w:noWrap/>
            <w:vAlign w:val="bottom"/>
            <w:hideMark/>
          </w:tcPr>
          <w:p w14:paraId="57714007"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26FB1FA9"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05A7D60F" w14:textId="77777777" w:rsidR="00704550" w:rsidRPr="00704550" w:rsidRDefault="00704550" w:rsidP="00704550">
            <w:pPr>
              <w:spacing w:after="0" w:line="240" w:lineRule="auto"/>
              <w:rPr>
                <w:rFonts w:eastAsia="Times New Roman"/>
              </w:rPr>
            </w:pPr>
            <w:r w:rsidRPr="00704550">
              <w:rPr>
                <w:rFonts w:eastAsia="Times New Roman"/>
              </w:rPr>
              <w:t>Anuj Desai</w:t>
            </w:r>
          </w:p>
        </w:tc>
        <w:tc>
          <w:tcPr>
            <w:tcW w:w="2892" w:type="pct"/>
            <w:tcBorders>
              <w:top w:val="nil"/>
              <w:left w:val="nil"/>
              <w:bottom w:val="single" w:sz="4" w:space="0" w:color="A6A6A6"/>
              <w:right w:val="single" w:sz="4" w:space="0" w:color="A6A6A6"/>
            </w:tcBorders>
            <w:shd w:val="clear" w:color="auto" w:fill="auto"/>
            <w:noWrap/>
            <w:vAlign w:val="bottom"/>
            <w:hideMark/>
          </w:tcPr>
          <w:p w14:paraId="12CBB280" w14:textId="77777777" w:rsidR="00704550" w:rsidRPr="00704550" w:rsidRDefault="00704550" w:rsidP="00704550">
            <w:pPr>
              <w:spacing w:after="0" w:line="240" w:lineRule="auto"/>
              <w:rPr>
                <w:rFonts w:eastAsia="Times New Roman"/>
              </w:rPr>
            </w:pPr>
            <w:r w:rsidRPr="00704550">
              <w:rPr>
                <w:rFonts w:eastAsia="Times New Roman"/>
              </w:rPr>
              <w:t>SCE</w:t>
            </w:r>
          </w:p>
        </w:tc>
        <w:tc>
          <w:tcPr>
            <w:tcW w:w="716" w:type="pct"/>
            <w:tcBorders>
              <w:top w:val="nil"/>
              <w:left w:val="nil"/>
              <w:bottom w:val="single" w:sz="4" w:space="0" w:color="A6A6A6"/>
              <w:right w:val="single" w:sz="4" w:space="0" w:color="A6A6A6"/>
            </w:tcBorders>
            <w:shd w:val="clear" w:color="auto" w:fill="auto"/>
            <w:noWrap/>
            <w:vAlign w:val="bottom"/>
            <w:hideMark/>
          </w:tcPr>
          <w:p w14:paraId="2B8BA30E"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614CA2A2"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0AFA6C7E" w14:textId="77777777" w:rsidR="00704550" w:rsidRPr="00704550" w:rsidRDefault="00704550" w:rsidP="00704550">
            <w:pPr>
              <w:spacing w:after="0" w:line="240" w:lineRule="auto"/>
              <w:rPr>
                <w:rFonts w:eastAsia="Times New Roman"/>
              </w:rPr>
            </w:pPr>
            <w:r w:rsidRPr="00704550">
              <w:rPr>
                <w:rFonts w:eastAsia="Times New Roman"/>
              </w:rPr>
              <w:t>Arlis Reynolds</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420C5EF" w14:textId="77777777" w:rsidR="00704550" w:rsidRPr="00704550" w:rsidRDefault="00704550" w:rsidP="00704550">
            <w:pPr>
              <w:spacing w:after="0" w:line="240" w:lineRule="auto"/>
              <w:rPr>
                <w:rFonts w:eastAsia="Times New Roman"/>
              </w:rPr>
            </w:pPr>
            <w:r w:rsidRPr="00704550">
              <w:rPr>
                <w:rFonts w:eastAsia="Times New Roman"/>
              </w:rPr>
              <w:t>T2WG Team (Cadmus)</w:t>
            </w:r>
          </w:p>
        </w:tc>
        <w:tc>
          <w:tcPr>
            <w:tcW w:w="716" w:type="pct"/>
            <w:tcBorders>
              <w:top w:val="nil"/>
              <w:left w:val="nil"/>
              <w:bottom w:val="single" w:sz="4" w:space="0" w:color="A6A6A6"/>
              <w:right w:val="single" w:sz="4" w:space="0" w:color="A6A6A6"/>
            </w:tcBorders>
            <w:shd w:val="clear" w:color="auto" w:fill="auto"/>
            <w:noWrap/>
            <w:vAlign w:val="bottom"/>
            <w:hideMark/>
          </w:tcPr>
          <w:p w14:paraId="38564973"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1A0E202D"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5408033B" w14:textId="77777777" w:rsidR="00704550" w:rsidRPr="00704550" w:rsidRDefault="00704550" w:rsidP="00704550">
            <w:pPr>
              <w:spacing w:after="0" w:line="240" w:lineRule="auto"/>
              <w:rPr>
                <w:rFonts w:eastAsia="Times New Roman"/>
              </w:rPr>
            </w:pPr>
            <w:r w:rsidRPr="00704550">
              <w:rPr>
                <w:rFonts w:eastAsia="Times New Roman"/>
              </w:rPr>
              <w:t>Athena Besa</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270DB3B" w14:textId="77777777" w:rsidR="00704550" w:rsidRPr="00704550" w:rsidRDefault="00704550" w:rsidP="00704550">
            <w:pPr>
              <w:spacing w:after="0" w:line="240" w:lineRule="auto"/>
              <w:rPr>
                <w:rFonts w:eastAsia="Times New Roman"/>
              </w:rPr>
            </w:pPr>
            <w:r w:rsidRPr="00704550">
              <w:rPr>
                <w:rFonts w:eastAsia="Times New Roman"/>
              </w:rPr>
              <w:t>SDG&amp;E</w:t>
            </w:r>
          </w:p>
        </w:tc>
        <w:tc>
          <w:tcPr>
            <w:tcW w:w="716" w:type="pct"/>
            <w:tcBorders>
              <w:top w:val="nil"/>
              <w:left w:val="nil"/>
              <w:bottom w:val="single" w:sz="4" w:space="0" w:color="A6A6A6"/>
              <w:right w:val="single" w:sz="4" w:space="0" w:color="A6A6A6"/>
            </w:tcBorders>
            <w:shd w:val="clear" w:color="auto" w:fill="auto"/>
            <w:noWrap/>
            <w:vAlign w:val="bottom"/>
            <w:hideMark/>
          </w:tcPr>
          <w:p w14:paraId="4E973662"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536F5E29"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2AF51845" w14:textId="77777777" w:rsidR="00704550" w:rsidRPr="00704550" w:rsidRDefault="00704550" w:rsidP="00704550">
            <w:pPr>
              <w:spacing w:after="0" w:line="240" w:lineRule="auto"/>
              <w:rPr>
                <w:rFonts w:eastAsia="Times New Roman"/>
              </w:rPr>
            </w:pPr>
            <w:r w:rsidRPr="00704550">
              <w:rPr>
                <w:rFonts w:eastAsia="Times New Roman"/>
              </w:rPr>
              <w:t>Ben Lipscomb</w:t>
            </w:r>
          </w:p>
        </w:tc>
        <w:tc>
          <w:tcPr>
            <w:tcW w:w="2892" w:type="pct"/>
            <w:tcBorders>
              <w:top w:val="nil"/>
              <w:left w:val="nil"/>
              <w:bottom w:val="single" w:sz="4" w:space="0" w:color="A6A6A6"/>
              <w:right w:val="single" w:sz="4" w:space="0" w:color="A6A6A6"/>
            </w:tcBorders>
            <w:shd w:val="clear" w:color="auto" w:fill="auto"/>
            <w:noWrap/>
            <w:vAlign w:val="bottom"/>
            <w:hideMark/>
          </w:tcPr>
          <w:p w14:paraId="17B0D234" w14:textId="77777777" w:rsidR="00704550" w:rsidRPr="00704550" w:rsidRDefault="00704550" w:rsidP="00704550">
            <w:pPr>
              <w:spacing w:after="0" w:line="240" w:lineRule="auto"/>
              <w:rPr>
                <w:rFonts w:eastAsia="Times New Roman"/>
              </w:rPr>
            </w:pPr>
            <w:r w:rsidRPr="00704550">
              <w:rPr>
                <w:rFonts w:eastAsia="Times New Roman"/>
              </w:rPr>
              <w:t>National Comfort Institue, Inc.</w:t>
            </w:r>
          </w:p>
        </w:tc>
        <w:tc>
          <w:tcPr>
            <w:tcW w:w="716" w:type="pct"/>
            <w:tcBorders>
              <w:top w:val="nil"/>
              <w:left w:val="nil"/>
              <w:bottom w:val="single" w:sz="4" w:space="0" w:color="A6A6A6"/>
              <w:right w:val="single" w:sz="4" w:space="0" w:color="A6A6A6"/>
            </w:tcBorders>
            <w:shd w:val="clear" w:color="auto" w:fill="auto"/>
            <w:noWrap/>
            <w:vAlign w:val="bottom"/>
            <w:hideMark/>
          </w:tcPr>
          <w:p w14:paraId="757CE523"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72ED383F"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727C1AD7" w14:textId="77777777" w:rsidR="00704550" w:rsidRPr="00704550" w:rsidRDefault="00704550" w:rsidP="00704550">
            <w:pPr>
              <w:spacing w:after="0" w:line="240" w:lineRule="auto"/>
              <w:rPr>
                <w:rFonts w:eastAsia="Times New Roman"/>
              </w:rPr>
            </w:pPr>
            <w:r w:rsidRPr="00704550">
              <w:rPr>
                <w:rFonts w:eastAsia="Times New Roman"/>
              </w:rPr>
              <w:t>Bryan Pena</w:t>
            </w:r>
          </w:p>
        </w:tc>
        <w:tc>
          <w:tcPr>
            <w:tcW w:w="2892" w:type="pct"/>
            <w:tcBorders>
              <w:top w:val="nil"/>
              <w:left w:val="nil"/>
              <w:bottom w:val="single" w:sz="4" w:space="0" w:color="A6A6A6"/>
              <w:right w:val="single" w:sz="4" w:space="0" w:color="A6A6A6"/>
            </w:tcBorders>
            <w:shd w:val="clear" w:color="auto" w:fill="auto"/>
            <w:noWrap/>
            <w:vAlign w:val="bottom"/>
            <w:hideMark/>
          </w:tcPr>
          <w:p w14:paraId="1E1EA30B" w14:textId="77777777" w:rsidR="00704550" w:rsidRPr="00704550" w:rsidRDefault="00704550" w:rsidP="00704550">
            <w:pPr>
              <w:spacing w:after="0" w:line="240" w:lineRule="auto"/>
              <w:rPr>
                <w:rFonts w:eastAsia="Times New Roman"/>
              </w:rPr>
            </w:pPr>
            <w:r w:rsidRPr="00704550">
              <w:rPr>
                <w:rFonts w:eastAsia="Times New Roman"/>
              </w:rPr>
              <w:t>CPUC</w:t>
            </w:r>
          </w:p>
        </w:tc>
        <w:tc>
          <w:tcPr>
            <w:tcW w:w="716" w:type="pct"/>
            <w:tcBorders>
              <w:top w:val="nil"/>
              <w:left w:val="nil"/>
              <w:bottom w:val="single" w:sz="4" w:space="0" w:color="A6A6A6"/>
              <w:right w:val="single" w:sz="4" w:space="0" w:color="A6A6A6"/>
            </w:tcBorders>
            <w:shd w:val="clear" w:color="auto" w:fill="auto"/>
            <w:noWrap/>
            <w:vAlign w:val="bottom"/>
            <w:hideMark/>
          </w:tcPr>
          <w:p w14:paraId="18619711"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5272FAAE"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1193B742" w14:textId="77777777" w:rsidR="00704550" w:rsidRPr="00704550" w:rsidRDefault="00704550" w:rsidP="00704550">
            <w:pPr>
              <w:spacing w:after="0" w:line="240" w:lineRule="auto"/>
              <w:rPr>
                <w:rFonts w:eastAsia="Times New Roman"/>
              </w:rPr>
            </w:pPr>
            <w:r w:rsidRPr="00704550">
              <w:rPr>
                <w:rFonts w:eastAsia="Times New Roman"/>
              </w:rPr>
              <w:t>Cody Coeckelenbergh</w:t>
            </w:r>
          </w:p>
        </w:tc>
        <w:tc>
          <w:tcPr>
            <w:tcW w:w="2892" w:type="pct"/>
            <w:tcBorders>
              <w:top w:val="nil"/>
              <w:left w:val="nil"/>
              <w:bottom w:val="single" w:sz="4" w:space="0" w:color="A6A6A6"/>
              <w:right w:val="single" w:sz="4" w:space="0" w:color="A6A6A6"/>
            </w:tcBorders>
            <w:shd w:val="clear" w:color="auto" w:fill="auto"/>
            <w:noWrap/>
            <w:vAlign w:val="bottom"/>
            <w:hideMark/>
          </w:tcPr>
          <w:p w14:paraId="6AEA27E1" w14:textId="77777777" w:rsidR="00704550" w:rsidRPr="00704550" w:rsidRDefault="00704550" w:rsidP="00704550">
            <w:pPr>
              <w:spacing w:after="0" w:line="240" w:lineRule="auto"/>
              <w:rPr>
                <w:rFonts w:eastAsia="Times New Roman"/>
              </w:rPr>
            </w:pPr>
            <w:r w:rsidRPr="00704550">
              <w:rPr>
                <w:rFonts w:eastAsia="Times New Roman"/>
              </w:rPr>
              <w:t>Lincus Energy</w:t>
            </w:r>
          </w:p>
        </w:tc>
        <w:tc>
          <w:tcPr>
            <w:tcW w:w="716" w:type="pct"/>
            <w:tcBorders>
              <w:top w:val="nil"/>
              <w:left w:val="nil"/>
              <w:bottom w:val="single" w:sz="4" w:space="0" w:color="A6A6A6"/>
              <w:right w:val="single" w:sz="4" w:space="0" w:color="A6A6A6"/>
            </w:tcBorders>
            <w:shd w:val="clear" w:color="auto" w:fill="auto"/>
            <w:noWrap/>
            <w:vAlign w:val="bottom"/>
            <w:hideMark/>
          </w:tcPr>
          <w:p w14:paraId="3408D8D4"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531FC1BF"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2007D1DC" w14:textId="77777777" w:rsidR="00704550" w:rsidRPr="00704550" w:rsidRDefault="00704550" w:rsidP="00704550">
            <w:pPr>
              <w:spacing w:after="0" w:line="240" w:lineRule="auto"/>
              <w:rPr>
                <w:rFonts w:eastAsia="Times New Roman"/>
              </w:rPr>
            </w:pPr>
            <w:r w:rsidRPr="00704550">
              <w:rPr>
                <w:rFonts w:eastAsia="Times New Roman"/>
              </w:rPr>
              <w:t>Hob Issa</w:t>
            </w:r>
          </w:p>
        </w:tc>
        <w:tc>
          <w:tcPr>
            <w:tcW w:w="2892" w:type="pct"/>
            <w:tcBorders>
              <w:top w:val="nil"/>
              <w:left w:val="nil"/>
              <w:bottom w:val="single" w:sz="4" w:space="0" w:color="A6A6A6"/>
              <w:right w:val="single" w:sz="4" w:space="0" w:color="A6A6A6"/>
            </w:tcBorders>
            <w:shd w:val="clear" w:color="auto" w:fill="auto"/>
            <w:noWrap/>
            <w:vAlign w:val="bottom"/>
            <w:hideMark/>
          </w:tcPr>
          <w:p w14:paraId="670AA6EF" w14:textId="77777777" w:rsidR="00704550" w:rsidRPr="00704550" w:rsidRDefault="00704550" w:rsidP="00704550">
            <w:pPr>
              <w:spacing w:after="0" w:line="240" w:lineRule="auto"/>
              <w:rPr>
                <w:rFonts w:eastAsia="Times New Roman"/>
              </w:rPr>
            </w:pPr>
            <w:r w:rsidRPr="00704550">
              <w:rPr>
                <w:rFonts w:eastAsia="Times New Roman"/>
              </w:rPr>
              <w:t>Lincus Energy</w:t>
            </w:r>
          </w:p>
        </w:tc>
        <w:tc>
          <w:tcPr>
            <w:tcW w:w="716" w:type="pct"/>
            <w:tcBorders>
              <w:top w:val="nil"/>
              <w:left w:val="nil"/>
              <w:bottom w:val="single" w:sz="4" w:space="0" w:color="A6A6A6"/>
              <w:right w:val="single" w:sz="4" w:space="0" w:color="A6A6A6"/>
            </w:tcBorders>
            <w:shd w:val="clear" w:color="auto" w:fill="auto"/>
            <w:noWrap/>
            <w:vAlign w:val="bottom"/>
            <w:hideMark/>
          </w:tcPr>
          <w:p w14:paraId="1EB2F9A4"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1266682D"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0458ACEF" w14:textId="77777777" w:rsidR="00704550" w:rsidRPr="00704550" w:rsidRDefault="00704550" w:rsidP="00704550">
            <w:pPr>
              <w:spacing w:after="0" w:line="240" w:lineRule="auto"/>
              <w:rPr>
                <w:rFonts w:eastAsia="Times New Roman"/>
              </w:rPr>
            </w:pPr>
            <w:r w:rsidRPr="00704550">
              <w:rPr>
                <w:rFonts w:eastAsia="Times New Roman"/>
              </w:rPr>
              <w:t>Jeff Hirsch</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8EEF98E" w14:textId="77777777" w:rsidR="00704550" w:rsidRPr="00704550" w:rsidRDefault="00704550" w:rsidP="00704550">
            <w:pPr>
              <w:spacing w:after="0" w:line="240" w:lineRule="auto"/>
              <w:rPr>
                <w:rFonts w:eastAsia="Times New Roman"/>
              </w:rPr>
            </w:pPr>
            <w:r w:rsidRPr="00704550">
              <w:rPr>
                <w:rFonts w:eastAsia="Times New Roman"/>
              </w:rPr>
              <w:t>CPUC Contractor (James J Hirsch &amp; Associates)</w:t>
            </w:r>
          </w:p>
        </w:tc>
        <w:tc>
          <w:tcPr>
            <w:tcW w:w="716" w:type="pct"/>
            <w:tcBorders>
              <w:top w:val="nil"/>
              <w:left w:val="nil"/>
              <w:bottom w:val="single" w:sz="4" w:space="0" w:color="A6A6A6"/>
              <w:right w:val="single" w:sz="4" w:space="0" w:color="A6A6A6"/>
            </w:tcBorders>
            <w:shd w:val="clear" w:color="auto" w:fill="auto"/>
            <w:noWrap/>
            <w:vAlign w:val="bottom"/>
            <w:hideMark/>
          </w:tcPr>
          <w:p w14:paraId="62E8A748"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4A20F1CF"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7DB732DA" w14:textId="2A939C31" w:rsidR="00704550" w:rsidRPr="00704550" w:rsidRDefault="00704550" w:rsidP="00704550">
            <w:pPr>
              <w:spacing w:after="0" w:line="240" w:lineRule="auto"/>
              <w:rPr>
                <w:rFonts w:eastAsia="Times New Roman"/>
              </w:rPr>
            </w:pPr>
            <w:r w:rsidRPr="00704550">
              <w:rPr>
                <w:rFonts w:eastAsia="Times New Roman"/>
              </w:rPr>
              <w:t> </w:t>
            </w:r>
            <w:r>
              <w:rPr>
                <w:rFonts w:eastAsia="Times New Roman"/>
              </w:rPr>
              <w:t>Jeff Barned</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826D159" w14:textId="383E8A5D" w:rsidR="00704550" w:rsidRPr="00704550" w:rsidRDefault="00704550" w:rsidP="00704550">
            <w:pPr>
              <w:spacing w:after="0" w:line="240" w:lineRule="auto"/>
              <w:rPr>
                <w:rFonts w:ascii="Calibri" w:eastAsia="Times New Roman" w:hAnsi="Calibri" w:cs="Times New Roman"/>
                <w:color w:val="0563C1"/>
                <w:u w:val="single"/>
              </w:rPr>
            </w:pPr>
            <w:r>
              <w:rPr>
                <w:rFonts w:eastAsia="Times New Roman"/>
              </w:rPr>
              <w:t>SEMPRA</w:t>
            </w:r>
          </w:p>
        </w:tc>
        <w:tc>
          <w:tcPr>
            <w:tcW w:w="716" w:type="pct"/>
            <w:tcBorders>
              <w:top w:val="nil"/>
              <w:left w:val="nil"/>
              <w:bottom w:val="single" w:sz="4" w:space="0" w:color="A6A6A6"/>
              <w:right w:val="single" w:sz="4" w:space="0" w:color="A6A6A6"/>
            </w:tcBorders>
            <w:shd w:val="clear" w:color="auto" w:fill="auto"/>
            <w:noWrap/>
            <w:vAlign w:val="bottom"/>
            <w:hideMark/>
          </w:tcPr>
          <w:p w14:paraId="043A42CA"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73A83102"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6CE97567" w14:textId="0EB7DBEE" w:rsidR="00704550" w:rsidRPr="00704550" w:rsidRDefault="00704550" w:rsidP="00704550">
            <w:pPr>
              <w:spacing w:after="0" w:line="240" w:lineRule="auto"/>
              <w:rPr>
                <w:rFonts w:eastAsia="Times New Roman"/>
              </w:rPr>
            </w:pPr>
            <w:r w:rsidRPr="00704550">
              <w:rPr>
                <w:rFonts w:eastAsia="Times New Roman"/>
              </w:rPr>
              <w:t> </w:t>
            </w:r>
            <w:r>
              <w:rPr>
                <w:rFonts w:eastAsia="Times New Roman"/>
              </w:rPr>
              <w:t>Jeorge Tagnipes</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349DD23" w14:textId="2D074F2B" w:rsidR="00704550" w:rsidRPr="00704550" w:rsidRDefault="00704550" w:rsidP="00704550">
            <w:pPr>
              <w:spacing w:after="0" w:line="240" w:lineRule="auto"/>
              <w:rPr>
                <w:rFonts w:ascii="Calibri" w:eastAsia="Times New Roman" w:hAnsi="Calibri" w:cs="Times New Roman"/>
                <w:color w:val="0563C1"/>
                <w:u w:val="single"/>
              </w:rPr>
            </w:pPr>
            <w:r>
              <w:rPr>
                <w:rFonts w:eastAsia="Times New Roman"/>
              </w:rPr>
              <w:t>CPUC</w:t>
            </w:r>
          </w:p>
        </w:tc>
        <w:tc>
          <w:tcPr>
            <w:tcW w:w="716" w:type="pct"/>
            <w:tcBorders>
              <w:top w:val="nil"/>
              <w:left w:val="nil"/>
              <w:bottom w:val="single" w:sz="4" w:space="0" w:color="A6A6A6"/>
              <w:right w:val="single" w:sz="4" w:space="0" w:color="A6A6A6"/>
            </w:tcBorders>
            <w:shd w:val="clear" w:color="auto" w:fill="auto"/>
            <w:noWrap/>
            <w:vAlign w:val="bottom"/>
            <w:hideMark/>
          </w:tcPr>
          <w:p w14:paraId="53B57722"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4DC13C69"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166D1BE1" w14:textId="77777777" w:rsidR="00704550" w:rsidRPr="00704550" w:rsidRDefault="00704550" w:rsidP="00704550">
            <w:pPr>
              <w:spacing w:after="0" w:line="240" w:lineRule="auto"/>
              <w:rPr>
                <w:rFonts w:eastAsia="Times New Roman"/>
              </w:rPr>
            </w:pPr>
            <w:r w:rsidRPr="00704550">
              <w:rPr>
                <w:rFonts w:eastAsia="Times New Roman"/>
              </w:rPr>
              <w:t>Jesse Monn</w:t>
            </w:r>
          </w:p>
        </w:tc>
        <w:tc>
          <w:tcPr>
            <w:tcW w:w="2892" w:type="pct"/>
            <w:tcBorders>
              <w:top w:val="nil"/>
              <w:left w:val="nil"/>
              <w:bottom w:val="single" w:sz="4" w:space="0" w:color="A6A6A6"/>
              <w:right w:val="single" w:sz="4" w:space="0" w:color="A6A6A6"/>
            </w:tcBorders>
            <w:shd w:val="clear" w:color="auto" w:fill="auto"/>
            <w:noWrap/>
            <w:vAlign w:val="bottom"/>
            <w:hideMark/>
          </w:tcPr>
          <w:p w14:paraId="72D34DD8" w14:textId="77777777" w:rsidR="00704550" w:rsidRPr="00704550" w:rsidRDefault="00704550" w:rsidP="00704550">
            <w:pPr>
              <w:spacing w:after="0" w:line="240" w:lineRule="auto"/>
              <w:rPr>
                <w:rFonts w:eastAsia="Times New Roman"/>
              </w:rPr>
            </w:pPr>
            <w:r w:rsidRPr="00704550">
              <w:rPr>
                <w:rFonts w:eastAsia="Times New Roman"/>
              </w:rPr>
              <w:t>Cascade Energy</w:t>
            </w:r>
          </w:p>
        </w:tc>
        <w:tc>
          <w:tcPr>
            <w:tcW w:w="716" w:type="pct"/>
            <w:tcBorders>
              <w:top w:val="nil"/>
              <w:left w:val="nil"/>
              <w:bottom w:val="single" w:sz="4" w:space="0" w:color="A6A6A6"/>
              <w:right w:val="single" w:sz="4" w:space="0" w:color="A6A6A6"/>
            </w:tcBorders>
            <w:shd w:val="clear" w:color="auto" w:fill="auto"/>
            <w:noWrap/>
            <w:vAlign w:val="bottom"/>
            <w:hideMark/>
          </w:tcPr>
          <w:p w14:paraId="2F5E3FC5"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0B901017"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09376BCE" w14:textId="77777777" w:rsidR="00704550" w:rsidRPr="00704550" w:rsidRDefault="00704550" w:rsidP="00704550">
            <w:pPr>
              <w:spacing w:after="0" w:line="240" w:lineRule="auto"/>
              <w:rPr>
                <w:rFonts w:eastAsia="Times New Roman"/>
              </w:rPr>
            </w:pPr>
            <w:r w:rsidRPr="00704550">
              <w:rPr>
                <w:rFonts w:eastAsia="Times New Roman"/>
              </w:rPr>
              <w:t>Jim Hanna</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E2F6147" w14:textId="77777777" w:rsidR="00704550" w:rsidRPr="00704550" w:rsidRDefault="00704550" w:rsidP="00704550">
            <w:pPr>
              <w:spacing w:after="0" w:line="240" w:lineRule="auto"/>
              <w:rPr>
                <w:rFonts w:eastAsia="Times New Roman"/>
              </w:rPr>
            </w:pPr>
            <w:r w:rsidRPr="00704550">
              <w:rPr>
                <w:rFonts w:eastAsia="Times New Roman"/>
              </w:rPr>
              <w:t>Energy Solution</w:t>
            </w:r>
          </w:p>
        </w:tc>
        <w:tc>
          <w:tcPr>
            <w:tcW w:w="716" w:type="pct"/>
            <w:tcBorders>
              <w:top w:val="nil"/>
              <w:left w:val="nil"/>
              <w:bottom w:val="single" w:sz="4" w:space="0" w:color="A6A6A6"/>
              <w:right w:val="single" w:sz="4" w:space="0" w:color="A6A6A6"/>
            </w:tcBorders>
            <w:shd w:val="clear" w:color="auto" w:fill="auto"/>
            <w:noWrap/>
            <w:vAlign w:val="bottom"/>
            <w:hideMark/>
          </w:tcPr>
          <w:p w14:paraId="6AB3B768"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75BD7800"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30C5E6C6" w14:textId="77777777" w:rsidR="00704550" w:rsidRPr="00704550" w:rsidRDefault="00704550" w:rsidP="00704550">
            <w:pPr>
              <w:spacing w:after="0" w:line="240" w:lineRule="auto"/>
              <w:rPr>
                <w:rFonts w:eastAsia="Times New Roman"/>
              </w:rPr>
            </w:pPr>
            <w:r w:rsidRPr="00704550">
              <w:rPr>
                <w:rFonts w:eastAsia="Times New Roman"/>
              </w:rPr>
              <w:t>Katherine Hardy</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32F80C" w14:textId="77777777" w:rsidR="00704550" w:rsidRPr="00704550" w:rsidRDefault="00704550" w:rsidP="00704550">
            <w:pPr>
              <w:spacing w:after="0" w:line="240" w:lineRule="auto"/>
              <w:rPr>
                <w:rFonts w:eastAsia="Times New Roman"/>
              </w:rPr>
            </w:pPr>
            <w:r w:rsidRPr="00704550">
              <w:rPr>
                <w:rFonts w:eastAsia="Times New Roman"/>
              </w:rPr>
              <w:t>CPUC</w:t>
            </w:r>
          </w:p>
        </w:tc>
        <w:tc>
          <w:tcPr>
            <w:tcW w:w="716" w:type="pct"/>
            <w:tcBorders>
              <w:top w:val="nil"/>
              <w:left w:val="nil"/>
              <w:bottom w:val="single" w:sz="4" w:space="0" w:color="A6A6A6"/>
              <w:right w:val="single" w:sz="4" w:space="0" w:color="A6A6A6"/>
            </w:tcBorders>
            <w:shd w:val="clear" w:color="auto" w:fill="auto"/>
            <w:noWrap/>
            <w:vAlign w:val="bottom"/>
            <w:hideMark/>
          </w:tcPr>
          <w:p w14:paraId="4562AE17"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65C82C94"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00B19B6E" w14:textId="77777777" w:rsidR="00704550" w:rsidRPr="00704550" w:rsidRDefault="00704550" w:rsidP="00704550">
            <w:pPr>
              <w:spacing w:after="0" w:line="240" w:lineRule="auto"/>
              <w:rPr>
                <w:rFonts w:eastAsia="Times New Roman"/>
              </w:rPr>
            </w:pPr>
            <w:r w:rsidRPr="00704550">
              <w:rPr>
                <w:rFonts w:eastAsia="Times New Roman"/>
              </w:rPr>
              <w:t>Kathryn F. Kriozere</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8A46F27" w14:textId="77777777" w:rsidR="00704550" w:rsidRPr="00704550" w:rsidRDefault="00704550" w:rsidP="00704550">
            <w:pPr>
              <w:spacing w:after="0" w:line="240" w:lineRule="auto"/>
              <w:rPr>
                <w:rFonts w:ascii="Calibri" w:eastAsia="Times New Roman" w:hAnsi="Calibri" w:cs="Times New Roman"/>
                <w:color w:val="000000"/>
              </w:rPr>
            </w:pPr>
            <w:r w:rsidRPr="00704550">
              <w:rPr>
                <w:rFonts w:ascii="Calibri" w:eastAsia="Times New Roman" w:hAnsi="Calibri" w:cs="Times New Roman"/>
                <w:color w:val="000000"/>
              </w:rPr>
              <w:t>Small Business Utility Advocates</w:t>
            </w:r>
          </w:p>
        </w:tc>
        <w:tc>
          <w:tcPr>
            <w:tcW w:w="716" w:type="pct"/>
            <w:tcBorders>
              <w:top w:val="nil"/>
              <w:left w:val="nil"/>
              <w:bottom w:val="single" w:sz="4" w:space="0" w:color="A6A6A6"/>
              <w:right w:val="single" w:sz="4" w:space="0" w:color="A6A6A6"/>
            </w:tcBorders>
            <w:shd w:val="clear" w:color="auto" w:fill="auto"/>
            <w:noWrap/>
            <w:vAlign w:val="bottom"/>
            <w:hideMark/>
          </w:tcPr>
          <w:p w14:paraId="1748FABF"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2C65F922"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4B6316A3" w14:textId="77777777" w:rsidR="00704550" w:rsidRPr="00704550" w:rsidRDefault="00704550" w:rsidP="00704550">
            <w:pPr>
              <w:spacing w:after="0" w:line="240" w:lineRule="auto"/>
              <w:rPr>
                <w:rFonts w:eastAsia="Times New Roman"/>
              </w:rPr>
            </w:pPr>
            <w:r w:rsidRPr="00704550">
              <w:rPr>
                <w:rFonts w:eastAsia="Times New Roman"/>
              </w:rPr>
              <w:t>Keith Rothenberg</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684222" w14:textId="77777777" w:rsidR="00704550" w:rsidRPr="00704550" w:rsidRDefault="00704550" w:rsidP="00704550">
            <w:pPr>
              <w:spacing w:after="0" w:line="240" w:lineRule="auto"/>
              <w:rPr>
                <w:rFonts w:eastAsia="Times New Roman"/>
              </w:rPr>
            </w:pPr>
            <w:r w:rsidRPr="00704550">
              <w:rPr>
                <w:rFonts w:eastAsia="Times New Roman"/>
              </w:rPr>
              <w:t>CPUC Contractor (Energy Metrics)</w:t>
            </w:r>
          </w:p>
        </w:tc>
        <w:tc>
          <w:tcPr>
            <w:tcW w:w="716" w:type="pct"/>
            <w:tcBorders>
              <w:top w:val="nil"/>
              <w:left w:val="nil"/>
              <w:bottom w:val="single" w:sz="4" w:space="0" w:color="A6A6A6"/>
              <w:right w:val="single" w:sz="4" w:space="0" w:color="A6A6A6"/>
            </w:tcBorders>
            <w:shd w:val="clear" w:color="auto" w:fill="auto"/>
            <w:noWrap/>
            <w:vAlign w:val="bottom"/>
            <w:hideMark/>
          </w:tcPr>
          <w:p w14:paraId="41BDE0CD"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3139E098"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5F134CF7" w14:textId="77777777" w:rsidR="00704550" w:rsidRPr="00704550" w:rsidRDefault="00704550" w:rsidP="00704550">
            <w:pPr>
              <w:spacing w:after="0" w:line="240" w:lineRule="auto"/>
              <w:rPr>
                <w:rFonts w:eastAsia="Times New Roman"/>
              </w:rPr>
            </w:pPr>
            <w:r w:rsidRPr="00704550">
              <w:rPr>
                <w:rFonts w:eastAsia="Times New Roman"/>
              </w:rPr>
              <w:t>Kevin Wood</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27C81BE" w14:textId="77777777" w:rsidR="00704550" w:rsidRPr="00704550" w:rsidRDefault="00704550" w:rsidP="00704550">
            <w:pPr>
              <w:spacing w:after="0" w:line="240" w:lineRule="auto"/>
              <w:rPr>
                <w:rFonts w:eastAsia="Times New Roman"/>
              </w:rPr>
            </w:pPr>
            <w:r w:rsidRPr="00704550">
              <w:rPr>
                <w:rFonts w:eastAsia="Times New Roman"/>
              </w:rPr>
              <w:t>SCE</w:t>
            </w:r>
          </w:p>
        </w:tc>
        <w:tc>
          <w:tcPr>
            <w:tcW w:w="716" w:type="pct"/>
            <w:tcBorders>
              <w:top w:val="nil"/>
              <w:left w:val="nil"/>
              <w:bottom w:val="single" w:sz="4" w:space="0" w:color="A6A6A6"/>
              <w:right w:val="single" w:sz="4" w:space="0" w:color="A6A6A6"/>
            </w:tcBorders>
            <w:shd w:val="clear" w:color="auto" w:fill="auto"/>
            <w:noWrap/>
            <w:vAlign w:val="bottom"/>
            <w:hideMark/>
          </w:tcPr>
          <w:p w14:paraId="7D89F99C"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6D41D6CA"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1469E8A2" w14:textId="77777777" w:rsidR="00704550" w:rsidRPr="00704550" w:rsidRDefault="00704550" w:rsidP="00704550">
            <w:pPr>
              <w:spacing w:after="0" w:line="240" w:lineRule="auto"/>
              <w:rPr>
                <w:rFonts w:eastAsia="Times New Roman"/>
              </w:rPr>
            </w:pPr>
            <w:r w:rsidRPr="00704550">
              <w:rPr>
                <w:rFonts w:eastAsia="Times New Roman"/>
              </w:rPr>
              <w:t>Laura  Cummins</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E0E5848" w14:textId="77777777" w:rsidR="00704550" w:rsidRPr="00704550" w:rsidRDefault="00704550" w:rsidP="00704550">
            <w:pPr>
              <w:spacing w:after="0" w:line="240" w:lineRule="auto"/>
              <w:rPr>
                <w:rFonts w:eastAsia="Times New Roman"/>
              </w:rPr>
            </w:pPr>
            <w:r w:rsidRPr="00704550">
              <w:rPr>
                <w:rFonts w:eastAsia="Times New Roman"/>
              </w:rPr>
              <w:t>CLEAResult</w:t>
            </w:r>
          </w:p>
        </w:tc>
        <w:tc>
          <w:tcPr>
            <w:tcW w:w="716" w:type="pct"/>
            <w:tcBorders>
              <w:top w:val="nil"/>
              <w:left w:val="nil"/>
              <w:bottom w:val="single" w:sz="4" w:space="0" w:color="A6A6A6"/>
              <w:right w:val="single" w:sz="4" w:space="0" w:color="A6A6A6"/>
            </w:tcBorders>
            <w:shd w:val="clear" w:color="auto" w:fill="auto"/>
            <w:noWrap/>
            <w:vAlign w:val="bottom"/>
            <w:hideMark/>
          </w:tcPr>
          <w:p w14:paraId="475D9C4B"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03C61999"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11D9F2A8" w14:textId="77777777" w:rsidR="00704550" w:rsidRPr="00704550" w:rsidRDefault="00704550" w:rsidP="00704550">
            <w:pPr>
              <w:spacing w:after="0" w:line="240" w:lineRule="auto"/>
              <w:rPr>
                <w:rFonts w:eastAsia="Times New Roman"/>
              </w:rPr>
            </w:pPr>
            <w:r w:rsidRPr="00704550">
              <w:rPr>
                <w:rFonts w:eastAsia="Times New Roman"/>
              </w:rPr>
              <w:t>Leonel Campoy</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13EC077" w14:textId="77777777" w:rsidR="00704550" w:rsidRPr="00704550" w:rsidRDefault="00704550" w:rsidP="00704550">
            <w:pPr>
              <w:spacing w:after="0" w:line="240" w:lineRule="auto"/>
              <w:rPr>
                <w:rFonts w:eastAsia="Times New Roman"/>
              </w:rPr>
            </w:pPr>
            <w:r w:rsidRPr="00704550">
              <w:rPr>
                <w:rFonts w:eastAsia="Times New Roman"/>
              </w:rPr>
              <w:t>Itron</w:t>
            </w:r>
          </w:p>
        </w:tc>
        <w:tc>
          <w:tcPr>
            <w:tcW w:w="716" w:type="pct"/>
            <w:tcBorders>
              <w:top w:val="nil"/>
              <w:left w:val="nil"/>
              <w:bottom w:val="single" w:sz="4" w:space="0" w:color="A6A6A6"/>
              <w:right w:val="single" w:sz="4" w:space="0" w:color="A6A6A6"/>
            </w:tcBorders>
            <w:shd w:val="clear" w:color="auto" w:fill="auto"/>
            <w:noWrap/>
            <w:vAlign w:val="bottom"/>
            <w:hideMark/>
          </w:tcPr>
          <w:p w14:paraId="0F6A803B"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202BDA3F"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61D0C4F7" w14:textId="77777777" w:rsidR="00704550" w:rsidRPr="00704550" w:rsidRDefault="00704550" w:rsidP="00704550">
            <w:pPr>
              <w:spacing w:after="0" w:line="240" w:lineRule="auto"/>
              <w:rPr>
                <w:rFonts w:eastAsia="Times New Roman"/>
              </w:rPr>
            </w:pPr>
            <w:r w:rsidRPr="00704550">
              <w:rPr>
                <w:rFonts w:eastAsia="Times New Roman"/>
              </w:rPr>
              <w:t>Mark Reyna</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1213563" w14:textId="77777777" w:rsidR="00704550" w:rsidRPr="00704550" w:rsidRDefault="00704550" w:rsidP="00704550">
            <w:pPr>
              <w:spacing w:after="0" w:line="240" w:lineRule="auto"/>
              <w:rPr>
                <w:rFonts w:eastAsia="Times New Roman"/>
              </w:rPr>
            </w:pPr>
            <w:r w:rsidRPr="00704550">
              <w:rPr>
                <w:rFonts w:eastAsia="Times New Roman"/>
              </w:rPr>
              <w:t>SoCal Gas</w:t>
            </w:r>
          </w:p>
        </w:tc>
        <w:tc>
          <w:tcPr>
            <w:tcW w:w="716" w:type="pct"/>
            <w:tcBorders>
              <w:top w:val="nil"/>
              <w:left w:val="nil"/>
              <w:bottom w:val="single" w:sz="4" w:space="0" w:color="A6A6A6"/>
              <w:right w:val="single" w:sz="4" w:space="0" w:color="A6A6A6"/>
            </w:tcBorders>
            <w:shd w:val="clear" w:color="auto" w:fill="auto"/>
            <w:noWrap/>
            <w:vAlign w:val="bottom"/>
            <w:hideMark/>
          </w:tcPr>
          <w:p w14:paraId="1209E1E5"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0FED2956"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4D606460" w14:textId="77777777" w:rsidR="00704550" w:rsidRPr="00704550" w:rsidRDefault="00704550" w:rsidP="00704550">
            <w:pPr>
              <w:spacing w:after="0" w:line="240" w:lineRule="auto"/>
              <w:rPr>
                <w:rFonts w:eastAsia="Times New Roman"/>
              </w:rPr>
            </w:pPr>
            <w:r w:rsidRPr="00704550">
              <w:rPr>
                <w:rFonts w:eastAsia="Times New Roman"/>
              </w:rPr>
              <w:t xml:space="preserve">Melanie Gillette </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5F78747" w14:textId="77777777" w:rsidR="00704550" w:rsidRPr="00704550" w:rsidRDefault="00704550" w:rsidP="00704550">
            <w:pPr>
              <w:spacing w:after="0" w:line="240" w:lineRule="auto"/>
              <w:rPr>
                <w:rFonts w:eastAsia="Times New Roman"/>
              </w:rPr>
            </w:pPr>
            <w:r w:rsidRPr="00704550">
              <w:rPr>
                <w:rFonts w:eastAsia="Times New Roman"/>
              </w:rPr>
              <w:t xml:space="preserve">CEEIC </w:t>
            </w:r>
          </w:p>
        </w:tc>
        <w:tc>
          <w:tcPr>
            <w:tcW w:w="716" w:type="pct"/>
            <w:tcBorders>
              <w:top w:val="nil"/>
              <w:left w:val="nil"/>
              <w:bottom w:val="single" w:sz="4" w:space="0" w:color="A6A6A6"/>
              <w:right w:val="single" w:sz="4" w:space="0" w:color="A6A6A6"/>
            </w:tcBorders>
            <w:shd w:val="clear" w:color="auto" w:fill="auto"/>
            <w:noWrap/>
            <w:vAlign w:val="bottom"/>
            <w:hideMark/>
          </w:tcPr>
          <w:p w14:paraId="040D5E74"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557146A7"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18578DA1" w14:textId="77777777" w:rsidR="00704550" w:rsidRPr="00704550" w:rsidRDefault="00704550" w:rsidP="00704550">
            <w:pPr>
              <w:spacing w:after="0" w:line="240" w:lineRule="auto"/>
              <w:rPr>
                <w:rFonts w:eastAsia="Times New Roman"/>
              </w:rPr>
            </w:pPr>
            <w:r w:rsidRPr="00704550">
              <w:rPr>
                <w:rFonts w:eastAsia="Times New Roman"/>
              </w:rPr>
              <w:t>Milena Usabiaga</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1E1149B" w14:textId="77777777" w:rsidR="00704550" w:rsidRPr="00704550" w:rsidRDefault="00704550" w:rsidP="00704550">
            <w:pPr>
              <w:spacing w:after="0" w:line="240" w:lineRule="auto"/>
              <w:rPr>
                <w:rFonts w:eastAsia="Times New Roman"/>
              </w:rPr>
            </w:pPr>
            <w:r w:rsidRPr="00704550">
              <w:rPr>
                <w:rFonts w:eastAsia="Times New Roman"/>
              </w:rPr>
              <w:t>Nexant</w:t>
            </w:r>
          </w:p>
        </w:tc>
        <w:tc>
          <w:tcPr>
            <w:tcW w:w="716" w:type="pct"/>
            <w:tcBorders>
              <w:top w:val="nil"/>
              <w:left w:val="nil"/>
              <w:bottom w:val="single" w:sz="4" w:space="0" w:color="A6A6A6"/>
              <w:right w:val="single" w:sz="4" w:space="0" w:color="A6A6A6"/>
            </w:tcBorders>
            <w:shd w:val="clear" w:color="auto" w:fill="auto"/>
            <w:noWrap/>
            <w:vAlign w:val="bottom"/>
            <w:hideMark/>
          </w:tcPr>
          <w:p w14:paraId="62E06436"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3FF06BFE"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75B0691B" w14:textId="77777777" w:rsidR="00704550" w:rsidRPr="00704550" w:rsidRDefault="00704550" w:rsidP="00704550">
            <w:pPr>
              <w:spacing w:after="0" w:line="240" w:lineRule="auto"/>
              <w:rPr>
                <w:rFonts w:eastAsia="Times New Roman"/>
              </w:rPr>
            </w:pPr>
            <w:r w:rsidRPr="00704550">
              <w:rPr>
                <w:rFonts w:eastAsia="Times New Roman"/>
              </w:rPr>
              <w:t>Mohit Chhabra</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BBD14FE" w14:textId="77777777" w:rsidR="00704550" w:rsidRPr="00704550" w:rsidRDefault="00704550" w:rsidP="00704550">
            <w:pPr>
              <w:spacing w:after="0" w:line="240" w:lineRule="auto"/>
              <w:rPr>
                <w:rFonts w:eastAsia="Times New Roman"/>
              </w:rPr>
            </w:pPr>
            <w:r w:rsidRPr="00704550">
              <w:rPr>
                <w:rFonts w:eastAsia="Times New Roman"/>
              </w:rPr>
              <w:t>NRDC</w:t>
            </w:r>
          </w:p>
        </w:tc>
        <w:tc>
          <w:tcPr>
            <w:tcW w:w="716" w:type="pct"/>
            <w:tcBorders>
              <w:top w:val="nil"/>
              <w:left w:val="nil"/>
              <w:bottom w:val="single" w:sz="4" w:space="0" w:color="A6A6A6"/>
              <w:right w:val="single" w:sz="4" w:space="0" w:color="A6A6A6"/>
            </w:tcBorders>
            <w:shd w:val="clear" w:color="auto" w:fill="auto"/>
            <w:noWrap/>
            <w:vAlign w:val="bottom"/>
            <w:hideMark/>
          </w:tcPr>
          <w:p w14:paraId="6FDB0234"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5BC3CAAD"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056BC6B8" w14:textId="77777777" w:rsidR="00704550" w:rsidRPr="00704550" w:rsidRDefault="00704550" w:rsidP="00704550">
            <w:pPr>
              <w:spacing w:after="0" w:line="240" w:lineRule="auto"/>
              <w:rPr>
                <w:rFonts w:eastAsia="Times New Roman"/>
              </w:rPr>
            </w:pPr>
            <w:r w:rsidRPr="00704550">
              <w:rPr>
                <w:rFonts w:eastAsia="Times New Roman"/>
              </w:rPr>
              <w:t>Paden Cast</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2B33359" w14:textId="77777777" w:rsidR="00704550" w:rsidRPr="00704550" w:rsidRDefault="00704550" w:rsidP="00704550">
            <w:pPr>
              <w:spacing w:after="0" w:line="240" w:lineRule="auto"/>
              <w:rPr>
                <w:rFonts w:eastAsia="Times New Roman"/>
              </w:rPr>
            </w:pPr>
            <w:r w:rsidRPr="00704550">
              <w:rPr>
                <w:rFonts w:eastAsia="Times New Roman"/>
              </w:rPr>
              <w:t>SoCal Gas</w:t>
            </w:r>
          </w:p>
        </w:tc>
        <w:tc>
          <w:tcPr>
            <w:tcW w:w="716" w:type="pct"/>
            <w:tcBorders>
              <w:top w:val="nil"/>
              <w:left w:val="nil"/>
              <w:bottom w:val="single" w:sz="4" w:space="0" w:color="A6A6A6"/>
              <w:right w:val="single" w:sz="4" w:space="0" w:color="A6A6A6"/>
            </w:tcBorders>
            <w:shd w:val="clear" w:color="auto" w:fill="auto"/>
            <w:noWrap/>
            <w:vAlign w:val="bottom"/>
            <w:hideMark/>
          </w:tcPr>
          <w:p w14:paraId="7FC5A123"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60620DBF"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01433E92" w14:textId="77777777" w:rsidR="00704550" w:rsidRPr="00704550" w:rsidRDefault="00704550" w:rsidP="00704550">
            <w:pPr>
              <w:spacing w:after="0" w:line="240" w:lineRule="auto"/>
              <w:rPr>
                <w:rFonts w:eastAsia="Times New Roman"/>
              </w:rPr>
            </w:pPr>
            <w:r w:rsidRPr="00704550">
              <w:rPr>
                <w:rFonts w:eastAsia="Times New Roman"/>
              </w:rPr>
              <w:t>Peter Lai</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BC413DA" w14:textId="77777777" w:rsidR="00704550" w:rsidRPr="00704550" w:rsidRDefault="00704550" w:rsidP="00704550">
            <w:pPr>
              <w:spacing w:after="0" w:line="240" w:lineRule="auto"/>
              <w:rPr>
                <w:rFonts w:eastAsia="Times New Roman"/>
              </w:rPr>
            </w:pPr>
            <w:r w:rsidRPr="00704550">
              <w:rPr>
                <w:rFonts w:eastAsia="Times New Roman"/>
              </w:rPr>
              <w:t>CPUC</w:t>
            </w:r>
          </w:p>
        </w:tc>
        <w:tc>
          <w:tcPr>
            <w:tcW w:w="716" w:type="pct"/>
            <w:tcBorders>
              <w:top w:val="nil"/>
              <w:left w:val="nil"/>
              <w:bottom w:val="single" w:sz="4" w:space="0" w:color="A6A6A6"/>
              <w:right w:val="single" w:sz="4" w:space="0" w:color="A6A6A6"/>
            </w:tcBorders>
            <w:shd w:val="clear" w:color="auto" w:fill="auto"/>
            <w:noWrap/>
            <w:vAlign w:val="bottom"/>
            <w:hideMark/>
          </w:tcPr>
          <w:p w14:paraId="7C3A3722"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0EF95CA3" w14:textId="77777777" w:rsidTr="00704550">
        <w:tc>
          <w:tcPr>
            <w:tcW w:w="1392" w:type="pct"/>
            <w:tcBorders>
              <w:top w:val="single" w:sz="4" w:space="0" w:color="A6A6A6"/>
              <w:left w:val="single" w:sz="4" w:space="0" w:color="A6A6A6"/>
              <w:bottom w:val="single" w:sz="4" w:space="0" w:color="A6A6A6"/>
              <w:right w:val="nil"/>
            </w:tcBorders>
            <w:shd w:val="clear" w:color="auto" w:fill="auto"/>
            <w:noWrap/>
            <w:vAlign w:val="bottom"/>
            <w:hideMark/>
          </w:tcPr>
          <w:p w14:paraId="2CB63A52" w14:textId="77777777" w:rsidR="00704550" w:rsidRPr="00704550" w:rsidRDefault="00704550" w:rsidP="00704550">
            <w:pPr>
              <w:spacing w:after="0" w:line="240" w:lineRule="auto"/>
              <w:rPr>
                <w:rFonts w:eastAsia="Times New Roman"/>
              </w:rPr>
            </w:pPr>
            <w:r w:rsidRPr="00704550">
              <w:rPr>
                <w:rFonts w:eastAsia="Times New Roman"/>
              </w:rPr>
              <w:t>Reggie Wilkins</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5E81EC6" w14:textId="77777777" w:rsidR="00704550" w:rsidRPr="00704550" w:rsidRDefault="00704550" w:rsidP="00704550">
            <w:pPr>
              <w:spacing w:after="0" w:line="240" w:lineRule="auto"/>
              <w:rPr>
                <w:rFonts w:eastAsia="Times New Roman"/>
              </w:rPr>
            </w:pPr>
            <w:r w:rsidRPr="00704550">
              <w:rPr>
                <w:rFonts w:eastAsia="Times New Roman"/>
              </w:rPr>
              <w:t>SCE</w:t>
            </w:r>
          </w:p>
        </w:tc>
        <w:tc>
          <w:tcPr>
            <w:tcW w:w="716" w:type="pct"/>
            <w:tcBorders>
              <w:top w:val="nil"/>
              <w:left w:val="nil"/>
              <w:bottom w:val="single" w:sz="4" w:space="0" w:color="A6A6A6"/>
              <w:right w:val="single" w:sz="4" w:space="0" w:color="A6A6A6"/>
            </w:tcBorders>
            <w:shd w:val="clear" w:color="auto" w:fill="auto"/>
            <w:noWrap/>
            <w:vAlign w:val="bottom"/>
            <w:hideMark/>
          </w:tcPr>
          <w:p w14:paraId="14F17A9C"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r w:rsidR="00704550" w:rsidRPr="00704550" w14:paraId="4FFF25EF" w14:textId="77777777" w:rsidTr="00704550">
        <w:tc>
          <w:tcPr>
            <w:tcW w:w="1392" w:type="pct"/>
            <w:tcBorders>
              <w:top w:val="single" w:sz="4" w:space="0" w:color="A6A6A6"/>
              <w:left w:val="single" w:sz="4" w:space="0" w:color="A6A6A6"/>
              <w:bottom w:val="nil"/>
              <w:right w:val="nil"/>
            </w:tcBorders>
            <w:shd w:val="clear" w:color="auto" w:fill="auto"/>
            <w:noWrap/>
            <w:vAlign w:val="bottom"/>
            <w:hideMark/>
          </w:tcPr>
          <w:p w14:paraId="0F6381E7" w14:textId="77777777" w:rsidR="00704550" w:rsidRPr="00704550" w:rsidRDefault="00704550" w:rsidP="00704550">
            <w:pPr>
              <w:spacing w:after="0" w:line="240" w:lineRule="auto"/>
              <w:rPr>
                <w:rFonts w:eastAsia="Times New Roman"/>
              </w:rPr>
            </w:pPr>
            <w:r w:rsidRPr="00704550">
              <w:rPr>
                <w:rFonts w:eastAsia="Times New Roman"/>
              </w:rPr>
              <w:t>Rich Sperberg</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77B4698" w14:textId="77777777" w:rsidR="00704550" w:rsidRPr="00704550" w:rsidRDefault="00704550" w:rsidP="00704550">
            <w:pPr>
              <w:spacing w:after="0" w:line="240" w:lineRule="auto"/>
              <w:rPr>
                <w:rFonts w:eastAsia="Times New Roman"/>
              </w:rPr>
            </w:pPr>
            <w:r w:rsidRPr="00704550">
              <w:rPr>
                <w:rFonts w:eastAsia="Times New Roman"/>
              </w:rPr>
              <w:t>Onsite Energy</w:t>
            </w:r>
          </w:p>
        </w:tc>
        <w:tc>
          <w:tcPr>
            <w:tcW w:w="716" w:type="pct"/>
            <w:tcBorders>
              <w:top w:val="nil"/>
              <w:left w:val="nil"/>
              <w:bottom w:val="single" w:sz="4" w:space="0" w:color="A6A6A6"/>
              <w:right w:val="single" w:sz="4" w:space="0" w:color="A6A6A6"/>
            </w:tcBorders>
            <w:shd w:val="clear" w:color="auto" w:fill="auto"/>
            <w:noWrap/>
            <w:vAlign w:val="bottom"/>
            <w:hideMark/>
          </w:tcPr>
          <w:p w14:paraId="4F502097"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54D4E984" w14:textId="77777777" w:rsidTr="00704550">
        <w:tc>
          <w:tcPr>
            <w:tcW w:w="1392" w:type="pct"/>
            <w:tcBorders>
              <w:top w:val="single" w:sz="4" w:space="0" w:color="A6A6A6"/>
              <w:left w:val="single" w:sz="4" w:space="0" w:color="A6A6A6"/>
              <w:bottom w:val="nil"/>
              <w:right w:val="nil"/>
            </w:tcBorders>
            <w:shd w:val="clear" w:color="auto" w:fill="auto"/>
            <w:noWrap/>
            <w:vAlign w:val="bottom"/>
            <w:hideMark/>
          </w:tcPr>
          <w:p w14:paraId="0A5F1CF1" w14:textId="77777777" w:rsidR="00704550" w:rsidRPr="00704550" w:rsidRDefault="00704550" w:rsidP="00704550">
            <w:pPr>
              <w:spacing w:after="0" w:line="240" w:lineRule="auto"/>
              <w:rPr>
                <w:rFonts w:eastAsia="Times New Roman"/>
              </w:rPr>
            </w:pPr>
            <w:r w:rsidRPr="00704550">
              <w:rPr>
                <w:rFonts w:eastAsia="Times New Roman"/>
              </w:rPr>
              <w:t>Rick Diamond</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DE5F83A" w14:textId="77777777" w:rsidR="00704550" w:rsidRPr="00704550" w:rsidRDefault="00704550" w:rsidP="00704550">
            <w:pPr>
              <w:spacing w:after="0" w:line="240" w:lineRule="auto"/>
              <w:rPr>
                <w:rFonts w:eastAsia="Times New Roman"/>
              </w:rPr>
            </w:pPr>
            <w:r w:rsidRPr="00704550">
              <w:rPr>
                <w:rFonts w:eastAsia="Times New Roman"/>
              </w:rPr>
              <w:t>T2WG Team (LBL)</w:t>
            </w:r>
          </w:p>
        </w:tc>
        <w:tc>
          <w:tcPr>
            <w:tcW w:w="716"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0CF7D"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28DF6310" w14:textId="77777777" w:rsidTr="00704550">
        <w:tc>
          <w:tcPr>
            <w:tcW w:w="1392" w:type="pct"/>
            <w:tcBorders>
              <w:top w:val="single" w:sz="4" w:space="0" w:color="A6A6A6"/>
              <w:left w:val="single" w:sz="4" w:space="0" w:color="A6A6A6"/>
              <w:bottom w:val="nil"/>
              <w:right w:val="nil"/>
            </w:tcBorders>
            <w:shd w:val="clear" w:color="auto" w:fill="auto"/>
            <w:noWrap/>
            <w:vAlign w:val="bottom"/>
            <w:hideMark/>
          </w:tcPr>
          <w:p w14:paraId="070F5794" w14:textId="1F5C95C6" w:rsidR="00704550" w:rsidRPr="00704550" w:rsidRDefault="00B118E5" w:rsidP="00704550">
            <w:pPr>
              <w:spacing w:after="0" w:line="240" w:lineRule="auto"/>
              <w:rPr>
                <w:rFonts w:eastAsia="Times New Roman"/>
              </w:rPr>
            </w:pPr>
            <w:r>
              <w:rPr>
                <w:rFonts w:eastAsia="Times New Roman"/>
              </w:rPr>
              <w:t>Rickson</w:t>
            </w:r>
            <w:bookmarkStart w:id="0" w:name="_GoBack"/>
            <w:bookmarkEnd w:id="0"/>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29F8E72" w14:textId="77777777" w:rsidR="00704550" w:rsidRPr="00704550" w:rsidRDefault="00704550" w:rsidP="00704550">
            <w:pPr>
              <w:spacing w:after="0" w:line="240" w:lineRule="auto"/>
              <w:rPr>
                <w:rFonts w:eastAsia="Times New Roman"/>
              </w:rPr>
            </w:pPr>
            <w:r w:rsidRPr="00704550">
              <w:rPr>
                <w:rFonts w:eastAsia="Times New Roman"/>
              </w:rPr>
              <w:t>SCE</w:t>
            </w:r>
          </w:p>
        </w:tc>
        <w:tc>
          <w:tcPr>
            <w:tcW w:w="716" w:type="pct"/>
            <w:tcBorders>
              <w:top w:val="nil"/>
              <w:left w:val="nil"/>
              <w:bottom w:val="single" w:sz="4" w:space="0" w:color="A6A6A6"/>
              <w:right w:val="single" w:sz="4" w:space="0" w:color="A6A6A6"/>
            </w:tcBorders>
            <w:shd w:val="clear" w:color="auto" w:fill="auto"/>
            <w:noWrap/>
            <w:vAlign w:val="bottom"/>
            <w:hideMark/>
          </w:tcPr>
          <w:p w14:paraId="6E28A8C4"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452E1768" w14:textId="77777777" w:rsidTr="00704550">
        <w:tc>
          <w:tcPr>
            <w:tcW w:w="13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CE81A08" w14:textId="77777777" w:rsidR="00704550" w:rsidRPr="00704550" w:rsidRDefault="00704550" w:rsidP="00704550">
            <w:pPr>
              <w:spacing w:after="0" w:line="240" w:lineRule="auto"/>
              <w:rPr>
                <w:rFonts w:eastAsia="Times New Roman"/>
              </w:rPr>
            </w:pPr>
            <w:r w:rsidRPr="00704550">
              <w:rPr>
                <w:rFonts w:eastAsia="Times New Roman"/>
              </w:rPr>
              <w:t>Rod Houdyshel</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F3B67BF" w14:textId="77777777" w:rsidR="00704550" w:rsidRPr="00704550" w:rsidRDefault="00704550" w:rsidP="00704550">
            <w:pPr>
              <w:spacing w:after="0" w:line="240" w:lineRule="auto"/>
              <w:rPr>
                <w:rFonts w:eastAsia="Times New Roman"/>
              </w:rPr>
            </w:pPr>
            <w:r w:rsidRPr="00704550">
              <w:rPr>
                <w:rFonts w:eastAsia="Times New Roman"/>
              </w:rPr>
              <w:t>SDG&amp;E</w:t>
            </w:r>
          </w:p>
        </w:tc>
        <w:tc>
          <w:tcPr>
            <w:tcW w:w="716" w:type="pct"/>
            <w:tcBorders>
              <w:top w:val="single" w:sz="4" w:space="0" w:color="A6A6A6"/>
              <w:left w:val="nil"/>
              <w:bottom w:val="single" w:sz="4" w:space="0" w:color="A6A6A6"/>
              <w:right w:val="single" w:sz="4" w:space="0" w:color="A6A6A6"/>
            </w:tcBorders>
            <w:shd w:val="clear" w:color="auto" w:fill="auto"/>
            <w:noWrap/>
            <w:vAlign w:val="bottom"/>
            <w:hideMark/>
          </w:tcPr>
          <w:p w14:paraId="7507BEC2"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798EC9E2" w14:textId="77777777" w:rsidTr="00704550">
        <w:tc>
          <w:tcPr>
            <w:tcW w:w="1392" w:type="pct"/>
            <w:tcBorders>
              <w:top w:val="single" w:sz="4" w:space="0" w:color="A6A6A6"/>
              <w:left w:val="single" w:sz="4" w:space="0" w:color="A6A6A6"/>
              <w:bottom w:val="nil"/>
              <w:right w:val="nil"/>
            </w:tcBorders>
            <w:shd w:val="clear" w:color="auto" w:fill="auto"/>
            <w:noWrap/>
            <w:vAlign w:val="bottom"/>
            <w:hideMark/>
          </w:tcPr>
          <w:p w14:paraId="1444BF3C" w14:textId="77777777" w:rsidR="00704550" w:rsidRPr="00704550" w:rsidRDefault="00704550" w:rsidP="00704550">
            <w:pPr>
              <w:spacing w:after="0" w:line="240" w:lineRule="auto"/>
              <w:rPr>
                <w:rFonts w:eastAsia="Times New Roman"/>
              </w:rPr>
            </w:pPr>
            <w:r w:rsidRPr="00704550">
              <w:rPr>
                <w:rFonts w:eastAsia="Times New Roman"/>
              </w:rPr>
              <w:t>Ryan Chan</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691B18" w14:textId="77777777" w:rsidR="00704550" w:rsidRPr="00704550" w:rsidRDefault="00704550" w:rsidP="00704550">
            <w:pPr>
              <w:spacing w:after="0" w:line="240" w:lineRule="auto"/>
              <w:rPr>
                <w:rFonts w:eastAsia="Times New Roman"/>
              </w:rPr>
            </w:pPr>
            <w:r w:rsidRPr="00704550">
              <w:rPr>
                <w:rFonts w:eastAsia="Times New Roman"/>
              </w:rPr>
              <w:t>PG&amp;E</w:t>
            </w:r>
          </w:p>
        </w:tc>
        <w:tc>
          <w:tcPr>
            <w:tcW w:w="716" w:type="pct"/>
            <w:tcBorders>
              <w:top w:val="single" w:sz="4" w:space="0" w:color="A6A6A6"/>
              <w:left w:val="single" w:sz="4" w:space="0" w:color="A6A6A6"/>
              <w:bottom w:val="nil"/>
              <w:right w:val="single" w:sz="4" w:space="0" w:color="A6A6A6"/>
            </w:tcBorders>
            <w:shd w:val="clear" w:color="auto" w:fill="auto"/>
            <w:noWrap/>
            <w:vAlign w:val="bottom"/>
            <w:hideMark/>
          </w:tcPr>
          <w:p w14:paraId="57412755"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61967AE6" w14:textId="77777777" w:rsidTr="00704550">
        <w:tc>
          <w:tcPr>
            <w:tcW w:w="1392" w:type="pct"/>
            <w:tcBorders>
              <w:top w:val="single" w:sz="4" w:space="0" w:color="A6A6A6"/>
              <w:left w:val="single" w:sz="4" w:space="0" w:color="A6A6A6"/>
              <w:bottom w:val="nil"/>
              <w:right w:val="nil"/>
            </w:tcBorders>
            <w:shd w:val="clear" w:color="auto" w:fill="auto"/>
            <w:noWrap/>
            <w:vAlign w:val="bottom"/>
            <w:hideMark/>
          </w:tcPr>
          <w:p w14:paraId="75E3D36B" w14:textId="77777777" w:rsidR="00704550" w:rsidRPr="00704550" w:rsidRDefault="00704550" w:rsidP="00704550">
            <w:pPr>
              <w:spacing w:after="0" w:line="240" w:lineRule="auto"/>
              <w:rPr>
                <w:rFonts w:eastAsia="Times New Roman"/>
              </w:rPr>
            </w:pPr>
            <w:r w:rsidRPr="00704550">
              <w:rPr>
                <w:rFonts w:eastAsia="Times New Roman"/>
              </w:rPr>
              <w:t>Sasha Cole</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0329480" w14:textId="77777777" w:rsidR="00704550" w:rsidRPr="00704550" w:rsidRDefault="00704550" w:rsidP="00704550">
            <w:pPr>
              <w:spacing w:after="0" w:line="240" w:lineRule="auto"/>
              <w:rPr>
                <w:rFonts w:eastAsia="Times New Roman"/>
              </w:rPr>
            </w:pPr>
            <w:r w:rsidRPr="00704550">
              <w:rPr>
                <w:rFonts w:eastAsia="Times New Roman"/>
              </w:rPr>
              <w:t>CPUC ORA</w:t>
            </w:r>
          </w:p>
        </w:tc>
        <w:tc>
          <w:tcPr>
            <w:tcW w:w="716" w:type="pct"/>
            <w:tcBorders>
              <w:top w:val="single" w:sz="4" w:space="0" w:color="A6A6A6"/>
              <w:left w:val="single" w:sz="4" w:space="0" w:color="A6A6A6"/>
              <w:bottom w:val="nil"/>
              <w:right w:val="single" w:sz="4" w:space="0" w:color="A6A6A6"/>
            </w:tcBorders>
            <w:shd w:val="clear" w:color="auto" w:fill="auto"/>
            <w:noWrap/>
            <w:vAlign w:val="bottom"/>
            <w:hideMark/>
          </w:tcPr>
          <w:p w14:paraId="6F77CA3D"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1EDF5493" w14:textId="77777777" w:rsidTr="00704550">
        <w:tc>
          <w:tcPr>
            <w:tcW w:w="1392" w:type="pct"/>
            <w:tcBorders>
              <w:top w:val="single" w:sz="4" w:space="0" w:color="A6A6A6"/>
              <w:left w:val="single" w:sz="4" w:space="0" w:color="A6A6A6"/>
              <w:bottom w:val="nil"/>
              <w:right w:val="nil"/>
            </w:tcBorders>
            <w:shd w:val="clear" w:color="auto" w:fill="auto"/>
            <w:noWrap/>
            <w:vAlign w:val="bottom"/>
            <w:hideMark/>
          </w:tcPr>
          <w:p w14:paraId="64F5A364" w14:textId="77777777" w:rsidR="00704550" w:rsidRPr="00704550" w:rsidRDefault="00704550" w:rsidP="00704550">
            <w:pPr>
              <w:spacing w:after="0" w:line="240" w:lineRule="auto"/>
              <w:rPr>
                <w:rFonts w:eastAsia="Times New Roman"/>
              </w:rPr>
            </w:pPr>
            <w:r w:rsidRPr="00704550">
              <w:rPr>
                <w:rFonts w:eastAsia="Times New Roman"/>
              </w:rPr>
              <w:t>Scott Mitchell</w:t>
            </w:r>
          </w:p>
        </w:tc>
        <w:tc>
          <w:tcPr>
            <w:tcW w:w="2892"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E8A2B5D" w14:textId="77777777" w:rsidR="00704550" w:rsidRPr="00704550" w:rsidRDefault="00704550" w:rsidP="00704550">
            <w:pPr>
              <w:spacing w:after="0" w:line="240" w:lineRule="auto"/>
              <w:rPr>
                <w:rFonts w:eastAsia="Times New Roman"/>
              </w:rPr>
            </w:pPr>
            <w:r w:rsidRPr="00704550">
              <w:rPr>
                <w:rFonts w:eastAsia="Times New Roman"/>
              </w:rPr>
              <w:t>SCE</w:t>
            </w:r>
          </w:p>
        </w:tc>
        <w:tc>
          <w:tcPr>
            <w:tcW w:w="716" w:type="pct"/>
            <w:tcBorders>
              <w:top w:val="single" w:sz="4" w:space="0" w:color="A6A6A6"/>
              <w:left w:val="single" w:sz="4" w:space="0" w:color="A6A6A6"/>
              <w:bottom w:val="nil"/>
              <w:right w:val="single" w:sz="4" w:space="0" w:color="A6A6A6"/>
            </w:tcBorders>
            <w:shd w:val="clear" w:color="auto" w:fill="auto"/>
            <w:noWrap/>
            <w:vAlign w:val="bottom"/>
            <w:hideMark/>
          </w:tcPr>
          <w:p w14:paraId="55AE682C"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4F087F82" w14:textId="77777777" w:rsidTr="00704550">
        <w:tc>
          <w:tcPr>
            <w:tcW w:w="1392" w:type="pct"/>
            <w:tcBorders>
              <w:top w:val="single" w:sz="4" w:space="0" w:color="A6A6A6"/>
              <w:left w:val="single" w:sz="4" w:space="0" w:color="A6A6A6"/>
              <w:bottom w:val="nil"/>
              <w:right w:val="single" w:sz="4" w:space="0" w:color="A6A6A6"/>
            </w:tcBorders>
            <w:shd w:val="clear" w:color="auto" w:fill="auto"/>
            <w:noWrap/>
            <w:vAlign w:val="bottom"/>
            <w:hideMark/>
          </w:tcPr>
          <w:p w14:paraId="78BC5727" w14:textId="77777777" w:rsidR="00704550" w:rsidRPr="00704550" w:rsidRDefault="00704550" w:rsidP="00704550">
            <w:pPr>
              <w:spacing w:after="0" w:line="240" w:lineRule="auto"/>
              <w:rPr>
                <w:rFonts w:eastAsia="Times New Roman"/>
                <w:color w:val="000000"/>
              </w:rPr>
            </w:pPr>
            <w:r w:rsidRPr="00704550">
              <w:rPr>
                <w:rFonts w:eastAsia="Times New Roman"/>
                <w:color w:val="000000"/>
              </w:rPr>
              <w:t>Shawn Fife</w:t>
            </w:r>
          </w:p>
        </w:tc>
        <w:tc>
          <w:tcPr>
            <w:tcW w:w="2892" w:type="pct"/>
            <w:tcBorders>
              <w:top w:val="single" w:sz="4" w:space="0" w:color="A6A6A6"/>
              <w:left w:val="single" w:sz="4" w:space="0" w:color="A6A6A6"/>
              <w:bottom w:val="nil"/>
              <w:right w:val="single" w:sz="4" w:space="0" w:color="A6A6A6"/>
            </w:tcBorders>
            <w:shd w:val="clear" w:color="auto" w:fill="auto"/>
            <w:noWrap/>
            <w:vAlign w:val="bottom"/>
            <w:hideMark/>
          </w:tcPr>
          <w:p w14:paraId="6C686582" w14:textId="77777777" w:rsidR="00704550" w:rsidRPr="00704550" w:rsidRDefault="00704550" w:rsidP="00704550">
            <w:pPr>
              <w:spacing w:after="0" w:line="240" w:lineRule="auto"/>
              <w:rPr>
                <w:rFonts w:eastAsia="Times New Roman"/>
              </w:rPr>
            </w:pPr>
            <w:r w:rsidRPr="00704550">
              <w:rPr>
                <w:rFonts w:eastAsia="Times New Roman"/>
              </w:rPr>
              <w:t>SoCal Gas</w:t>
            </w:r>
          </w:p>
        </w:tc>
        <w:tc>
          <w:tcPr>
            <w:tcW w:w="716" w:type="pct"/>
            <w:tcBorders>
              <w:top w:val="single" w:sz="4" w:space="0" w:color="A6A6A6"/>
              <w:left w:val="nil"/>
              <w:bottom w:val="nil"/>
              <w:right w:val="single" w:sz="4" w:space="0" w:color="A6A6A6"/>
            </w:tcBorders>
            <w:shd w:val="clear" w:color="auto" w:fill="auto"/>
            <w:noWrap/>
            <w:vAlign w:val="bottom"/>
            <w:hideMark/>
          </w:tcPr>
          <w:p w14:paraId="7C0B0D41"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6CD94D55" w14:textId="77777777" w:rsidTr="00704550">
        <w:tc>
          <w:tcPr>
            <w:tcW w:w="1392" w:type="pct"/>
            <w:tcBorders>
              <w:top w:val="single" w:sz="4" w:space="0" w:color="A6A6A6"/>
              <w:left w:val="single" w:sz="4" w:space="0" w:color="A6A6A6"/>
              <w:bottom w:val="nil"/>
              <w:right w:val="single" w:sz="4" w:space="0" w:color="A6A6A6"/>
            </w:tcBorders>
            <w:shd w:val="clear" w:color="auto" w:fill="auto"/>
            <w:noWrap/>
            <w:vAlign w:val="bottom"/>
            <w:hideMark/>
          </w:tcPr>
          <w:p w14:paraId="141072AC" w14:textId="77777777" w:rsidR="00704550" w:rsidRPr="00704550" w:rsidRDefault="00704550" w:rsidP="00704550">
            <w:pPr>
              <w:spacing w:after="0" w:line="240" w:lineRule="auto"/>
              <w:rPr>
                <w:rFonts w:eastAsia="Times New Roman"/>
              </w:rPr>
            </w:pPr>
            <w:r w:rsidRPr="00704550">
              <w:rPr>
                <w:rFonts w:eastAsia="Times New Roman"/>
              </w:rPr>
              <w:t>Spencer Lipp</w:t>
            </w:r>
          </w:p>
        </w:tc>
        <w:tc>
          <w:tcPr>
            <w:tcW w:w="2892" w:type="pct"/>
            <w:tcBorders>
              <w:top w:val="single" w:sz="4" w:space="0" w:color="A6A6A6"/>
              <w:left w:val="single" w:sz="4" w:space="0" w:color="A6A6A6"/>
              <w:bottom w:val="nil"/>
              <w:right w:val="single" w:sz="4" w:space="0" w:color="A6A6A6"/>
            </w:tcBorders>
            <w:shd w:val="clear" w:color="auto" w:fill="auto"/>
            <w:noWrap/>
            <w:vAlign w:val="bottom"/>
            <w:hideMark/>
          </w:tcPr>
          <w:p w14:paraId="560BFF28" w14:textId="77777777" w:rsidR="00704550" w:rsidRPr="00704550" w:rsidRDefault="00704550" w:rsidP="00704550">
            <w:pPr>
              <w:spacing w:after="0" w:line="240" w:lineRule="auto"/>
              <w:rPr>
                <w:rFonts w:eastAsia="Times New Roman"/>
              </w:rPr>
            </w:pPr>
            <w:r w:rsidRPr="00704550">
              <w:rPr>
                <w:rFonts w:eastAsia="Times New Roman"/>
              </w:rPr>
              <w:t>Lockheed Martin</w:t>
            </w:r>
          </w:p>
        </w:tc>
        <w:tc>
          <w:tcPr>
            <w:tcW w:w="716" w:type="pct"/>
            <w:tcBorders>
              <w:top w:val="single" w:sz="4" w:space="0" w:color="A6A6A6"/>
              <w:left w:val="nil"/>
              <w:bottom w:val="nil"/>
              <w:right w:val="single" w:sz="4" w:space="0" w:color="A6A6A6"/>
            </w:tcBorders>
            <w:shd w:val="clear" w:color="auto" w:fill="auto"/>
            <w:noWrap/>
            <w:vAlign w:val="bottom"/>
            <w:hideMark/>
          </w:tcPr>
          <w:p w14:paraId="25489718"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27B50D3B" w14:textId="77777777" w:rsidTr="00704550">
        <w:tc>
          <w:tcPr>
            <w:tcW w:w="1392" w:type="pct"/>
            <w:tcBorders>
              <w:top w:val="single" w:sz="4" w:space="0" w:color="A6A6A6"/>
              <w:left w:val="single" w:sz="4" w:space="0" w:color="A6A6A6"/>
              <w:bottom w:val="nil"/>
              <w:right w:val="single" w:sz="4" w:space="0" w:color="A6A6A6"/>
            </w:tcBorders>
            <w:shd w:val="clear" w:color="auto" w:fill="auto"/>
            <w:noWrap/>
            <w:vAlign w:val="bottom"/>
            <w:hideMark/>
          </w:tcPr>
          <w:p w14:paraId="67789902" w14:textId="77777777" w:rsidR="00704550" w:rsidRPr="00704550" w:rsidRDefault="00704550" w:rsidP="00704550">
            <w:pPr>
              <w:spacing w:after="0" w:line="240" w:lineRule="auto"/>
              <w:rPr>
                <w:rFonts w:eastAsia="Times New Roman"/>
              </w:rPr>
            </w:pPr>
            <w:r w:rsidRPr="00704550">
              <w:rPr>
                <w:rFonts w:eastAsia="Times New Roman"/>
              </w:rPr>
              <w:t>Szilvia Doczi</w:t>
            </w:r>
          </w:p>
        </w:tc>
        <w:tc>
          <w:tcPr>
            <w:tcW w:w="2892" w:type="pct"/>
            <w:tcBorders>
              <w:top w:val="single" w:sz="4" w:space="0" w:color="A6A6A6"/>
              <w:left w:val="nil"/>
              <w:bottom w:val="single" w:sz="4" w:space="0" w:color="A6A6A6"/>
              <w:right w:val="single" w:sz="4" w:space="0" w:color="A6A6A6"/>
            </w:tcBorders>
            <w:shd w:val="clear" w:color="auto" w:fill="auto"/>
            <w:noWrap/>
            <w:vAlign w:val="bottom"/>
            <w:hideMark/>
          </w:tcPr>
          <w:p w14:paraId="1892C78F" w14:textId="77777777" w:rsidR="00704550" w:rsidRPr="00704550" w:rsidRDefault="00704550" w:rsidP="00704550">
            <w:pPr>
              <w:spacing w:after="0" w:line="240" w:lineRule="auto"/>
              <w:rPr>
                <w:rFonts w:eastAsia="Times New Roman"/>
              </w:rPr>
            </w:pPr>
            <w:r w:rsidRPr="00704550">
              <w:rPr>
                <w:rFonts w:eastAsia="Times New Roman"/>
              </w:rPr>
              <w:t>Arup</w:t>
            </w:r>
          </w:p>
        </w:tc>
        <w:tc>
          <w:tcPr>
            <w:tcW w:w="716" w:type="pct"/>
            <w:tcBorders>
              <w:top w:val="single" w:sz="4" w:space="0" w:color="A6A6A6"/>
              <w:left w:val="nil"/>
              <w:bottom w:val="nil"/>
              <w:right w:val="single" w:sz="4" w:space="0" w:color="A6A6A6"/>
            </w:tcBorders>
            <w:shd w:val="clear" w:color="auto" w:fill="auto"/>
            <w:noWrap/>
            <w:vAlign w:val="bottom"/>
            <w:hideMark/>
          </w:tcPr>
          <w:p w14:paraId="51FE66A8"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w:t>
            </w:r>
          </w:p>
        </w:tc>
      </w:tr>
      <w:tr w:rsidR="00704550" w:rsidRPr="00704550" w14:paraId="35DA421F" w14:textId="77777777" w:rsidTr="00704550">
        <w:tc>
          <w:tcPr>
            <w:tcW w:w="1392" w:type="pct"/>
            <w:tcBorders>
              <w:top w:val="single" w:sz="4" w:space="0" w:color="A6A6A6"/>
              <w:left w:val="single" w:sz="4" w:space="0" w:color="A6A6A6"/>
              <w:bottom w:val="single" w:sz="4" w:space="0" w:color="A5A5A5"/>
              <w:right w:val="single" w:sz="4" w:space="0" w:color="A6A6A6"/>
            </w:tcBorders>
            <w:shd w:val="clear" w:color="auto" w:fill="auto"/>
            <w:noWrap/>
            <w:vAlign w:val="bottom"/>
            <w:hideMark/>
          </w:tcPr>
          <w:p w14:paraId="67C94DDF" w14:textId="77777777" w:rsidR="00704550" w:rsidRPr="00704550" w:rsidRDefault="00704550" w:rsidP="00704550">
            <w:pPr>
              <w:spacing w:after="0" w:line="240" w:lineRule="auto"/>
              <w:rPr>
                <w:rFonts w:eastAsia="Times New Roman"/>
              </w:rPr>
            </w:pPr>
            <w:r w:rsidRPr="00704550">
              <w:rPr>
                <w:rFonts w:eastAsia="Times New Roman"/>
              </w:rPr>
              <w:t>Tim Xu</w:t>
            </w:r>
          </w:p>
        </w:tc>
        <w:tc>
          <w:tcPr>
            <w:tcW w:w="2892" w:type="pct"/>
            <w:tcBorders>
              <w:top w:val="single" w:sz="4" w:space="0" w:color="A6A6A6"/>
              <w:left w:val="single" w:sz="4" w:space="0" w:color="A6A6A6"/>
              <w:bottom w:val="single" w:sz="4" w:space="0" w:color="A5A5A5"/>
              <w:right w:val="single" w:sz="4" w:space="0" w:color="A6A6A6"/>
            </w:tcBorders>
            <w:shd w:val="clear" w:color="auto" w:fill="auto"/>
            <w:noWrap/>
            <w:vAlign w:val="bottom"/>
            <w:hideMark/>
          </w:tcPr>
          <w:p w14:paraId="30BD621E" w14:textId="77777777" w:rsidR="00704550" w:rsidRPr="00704550" w:rsidRDefault="00704550" w:rsidP="00704550">
            <w:pPr>
              <w:spacing w:after="0" w:line="240" w:lineRule="auto"/>
              <w:rPr>
                <w:rFonts w:eastAsia="Times New Roman"/>
              </w:rPr>
            </w:pPr>
            <w:r w:rsidRPr="00704550">
              <w:rPr>
                <w:rFonts w:eastAsia="Times New Roman"/>
              </w:rPr>
              <w:t>PG&amp;E</w:t>
            </w:r>
          </w:p>
        </w:tc>
        <w:tc>
          <w:tcPr>
            <w:tcW w:w="716" w:type="pct"/>
            <w:tcBorders>
              <w:top w:val="single" w:sz="4" w:space="0" w:color="A6A6A6"/>
              <w:left w:val="single" w:sz="4" w:space="0" w:color="A6A6A6"/>
              <w:bottom w:val="single" w:sz="4" w:space="0" w:color="A5A5A5"/>
              <w:right w:val="single" w:sz="4" w:space="0" w:color="A6A6A6"/>
            </w:tcBorders>
            <w:shd w:val="clear" w:color="auto" w:fill="auto"/>
            <w:noWrap/>
            <w:vAlign w:val="bottom"/>
            <w:hideMark/>
          </w:tcPr>
          <w:p w14:paraId="6C69E745" w14:textId="77777777" w:rsidR="00704550" w:rsidRPr="00704550" w:rsidRDefault="00704550" w:rsidP="00704550">
            <w:pPr>
              <w:spacing w:after="0" w:line="240" w:lineRule="auto"/>
              <w:jc w:val="center"/>
              <w:rPr>
                <w:rFonts w:eastAsia="Times New Roman"/>
                <w:color w:val="000000"/>
              </w:rPr>
            </w:pPr>
            <w:r w:rsidRPr="00704550">
              <w:rPr>
                <w:rFonts w:eastAsia="Times New Roman"/>
                <w:color w:val="000000"/>
              </w:rPr>
              <w:t>X (phone)</w:t>
            </w:r>
          </w:p>
        </w:tc>
      </w:tr>
    </w:tbl>
    <w:p w14:paraId="5E752FE9" w14:textId="7D0CDA92" w:rsidR="00F63BEE" w:rsidRPr="00145AE0" w:rsidRDefault="00F63BEE" w:rsidP="00B74434"/>
    <w:sectPr w:rsidR="00F63BEE" w:rsidRPr="00145AE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6A556" w14:textId="77777777" w:rsidR="007E0790" w:rsidRDefault="007E0790" w:rsidP="00B74434">
      <w:r>
        <w:separator/>
      </w:r>
    </w:p>
  </w:endnote>
  <w:endnote w:type="continuationSeparator" w:id="0">
    <w:p w14:paraId="4A8CC6A6" w14:textId="77777777" w:rsidR="007E0790" w:rsidRDefault="007E0790" w:rsidP="00B7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C7DA" w14:textId="55B644CF" w:rsidR="00393549" w:rsidRDefault="00393549" w:rsidP="00B74434">
    <w:pPr>
      <w:pStyle w:val="Footer"/>
    </w:pPr>
    <w:r>
      <w:t>Track 2 Working Group</w:t>
    </w:r>
    <w:r>
      <w:tab/>
    </w:r>
    <w:r>
      <w:ptab w:relativeTo="margin" w:alignment="center" w:leader="none"/>
    </w:r>
    <w:r>
      <w:t xml:space="preserve">Page </w:t>
    </w:r>
    <w:r>
      <w:fldChar w:fldCharType="begin"/>
    </w:r>
    <w:r>
      <w:instrText xml:space="preserve"> PAGE  \* Arabic  \* MERGEFORMAT </w:instrText>
    </w:r>
    <w:r>
      <w:fldChar w:fldCharType="separate"/>
    </w:r>
    <w:r w:rsidR="00B118E5">
      <w:rPr>
        <w:noProof/>
      </w:rPr>
      <w:t>7</w:t>
    </w:r>
    <w:r>
      <w:fldChar w:fldCharType="end"/>
    </w:r>
    <w:r>
      <w:t xml:space="preserve"> of </w:t>
    </w:r>
    <w:fldSimple w:instr=" NUMPAGES  \* Arabic  \* MERGEFORMAT ">
      <w:r w:rsidR="00B118E5">
        <w:rPr>
          <w:noProof/>
        </w:rPr>
        <w:t>7</w:t>
      </w:r>
    </w:fldSimple>
    <w:r>
      <w:ptab w:relativeTo="margin" w:alignment="right" w:leader="none"/>
    </w:r>
    <w:r>
      <w:t>Meeting Notes, 6/6 -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92A3" w14:textId="77777777" w:rsidR="007E0790" w:rsidRDefault="007E0790" w:rsidP="00B74434">
      <w:r>
        <w:separator/>
      </w:r>
    </w:p>
  </w:footnote>
  <w:footnote w:type="continuationSeparator" w:id="0">
    <w:p w14:paraId="58BD94E9" w14:textId="77777777" w:rsidR="007E0790" w:rsidRDefault="007E0790" w:rsidP="00B7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8AE2" w14:textId="3B1333AC" w:rsidR="00393549" w:rsidRPr="0048584C" w:rsidRDefault="007E0790" w:rsidP="0048584C">
    <w:pPr>
      <w:jc w:val="center"/>
      <w:rPr>
        <w:b/>
        <w:i/>
        <w:color w:val="FF0000"/>
      </w:rPr>
    </w:pPr>
    <w:sdt>
      <w:sdtPr>
        <w:rPr>
          <w:b/>
          <w:i/>
          <w:color w:val="FF0000"/>
        </w:rPr>
        <w:id w:val="-2121519899"/>
        <w:docPartObj>
          <w:docPartGallery w:val="Watermarks"/>
          <w:docPartUnique/>
        </w:docPartObj>
      </w:sdtPr>
      <w:sdtEndPr/>
      <w:sdtContent>
        <w:r>
          <w:rPr>
            <w:b/>
            <w:i/>
            <w:noProof/>
            <w:color w:val="FF0000"/>
          </w:rPr>
          <w:pict w14:anchorId="6AEB7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3549" w:rsidRPr="0048584C">
      <w:rPr>
        <w:b/>
        <w:i/>
        <w:color w:val="FF0000"/>
      </w:rPr>
      <w:t>DRAFT MEETING NOTES</w:t>
    </w:r>
  </w:p>
  <w:p w14:paraId="5C84AFA1" w14:textId="77777777" w:rsidR="00393549" w:rsidRDefault="00393549" w:rsidP="00B74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2E0A"/>
    <w:multiLevelType w:val="hybridMultilevel"/>
    <w:tmpl w:val="E12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055A7"/>
    <w:multiLevelType w:val="hybridMultilevel"/>
    <w:tmpl w:val="67A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F2204"/>
    <w:multiLevelType w:val="hybridMultilevel"/>
    <w:tmpl w:val="4F18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B38CD"/>
    <w:multiLevelType w:val="hybridMultilevel"/>
    <w:tmpl w:val="B10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41F5F"/>
    <w:multiLevelType w:val="hybridMultilevel"/>
    <w:tmpl w:val="72EA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C0689"/>
    <w:multiLevelType w:val="hybridMultilevel"/>
    <w:tmpl w:val="B074EF54"/>
    <w:lvl w:ilvl="0" w:tplc="04090001">
      <w:start w:val="1"/>
      <w:numFmt w:val="bullet"/>
      <w:lvlText w:val=""/>
      <w:lvlJc w:val="left"/>
      <w:pPr>
        <w:ind w:left="720" w:hanging="360"/>
      </w:pPr>
      <w:rPr>
        <w:rFonts w:ascii="Symbol" w:hAnsi="Symbol" w:hint="default"/>
      </w:rPr>
    </w:lvl>
    <w:lvl w:ilvl="1" w:tplc="0608BBD2">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3747A"/>
    <w:multiLevelType w:val="hybridMultilevel"/>
    <w:tmpl w:val="3014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76AB6"/>
    <w:multiLevelType w:val="hybridMultilevel"/>
    <w:tmpl w:val="3A94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52056"/>
    <w:multiLevelType w:val="hybridMultilevel"/>
    <w:tmpl w:val="827E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F5802"/>
    <w:multiLevelType w:val="hybridMultilevel"/>
    <w:tmpl w:val="094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211AC"/>
    <w:multiLevelType w:val="hybridMultilevel"/>
    <w:tmpl w:val="5348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83DB3"/>
    <w:multiLevelType w:val="hybridMultilevel"/>
    <w:tmpl w:val="7A4A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2"/>
  </w:num>
  <w:num w:numId="6">
    <w:abstractNumId w:val="6"/>
  </w:num>
  <w:num w:numId="7">
    <w:abstractNumId w:val="9"/>
  </w:num>
  <w:num w:numId="8">
    <w:abstractNumId w:val="5"/>
  </w:num>
  <w:num w:numId="9">
    <w:abstractNumId w:val="8"/>
  </w:num>
  <w:num w:numId="10">
    <w:abstractNumId w:val="1"/>
  </w:num>
  <w:num w:numId="11">
    <w:abstractNumId w:val="0"/>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60"/>
    <w:rsid w:val="0000059C"/>
    <w:rsid w:val="00003909"/>
    <w:rsid w:val="00004A4A"/>
    <w:rsid w:val="00013321"/>
    <w:rsid w:val="00027A4C"/>
    <w:rsid w:val="0007499E"/>
    <w:rsid w:val="0008212F"/>
    <w:rsid w:val="00084DE1"/>
    <w:rsid w:val="000904CD"/>
    <w:rsid w:val="00093DCD"/>
    <w:rsid w:val="000A23ED"/>
    <w:rsid w:val="000B4B3F"/>
    <w:rsid w:val="000D3273"/>
    <w:rsid w:val="000D511E"/>
    <w:rsid w:val="000D5FD8"/>
    <w:rsid w:val="000F315A"/>
    <w:rsid w:val="00111D3D"/>
    <w:rsid w:val="00134FE0"/>
    <w:rsid w:val="00141C06"/>
    <w:rsid w:val="00145566"/>
    <w:rsid w:val="00145AE0"/>
    <w:rsid w:val="00150BF8"/>
    <w:rsid w:val="0015129F"/>
    <w:rsid w:val="001700BF"/>
    <w:rsid w:val="0017250C"/>
    <w:rsid w:val="001738E7"/>
    <w:rsid w:val="00176BC5"/>
    <w:rsid w:val="001776E7"/>
    <w:rsid w:val="00184451"/>
    <w:rsid w:val="001A013B"/>
    <w:rsid w:val="001B6161"/>
    <w:rsid w:val="001C6D64"/>
    <w:rsid w:val="001D127F"/>
    <w:rsid w:val="001E3545"/>
    <w:rsid w:val="001E7922"/>
    <w:rsid w:val="001F0452"/>
    <w:rsid w:val="002014C2"/>
    <w:rsid w:val="00216024"/>
    <w:rsid w:val="002260F0"/>
    <w:rsid w:val="00226CDF"/>
    <w:rsid w:val="00241353"/>
    <w:rsid w:val="002470BD"/>
    <w:rsid w:val="002471CD"/>
    <w:rsid w:val="002521FA"/>
    <w:rsid w:val="00255043"/>
    <w:rsid w:val="00256F57"/>
    <w:rsid w:val="002611C8"/>
    <w:rsid w:val="002639E5"/>
    <w:rsid w:val="0027775D"/>
    <w:rsid w:val="00280D14"/>
    <w:rsid w:val="002941AA"/>
    <w:rsid w:val="002A09B5"/>
    <w:rsid w:val="002A29A4"/>
    <w:rsid w:val="002A2D90"/>
    <w:rsid w:val="002A60AA"/>
    <w:rsid w:val="002C5D79"/>
    <w:rsid w:val="002C64CA"/>
    <w:rsid w:val="002C7592"/>
    <w:rsid w:val="002C7BF7"/>
    <w:rsid w:val="002E3AD7"/>
    <w:rsid w:val="0030425B"/>
    <w:rsid w:val="0030685B"/>
    <w:rsid w:val="003074B5"/>
    <w:rsid w:val="0031049F"/>
    <w:rsid w:val="003118D2"/>
    <w:rsid w:val="00314EE4"/>
    <w:rsid w:val="0031509A"/>
    <w:rsid w:val="0033500A"/>
    <w:rsid w:val="00335787"/>
    <w:rsid w:val="00344A61"/>
    <w:rsid w:val="00361E76"/>
    <w:rsid w:val="003626BE"/>
    <w:rsid w:val="00362D78"/>
    <w:rsid w:val="003651E1"/>
    <w:rsid w:val="00370743"/>
    <w:rsid w:val="0037170C"/>
    <w:rsid w:val="00386048"/>
    <w:rsid w:val="00393549"/>
    <w:rsid w:val="0039394D"/>
    <w:rsid w:val="003A0AA7"/>
    <w:rsid w:val="003B08A9"/>
    <w:rsid w:val="003D7086"/>
    <w:rsid w:val="003E5633"/>
    <w:rsid w:val="003F3964"/>
    <w:rsid w:val="003F6735"/>
    <w:rsid w:val="003F71D5"/>
    <w:rsid w:val="003F7E8C"/>
    <w:rsid w:val="00416FE8"/>
    <w:rsid w:val="00421AD0"/>
    <w:rsid w:val="00422D64"/>
    <w:rsid w:val="00424B74"/>
    <w:rsid w:val="00431165"/>
    <w:rsid w:val="00433567"/>
    <w:rsid w:val="00436106"/>
    <w:rsid w:val="00437ADF"/>
    <w:rsid w:val="004420EA"/>
    <w:rsid w:val="00464ECE"/>
    <w:rsid w:val="00465ADF"/>
    <w:rsid w:val="0047192B"/>
    <w:rsid w:val="0048145B"/>
    <w:rsid w:val="004815A4"/>
    <w:rsid w:val="00483D69"/>
    <w:rsid w:val="0048584C"/>
    <w:rsid w:val="00491B1A"/>
    <w:rsid w:val="00494741"/>
    <w:rsid w:val="00495060"/>
    <w:rsid w:val="004A6218"/>
    <w:rsid w:val="004B6DE2"/>
    <w:rsid w:val="004C31F7"/>
    <w:rsid w:val="004D2F6D"/>
    <w:rsid w:val="004D58DE"/>
    <w:rsid w:val="004D5C3C"/>
    <w:rsid w:val="004E1403"/>
    <w:rsid w:val="004E2576"/>
    <w:rsid w:val="00503649"/>
    <w:rsid w:val="005105EB"/>
    <w:rsid w:val="00514903"/>
    <w:rsid w:val="00515246"/>
    <w:rsid w:val="00531C17"/>
    <w:rsid w:val="00535542"/>
    <w:rsid w:val="005364C6"/>
    <w:rsid w:val="00547210"/>
    <w:rsid w:val="005632BB"/>
    <w:rsid w:val="00576DAA"/>
    <w:rsid w:val="005824CB"/>
    <w:rsid w:val="0058327F"/>
    <w:rsid w:val="00591616"/>
    <w:rsid w:val="005A0A54"/>
    <w:rsid w:val="005B1B10"/>
    <w:rsid w:val="005C71D4"/>
    <w:rsid w:val="005D2443"/>
    <w:rsid w:val="005D2C7D"/>
    <w:rsid w:val="005E065B"/>
    <w:rsid w:val="005E239C"/>
    <w:rsid w:val="005E6685"/>
    <w:rsid w:val="00613211"/>
    <w:rsid w:val="0061390C"/>
    <w:rsid w:val="00613BCF"/>
    <w:rsid w:val="00620224"/>
    <w:rsid w:val="00631435"/>
    <w:rsid w:val="006350FF"/>
    <w:rsid w:val="00640272"/>
    <w:rsid w:val="00641C20"/>
    <w:rsid w:val="00647FF2"/>
    <w:rsid w:val="006536C1"/>
    <w:rsid w:val="0065398D"/>
    <w:rsid w:val="00661E71"/>
    <w:rsid w:val="0067270C"/>
    <w:rsid w:val="00676213"/>
    <w:rsid w:val="00681004"/>
    <w:rsid w:val="006813C5"/>
    <w:rsid w:val="00692E85"/>
    <w:rsid w:val="00695F30"/>
    <w:rsid w:val="006A5415"/>
    <w:rsid w:val="006A5538"/>
    <w:rsid w:val="006B0347"/>
    <w:rsid w:val="006B6AA1"/>
    <w:rsid w:val="006C4AD5"/>
    <w:rsid w:val="006D50C3"/>
    <w:rsid w:val="006E6A06"/>
    <w:rsid w:val="006F29BB"/>
    <w:rsid w:val="00704550"/>
    <w:rsid w:val="007149A4"/>
    <w:rsid w:val="00720F17"/>
    <w:rsid w:val="00721291"/>
    <w:rsid w:val="007507D8"/>
    <w:rsid w:val="00763096"/>
    <w:rsid w:val="0076470F"/>
    <w:rsid w:val="007823A9"/>
    <w:rsid w:val="0078241F"/>
    <w:rsid w:val="00783AED"/>
    <w:rsid w:val="007A4211"/>
    <w:rsid w:val="007B0A56"/>
    <w:rsid w:val="007C316D"/>
    <w:rsid w:val="007C630F"/>
    <w:rsid w:val="007C6AC5"/>
    <w:rsid w:val="007D2897"/>
    <w:rsid w:val="007D3790"/>
    <w:rsid w:val="007D456C"/>
    <w:rsid w:val="007E0790"/>
    <w:rsid w:val="007E0D6B"/>
    <w:rsid w:val="007E419F"/>
    <w:rsid w:val="007E57B4"/>
    <w:rsid w:val="007E59B6"/>
    <w:rsid w:val="00810ACD"/>
    <w:rsid w:val="008206BC"/>
    <w:rsid w:val="00823B8A"/>
    <w:rsid w:val="0082754A"/>
    <w:rsid w:val="0083291F"/>
    <w:rsid w:val="0085479C"/>
    <w:rsid w:val="00863116"/>
    <w:rsid w:val="00864417"/>
    <w:rsid w:val="00864D58"/>
    <w:rsid w:val="00884510"/>
    <w:rsid w:val="00890253"/>
    <w:rsid w:val="00892C57"/>
    <w:rsid w:val="008A0B0D"/>
    <w:rsid w:val="008A2594"/>
    <w:rsid w:val="008B6955"/>
    <w:rsid w:val="008B7616"/>
    <w:rsid w:val="008B7B52"/>
    <w:rsid w:val="008C2904"/>
    <w:rsid w:val="008C7D75"/>
    <w:rsid w:val="008D06D1"/>
    <w:rsid w:val="008D6796"/>
    <w:rsid w:val="008E1C56"/>
    <w:rsid w:val="00905E49"/>
    <w:rsid w:val="00913BDF"/>
    <w:rsid w:val="00917193"/>
    <w:rsid w:val="00920A92"/>
    <w:rsid w:val="00922A19"/>
    <w:rsid w:val="00925708"/>
    <w:rsid w:val="009265A7"/>
    <w:rsid w:val="00927239"/>
    <w:rsid w:val="009353F8"/>
    <w:rsid w:val="009458FA"/>
    <w:rsid w:val="00947559"/>
    <w:rsid w:val="00952145"/>
    <w:rsid w:val="0095735D"/>
    <w:rsid w:val="00965466"/>
    <w:rsid w:val="0098042A"/>
    <w:rsid w:val="009875D1"/>
    <w:rsid w:val="0099242F"/>
    <w:rsid w:val="009A1CAE"/>
    <w:rsid w:val="009A2C50"/>
    <w:rsid w:val="009A7B74"/>
    <w:rsid w:val="009C0308"/>
    <w:rsid w:val="009D01D4"/>
    <w:rsid w:val="009D29A6"/>
    <w:rsid w:val="009E020B"/>
    <w:rsid w:val="009F0B8A"/>
    <w:rsid w:val="00A04CE9"/>
    <w:rsid w:val="00A06161"/>
    <w:rsid w:val="00A117A2"/>
    <w:rsid w:val="00A167F3"/>
    <w:rsid w:val="00A228BA"/>
    <w:rsid w:val="00A24BE8"/>
    <w:rsid w:val="00A25781"/>
    <w:rsid w:val="00A377EF"/>
    <w:rsid w:val="00A53539"/>
    <w:rsid w:val="00A544F1"/>
    <w:rsid w:val="00A6732B"/>
    <w:rsid w:val="00A72C20"/>
    <w:rsid w:val="00A733CF"/>
    <w:rsid w:val="00A74B92"/>
    <w:rsid w:val="00A77DF6"/>
    <w:rsid w:val="00A85979"/>
    <w:rsid w:val="00A93454"/>
    <w:rsid w:val="00A9607B"/>
    <w:rsid w:val="00AB75B4"/>
    <w:rsid w:val="00AC5A20"/>
    <w:rsid w:val="00AC60EF"/>
    <w:rsid w:val="00AC64A0"/>
    <w:rsid w:val="00AC70BE"/>
    <w:rsid w:val="00AE2748"/>
    <w:rsid w:val="00AE6D60"/>
    <w:rsid w:val="00AE6F9F"/>
    <w:rsid w:val="00AF51A4"/>
    <w:rsid w:val="00B015D9"/>
    <w:rsid w:val="00B04109"/>
    <w:rsid w:val="00B118E5"/>
    <w:rsid w:val="00B31137"/>
    <w:rsid w:val="00B315F3"/>
    <w:rsid w:val="00B31EA1"/>
    <w:rsid w:val="00B435FF"/>
    <w:rsid w:val="00B54EAF"/>
    <w:rsid w:val="00B74434"/>
    <w:rsid w:val="00B753F6"/>
    <w:rsid w:val="00B761E1"/>
    <w:rsid w:val="00B8583F"/>
    <w:rsid w:val="00B93A91"/>
    <w:rsid w:val="00B941E4"/>
    <w:rsid w:val="00B96D04"/>
    <w:rsid w:val="00BA1971"/>
    <w:rsid w:val="00BB7D87"/>
    <w:rsid w:val="00BC309E"/>
    <w:rsid w:val="00BC37B9"/>
    <w:rsid w:val="00BC6813"/>
    <w:rsid w:val="00BC6CFA"/>
    <w:rsid w:val="00BF7CCB"/>
    <w:rsid w:val="00C10F95"/>
    <w:rsid w:val="00C14D49"/>
    <w:rsid w:val="00C3056E"/>
    <w:rsid w:val="00C30F76"/>
    <w:rsid w:val="00C35D13"/>
    <w:rsid w:val="00C35E55"/>
    <w:rsid w:val="00C418EE"/>
    <w:rsid w:val="00C5120D"/>
    <w:rsid w:val="00C56750"/>
    <w:rsid w:val="00C76805"/>
    <w:rsid w:val="00C871E1"/>
    <w:rsid w:val="00C97950"/>
    <w:rsid w:val="00CA29B8"/>
    <w:rsid w:val="00CA5FC3"/>
    <w:rsid w:val="00CB00CA"/>
    <w:rsid w:val="00CB4BD7"/>
    <w:rsid w:val="00CC26A3"/>
    <w:rsid w:val="00CC6C2E"/>
    <w:rsid w:val="00CD26FA"/>
    <w:rsid w:val="00CD28CF"/>
    <w:rsid w:val="00CF6D87"/>
    <w:rsid w:val="00D0116A"/>
    <w:rsid w:val="00D02547"/>
    <w:rsid w:val="00D1503F"/>
    <w:rsid w:val="00D17B26"/>
    <w:rsid w:val="00D23377"/>
    <w:rsid w:val="00D27774"/>
    <w:rsid w:val="00D34F10"/>
    <w:rsid w:val="00D36A72"/>
    <w:rsid w:val="00D52B8F"/>
    <w:rsid w:val="00D640E1"/>
    <w:rsid w:val="00D700F8"/>
    <w:rsid w:val="00D77B8D"/>
    <w:rsid w:val="00D817B5"/>
    <w:rsid w:val="00D842EC"/>
    <w:rsid w:val="00D91A16"/>
    <w:rsid w:val="00D934E8"/>
    <w:rsid w:val="00DB1609"/>
    <w:rsid w:val="00DC01F6"/>
    <w:rsid w:val="00DC22F6"/>
    <w:rsid w:val="00DE6CD5"/>
    <w:rsid w:val="00DF0992"/>
    <w:rsid w:val="00DF6455"/>
    <w:rsid w:val="00E12D8A"/>
    <w:rsid w:val="00E13856"/>
    <w:rsid w:val="00E25159"/>
    <w:rsid w:val="00E3109F"/>
    <w:rsid w:val="00E40192"/>
    <w:rsid w:val="00E66894"/>
    <w:rsid w:val="00E70295"/>
    <w:rsid w:val="00E7555C"/>
    <w:rsid w:val="00E8640C"/>
    <w:rsid w:val="00EA013E"/>
    <w:rsid w:val="00EA2387"/>
    <w:rsid w:val="00EC0DA7"/>
    <w:rsid w:val="00EC64AB"/>
    <w:rsid w:val="00ED705A"/>
    <w:rsid w:val="00EE47F4"/>
    <w:rsid w:val="00EF6788"/>
    <w:rsid w:val="00F0481F"/>
    <w:rsid w:val="00F118F4"/>
    <w:rsid w:val="00F140AF"/>
    <w:rsid w:val="00F21004"/>
    <w:rsid w:val="00F257DA"/>
    <w:rsid w:val="00F25E0E"/>
    <w:rsid w:val="00F313DD"/>
    <w:rsid w:val="00F340C2"/>
    <w:rsid w:val="00F41245"/>
    <w:rsid w:val="00F4659D"/>
    <w:rsid w:val="00F46ACC"/>
    <w:rsid w:val="00F47AF7"/>
    <w:rsid w:val="00F5578C"/>
    <w:rsid w:val="00F63BEE"/>
    <w:rsid w:val="00F84C7C"/>
    <w:rsid w:val="00F95C61"/>
    <w:rsid w:val="00F975FD"/>
    <w:rsid w:val="00F97A3A"/>
    <w:rsid w:val="00FA3A3F"/>
    <w:rsid w:val="00FA4CEA"/>
    <w:rsid w:val="00FA5F9A"/>
    <w:rsid w:val="00FC7CA6"/>
    <w:rsid w:val="00FD1CC4"/>
    <w:rsid w:val="00FD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8C0A28"/>
  <w15:chartTrackingRefBased/>
  <w15:docId w15:val="{081652EE-1524-4162-ABCF-DAB79EC6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4434"/>
    <w:rPr>
      <w:rFonts w:ascii="Arial" w:hAnsi="Arial" w:cs="Arial"/>
    </w:rPr>
  </w:style>
  <w:style w:type="paragraph" w:styleId="Heading2">
    <w:name w:val="heading 2"/>
    <w:basedOn w:val="Normal"/>
    <w:next w:val="Normal"/>
    <w:link w:val="Heading2Char"/>
    <w:uiPriority w:val="9"/>
    <w:unhideWhenUsed/>
    <w:qFormat/>
    <w:rsid w:val="00416FE8"/>
    <w:pPr>
      <w:autoSpaceDE w:val="0"/>
      <w:autoSpaceDN w:val="0"/>
      <w:adjustRightInd w:val="0"/>
      <w:spacing w:after="0" w:line="240" w:lineRule="auto"/>
      <w:outlineLvl w:val="1"/>
    </w:pPr>
    <w:rPr>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060"/>
    <w:pPr>
      <w:ind w:left="720"/>
      <w:contextualSpacing/>
    </w:pPr>
  </w:style>
  <w:style w:type="character" w:styleId="CommentReference">
    <w:name w:val="annotation reference"/>
    <w:basedOn w:val="DefaultParagraphFont"/>
    <w:uiPriority w:val="99"/>
    <w:semiHidden/>
    <w:unhideWhenUsed/>
    <w:rsid w:val="00AC5A20"/>
    <w:rPr>
      <w:sz w:val="16"/>
      <w:szCs w:val="16"/>
    </w:rPr>
  </w:style>
  <w:style w:type="paragraph" w:styleId="CommentText">
    <w:name w:val="annotation text"/>
    <w:basedOn w:val="Normal"/>
    <w:link w:val="CommentTextChar"/>
    <w:uiPriority w:val="99"/>
    <w:unhideWhenUsed/>
    <w:rsid w:val="00AC5A20"/>
    <w:pPr>
      <w:spacing w:line="240" w:lineRule="auto"/>
    </w:pPr>
    <w:rPr>
      <w:sz w:val="20"/>
      <w:szCs w:val="20"/>
    </w:rPr>
  </w:style>
  <w:style w:type="character" w:customStyle="1" w:styleId="CommentTextChar">
    <w:name w:val="Comment Text Char"/>
    <w:basedOn w:val="DefaultParagraphFont"/>
    <w:link w:val="CommentText"/>
    <w:uiPriority w:val="99"/>
    <w:rsid w:val="00AC5A20"/>
    <w:rPr>
      <w:sz w:val="20"/>
      <w:szCs w:val="20"/>
      <w:lang w:val="es-US"/>
    </w:rPr>
  </w:style>
  <w:style w:type="paragraph" w:styleId="CommentSubject">
    <w:name w:val="annotation subject"/>
    <w:basedOn w:val="CommentText"/>
    <w:next w:val="CommentText"/>
    <w:link w:val="CommentSubjectChar"/>
    <w:uiPriority w:val="99"/>
    <w:semiHidden/>
    <w:unhideWhenUsed/>
    <w:rsid w:val="00AC5A20"/>
    <w:rPr>
      <w:b/>
      <w:bCs/>
    </w:rPr>
  </w:style>
  <w:style w:type="character" w:customStyle="1" w:styleId="CommentSubjectChar">
    <w:name w:val="Comment Subject Char"/>
    <w:basedOn w:val="CommentTextChar"/>
    <w:link w:val="CommentSubject"/>
    <w:uiPriority w:val="99"/>
    <w:semiHidden/>
    <w:rsid w:val="00AC5A20"/>
    <w:rPr>
      <w:b/>
      <w:bCs/>
      <w:sz w:val="20"/>
      <w:szCs w:val="20"/>
      <w:lang w:val="es-US"/>
    </w:rPr>
  </w:style>
  <w:style w:type="paragraph" w:styleId="BalloonText">
    <w:name w:val="Balloon Text"/>
    <w:basedOn w:val="Normal"/>
    <w:link w:val="BalloonTextChar"/>
    <w:uiPriority w:val="99"/>
    <w:semiHidden/>
    <w:unhideWhenUsed/>
    <w:rsid w:val="00AC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20"/>
    <w:rPr>
      <w:rFonts w:ascii="Segoe UI" w:hAnsi="Segoe UI" w:cs="Segoe UI"/>
      <w:sz w:val="18"/>
      <w:szCs w:val="18"/>
      <w:lang w:val="es-US"/>
    </w:rPr>
  </w:style>
  <w:style w:type="paragraph" w:customStyle="1" w:styleId="Default">
    <w:name w:val="Default"/>
    <w:rsid w:val="00E8640C"/>
    <w:pPr>
      <w:autoSpaceDE w:val="0"/>
      <w:autoSpaceDN w:val="0"/>
      <w:adjustRightInd w:val="0"/>
      <w:spacing w:after="0" w:line="240" w:lineRule="auto"/>
    </w:pPr>
    <w:rPr>
      <w:rFonts w:ascii="Book Antiqua" w:hAnsi="Book Antiqua" w:cs="Book Antiqua"/>
      <w:color w:val="000000"/>
      <w:sz w:val="24"/>
      <w:szCs w:val="24"/>
    </w:rPr>
  </w:style>
  <w:style w:type="character" w:customStyle="1" w:styleId="property-streetaddress">
    <w:name w:val="property-streetaddress"/>
    <w:basedOn w:val="DefaultParagraphFont"/>
    <w:rsid w:val="00491B1A"/>
  </w:style>
  <w:style w:type="paragraph" w:styleId="Header">
    <w:name w:val="header"/>
    <w:basedOn w:val="Normal"/>
    <w:link w:val="HeaderChar"/>
    <w:uiPriority w:val="99"/>
    <w:unhideWhenUsed/>
    <w:rsid w:val="00491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1A"/>
    <w:rPr>
      <w:lang w:val="es-US"/>
    </w:rPr>
  </w:style>
  <w:style w:type="paragraph" w:styleId="Footer">
    <w:name w:val="footer"/>
    <w:basedOn w:val="Normal"/>
    <w:link w:val="FooterChar"/>
    <w:uiPriority w:val="99"/>
    <w:unhideWhenUsed/>
    <w:rsid w:val="0049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1A"/>
    <w:rPr>
      <w:lang w:val="es-US"/>
    </w:rPr>
  </w:style>
  <w:style w:type="table" w:styleId="TableGrid">
    <w:name w:val="Table Grid"/>
    <w:basedOn w:val="TableNormal"/>
    <w:uiPriority w:val="39"/>
    <w:rsid w:val="0014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5AE0"/>
    <w:pPr>
      <w:spacing w:after="0" w:line="240" w:lineRule="auto"/>
    </w:pPr>
    <w:rPr>
      <w:lang w:val="es-US"/>
    </w:rPr>
  </w:style>
  <w:style w:type="paragraph" w:customStyle="1" w:styleId="PublicMeeting">
    <w:name w:val="Public Meeting"/>
    <w:basedOn w:val="Normal"/>
    <w:rsid w:val="00416FE8"/>
    <w:pPr>
      <w:keepNext/>
      <w:spacing w:after="0" w:line="240" w:lineRule="auto"/>
    </w:pPr>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rsid w:val="00416FE8"/>
    <w:rPr>
      <w:rFonts w:ascii="Arial" w:hAnsi="Arial" w:cs="Arial"/>
      <w:b/>
      <w:bCs/>
      <w:color w:val="000000"/>
      <w:sz w:val="24"/>
      <w:szCs w:val="24"/>
      <w:u w:val="single"/>
    </w:rPr>
  </w:style>
  <w:style w:type="character" w:styleId="Hyperlink">
    <w:name w:val="Hyperlink"/>
    <w:basedOn w:val="DefaultParagraphFont"/>
    <w:uiPriority w:val="99"/>
    <w:unhideWhenUsed/>
    <w:rsid w:val="001F0452"/>
    <w:rPr>
      <w:color w:val="0000FF"/>
      <w:u w:val="single"/>
    </w:rPr>
  </w:style>
  <w:style w:type="character" w:styleId="FollowedHyperlink">
    <w:name w:val="FollowedHyperlink"/>
    <w:basedOn w:val="DefaultParagraphFont"/>
    <w:uiPriority w:val="99"/>
    <w:semiHidden/>
    <w:unhideWhenUsed/>
    <w:rsid w:val="002C64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87403">
      <w:bodyDiv w:val="1"/>
      <w:marLeft w:val="0"/>
      <w:marRight w:val="0"/>
      <w:marTop w:val="0"/>
      <w:marBottom w:val="0"/>
      <w:divBdr>
        <w:top w:val="none" w:sz="0" w:space="0" w:color="auto"/>
        <w:left w:val="none" w:sz="0" w:space="0" w:color="auto"/>
        <w:bottom w:val="none" w:sz="0" w:space="0" w:color="auto"/>
        <w:right w:val="none" w:sz="0" w:space="0" w:color="auto"/>
      </w:divBdr>
    </w:div>
    <w:div w:id="822964354">
      <w:bodyDiv w:val="1"/>
      <w:marLeft w:val="0"/>
      <w:marRight w:val="0"/>
      <w:marTop w:val="0"/>
      <w:marBottom w:val="0"/>
      <w:divBdr>
        <w:top w:val="none" w:sz="0" w:space="0" w:color="auto"/>
        <w:left w:val="none" w:sz="0" w:space="0" w:color="auto"/>
        <w:bottom w:val="none" w:sz="0" w:space="0" w:color="auto"/>
        <w:right w:val="none" w:sz="0" w:space="0" w:color="auto"/>
      </w:divBdr>
    </w:div>
    <w:div w:id="831869297">
      <w:bodyDiv w:val="1"/>
      <w:marLeft w:val="0"/>
      <w:marRight w:val="0"/>
      <w:marTop w:val="0"/>
      <w:marBottom w:val="0"/>
      <w:divBdr>
        <w:top w:val="none" w:sz="0" w:space="0" w:color="auto"/>
        <w:left w:val="none" w:sz="0" w:space="0" w:color="auto"/>
        <w:bottom w:val="none" w:sz="0" w:space="0" w:color="auto"/>
        <w:right w:val="none" w:sz="0" w:space="0" w:color="auto"/>
      </w:divBdr>
    </w:div>
    <w:div w:id="1274098120">
      <w:bodyDiv w:val="1"/>
      <w:marLeft w:val="0"/>
      <w:marRight w:val="0"/>
      <w:marTop w:val="0"/>
      <w:marBottom w:val="0"/>
      <w:divBdr>
        <w:top w:val="none" w:sz="0" w:space="0" w:color="auto"/>
        <w:left w:val="none" w:sz="0" w:space="0" w:color="auto"/>
        <w:bottom w:val="none" w:sz="0" w:space="0" w:color="auto"/>
        <w:right w:val="none" w:sz="0" w:space="0" w:color="auto"/>
      </w:divBdr>
    </w:div>
    <w:div w:id="1419252338">
      <w:bodyDiv w:val="1"/>
      <w:marLeft w:val="0"/>
      <w:marRight w:val="0"/>
      <w:marTop w:val="0"/>
      <w:marBottom w:val="0"/>
      <w:divBdr>
        <w:top w:val="none" w:sz="0" w:space="0" w:color="auto"/>
        <w:left w:val="none" w:sz="0" w:space="0" w:color="auto"/>
        <w:bottom w:val="none" w:sz="0" w:space="0" w:color="auto"/>
        <w:right w:val="none" w:sz="0" w:space="0" w:color="auto"/>
      </w:divBdr>
    </w:div>
    <w:div w:id="1444109953">
      <w:bodyDiv w:val="1"/>
      <w:marLeft w:val="0"/>
      <w:marRight w:val="0"/>
      <w:marTop w:val="0"/>
      <w:marBottom w:val="0"/>
      <w:divBdr>
        <w:top w:val="none" w:sz="0" w:space="0" w:color="auto"/>
        <w:left w:val="none" w:sz="0" w:space="0" w:color="auto"/>
        <w:bottom w:val="none" w:sz="0" w:space="0" w:color="auto"/>
        <w:right w:val="none" w:sz="0" w:space="0" w:color="auto"/>
      </w:divBdr>
    </w:div>
    <w:div w:id="1508985512">
      <w:bodyDiv w:val="1"/>
      <w:marLeft w:val="0"/>
      <w:marRight w:val="0"/>
      <w:marTop w:val="0"/>
      <w:marBottom w:val="0"/>
      <w:divBdr>
        <w:top w:val="none" w:sz="0" w:space="0" w:color="auto"/>
        <w:left w:val="none" w:sz="0" w:space="0" w:color="auto"/>
        <w:bottom w:val="none" w:sz="0" w:space="0" w:color="auto"/>
        <w:right w:val="none" w:sz="0" w:space="0" w:color="auto"/>
      </w:divBdr>
    </w:div>
    <w:div w:id="1625503404">
      <w:bodyDiv w:val="1"/>
      <w:marLeft w:val="0"/>
      <w:marRight w:val="0"/>
      <w:marTop w:val="0"/>
      <w:marBottom w:val="0"/>
      <w:divBdr>
        <w:top w:val="none" w:sz="0" w:space="0" w:color="auto"/>
        <w:left w:val="none" w:sz="0" w:space="0" w:color="auto"/>
        <w:bottom w:val="none" w:sz="0" w:space="0" w:color="auto"/>
        <w:right w:val="none" w:sz="0" w:space="0" w:color="auto"/>
      </w:divBdr>
    </w:div>
    <w:div w:id="1980376623">
      <w:bodyDiv w:val="1"/>
      <w:marLeft w:val="0"/>
      <w:marRight w:val="0"/>
      <w:marTop w:val="0"/>
      <w:marBottom w:val="0"/>
      <w:divBdr>
        <w:top w:val="none" w:sz="0" w:space="0" w:color="auto"/>
        <w:left w:val="none" w:sz="0" w:space="0" w:color="auto"/>
        <w:bottom w:val="none" w:sz="0" w:space="0" w:color="auto"/>
        <w:right w:val="none" w:sz="0" w:space="0" w:color="auto"/>
      </w:divBdr>
    </w:div>
    <w:div w:id="2008098016">
      <w:bodyDiv w:val="1"/>
      <w:marLeft w:val="0"/>
      <w:marRight w:val="0"/>
      <w:marTop w:val="0"/>
      <w:marBottom w:val="0"/>
      <w:divBdr>
        <w:top w:val="none" w:sz="0" w:space="0" w:color="auto"/>
        <w:left w:val="none" w:sz="0" w:space="0" w:color="auto"/>
        <w:bottom w:val="none" w:sz="0" w:space="0" w:color="auto"/>
        <w:right w:val="none" w:sz="0" w:space="0" w:color="auto"/>
      </w:divBdr>
      <w:divsChild>
        <w:div w:id="740907297">
          <w:marLeft w:val="1166"/>
          <w:marRight w:val="0"/>
          <w:marTop w:val="134"/>
          <w:marBottom w:val="0"/>
          <w:divBdr>
            <w:top w:val="none" w:sz="0" w:space="0" w:color="auto"/>
            <w:left w:val="none" w:sz="0" w:space="0" w:color="auto"/>
            <w:bottom w:val="none" w:sz="0" w:space="0" w:color="auto"/>
            <w:right w:val="none" w:sz="0" w:space="0" w:color="auto"/>
          </w:divBdr>
        </w:div>
        <w:div w:id="982466771">
          <w:marLeft w:val="1166"/>
          <w:marRight w:val="0"/>
          <w:marTop w:val="134"/>
          <w:marBottom w:val="0"/>
          <w:divBdr>
            <w:top w:val="none" w:sz="0" w:space="0" w:color="auto"/>
            <w:left w:val="none" w:sz="0" w:space="0" w:color="auto"/>
            <w:bottom w:val="none" w:sz="0" w:space="0" w:color="auto"/>
            <w:right w:val="none" w:sz="0" w:space="0" w:color="auto"/>
          </w:divBdr>
        </w:div>
      </w:divsChild>
    </w:div>
    <w:div w:id="20899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2wg@cadmusgroup.com" TargetMode="External"/><Relationship Id="rId18" Type="http://schemas.openxmlformats.org/officeDocument/2006/relationships/hyperlink" Target="http://t2wg.cadmusweb.com/Documents/Task%206%20-%20Custom%20Streamlining%20Materials/Task6_CustomStreamline_Brainstorm_20160606.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t2wg.cadmusweb.com/" TargetMode="External"/><Relationship Id="rId17" Type="http://schemas.openxmlformats.org/officeDocument/2006/relationships/hyperlink" Target="http://t2wg.cadmusweb.com/Documents/Meeting%205%20-%20June%206/T2WG_20170606_MeetingPresentation_ExAnteReview.pdf" TargetMode="External"/><Relationship Id="rId2" Type="http://schemas.openxmlformats.org/officeDocument/2006/relationships/customXml" Target="../customXml/item2.xml"/><Relationship Id="rId16" Type="http://schemas.openxmlformats.org/officeDocument/2006/relationships/hyperlink" Target="http://t2wg.cadmusweb.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t2wg.cadmusweb.com/Documents/DRAFT%20REPORTS/T2WG_Report1_DRAFT-v1_20170606.doc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2wg.cadmusweb.com/Documents/DRAFT%20REPORTS/T2WG_Report1_DRAFT-v1_20170606.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90802daa9243bb4aba12bf5c29c4f24">
  <xsd:schema xmlns:xsd="http://www.w3.org/2001/XMLSchema" xmlns:xs="http://www.w3.org/2001/XMLSchema" xmlns:p="http://schemas.microsoft.com/office/2006/metadata/properties" xmlns:ns2="dc75c247-7f53-4913-864a-4160aff1c458" targetNamespace="http://schemas.microsoft.com/office/2006/metadata/properties" ma:root="true" ma:fieldsID="542f3822c32adb2bf651ba51ffeebe4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2WG" ma:internalName="PhaseName">
      <xsd:simpleType>
        <xsd:restriction base="dms:Text">
          <xsd:maxLength value="255"/>
        </xsd:restriction>
      </xsd:simpleType>
    </xsd:element>
    <xsd:element name="ProjectName" ma:index="2" nillable="true" ma:displayName="Project Name" ma:default="SoCal Gas MSA"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629 - Standard Service Agreemen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5a767ae-351d-4c72-9e33-866f71313bc8}" ma:internalName="TaxCatchAll" ma:showField="CatchAllData"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5a767ae-351d-4c72-9e33-866f71313bc8}" ma:internalName="TaxCatchAllLabel" ma:readOnly="true" ma:showField="CatchAllDataLabel"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T2WG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6629 - Standard Service Agreement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SoCal Gas MSA</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1D84-B9E2-4F39-B07F-96D1FDA50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F26FB-56E4-48FC-9905-ADE6F6AD2307}">
  <ds:schemaRefs>
    <ds:schemaRef ds:uri="Microsoft.SharePoint.Taxonomy.ContentTypeSync"/>
  </ds:schemaRefs>
</ds:datastoreItem>
</file>

<file path=customXml/itemProps3.xml><?xml version="1.0" encoding="utf-8"?>
<ds:datastoreItem xmlns:ds="http://schemas.openxmlformats.org/officeDocument/2006/customXml" ds:itemID="{AAD488C1-4139-45AC-88A2-7C804552117E}">
  <ds:schemaRefs>
    <ds:schemaRef ds:uri="http://schemas.microsoft.com/sharepoint/v3/contenttype/forms"/>
  </ds:schemaRefs>
</ds:datastoreItem>
</file>

<file path=customXml/itemProps4.xml><?xml version="1.0" encoding="utf-8"?>
<ds:datastoreItem xmlns:ds="http://schemas.openxmlformats.org/officeDocument/2006/customXml" ds:itemID="{5782C0FF-DA61-4612-93E7-A8DBDBC26885}">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73B745DA-D3C7-4D74-8BFD-B8D05944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Arlis Reynolds</dc:creator>
  <cp:keywords/>
  <dc:description/>
  <cp:lastModifiedBy>Arlis Reynolds</cp:lastModifiedBy>
  <cp:revision>18</cp:revision>
  <cp:lastPrinted>2017-04-16T03:24:00Z</cp:lastPrinted>
  <dcterms:created xsi:type="dcterms:W3CDTF">2017-06-08T21:38:00Z</dcterms:created>
  <dcterms:modified xsi:type="dcterms:W3CDTF">2017-06-08T23:39:00Z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