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9A0B2E" w14:textId="5D2DCFAB" w:rsidR="00CC738F" w:rsidRPr="00CC738F" w:rsidRDefault="00C12374" w:rsidP="00CC738F">
      <w:pPr>
        <w:pStyle w:val="Heading2"/>
        <w:rPr>
          <w:b/>
        </w:rPr>
      </w:pPr>
      <w:r w:rsidRPr="00C12374">
        <w:rPr>
          <w:b/>
        </w:rPr>
        <w:t xml:space="preserve">Task </w:t>
      </w:r>
      <w:r w:rsidR="00055630">
        <w:rPr>
          <w:b/>
        </w:rPr>
        <w:t>3</w:t>
      </w:r>
      <w:r w:rsidRPr="00C12374">
        <w:rPr>
          <w:b/>
        </w:rPr>
        <w:t xml:space="preserve"> – </w:t>
      </w:r>
      <w:r w:rsidR="000E3A00" w:rsidRPr="00C12374">
        <w:rPr>
          <w:b/>
        </w:rPr>
        <w:t>T2WG Discussion</w:t>
      </w:r>
    </w:p>
    <w:p w14:paraId="01068348" w14:textId="2A0F436A" w:rsidR="00055630" w:rsidRPr="00907F8D" w:rsidRDefault="00055630" w:rsidP="00055630">
      <w:pPr>
        <w:rPr>
          <w:i/>
        </w:rPr>
      </w:pPr>
      <w:r w:rsidRPr="00907F8D">
        <w:rPr>
          <w:b/>
          <w:i/>
        </w:rPr>
        <w:t>T1WG Report, Appendix A at 13:</w:t>
      </w:r>
      <w:r w:rsidRPr="00907F8D">
        <w:rPr>
          <w:i/>
        </w:rPr>
        <w:t xml:space="preserve"> The Accelerated Replacement includes three sub-types, </w:t>
      </w:r>
      <w:r w:rsidRPr="00055630">
        <w:rPr>
          <w:b/>
          <w:i/>
        </w:rPr>
        <w:t>all of which are subject to proof of both program influence and the long-term viability of the existing equipment as demonstrated by the preponderance of evidence</w:t>
      </w:r>
      <w:r w:rsidRPr="00907F8D">
        <w:rPr>
          <w:i/>
        </w:rPr>
        <w:t>. The evidence supporting the long-term viability must meet one of three criteria (depending on the existing equipment status) as follows:</w:t>
      </w:r>
    </w:p>
    <w:p w14:paraId="238D15BB" w14:textId="77777777" w:rsidR="003646B7" w:rsidRDefault="00055630" w:rsidP="00055630">
      <w:pPr>
        <w:pStyle w:val="ListParagraph"/>
        <w:numPr>
          <w:ilvl w:val="0"/>
          <w:numId w:val="11"/>
        </w:numPr>
        <w:rPr>
          <w:i/>
        </w:rPr>
      </w:pPr>
      <w:r w:rsidRPr="00907F8D">
        <w:rPr>
          <w:b/>
          <w:i/>
        </w:rPr>
        <w:t xml:space="preserve">Repair-eligible </w:t>
      </w:r>
      <w:r w:rsidRPr="00907F8D">
        <w:rPr>
          <w:i/>
        </w:rPr>
        <w:t>– The existing equipment needs a major repair to return the equipment to fully serving the load and that repair cost is less than 50% of the full measure cost (</w:t>
      </w:r>
      <w:commentRangeStart w:id="0"/>
      <w:r w:rsidRPr="00907F8D">
        <w:rPr>
          <w:i/>
        </w:rPr>
        <w:t>FMC</w:t>
      </w:r>
      <w:commentRangeEnd w:id="0"/>
      <w:r w:rsidR="00466ED0">
        <w:rPr>
          <w:rStyle w:val="CommentReference"/>
        </w:rPr>
        <w:commentReference w:id="0"/>
      </w:r>
      <w:r w:rsidRPr="00907F8D">
        <w:rPr>
          <w:i/>
        </w:rPr>
        <w:t>).</w:t>
      </w:r>
      <w:r w:rsidR="003646B7">
        <w:rPr>
          <w:i/>
        </w:rPr>
        <w:t xml:space="preserve"> </w:t>
      </w:r>
    </w:p>
    <w:p w14:paraId="4A00D1A9" w14:textId="77777777" w:rsidR="00055630" w:rsidRPr="00907F8D" w:rsidRDefault="00055630" w:rsidP="00055630">
      <w:pPr>
        <w:pStyle w:val="ListParagraph"/>
        <w:numPr>
          <w:ilvl w:val="0"/>
          <w:numId w:val="11"/>
        </w:numPr>
        <w:rPr>
          <w:i/>
        </w:rPr>
      </w:pPr>
      <w:r w:rsidRPr="00907F8D">
        <w:rPr>
          <w:b/>
          <w:i/>
        </w:rPr>
        <w:t>Repair-indefinitely</w:t>
      </w:r>
      <w:r w:rsidRPr="00907F8D">
        <w:rPr>
          <w:i/>
        </w:rPr>
        <w:t xml:space="preserve"> – The existing equipment exceeds its EUL and has a history of repair and maintenance and could continue to be maintained to serve the load for the RUL of the existing equipment.</w:t>
      </w:r>
    </w:p>
    <w:p w14:paraId="1C78246D" w14:textId="77777777" w:rsidR="00055630" w:rsidRPr="00907F8D" w:rsidRDefault="00055630" w:rsidP="00055630">
      <w:pPr>
        <w:pStyle w:val="ListParagraph"/>
        <w:numPr>
          <w:ilvl w:val="0"/>
          <w:numId w:val="11"/>
        </w:numPr>
        <w:rPr>
          <w:i/>
        </w:rPr>
      </w:pPr>
      <w:r w:rsidRPr="00907F8D">
        <w:rPr>
          <w:b/>
          <w:i/>
        </w:rPr>
        <w:t>Early-retirement</w:t>
      </w:r>
      <w:r w:rsidRPr="00907F8D">
        <w:rPr>
          <w:i/>
        </w:rPr>
        <w:t xml:space="preserve"> – The existing equipment is fully operational and meets new and existing load service requirements and could continue to do so for the RUL of the existing equipment.</w:t>
      </w:r>
    </w:p>
    <w:p w14:paraId="5CC38039" w14:textId="644F23A4" w:rsidR="00055630" w:rsidRDefault="003646B7" w:rsidP="00055630">
      <w:pPr>
        <w:rPr>
          <w:b/>
          <w:u w:val="single"/>
        </w:rPr>
      </w:pPr>
      <w:r w:rsidRPr="00907F8D">
        <w:rPr>
          <w:i/>
        </w:rPr>
        <w:t>Existing conditions and code define the first and second baselines, respectively, for all three sub-types, where the repaired state is considered existing conditions for the repaired measure.</w:t>
      </w:r>
    </w:p>
    <w:p w14:paraId="4184CAA2" w14:textId="77777777" w:rsidR="00CC738F" w:rsidRDefault="00CC738F" w:rsidP="00CC738F">
      <w:pPr>
        <w:pBdr>
          <w:top w:val="single" w:sz="4" w:space="1" w:color="BFBFBF" w:themeColor="background1" w:themeShade="BF"/>
          <w:left w:val="single" w:sz="4" w:space="1" w:color="BFBFBF" w:themeColor="background1" w:themeShade="BF"/>
          <w:bottom w:val="single" w:sz="4" w:space="1" w:color="BFBFBF" w:themeColor="background1" w:themeShade="BF"/>
          <w:right w:val="single" w:sz="4" w:space="4" w:color="BFBFBF" w:themeColor="background1" w:themeShade="BF"/>
        </w:pBdr>
        <w:shd w:val="clear" w:color="auto" w:fill="F2F2F2" w:themeFill="background1" w:themeFillShade="F2"/>
        <w:spacing w:before="120" w:after="120" w:line="276" w:lineRule="auto"/>
      </w:pPr>
      <w:r w:rsidRPr="000A7724">
        <w:rPr>
          <w:b/>
        </w:rPr>
        <w:t>OP 16</w:t>
      </w:r>
      <w:r w:rsidRPr="000A7724">
        <w:t xml:space="preserve">. We permit the Program Administrators to apply an accelerated replacement baseline treatment to equipment that qualifies as repair eligible or repair indefinitely where the equipment is older than its predetermined effective useful </w:t>
      </w:r>
      <w:commentRangeStart w:id="1"/>
      <w:r w:rsidRPr="000A7724">
        <w:t>life</w:t>
      </w:r>
      <w:commentRangeEnd w:id="1"/>
      <w:r>
        <w:rPr>
          <w:rStyle w:val="CommentReference"/>
        </w:rPr>
        <w:commentReference w:id="1"/>
      </w:r>
      <w:r w:rsidRPr="000A7724">
        <w:t>.</w:t>
      </w:r>
    </w:p>
    <w:p w14:paraId="1E5E77D4" w14:textId="77777777" w:rsidR="00CC738F" w:rsidRPr="009F36F5" w:rsidRDefault="00CC738F" w:rsidP="00CC738F">
      <w:pPr>
        <w:pBdr>
          <w:top w:val="single" w:sz="4" w:space="1" w:color="BFBFBF" w:themeColor="background1" w:themeShade="BF"/>
          <w:left w:val="single" w:sz="4" w:space="1" w:color="BFBFBF" w:themeColor="background1" w:themeShade="BF"/>
          <w:bottom w:val="single" w:sz="4" w:space="1" w:color="BFBFBF" w:themeColor="background1" w:themeShade="BF"/>
          <w:right w:val="single" w:sz="4" w:space="4" w:color="BFBFBF" w:themeColor="background1" w:themeShade="BF"/>
        </w:pBdr>
        <w:shd w:val="clear" w:color="auto" w:fill="F2F2F2" w:themeFill="background1" w:themeFillShade="F2"/>
        <w:spacing w:before="120" w:after="120" w:line="276" w:lineRule="auto"/>
        <w:rPr>
          <w:b/>
          <w:i/>
        </w:rPr>
      </w:pPr>
      <w:r>
        <w:rPr>
          <w:rFonts w:cs="Corbel"/>
          <w:b/>
          <w:sz w:val="24"/>
          <w:szCs w:val="24"/>
        </w:rPr>
        <w:t>Finding</w:t>
      </w:r>
      <w:r w:rsidRPr="000A7724">
        <w:rPr>
          <w:rFonts w:cs="Corbel"/>
          <w:b/>
          <w:sz w:val="24"/>
          <w:szCs w:val="24"/>
        </w:rPr>
        <w:t xml:space="preserve"> #</w:t>
      </w:r>
      <w:r w:rsidRPr="00F93E90">
        <w:rPr>
          <w:b/>
        </w:rPr>
        <w:t>18</w:t>
      </w:r>
      <w:r w:rsidRPr="009837A5">
        <w:t>.</w:t>
      </w:r>
      <w:commentRangeStart w:id="2"/>
      <w:r w:rsidRPr="009837A5">
        <w:t xml:space="preserve"> We do not have a process </w:t>
      </w:r>
      <w:commentRangeEnd w:id="2"/>
      <w:r w:rsidR="00A826B8">
        <w:rPr>
          <w:rStyle w:val="CommentReference"/>
        </w:rPr>
        <w:commentReference w:id="2"/>
      </w:r>
      <w:r w:rsidRPr="009837A5">
        <w:t xml:space="preserve">or </w:t>
      </w:r>
      <w:r w:rsidRPr="00A826B8">
        <w:rPr>
          <w:b/>
          <w:u w:val="single"/>
        </w:rPr>
        <w:t>evidence requirements for how equipment could be qualified as repair indefinitely</w:t>
      </w:r>
      <w:r w:rsidRPr="009837A5">
        <w:t xml:space="preserve">. </w:t>
      </w:r>
      <w:commentRangeStart w:id="3"/>
      <w:r w:rsidRPr="009837A5">
        <w:t xml:space="preserve">The working group also did not assign </w:t>
      </w:r>
      <w:r>
        <w:t>any measures to this category.</w:t>
      </w:r>
      <w:commentRangeEnd w:id="3"/>
      <w:r w:rsidR="005578FF">
        <w:rPr>
          <w:rStyle w:val="CommentReference"/>
        </w:rPr>
        <w:commentReference w:id="3"/>
      </w:r>
    </w:p>
    <w:p w14:paraId="2927C4BA" w14:textId="77777777" w:rsidR="00CC738F" w:rsidRPr="009F36F5" w:rsidRDefault="00CC738F" w:rsidP="00CC738F">
      <w:pPr>
        <w:pBdr>
          <w:top w:val="single" w:sz="4" w:space="1" w:color="BFBFBF" w:themeColor="background1" w:themeShade="BF"/>
          <w:left w:val="single" w:sz="4" w:space="1" w:color="BFBFBF" w:themeColor="background1" w:themeShade="BF"/>
          <w:bottom w:val="single" w:sz="4" w:space="1" w:color="BFBFBF" w:themeColor="background1" w:themeShade="BF"/>
          <w:right w:val="single" w:sz="4" w:space="4" w:color="BFBFBF" w:themeColor="background1" w:themeShade="BF"/>
        </w:pBdr>
        <w:shd w:val="clear" w:color="auto" w:fill="F2F2F2" w:themeFill="background1" w:themeFillShade="F2"/>
        <w:spacing w:before="120" w:after="120" w:line="276" w:lineRule="auto"/>
        <w:rPr>
          <w:b/>
        </w:rPr>
      </w:pPr>
      <w:r w:rsidRPr="009F36F5">
        <w:rPr>
          <w:b/>
        </w:rPr>
        <w:t>Develop qualification standards and documentation requirements to identify repair eligible and repair indefinitely measure types.</w:t>
      </w:r>
    </w:p>
    <w:p w14:paraId="688533CA" w14:textId="5920AED6" w:rsidR="00CC738F" w:rsidRDefault="00CC738F" w:rsidP="00CC738F">
      <w:pPr>
        <w:pStyle w:val="CommentText"/>
        <w:rPr>
          <w:b/>
          <w:highlight w:val="yellow"/>
        </w:rPr>
      </w:pPr>
    </w:p>
    <w:p w14:paraId="3AD8D035" w14:textId="3399D1AF" w:rsidR="00CC738F" w:rsidRPr="00F40FB1" w:rsidRDefault="00CC738F" w:rsidP="00CC738F">
      <w:pPr>
        <w:pStyle w:val="CommentText"/>
        <w:rPr>
          <w:b/>
        </w:rPr>
      </w:pPr>
      <w:r w:rsidRPr="00F40FB1">
        <w:rPr>
          <w:b/>
          <w:highlight w:val="yellow"/>
        </w:rPr>
        <w:t>[Q</w:t>
      </w:r>
      <w:r>
        <w:rPr>
          <w:b/>
          <w:highlight w:val="yellow"/>
        </w:rPr>
        <w:t>1</w:t>
      </w:r>
      <w:r w:rsidR="0048012F">
        <w:rPr>
          <w:b/>
          <w:highlight w:val="yellow"/>
        </w:rPr>
        <w:t>A</w:t>
      </w:r>
      <w:r w:rsidRPr="00F40FB1">
        <w:rPr>
          <w:b/>
          <w:highlight w:val="yellow"/>
        </w:rPr>
        <w:t>] What are some examples of measures or projects that would/should qualify for this category?</w:t>
      </w:r>
      <w:r w:rsidRPr="00F40FB1">
        <w:rPr>
          <w:b/>
        </w:rPr>
        <w:t xml:space="preserve"> </w:t>
      </w:r>
    </w:p>
    <w:p w14:paraId="6ECBD458" w14:textId="77777777" w:rsidR="0048012F" w:rsidRDefault="0048012F" w:rsidP="00055630">
      <w:pPr>
        <w:rPr>
          <w:b/>
          <w:highlight w:val="yellow"/>
        </w:rPr>
      </w:pPr>
    </w:p>
    <w:p w14:paraId="4513C3D7" w14:textId="25A8AFB5" w:rsidR="003646B7" w:rsidRPr="003646B7" w:rsidRDefault="0048012F" w:rsidP="00055630">
      <w:pPr>
        <w:rPr>
          <w:b/>
          <w:color w:val="FF0000"/>
          <w:u w:val="single"/>
        </w:rPr>
      </w:pPr>
      <w:r w:rsidRPr="00F40FB1">
        <w:rPr>
          <w:b/>
          <w:highlight w:val="yellow"/>
        </w:rPr>
        <w:t>[Q</w:t>
      </w:r>
      <w:r>
        <w:rPr>
          <w:b/>
          <w:highlight w:val="yellow"/>
        </w:rPr>
        <w:t>1</w:t>
      </w:r>
      <w:r>
        <w:rPr>
          <w:b/>
          <w:highlight w:val="yellow"/>
        </w:rPr>
        <w:t>B</w:t>
      </w:r>
      <w:r w:rsidRPr="00F40FB1">
        <w:rPr>
          <w:b/>
          <w:highlight w:val="yellow"/>
        </w:rPr>
        <w:t xml:space="preserve">] </w:t>
      </w:r>
      <w:r>
        <w:rPr>
          <w:b/>
          <w:highlight w:val="yellow"/>
        </w:rPr>
        <w:t>How is this repair-eligible/indefinitely different from a normal replacement for which the customer standard practice (CSP) is repair rather than replace</w:t>
      </w:r>
      <w:r w:rsidRPr="00F40FB1">
        <w:rPr>
          <w:b/>
          <w:highlight w:val="yellow"/>
        </w:rPr>
        <w:t>?</w:t>
      </w:r>
    </w:p>
    <w:p w14:paraId="609D65F9" w14:textId="164557B6" w:rsidR="00055630" w:rsidRDefault="00055630" w:rsidP="000E3A00"/>
    <w:p w14:paraId="7D429D95" w14:textId="7FA44D5E" w:rsidR="00466ED0" w:rsidRDefault="00466ED0" w:rsidP="000E3A00"/>
    <w:p w14:paraId="4516F223" w14:textId="77777777" w:rsidR="00466ED0" w:rsidRDefault="00466ED0" w:rsidP="00466ED0">
      <w:pPr>
        <w:pStyle w:val="Heading2"/>
        <w:rPr>
          <w:b/>
        </w:rPr>
        <w:sectPr w:rsidR="00466ED0" w:rsidSect="00F40FB1">
          <w:pgSz w:w="12240" w:h="15840"/>
          <w:pgMar w:top="720" w:right="720" w:bottom="720" w:left="720" w:header="720" w:footer="720" w:gutter="0"/>
          <w:cols w:space="720"/>
          <w:docGrid w:linePitch="360"/>
        </w:sectPr>
      </w:pPr>
    </w:p>
    <w:p w14:paraId="751330E2" w14:textId="53693C8D" w:rsidR="00A826B8" w:rsidRPr="00A826B8" w:rsidRDefault="00594EA4" w:rsidP="00A826B8">
      <w:pPr>
        <w:pStyle w:val="Heading2"/>
        <w:rPr>
          <w:b/>
        </w:rPr>
      </w:pPr>
      <w:r w:rsidRPr="00466ED0">
        <w:rPr>
          <w:rStyle w:val="CommentReference"/>
          <w:highlight w:val="yellow"/>
        </w:rPr>
        <w:lastRenderedPageBreak/>
        <w:annotationRef/>
      </w:r>
      <w:r w:rsidR="00A826B8" w:rsidRPr="00A826B8">
        <w:rPr>
          <w:b/>
        </w:rPr>
        <w:t>Qualification Standards</w:t>
      </w:r>
    </w:p>
    <w:p w14:paraId="1D4271A7" w14:textId="4C01E0CA" w:rsidR="00594EA4" w:rsidRDefault="00A826B8" w:rsidP="00594EA4">
      <w:pPr>
        <w:rPr>
          <w:b/>
        </w:rPr>
      </w:pPr>
      <w:r>
        <w:t xml:space="preserve">T2WG Statement – </w:t>
      </w:r>
      <w:r w:rsidR="00F40FB1" w:rsidRPr="00A826B8">
        <w:rPr>
          <w:b/>
        </w:rPr>
        <w:t>If the equipment meets the Repair-Indefinitely criteria, then the equipment viability component of POE is satisfied. Repair-indefinitely must still satisfy the program influence component of POE (defined in Task 2).</w:t>
      </w:r>
    </w:p>
    <w:p w14:paraId="7F198CC8" w14:textId="17246E5E" w:rsidR="00A826B8" w:rsidRDefault="00A826B8" w:rsidP="00594EA4">
      <w:pPr>
        <w:rPr>
          <w:b/>
        </w:rPr>
      </w:pPr>
      <w:r w:rsidRPr="00A826B8">
        <w:rPr>
          <w:b/>
          <w:highlight w:val="yellow"/>
        </w:rPr>
        <w:t>[Q</w:t>
      </w:r>
      <w:r w:rsidRPr="00A826B8">
        <w:rPr>
          <w:b/>
          <w:highlight w:val="yellow"/>
        </w:rPr>
        <w:t>2</w:t>
      </w:r>
      <w:r w:rsidRPr="00A826B8">
        <w:rPr>
          <w:b/>
          <w:highlight w:val="yellow"/>
        </w:rPr>
        <w:t xml:space="preserve">] </w:t>
      </w:r>
      <w:r w:rsidR="00D8674F">
        <w:rPr>
          <w:b/>
          <w:highlight w:val="yellow"/>
        </w:rPr>
        <w:t xml:space="preserve">PROGRAM INFLUENCE – </w:t>
      </w:r>
      <w:r w:rsidRPr="00A826B8">
        <w:rPr>
          <w:b/>
          <w:highlight w:val="yellow"/>
        </w:rPr>
        <w:t>Are the qualification standards and documentation requirements for defined in Task 2 for program influence appropriate and sufficient for repair-eligible/indefinitely, or do we need separate qualification/documentation requirements on program influence?</w:t>
      </w:r>
      <w:r>
        <w:rPr>
          <w:b/>
        </w:rPr>
        <w:t xml:space="preserve"> </w:t>
      </w:r>
    </w:p>
    <w:p w14:paraId="741663E9" w14:textId="25E05F22" w:rsidR="00A826B8" w:rsidRDefault="00A826B8" w:rsidP="00594EA4"/>
    <w:p w14:paraId="7349D2B5" w14:textId="5B7BF152" w:rsidR="00594EA4" w:rsidRDefault="00594EA4" w:rsidP="00466ED0">
      <w:pPr>
        <w:pStyle w:val="Heading2"/>
        <w:rPr>
          <w:b/>
        </w:rPr>
      </w:pPr>
    </w:p>
    <w:p w14:paraId="0EAB88AB" w14:textId="12ADE120" w:rsidR="00E85E5D" w:rsidRDefault="00E85E5D" w:rsidP="00E85E5D">
      <w:pPr>
        <w:rPr>
          <w:b/>
        </w:rPr>
      </w:pPr>
      <w:r w:rsidRPr="00E85E5D">
        <w:rPr>
          <w:b/>
          <w:highlight w:val="yellow"/>
        </w:rPr>
        <w:t>[Q</w:t>
      </w:r>
      <w:r w:rsidR="00E840FC">
        <w:rPr>
          <w:b/>
          <w:highlight w:val="yellow"/>
        </w:rPr>
        <w:t>3</w:t>
      </w:r>
      <w:r w:rsidRPr="00E85E5D">
        <w:rPr>
          <w:b/>
          <w:highlight w:val="yellow"/>
        </w:rPr>
        <w:t xml:space="preserve">] </w:t>
      </w:r>
      <w:r w:rsidR="00D8674F">
        <w:rPr>
          <w:b/>
          <w:highlight w:val="yellow"/>
        </w:rPr>
        <w:t xml:space="preserve">EQUPIMENT VIABILITY – </w:t>
      </w:r>
      <w:r w:rsidRPr="00E85E5D">
        <w:rPr>
          <w:b/>
          <w:highlight w:val="yellow"/>
        </w:rPr>
        <w:t xml:space="preserve">What are the qualification standards on </w:t>
      </w:r>
      <w:r w:rsidRPr="00E85E5D">
        <w:rPr>
          <w:b/>
          <w:highlight w:val="yellow"/>
          <w:u w:val="single"/>
        </w:rPr>
        <w:t>equipment viability</w:t>
      </w:r>
      <w:r w:rsidRPr="00E85E5D">
        <w:rPr>
          <w:b/>
          <w:highlight w:val="yellow"/>
        </w:rPr>
        <w:t xml:space="preserve"> for repair-eligible/indefinitely?</w:t>
      </w:r>
      <w:r w:rsidRPr="00E85E5D">
        <w:rPr>
          <w:b/>
          <w:highlight w:val="yellow"/>
        </w:rPr>
        <w:t xml:space="preserve"> </w:t>
      </w:r>
      <w:r w:rsidRPr="00E85E5D">
        <w:rPr>
          <w:b/>
          <w:highlight w:val="yellow"/>
        </w:rPr>
        <w:t xml:space="preserve">What </w:t>
      </w:r>
      <w:r w:rsidRPr="00E85E5D">
        <w:rPr>
          <w:b/>
          <w:highlight w:val="yellow"/>
        </w:rPr>
        <w:t xml:space="preserve">does the evidence need to prove or demonstrate? </w:t>
      </w:r>
    </w:p>
    <w:p w14:paraId="705DD1A0" w14:textId="77777777" w:rsidR="00E85E5D" w:rsidRDefault="00E85E5D" w:rsidP="00E85E5D">
      <w:pPr>
        <w:pStyle w:val="Heading3"/>
      </w:pPr>
      <w:r w:rsidRPr="00466ED0">
        <w:lastRenderedPageBreak/>
        <w:t>Project level parameters or information of interest</w:t>
      </w:r>
      <w:r>
        <w:t xml:space="preserve"> (for qualification as Repair-Eligible/Indefinitely) </w:t>
      </w:r>
    </w:p>
    <w:tbl>
      <w:tblPr>
        <w:tblStyle w:val="TableGrid"/>
        <w:tblW w:w="5000" w:type="pct"/>
        <w:tblLook w:val="04A0" w:firstRow="1" w:lastRow="0" w:firstColumn="1" w:lastColumn="0" w:noHBand="0" w:noVBand="1"/>
      </w:tblPr>
      <w:tblGrid>
        <w:gridCol w:w="1327"/>
        <w:gridCol w:w="4608"/>
        <w:gridCol w:w="4855"/>
      </w:tblGrid>
      <w:tr w:rsidR="00E85E5D" w14:paraId="12EBC392" w14:textId="77777777" w:rsidTr="007832E9">
        <w:tc>
          <w:tcPr>
            <w:tcW w:w="504" w:type="pct"/>
            <w:shd w:val="clear" w:color="auto" w:fill="E7E6E6" w:themeFill="background2"/>
          </w:tcPr>
          <w:p w14:paraId="5A3FCD40" w14:textId="77777777" w:rsidR="00E85E5D" w:rsidRDefault="00E85E5D" w:rsidP="001F4652">
            <w:pPr>
              <w:keepNext/>
              <w:keepLines/>
              <w:rPr>
                <w:b/>
              </w:rPr>
            </w:pPr>
          </w:p>
        </w:tc>
        <w:tc>
          <w:tcPr>
            <w:tcW w:w="2191" w:type="pct"/>
            <w:shd w:val="clear" w:color="auto" w:fill="E7E6E6" w:themeFill="background2"/>
          </w:tcPr>
          <w:p w14:paraId="5CB20044" w14:textId="77777777" w:rsidR="00E85E5D" w:rsidRDefault="00E85E5D" w:rsidP="001F4652">
            <w:pPr>
              <w:keepNext/>
              <w:keepLines/>
              <w:rPr>
                <w:b/>
              </w:rPr>
            </w:pPr>
            <w:r>
              <w:rPr>
                <w:b/>
              </w:rPr>
              <w:t>Proof Point</w:t>
            </w:r>
          </w:p>
        </w:tc>
        <w:tc>
          <w:tcPr>
            <w:tcW w:w="2305" w:type="pct"/>
            <w:shd w:val="clear" w:color="auto" w:fill="E7E6E6" w:themeFill="background2"/>
          </w:tcPr>
          <w:p w14:paraId="33C11FBF" w14:textId="20A109A8" w:rsidR="00E85E5D" w:rsidRDefault="00480AA0" w:rsidP="001F4652">
            <w:pPr>
              <w:keepNext/>
              <w:keepLines/>
              <w:rPr>
                <w:b/>
              </w:rPr>
            </w:pPr>
            <w:r>
              <w:rPr>
                <w:b/>
              </w:rPr>
              <w:t xml:space="preserve">Comment / Evidence </w:t>
            </w:r>
          </w:p>
        </w:tc>
      </w:tr>
      <w:tr w:rsidR="003B7898" w:rsidRPr="003B7898" w14:paraId="4FC5DAA5" w14:textId="77777777" w:rsidTr="00C93CAE">
        <w:tc>
          <w:tcPr>
            <w:tcW w:w="5000" w:type="pct"/>
            <w:gridSpan w:val="3"/>
            <w:shd w:val="clear" w:color="auto" w:fill="D5DCE4" w:themeFill="text2" w:themeFillTint="33"/>
            <w:vAlign w:val="center"/>
          </w:tcPr>
          <w:p w14:paraId="0D534D36" w14:textId="28BBE216" w:rsidR="00C93CAE" w:rsidRPr="003B7898" w:rsidRDefault="00C93CAE" w:rsidP="001F4652">
            <w:pPr>
              <w:keepNext/>
              <w:keepLines/>
              <w:rPr>
                <w:b/>
                <w:i/>
                <w:color w:val="7F7F7F" w:themeColor="text1" w:themeTint="80"/>
              </w:rPr>
            </w:pPr>
            <w:r w:rsidRPr="003B7898">
              <w:rPr>
                <w:b/>
                <w:i/>
                <w:color w:val="7F7F7F" w:themeColor="text1" w:themeTint="80"/>
              </w:rPr>
              <w:t>Proof Points for Task 2 POE on Equipment Viability</w:t>
            </w:r>
          </w:p>
        </w:tc>
      </w:tr>
      <w:tr w:rsidR="003B7898" w:rsidRPr="003B7898" w14:paraId="0959A216" w14:textId="77777777" w:rsidTr="007832E9">
        <w:tc>
          <w:tcPr>
            <w:tcW w:w="504" w:type="pct"/>
            <w:vMerge w:val="restart"/>
            <w:shd w:val="clear" w:color="auto" w:fill="D5DCE4" w:themeFill="text2" w:themeFillTint="33"/>
            <w:vAlign w:val="center"/>
          </w:tcPr>
          <w:p w14:paraId="79BA8211" w14:textId="77777777" w:rsidR="007B4B9B" w:rsidRPr="003B7898" w:rsidRDefault="007B4B9B" w:rsidP="007B4B9B">
            <w:pPr>
              <w:keepNext/>
              <w:keepLines/>
              <w:rPr>
                <w:b/>
                <w:i/>
                <w:color w:val="7F7F7F" w:themeColor="text1" w:themeTint="80"/>
              </w:rPr>
            </w:pPr>
            <w:r w:rsidRPr="003B7898">
              <w:rPr>
                <w:b/>
                <w:i/>
                <w:color w:val="7F7F7F" w:themeColor="text1" w:themeTint="80"/>
              </w:rPr>
              <w:t>For</w:t>
            </w:r>
          </w:p>
        </w:tc>
        <w:tc>
          <w:tcPr>
            <w:tcW w:w="2191" w:type="pct"/>
            <w:shd w:val="clear" w:color="auto" w:fill="D5DCE4" w:themeFill="text2" w:themeFillTint="33"/>
          </w:tcPr>
          <w:p w14:paraId="031CB1B4" w14:textId="0DA8A13C" w:rsidR="007B4B9B" w:rsidRPr="003B7898" w:rsidRDefault="007B4B9B" w:rsidP="007B4B9B">
            <w:pPr>
              <w:keepNext/>
              <w:keepLines/>
              <w:rPr>
                <w:b/>
                <w:i/>
                <w:color w:val="7F7F7F" w:themeColor="text1" w:themeTint="80"/>
              </w:rPr>
            </w:pPr>
            <w:r w:rsidRPr="003B7898">
              <w:rPr>
                <w:i/>
                <w:color w:val="7F7F7F" w:themeColor="text1" w:themeTint="80"/>
              </w:rPr>
              <w:t>Equipment serves its current load</w:t>
            </w:r>
          </w:p>
        </w:tc>
        <w:tc>
          <w:tcPr>
            <w:tcW w:w="2305" w:type="pct"/>
            <w:shd w:val="clear" w:color="auto" w:fill="D5DCE4" w:themeFill="text2" w:themeFillTint="33"/>
          </w:tcPr>
          <w:p w14:paraId="7ED9ECAD" w14:textId="651973BE" w:rsidR="007B4B9B" w:rsidRPr="003B7898" w:rsidRDefault="007B4B9B" w:rsidP="007B4B9B">
            <w:pPr>
              <w:keepNext/>
              <w:keepLines/>
              <w:rPr>
                <w:i/>
                <w:color w:val="FF0000"/>
              </w:rPr>
            </w:pPr>
            <w:r w:rsidRPr="003B7898">
              <w:rPr>
                <w:color w:val="FF0000"/>
              </w:rPr>
              <w:t>Still valid?</w:t>
            </w:r>
          </w:p>
        </w:tc>
      </w:tr>
      <w:tr w:rsidR="003B7898" w:rsidRPr="003B7898" w14:paraId="450DCE72" w14:textId="77777777" w:rsidTr="007832E9">
        <w:tc>
          <w:tcPr>
            <w:tcW w:w="504" w:type="pct"/>
            <w:vMerge/>
            <w:shd w:val="clear" w:color="auto" w:fill="D5DCE4" w:themeFill="text2" w:themeFillTint="33"/>
            <w:vAlign w:val="center"/>
          </w:tcPr>
          <w:p w14:paraId="4EABEC80" w14:textId="77777777" w:rsidR="007B4B9B" w:rsidRPr="003B7898" w:rsidRDefault="007B4B9B" w:rsidP="007B4B9B">
            <w:pPr>
              <w:keepNext/>
              <w:keepLines/>
              <w:rPr>
                <w:b/>
                <w:i/>
                <w:color w:val="7F7F7F" w:themeColor="text1" w:themeTint="80"/>
              </w:rPr>
            </w:pPr>
          </w:p>
        </w:tc>
        <w:tc>
          <w:tcPr>
            <w:tcW w:w="2191" w:type="pct"/>
            <w:shd w:val="clear" w:color="auto" w:fill="D5DCE4" w:themeFill="text2" w:themeFillTint="33"/>
          </w:tcPr>
          <w:p w14:paraId="349CC16B" w14:textId="77777777" w:rsidR="007B4B9B" w:rsidRPr="003B7898" w:rsidRDefault="007B4B9B" w:rsidP="007B4B9B">
            <w:pPr>
              <w:keepNext/>
              <w:keepLines/>
              <w:rPr>
                <w:b/>
                <w:i/>
                <w:color w:val="7F7F7F" w:themeColor="text1" w:themeTint="80"/>
              </w:rPr>
            </w:pPr>
            <w:r w:rsidRPr="003B7898">
              <w:rPr>
                <w:i/>
                <w:color w:val="7F7F7F" w:themeColor="text1" w:themeTint="80"/>
              </w:rPr>
              <w:t>The load served is expected to remain the same through the RUL period.</w:t>
            </w:r>
          </w:p>
        </w:tc>
        <w:tc>
          <w:tcPr>
            <w:tcW w:w="2305" w:type="pct"/>
            <w:shd w:val="clear" w:color="auto" w:fill="D5DCE4" w:themeFill="text2" w:themeFillTint="33"/>
          </w:tcPr>
          <w:p w14:paraId="7CB4F451" w14:textId="1BD60F13" w:rsidR="007B4B9B" w:rsidRPr="003B7898" w:rsidRDefault="007B4B9B" w:rsidP="007B4B9B">
            <w:pPr>
              <w:keepNext/>
              <w:keepLines/>
              <w:rPr>
                <w:b/>
                <w:color w:val="FF0000"/>
              </w:rPr>
            </w:pPr>
            <w:r w:rsidRPr="003B7898">
              <w:rPr>
                <w:color w:val="FF0000"/>
              </w:rPr>
              <w:t>Still valid?</w:t>
            </w:r>
          </w:p>
        </w:tc>
      </w:tr>
      <w:tr w:rsidR="003B7898" w:rsidRPr="003B7898" w14:paraId="4A4B3F20" w14:textId="77777777" w:rsidTr="007832E9">
        <w:tc>
          <w:tcPr>
            <w:tcW w:w="504" w:type="pct"/>
            <w:vMerge/>
            <w:shd w:val="clear" w:color="auto" w:fill="D5DCE4" w:themeFill="text2" w:themeFillTint="33"/>
            <w:vAlign w:val="center"/>
          </w:tcPr>
          <w:p w14:paraId="3DB5D18B" w14:textId="77777777" w:rsidR="007B4B9B" w:rsidRPr="003B7898" w:rsidRDefault="007B4B9B" w:rsidP="007B4B9B">
            <w:pPr>
              <w:keepNext/>
              <w:keepLines/>
              <w:rPr>
                <w:b/>
                <w:i/>
                <w:color w:val="7F7F7F" w:themeColor="text1" w:themeTint="80"/>
              </w:rPr>
            </w:pPr>
          </w:p>
        </w:tc>
        <w:tc>
          <w:tcPr>
            <w:tcW w:w="2191" w:type="pct"/>
            <w:shd w:val="clear" w:color="auto" w:fill="D5DCE4" w:themeFill="text2" w:themeFillTint="33"/>
          </w:tcPr>
          <w:p w14:paraId="03348B14" w14:textId="77777777" w:rsidR="007B4B9B" w:rsidRPr="003B7898" w:rsidRDefault="007B4B9B" w:rsidP="007B4B9B">
            <w:pPr>
              <w:keepNext/>
              <w:keepLines/>
              <w:rPr>
                <w:b/>
                <w:i/>
                <w:color w:val="7F7F7F" w:themeColor="text1" w:themeTint="80"/>
              </w:rPr>
            </w:pPr>
            <w:r w:rsidRPr="003B7898">
              <w:rPr>
                <w:i/>
                <w:color w:val="7F7F7F" w:themeColor="text1" w:themeTint="80"/>
              </w:rPr>
              <w:t>Equipment age is less than its expected useful life</w:t>
            </w:r>
          </w:p>
        </w:tc>
        <w:tc>
          <w:tcPr>
            <w:tcW w:w="2305" w:type="pct"/>
            <w:shd w:val="clear" w:color="auto" w:fill="D5DCE4" w:themeFill="text2" w:themeFillTint="33"/>
          </w:tcPr>
          <w:p w14:paraId="11C83FFB" w14:textId="77777777" w:rsidR="007B4B9B" w:rsidRPr="003B7898" w:rsidRDefault="007B4B9B" w:rsidP="007B4B9B">
            <w:pPr>
              <w:keepNext/>
              <w:keepLines/>
              <w:rPr>
                <w:color w:val="FF0000"/>
              </w:rPr>
            </w:pPr>
            <w:r w:rsidRPr="003B7898">
              <w:rPr>
                <w:color w:val="FF0000"/>
              </w:rPr>
              <w:t>Not required for repair-eligible/indefinitely</w:t>
            </w:r>
          </w:p>
        </w:tc>
      </w:tr>
      <w:tr w:rsidR="003B7898" w:rsidRPr="003B7898" w14:paraId="0F35E212" w14:textId="77777777" w:rsidTr="007832E9">
        <w:tc>
          <w:tcPr>
            <w:tcW w:w="504" w:type="pct"/>
            <w:vMerge w:val="restart"/>
            <w:shd w:val="clear" w:color="auto" w:fill="D5DCE4" w:themeFill="text2" w:themeFillTint="33"/>
            <w:vAlign w:val="center"/>
          </w:tcPr>
          <w:p w14:paraId="246A0EE8" w14:textId="0E1BF0E7" w:rsidR="007B4B9B" w:rsidRPr="003B7898" w:rsidRDefault="007B4B9B" w:rsidP="007B4B9B">
            <w:pPr>
              <w:keepNext/>
              <w:keepLines/>
              <w:rPr>
                <w:b/>
                <w:i/>
                <w:color w:val="7F7F7F" w:themeColor="text1" w:themeTint="80"/>
              </w:rPr>
            </w:pPr>
            <w:r w:rsidRPr="003B7898">
              <w:rPr>
                <w:b/>
                <w:i/>
                <w:color w:val="7F7F7F" w:themeColor="text1" w:themeTint="80"/>
              </w:rPr>
              <w:t>Against</w:t>
            </w:r>
          </w:p>
        </w:tc>
        <w:tc>
          <w:tcPr>
            <w:tcW w:w="2191" w:type="pct"/>
            <w:shd w:val="clear" w:color="auto" w:fill="D5DCE4" w:themeFill="text2" w:themeFillTint="33"/>
            <w:vAlign w:val="center"/>
          </w:tcPr>
          <w:p w14:paraId="13CAA942" w14:textId="241323F1" w:rsidR="007B4B9B" w:rsidRPr="003B7898" w:rsidRDefault="007B4B9B" w:rsidP="007B4B9B">
            <w:pPr>
              <w:keepNext/>
              <w:keepLines/>
              <w:rPr>
                <w:i/>
                <w:color w:val="7F7F7F" w:themeColor="text1" w:themeTint="80"/>
              </w:rPr>
            </w:pPr>
            <w:r w:rsidRPr="003B7898">
              <w:rPr>
                <w:rFonts w:ascii="Calibri" w:hAnsi="Calibri"/>
                <w:i/>
                <w:color w:val="7F7F7F" w:themeColor="text1" w:themeTint="80"/>
              </w:rPr>
              <w:t>Equipment is not operating or is poorly operating.</w:t>
            </w:r>
          </w:p>
        </w:tc>
        <w:tc>
          <w:tcPr>
            <w:tcW w:w="2305" w:type="pct"/>
            <w:shd w:val="clear" w:color="auto" w:fill="D5DCE4" w:themeFill="text2" w:themeFillTint="33"/>
          </w:tcPr>
          <w:p w14:paraId="60CC0DAF" w14:textId="4B06C37E" w:rsidR="007B4B9B" w:rsidRPr="003B7898" w:rsidRDefault="007B4B9B" w:rsidP="007B4B9B">
            <w:pPr>
              <w:keepNext/>
              <w:keepLines/>
              <w:rPr>
                <w:color w:val="FF0000"/>
              </w:rPr>
            </w:pPr>
            <w:r w:rsidRPr="003B7898">
              <w:rPr>
                <w:color w:val="FF0000"/>
              </w:rPr>
              <w:t>This is the premise for repair-eligible/indefinitely</w:t>
            </w:r>
          </w:p>
        </w:tc>
      </w:tr>
      <w:tr w:rsidR="003B7898" w:rsidRPr="003B7898" w14:paraId="1F20DEE1" w14:textId="77777777" w:rsidTr="007832E9">
        <w:tc>
          <w:tcPr>
            <w:tcW w:w="504" w:type="pct"/>
            <w:vMerge/>
            <w:shd w:val="clear" w:color="auto" w:fill="D5DCE4" w:themeFill="text2" w:themeFillTint="33"/>
            <w:vAlign w:val="center"/>
          </w:tcPr>
          <w:p w14:paraId="5E51F8E0" w14:textId="77777777" w:rsidR="007B4B9B" w:rsidRPr="00C93CAE" w:rsidRDefault="007B4B9B" w:rsidP="007B4B9B">
            <w:pPr>
              <w:keepNext/>
              <w:keepLines/>
              <w:rPr>
                <w:b/>
                <w:i/>
              </w:rPr>
            </w:pPr>
          </w:p>
        </w:tc>
        <w:tc>
          <w:tcPr>
            <w:tcW w:w="2191" w:type="pct"/>
            <w:shd w:val="clear" w:color="auto" w:fill="D5DCE4" w:themeFill="text2" w:themeFillTint="33"/>
            <w:vAlign w:val="center"/>
          </w:tcPr>
          <w:p w14:paraId="09C5931A" w14:textId="0D56A780" w:rsidR="007B4B9B" w:rsidRPr="003B7898" w:rsidRDefault="007B4B9B" w:rsidP="007B4B9B">
            <w:pPr>
              <w:keepNext/>
              <w:keepLines/>
              <w:rPr>
                <w:i/>
                <w:color w:val="7F7F7F" w:themeColor="text1" w:themeTint="80"/>
              </w:rPr>
            </w:pPr>
            <w:r w:rsidRPr="003B7898">
              <w:rPr>
                <w:rFonts w:ascii="Calibri" w:hAnsi="Calibri"/>
                <w:i/>
                <w:color w:val="7F7F7F" w:themeColor="text1" w:themeTint="80"/>
              </w:rPr>
              <w:t>The load served is changing within the RUL period</w:t>
            </w:r>
          </w:p>
        </w:tc>
        <w:tc>
          <w:tcPr>
            <w:tcW w:w="2305" w:type="pct"/>
            <w:shd w:val="clear" w:color="auto" w:fill="D5DCE4" w:themeFill="text2" w:themeFillTint="33"/>
          </w:tcPr>
          <w:p w14:paraId="7BA90B3B" w14:textId="16472602" w:rsidR="007B4B9B" w:rsidRPr="003B7898" w:rsidRDefault="007B4B9B" w:rsidP="007B4B9B">
            <w:pPr>
              <w:keepNext/>
              <w:keepLines/>
              <w:rPr>
                <w:color w:val="FF0000"/>
              </w:rPr>
            </w:pPr>
            <w:r w:rsidRPr="003B7898">
              <w:rPr>
                <w:color w:val="FF0000"/>
              </w:rPr>
              <w:t>Still valid?</w:t>
            </w:r>
          </w:p>
        </w:tc>
      </w:tr>
      <w:tr w:rsidR="007B4B9B" w14:paraId="0EBBF742" w14:textId="77777777" w:rsidTr="00C93CAE">
        <w:tc>
          <w:tcPr>
            <w:tcW w:w="5000" w:type="pct"/>
            <w:gridSpan w:val="3"/>
            <w:vAlign w:val="center"/>
          </w:tcPr>
          <w:p w14:paraId="767201CC" w14:textId="34DAD1DA" w:rsidR="007B4B9B" w:rsidRDefault="007B4B9B" w:rsidP="007B4B9B">
            <w:pPr>
              <w:keepNext/>
              <w:keepLines/>
              <w:rPr>
                <w:b/>
              </w:rPr>
            </w:pPr>
            <w:r>
              <w:rPr>
                <w:b/>
                <w:i/>
              </w:rPr>
              <w:t>Proof Points for Task 3</w:t>
            </w:r>
            <w:r w:rsidRPr="00C93CAE">
              <w:rPr>
                <w:b/>
                <w:i/>
              </w:rPr>
              <w:t xml:space="preserve"> POE on Equipment</w:t>
            </w:r>
            <w:r>
              <w:rPr>
                <w:b/>
                <w:i/>
              </w:rPr>
              <w:t>/Repair</w:t>
            </w:r>
            <w:r w:rsidRPr="00C93CAE">
              <w:rPr>
                <w:b/>
                <w:i/>
              </w:rPr>
              <w:t xml:space="preserve"> Viability</w:t>
            </w:r>
          </w:p>
        </w:tc>
      </w:tr>
      <w:tr w:rsidR="007832E9" w14:paraId="25C549F1" w14:textId="77777777" w:rsidTr="001F4652">
        <w:tc>
          <w:tcPr>
            <w:tcW w:w="504" w:type="pct"/>
          </w:tcPr>
          <w:p w14:paraId="09F3837E" w14:textId="61EEB7AC" w:rsidR="007832E9" w:rsidRPr="004150D5" w:rsidRDefault="007832E9" w:rsidP="007832E9">
            <w:pPr>
              <w:keepNext/>
              <w:keepLines/>
            </w:pPr>
            <w:r w:rsidRPr="004150D5">
              <w:t>Age</w:t>
            </w:r>
          </w:p>
        </w:tc>
        <w:tc>
          <w:tcPr>
            <w:tcW w:w="2191" w:type="pct"/>
          </w:tcPr>
          <w:p w14:paraId="5E08328B" w14:textId="16C46987" w:rsidR="007832E9" w:rsidRPr="004150D5" w:rsidRDefault="007832E9" w:rsidP="007832E9">
            <w:pPr>
              <w:keepNext/>
              <w:keepLines/>
              <w:rPr>
                <w:b/>
              </w:rPr>
            </w:pPr>
            <w:r w:rsidRPr="004150D5">
              <w:t>Existing equipment exceeds its EUL</w:t>
            </w:r>
          </w:p>
        </w:tc>
        <w:tc>
          <w:tcPr>
            <w:tcW w:w="2305" w:type="pct"/>
          </w:tcPr>
          <w:p w14:paraId="7B87DA0E" w14:textId="77777777" w:rsidR="007832E9" w:rsidRDefault="007832E9" w:rsidP="007832E9">
            <w:pPr>
              <w:keepNext/>
              <w:keepLines/>
              <w:rPr>
                <w:b/>
              </w:rPr>
            </w:pPr>
          </w:p>
        </w:tc>
      </w:tr>
      <w:tr w:rsidR="007832E9" w14:paraId="42ACD0D1" w14:textId="77777777" w:rsidTr="007832E9">
        <w:tc>
          <w:tcPr>
            <w:tcW w:w="504" w:type="pct"/>
          </w:tcPr>
          <w:p w14:paraId="42CEB83B" w14:textId="727F9F98" w:rsidR="007832E9" w:rsidRPr="004150D5" w:rsidRDefault="007832E9" w:rsidP="007832E9">
            <w:pPr>
              <w:keepNext/>
              <w:keepLines/>
            </w:pPr>
            <w:r w:rsidRPr="004150D5">
              <w:t>Condition</w:t>
            </w:r>
          </w:p>
        </w:tc>
        <w:tc>
          <w:tcPr>
            <w:tcW w:w="2191" w:type="pct"/>
          </w:tcPr>
          <w:p w14:paraId="0F7E83CE" w14:textId="77777777" w:rsidR="007832E9" w:rsidRPr="004150D5" w:rsidRDefault="007832E9" w:rsidP="007832E9">
            <w:pPr>
              <w:keepNext/>
              <w:keepLines/>
              <w:rPr>
                <w:b/>
              </w:rPr>
            </w:pPr>
            <w:r w:rsidRPr="004150D5">
              <w:t>Existing equipment is operating and meeting Customer requirements</w:t>
            </w:r>
          </w:p>
        </w:tc>
        <w:tc>
          <w:tcPr>
            <w:tcW w:w="2305" w:type="pct"/>
          </w:tcPr>
          <w:p w14:paraId="03933D8C" w14:textId="77777777" w:rsidR="007832E9" w:rsidRDefault="007832E9" w:rsidP="007832E9">
            <w:pPr>
              <w:keepNext/>
              <w:keepLines/>
              <w:rPr>
                <w:b/>
              </w:rPr>
            </w:pPr>
          </w:p>
        </w:tc>
      </w:tr>
      <w:tr w:rsidR="007832E9" w14:paraId="2EC86266" w14:textId="77777777" w:rsidTr="001F4652">
        <w:tc>
          <w:tcPr>
            <w:tcW w:w="504" w:type="pct"/>
          </w:tcPr>
          <w:p w14:paraId="63EE8C4B" w14:textId="439FADA7" w:rsidR="004150D5" w:rsidRPr="004150D5" w:rsidRDefault="004150D5" w:rsidP="001F4652">
            <w:pPr>
              <w:keepNext/>
              <w:keepLines/>
              <w:rPr>
                <w:b/>
              </w:rPr>
            </w:pPr>
            <w:r w:rsidRPr="004150D5">
              <w:t>Condition</w:t>
            </w:r>
          </w:p>
        </w:tc>
        <w:tc>
          <w:tcPr>
            <w:tcW w:w="2191" w:type="pct"/>
          </w:tcPr>
          <w:p w14:paraId="51891062" w14:textId="77777777" w:rsidR="007832E9" w:rsidRPr="004150D5" w:rsidRDefault="007832E9" w:rsidP="001F4652">
            <w:pPr>
              <w:keepNext/>
              <w:keepLines/>
              <w:rPr>
                <w:b/>
              </w:rPr>
            </w:pPr>
            <w:r w:rsidRPr="004150D5">
              <w:t>Existing equipment not in imminent failure mode (as verified at pre-inspection or per program rules)</w:t>
            </w:r>
          </w:p>
        </w:tc>
        <w:tc>
          <w:tcPr>
            <w:tcW w:w="2305" w:type="pct"/>
          </w:tcPr>
          <w:p w14:paraId="1246521A" w14:textId="77777777" w:rsidR="007832E9" w:rsidRDefault="007832E9" w:rsidP="001F4652">
            <w:pPr>
              <w:keepNext/>
              <w:keepLines/>
              <w:rPr>
                <w:b/>
              </w:rPr>
            </w:pPr>
          </w:p>
        </w:tc>
      </w:tr>
      <w:tr w:rsidR="007832E9" w:rsidRPr="00055555" w14:paraId="5627187D" w14:textId="77777777" w:rsidTr="001F4652">
        <w:tc>
          <w:tcPr>
            <w:tcW w:w="504" w:type="pct"/>
          </w:tcPr>
          <w:p w14:paraId="3B09E944" w14:textId="251A7D50" w:rsidR="007832E9" w:rsidRPr="004150D5" w:rsidRDefault="007832E9" w:rsidP="001F4652">
            <w:pPr>
              <w:keepNext/>
              <w:keepLines/>
              <w:rPr>
                <w:b/>
              </w:rPr>
            </w:pPr>
            <w:r w:rsidRPr="004150D5">
              <w:t>Condition</w:t>
            </w:r>
          </w:p>
        </w:tc>
        <w:tc>
          <w:tcPr>
            <w:tcW w:w="2191" w:type="pct"/>
          </w:tcPr>
          <w:p w14:paraId="0646A2E2" w14:textId="77777777" w:rsidR="007832E9" w:rsidRPr="004150D5" w:rsidRDefault="007832E9" w:rsidP="001F4652">
            <w:pPr>
              <w:keepNext/>
              <w:keepLines/>
            </w:pPr>
            <w:r w:rsidRPr="004150D5">
              <w:t xml:space="preserve">Existing equipment needs a major repair to return the equipment to fully serving the load and that </w:t>
            </w:r>
          </w:p>
        </w:tc>
        <w:tc>
          <w:tcPr>
            <w:tcW w:w="2305" w:type="pct"/>
          </w:tcPr>
          <w:p w14:paraId="5EE36F06" w14:textId="77777777" w:rsidR="007832E9" w:rsidRPr="00055555" w:rsidRDefault="007832E9" w:rsidP="001F4652">
            <w:pPr>
              <w:keepNext/>
              <w:keepLines/>
              <w:rPr>
                <w:b/>
                <w:i/>
              </w:rPr>
            </w:pPr>
          </w:p>
        </w:tc>
      </w:tr>
      <w:tr w:rsidR="007832E9" w:rsidRPr="00055555" w14:paraId="0675F0CF" w14:textId="77777777" w:rsidTr="007832E9">
        <w:tc>
          <w:tcPr>
            <w:tcW w:w="504" w:type="pct"/>
          </w:tcPr>
          <w:p w14:paraId="66EB91FC" w14:textId="0446198B" w:rsidR="007832E9" w:rsidRPr="004150D5" w:rsidRDefault="007832E9" w:rsidP="007832E9">
            <w:pPr>
              <w:keepNext/>
              <w:keepLines/>
              <w:rPr>
                <w:b/>
              </w:rPr>
            </w:pPr>
            <w:r w:rsidRPr="004150D5">
              <w:t>Condition</w:t>
            </w:r>
          </w:p>
        </w:tc>
        <w:tc>
          <w:tcPr>
            <w:tcW w:w="2191" w:type="pct"/>
          </w:tcPr>
          <w:p w14:paraId="764C6BE0" w14:textId="5BFFCD9F" w:rsidR="007832E9" w:rsidRPr="004150D5" w:rsidRDefault="007832E9" w:rsidP="007832E9">
            <w:pPr>
              <w:keepNext/>
              <w:keepLines/>
            </w:pPr>
            <w:r w:rsidRPr="004150D5">
              <w:t>Existing equipment is not operating (not meeting Customer requirements)</w:t>
            </w:r>
          </w:p>
        </w:tc>
        <w:tc>
          <w:tcPr>
            <w:tcW w:w="2305" w:type="pct"/>
          </w:tcPr>
          <w:p w14:paraId="6CD36FD3" w14:textId="7438B971" w:rsidR="007832E9" w:rsidRPr="0048012F" w:rsidRDefault="007832E9" w:rsidP="007832E9">
            <w:pPr>
              <w:keepNext/>
              <w:keepLines/>
              <w:rPr>
                <w:i/>
              </w:rPr>
            </w:pPr>
            <w:r>
              <w:rPr>
                <w:i/>
              </w:rPr>
              <w:t>Not eligible?</w:t>
            </w:r>
          </w:p>
        </w:tc>
      </w:tr>
      <w:tr w:rsidR="007832E9" w:rsidRPr="00055555" w14:paraId="06859A2F" w14:textId="77777777" w:rsidTr="007832E9">
        <w:tc>
          <w:tcPr>
            <w:tcW w:w="504" w:type="pct"/>
          </w:tcPr>
          <w:p w14:paraId="38706DDF" w14:textId="351330D0" w:rsidR="007832E9" w:rsidRPr="004150D5" w:rsidRDefault="007832E9" w:rsidP="007832E9">
            <w:pPr>
              <w:keepNext/>
              <w:keepLines/>
            </w:pPr>
            <w:r w:rsidRPr="004150D5">
              <w:t>Can be repaired</w:t>
            </w:r>
          </w:p>
        </w:tc>
        <w:tc>
          <w:tcPr>
            <w:tcW w:w="2191" w:type="pct"/>
          </w:tcPr>
          <w:p w14:paraId="4C33C307" w14:textId="7862EC5C" w:rsidR="007832E9" w:rsidRPr="004150D5" w:rsidRDefault="007832E9" w:rsidP="007832E9">
            <w:pPr>
              <w:keepNext/>
              <w:keepLines/>
            </w:pPr>
            <w:r w:rsidRPr="004150D5">
              <w:t>Existing equipment can be repaired to meet Customer requir</w:t>
            </w:r>
            <w:r w:rsidRPr="004150D5">
              <w:t xml:space="preserve">ements; </w:t>
            </w:r>
            <w:r w:rsidRPr="004150D5">
              <w:t>Estimated cost of repair is available.</w:t>
            </w:r>
          </w:p>
        </w:tc>
        <w:tc>
          <w:tcPr>
            <w:tcW w:w="2305" w:type="pct"/>
          </w:tcPr>
          <w:p w14:paraId="78CDB42A" w14:textId="77777777" w:rsidR="007832E9" w:rsidRPr="00055555" w:rsidRDefault="007832E9" w:rsidP="007832E9">
            <w:pPr>
              <w:keepNext/>
              <w:keepLines/>
              <w:rPr>
                <w:b/>
                <w:i/>
              </w:rPr>
            </w:pPr>
          </w:p>
        </w:tc>
      </w:tr>
      <w:tr w:rsidR="004150D5" w:rsidRPr="00055555" w14:paraId="05FC657D" w14:textId="77777777" w:rsidTr="001F4652">
        <w:tc>
          <w:tcPr>
            <w:tcW w:w="504" w:type="pct"/>
          </w:tcPr>
          <w:p w14:paraId="07B2C75F" w14:textId="55C6B72F" w:rsidR="004150D5" w:rsidRPr="004150D5" w:rsidRDefault="004150D5" w:rsidP="004150D5">
            <w:pPr>
              <w:keepNext/>
              <w:keepLines/>
              <w:rPr>
                <w:b/>
              </w:rPr>
            </w:pPr>
            <w:r w:rsidRPr="004150D5">
              <w:t>Can be repaired</w:t>
            </w:r>
          </w:p>
        </w:tc>
        <w:tc>
          <w:tcPr>
            <w:tcW w:w="2191" w:type="pct"/>
          </w:tcPr>
          <w:p w14:paraId="70974147" w14:textId="77777777" w:rsidR="004150D5" w:rsidRPr="004150D5" w:rsidRDefault="004150D5" w:rsidP="004150D5">
            <w:pPr>
              <w:keepNext/>
              <w:keepLines/>
              <w:rPr>
                <w:b/>
              </w:rPr>
            </w:pPr>
            <w:r w:rsidRPr="004150D5">
              <w:t>Existing equipment could continue to be maintained to serve the load for its RUL</w:t>
            </w:r>
          </w:p>
        </w:tc>
        <w:tc>
          <w:tcPr>
            <w:tcW w:w="2305" w:type="pct"/>
          </w:tcPr>
          <w:p w14:paraId="75B042B7" w14:textId="77777777" w:rsidR="004150D5" w:rsidRPr="00055555" w:rsidRDefault="004150D5" w:rsidP="004150D5">
            <w:pPr>
              <w:keepNext/>
              <w:keepLines/>
              <w:rPr>
                <w:b/>
                <w:i/>
              </w:rPr>
            </w:pPr>
          </w:p>
        </w:tc>
      </w:tr>
      <w:tr w:rsidR="004150D5" w14:paraId="7740650D" w14:textId="77777777" w:rsidTr="001F4652">
        <w:tc>
          <w:tcPr>
            <w:tcW w:w="504" w:type="pct"/>
          </w:tcPr>
          <w:p w14:paraId="5D38DD37" w14:textId="3541B744" w:rsidR="004150D5" w:rsidRPr="004150D5" w:rsidRDefault="004150D5" w:rsidP="004150D5">
            <w:pPr>
              <w:keepNext/>
              <w:keepLines/>
              <w:rPr>
                <w:b/>
              </w:rPr>
            </w:pPr>
            <w:r w:rsidRPr="004150D5">
              <w:t>Can be repaired</w:t>
            </w:r>
          </w:p>
        </w:tc>
        <w:tc>
          <w:tcPr>
            <w:tcW w:w="2191" w:type="pct"/>
          </w:tcPr>
          <w:p w14:paraId="698B640A" w14:textId="77777777" w:rsidR="004150D5" w:rsidRPr="004150D5" w:rsidRDefault="004150D5" w:rsidP="004150D5">
            <w:pPr>
              <w:keepNext/>
              <w:keepLines/>
            </w:pPr>
            <w:r w:rsidRPr="004150D5">
              <w:t>Existing equipment can be repaired to extend life for “foreseeable future”</w:t>
            </w:r>
          </w:p>
        </w:tc>
        <w:tc>
          <w:tcPr>
            <w:tcW w:w="2305" w:type="pct"/>
          </w:tcPr>
          <w:p w14:paraId="2389C467" w14:textId="77777777" w:rsidR="004150D5" w:rsidRDefault="004150D5" w:rsidP="004150D5">
            <w:pPr>
              <w:keepNext/>
              <w:keepLines/>
              <w:rPr>
                <w:b/>
              </w:rPr>
            </w:pPr>
          </w:p>
        </w:tc>
      </w:tr>
      <w:tr w:rsidR="004150D5" w14:paraId="54F0221D" w14:textId="77777777" w:rsidTr="007832E9">
        <w:tc>
          <w:tcPr>
            <w:tcW w:w="504" w:type="pct"/>
          </w:tcPr>
          <w:p w14:paraId="56939D57" w14:textId="2DDD224C" w:rsidR="004150D5" w:rsidRPr="004150D5" w:rsidRDefault="004150D5" w:rsidP="004150D5">
            <w:pPr>
              <w:keepNext/>
              <w:keepLines/>
            </w:pPr>
            <w:r>
              <w:t>Would be (</w:t>
            </w:r>
            <w:r w:rsidRPr="004150D5">
              <w:t>Cost</w:t>
            </w:r>
            <w:r>
              <w:t>)</w:t>
            </w:r>
          </w:p>
        </w:tc>
        <w:tc>
          <w:tcPr>
            <w:tcW w:w="2191" w:type="pct"/>
          </w:tcPr>
          <w:p w14:paraId="780806AB" w14:textId="76C9F35C" w:rsidR="004150D5" w:rsidRPr="004150D5" w:rsidRDefault="004150D5" w:rsidP="004150D5">
            <w:pPr>
              <w:keepNext/>
              <w:keepLines/>
            </w:pPr>
            <w:r w:rsidRPr="004150D5">
              <w:t>R</w:t>
            </w:r>
            <w:r w:rsidRPr="004150D5">
              <w:t>epair cost is less than 50% of the full measure cost (FMC).</w:t>
            </w:r>
          </w:p>
        </w:tc>
        <w:tc>
          <w:tcPr>
            <w:tcW w:w="2305" w:type="pct"/>
          </w:tcPr>
          <w:p w14:paraId="66F4B5D2" w14:textId="32429B7E" w:rsidR="004150D5" w:rsidRPr="00055555" w:rsidRDefault="004150D5" w:rsidP="004150D5">
            <w:pPr>
              <w:keepNext/>
              <w:keepLines/>
              <w:rPr>
                <w:i/>
              </w:rPr>
            </w:pPr>
            <w:r w:rsidRPr="00055555">
              <w:rPr>
                <w:i/>
              </w:rPr>
              <w:t>Resolution: “… we do not adopt the use of repair cost in determining equipment eligibility-based definitions.”</w:t>
            </w:r>
          </w:p>
        </w:tc>
      </w:tr>
      <w:tr w:rsidR="004150D5" w14:paraId="44CF982C" w14:textId="77777777" w:rsidTr="007832E9">
        <w:tc>
          <w:tcPr>
            <w:tcW w:w="504" w:type="pct"/>
          </w:tcPr>
          <w:p w14:paraId="34D2A4A8" w14:textId="4F184790" w:rsidR="004150D5" w:rsidRPr="004150D5" w:rsidRDefault="004150D5" w:rsidP="004150D5">
            <w:pPr>
              <w:keepNext/>
              <w:keepLines/>
            </w:pPr>
            <w:r>
              <w:t>Would be (</w:t>
            </w:r>
            <w:r w:rsidRPr="004150D5">
              <w:t>Cost</w:t>
            </w:r>
            <w:r>
              <w:t>)</w:t>
            </w:r>
          </w:p>
        </w:tc>
        <w:tc>
          <w:tcPr>
            <w:tcW w:w="2191" w:type="pct"/>
          </w:tcPr>
          <w:p w14:paraId="100382BF" w14:textId="23B47088" w:rsidR="004150D5" w:rsidRPr="004150D5" w:rsidRDefault="004150D5" w:rsidP="004150D5">
            <w:pPr>
              <w:keepNext/>
              <w:keepLines/>
            </w:pPr>
            <w:r w:rsidRPr="004150D5">
              <w:t>The expected cost of equipment replacement far exceed the cost of regular and periodic equipment maintenance to provide a constant level of service (COST)</w:t>
            </w:r>
          </w:p>
        </w:tc>
        <w:tc>
          <w:tcPr>
            <w:tcW w:w="2305" w:type="pct"/>
          </w:tcPr>
          <w:p w14:paraId="71BB9853" w14:textId="6A419F0D" w:rsidR="004150D5" w:rsidRDefault="004150D5" w:rsidP="004150D5">
            <w:pPr>
              <w:keepNext/>
              <w:keepLines/>
              <w:rPr>
                <w:b/>
              </w:rPr>
            </w:pPr>
            <w:r w:rsidRPr="00055555">
              <w:rPr>
                <w:i/>
              </w:rPr>
              <w:t>Resolution: “… we do not adopt the use of repair cost in determining equipment eligibility-based definitions.”</w:t>
            </w:r>
          </w:p>
        </w:tc>
      </w:tr>
      <w:tr w:rsidR="004150D5" w:rsidRPr="007832E9" w14:paraId="4D3AA2A8" w14:textId="77777777" w:rsidTr="001F4652">
        <w:tc>
          <w:tcPr>
            <w:tcW w:w="504" w:type="pct"/>
          </w:tcPr>
          <w:p w14:paraId="79810539" w14:textId="77777777" w:rsidR="004150D5" w:rsidRPr="004150D5" w:rsidRDefault="004150D5" w:rsidP="004150D5">
            <w:pPr>
              <w:keepNext/>
              <w:keepLines/>
            </w:pPr>
            <w:r w:rsidRPr="004150D5">
              <w:t>Design</w:t>
            </w:r>
          </w:p>
        </w:tc>
        <w:tc>
          <w:tcPr>
            <w:tcW w:w="2191" w:type="pct"/>
          </w:tcPr>
          <w:p w14:paraId="65B25F5B" w14:textId="77777777" w:rsidR="004150D5" w:rsidRPr="004150D5" w:rsidRDefault="004150D5" w:rsidP="004150D5">
            <w:pPr>
              <w:keepNext/>
              <w:keepLines/>
            </w:pPr>
            <w:r w:rsidRPr="004150D5">
              <w:t>The equipment/process was designed such that regular and periodic maintenance is sufficient to maintain a constant level of service (DESIGN)</w:t>
            </w:r>
          </w:p>
        </w:tc>
        <w:tc>
          <w:tcPr>
            <w:tcW w:w="2305" w:type="pct"/>
          </w:tcPr>
          <w:p w14:paraId="07010572" w14:textId="77777777" w:rsidR="004150D5" w:rsidRPr="007832E9" w:rsidRDefault="004150D5" w:rsidP="004150D5">
            <w:pPr>
              <w:keepNext/>
              <w:keepLines/>
              <w:rPr>
                <w:b/>
                <w:i/>
              </w:rPr>
            </w:pPr>
            <w:r w:rsidRPr="007832E9">
              <w:rPr>
                <w:i/>
              </w:rPr>
              <w:t>In practice, difficult to know or find someone who knows the design intent of systems, especially old systems.</w:t>
            </w:r>
          </w:p>
        </w:tc>
      </w:tr>
      <w:tr w:rsidR="004150D5" w14:paraId="6DBBBB22" w14:textId="77777777" w:rsidTr="007832E9">
        <w:tc>
          <w:tcPr>
            <w:tcW w:w="504" w:type="pct"/>
          </w:tcPr>
          <w:p w14:paraId="5DF7A142" w14:textId="66DB7AD7" w:rsidR="004150D5" w:rsidRPr="004150D5" w:rsidRDefault="004150D5" w:rsidP="004150D5">
            <w:pPr>
              <w:keepNext/>
              <w:keepLines/>
            </w:pPr>
            <w:r w:rsidRPr="004150D5">
              <w:t>Design</w:t>
            </w:r>
          </w:p>
        </w:tc>
        <w:tc>
          <w:tcPr>
            <w:tcW w:w="2191" w:type="pct"/>
          </w:tcPr>
          <w:p w14:paraId="7FF2465A" w14:textId="7BE20238" w:rsidR="004150D5" w:rsidRPr="004150D5" w:rsidRDefault="004150D5" w:rsidP="004150D5">
            <w:pPr>
              <w:keepNext/>
              <w:keepLines/>
            </w:pPr>
            <w:r w:rsidRPr="004150D5">
              <w:t>The existing system was the ISP design at the time of development (BEST AVAILABLE AT DEVELOPMENT)</w:t>
            </w:r>
          </w:p>
        </w:tc>
        <w:tc>
          <w:tcPr>
            <w:tcW w:w="2305" w:type="pct"/>
          </w:tcPr>
          <w:p w14:paraId="0C81E1AF" w14:textId="670976C0" w:rsidR="004150D5" w:rsidRDefault="004150D5" w:rsidP="004150D5">
            <w:pPr>
              <w:keepNext/>
              <w:keepLines/>
              <w:rPr>
                <w:b/>
              </w:rPr>
            </w:pPr>
            <w:r w:rsidRPr="007832E9">
              <w:rPr>
                <w:i/>
              </w:rPr>
              <w:t xml:space="preserve">In practice, difficult to know </w:t>
            </w:r>
            <w:r>
              <w:rPr>
                <w:i/>
              </w:rPr>
              <w:t>past design strategies</w:t>
            </w:r>
          </w:p>
        </w:tc>
      </w:tr>
      <w:tr w:rsidR="004150D5" w:rsidRPr="00055555" w14:paraId="05E62815" w14:textId="77777777" w:rsidTr="001F4652">
        <w:tc>
          <w:tcPr>
            <w:tcW w:w="504" w:type="pct"/>
          </w:tcPr>
          <w:p w14:paraId="067911D4" w14:textId="1B5F2DFB" w:rsidR="004150D5" w:rsidRPr="004150D5" w:rsidRDefault="004150D5" w:rsidP="004150D5">
            <w:pPr>
              <w:keepNext/>
              <w:keepLines/>
            </w:pPr>
            <w:r w:rsidRPr="004150D5">
              <w:t>Would be</w:t>
            </w:r>
            <w:r>
              <w:t xml:space="preserve"> (pattern)</w:t>
            </w:r>
            <w:r w:rsidRPr="004150D5">
              <w:t xml:space="preserve"> </w:t>
            </w:r>
          </w:p>
        </w:tc>
        <w:tc>
          <w:tcPr>
            <w:tcW w:w="2191" w:type="pct"/>
          </w:tcPr>
          <w:p w14:paraId="6DAD99A6" w14:textId="77777777" w:rsidR="004150D5" w:rsidRPr="004150D5" w:rsidRDefault="004150D5" w:rsidP="004150D5">
            <w:pPr>
              <w:keepNext/>
              <w:keepLines/>
              <w:rPr>
                <w:b/>
              </w:rPr>
            </w:pPr>
            <w:r w:rsidRPr="004150D5">
              <w:t>Existing equipment has a history of repair and maintenance</w:t>
            </w:r>
          </w:p>
        </w:tc>
        <w:tc>
          <w:tcPr>
            <w:tcW w:w="2305" w:type="pct"/>
          </w:tcPr>
          <w:p w14:paraId="37EC78E1" w14:textId="77777777" w:rsidR="004150D5" w:rsidRPr="00055555" w:rsidRDefault="004150D5" w:rsidP="004150D5">
            <w:pPr>
              <w:keepNext/>
              <w:keepLines/>
              <w:rPr>
                <w:b/>
                <w:i/>
              </w:rPr>
            </w:pPr>
          </w:p>
        </w:tc>
      </w:tr>
      <w:tr w:rsidR="004150D5" w14:paraId="597FEB62" w14:textId="77777777" w:rsidTr="001F4652">
        <w:tc>
          <w:tcPr>
            <w:tcW w:w="504" w:type="pct"/>
          </w:tcPr>
          <w:p w14:paraId="111A33DF" w14:textId="18CD9AFD" w:rsidR="004150D5" w:rsidRPr="004150D5" w:rsidRDefault="004150D5" w:rsidP="004150D5">
            <w:pPr>
              <w:keepNext/>
              <w:keepLines/>
            </w:pPr>
            <w:r w:rsidRPr="004150D5">
              <w:t>Would be</w:t>
            </w:r>
            <w:r>
              <w:t xml:space="preserve"> (intent)</w:t>
            </w:r>
          </w:p>
        </w:tc>
        <w:tc>
          <w:tcPr>
            <w:tcW w:w="2191" w:type="pct"/>
          </w:tcPr>
          <w:p w14:paraId="3544B034" w14:textId="77777777" w:rsidR="004150D5" w:rsidRPr="004150D5" w:rsidRDefault="004150D5" w:rsidP="004150D5">
            <w:pPr>
              <w:keepNext/>
              <w:keepLines/>
            </w:pPr>
            <w:r w:rsidRPr="004150D5">
              <w:t>the CPUC maximum EUL of 20 years does not correctly describe the full equipment useful life of the equipment as the customer intends to operate it (LIFECYCLE)</w:t>
            </w:r>
          </w:p>
        </w:tc>
        <w:tc>
          <w:tcPr>
            <w:tcW w:w="2305" w:type="pct"/>
          </w:tcPr>
          <w:p w14:paraId="27288B97" w14:textId="77777777" w:rsidR="004150D5" w:rsidRDefault="004150D5" w:rsidP="004150D5">
            <w:pPr>
              <w:keepNext/>
              <w:keepLines/>
              <w:rPr>
                <w:b/>
              </w:rPr>
            </w:pPr>
          </w:p>
        </w:tc>
      </w:tr>
      <w:tr w:rsidR="004150D5" w14:paraId="6D737287" w14:textId="77777777" w:rsidTr="001F4652">
        <w:tc>
          <w:tcPr>
            <w:tcW w:w="504" w:type="pct"/>
          </w:tcPr>
          <w:p w14:paraId="77C1D762" w14:textId="7A67CEE5" w:rsidR="004150D5" w:rsidRPr="004150D5" w:rsidRDefault="004150D5" w:rsidP="004150D5">
            <w:pPr>
              <w:keepNext/>
              <w:keepLines/>
            </w:pPr>
            <w:r w:rsidRPr="004150D5">
              <w:t>Would be</w:t>
            </w:r>
            <w:r>
              <w:t xml:space="preserve"> (knowledge)</w:t>
            </w:r>
          </w:p>
        </w:tc>
        <w:tc>
          <w:tcPr>
            <w:tcW w:w="2191" w:type="pct"/>
          </w:tcPr>
          <w:p w14:paraId="6270BE10" w14:textId="77777777" w:rsidR="004150D5" w:rsidRPr="004150D5" w:rsidRDefault="004150D5" w:rsidP="004150D5">
            <w:pPr>
              <w:spacing w:line="276" w:lineRule="auto"/>
            </w:pPr>
            <w:r w:rsidRPr="004150D5">
              <w:t xml:space="preserve">Retrofit/Replacement identified in </w:t>
            </w:r>
            <w:commentRangeStart w:id="4"/>
            <w:r w:rsidRPr="004150D5">
              <w:t>audit</w:t>
            </w:r>
            <w:commentRangeEnd w:id="4"/>
            <w:r w:rsidR="00044013">
              <w:rPr>
                <w:rStyle w:val="CommentReference"/>
              </w:rPr>
              <w:commentReference w:id="4"/>
            </w:r>
          </w:p>
          <w:p w14:paraId="1A386892" w14:textId="77777777" w:rsidR="004150D5" w:rsidRPr="004150D5" w:rsidRDefault="004150D5" w:rsidP="004150D5">
            <w:pPr>
              <w:pStyle w:val="ListParagraph"/>
              <w:numPr>
                <w:ilvl w:val="0"/>
                <w:numId w:val="21"/>
              </w:numPr>
              <w:spacing w:after="200" w:line="276" w:lineRule="auto"/>
            </w:pPr>
            <w:r w:rsidRPr="004150D5">
              <w:t>Internal Customer audit</w:t>
            </w:r>
          </w:p>
          <w:p w14:paraId="01106D14" w14:textId="77777777" w:rsidR="004150D5" w:rsidRPr="004150D5" w:rsidRDefault="004150D5" w:rsidP="004150D5">
            <w:pPr>
              <w:pStyle w:val="ListParagraph"/>
              <w:numPr>
                <w:ilvl w:val="0"/>
                <w:numId w:val="21"/>
              </w:numPr>
              <w:spacing w:after="200" w:line="276" w:lineRule="auto"/>
            </w:pPr>
            <w:r w:rsidRPr="004150D5">
              <w:t>3P Audit/Project Feasibility Study (PFS)</w:t>
            </w:r>
          </w:p>
          <w:p w14:paraId="6E35490B" w14:textId="77777777" w:rsidR="004150D5" w:rsidRPr="004150D5" w:rsidRDefault="004150D5" w:rsidP="004150D5">
            <w:pPr>
              <w:pStyle w:val="ListParagraph"/>
              <w:keepNext/>
              <w:keepLines/>
              <w:numPr>
                <w:ilvl w:val="0"/>
                <w:numId w:val="21"/>
              </w:numPr>
              <w:rPr>
                <w:b/>
              </w:rPr>
            </w:pPr>
            <w:r w:rsidRPr="004150D5">
              <w:t>Other Program audit/assessment</w:t>
            </w:r>
          </w:p>
        </w:tc>
        <w:tc>
          <w:tcPr>
            <w:tcW w:w="2305" w:type="pct"/>
          </w:tcPr>
          <w:p w14:paraId="0D400E5B" w14:textId="77777777" w:rsidR="004150D5" w:rsidRDefault="004150D5" w:rsidP="004150D5">
            <w:pPr>
              <w:keepNext/>
              <w:keepLines/>
              <w:rPr>
                <w:b/>
              </w:rPr>
            </w:pPr>
          </w:p>
        </w:tc>
      </w:tr>
      <w:tr w:rsidR="004150D5" w14:paraId="0715B63C" w14:textId="77777777" w:rsidTr="007832E9">
        <w:tc>
          <w:tcPr>
            <w:tcW w:w="504" w:type="pct"/>
          </w:tcPr>
          <w:p w14:paraId="6B0D98BD" w14:textId="6647486D" w:rsidR="004150D5" w:rsidRPr="004150D5" w:rsidRDefault="004150D5" w:rsidP="004150D5">
            <w:pPr>
              <w:keepNext/>
              <w:keepLines/>
            </w:pPr>
            <w:r w:rsidRPr="004150D5">
              <w:lastRenderedPageBreak/>
              <w:t xml:space="preserve">Would be </w:t>
            </w:r>
            <w:r>
              <w:t>(pattern)</w:t>
            </w:r>
          </w:p>
        </w:tc>
        <w:tc>
          <w:tcPr>
            <w:tcW w:w="2191" w:type="pct"/>
          </w:tcPr>
          <w:p w14:paraId="03A972D1" w14:textId="72E88B43" w:rsidR="004150D5" w:rsidRPr="004150D5" w:rsidRDefault="004150D5" w:rsidP="004150D5">
            <w:pPr>
              <w:keepNext/>
              <w:keepLines/>
            </w:pPr>
            <w:r w:rsidRPr="004150D5">
              <w:t>The facility replacing the existing system requires an extensive capital approval process that restrict</w:t>
            </w:r>
            <w:r w:rsidRPr="004150D5">
              <w:t>s</w:t>
            </w:r>
            <w:r w:rsidRPr="004150D5">
              <w:t xml:space="preserve"> the replacement of functioning equipment (BURDENSOME INTERNAL APPROVAL PROCESS)</w:t>
            </w:r>
          </w:p>
        </w:tc>
        <w:tc>
          <w:tcPr>
            <w:tcW w:w="2305" w:type="pct"/>
          </w:tcPr>
          <w:p w14:paraId="16A65BA0" w14:textId="77777777" w:rsidR="004150D5" w:rsidRDefault="004150D5" w:rsidP="004150D5">
            <w:pPr>
              <w:keepNext/>
              <w:keepLines/>
              <w:rPr>
                <w:b/>
              </w:rPr>
            </w:pPr>
          </w:p>
        </w:tc>
      </w:tr>
    </w:tbl>
    <w:p w14:paraId="3F977D8F" w14:textId="413EED74" w:rsidR="00A826B8" w:rsidRPr="00A826B8" w:rsidRDefault="00A826B8" w:rsidP="00A826B8"/>
    <w:p w14:paraId="2C2611C5" w14:textId="42FE6D55" w:rsidR="00466ED0" w:rsidRDefault="00466ED0" w:rsidP="00466ED0">
      <w:pPr>
        <w:pStyle w:val="Heading2"/>
        <w:rPr>
          <w:b/>
        </w:rPr>
      </w:pPr>
      <w:r w:rsidRPr="00466ED0">
        <w:rPr>
          <w:b/>
        </w:rPr>
        <w:t>Documentation Requirements</w:t>
      </w:r>
    </w:p>
    <w:p w14:paraId="7B3F34AC" w14:textId="0D22176E" w:rsidR="000C239C" w:rsidRPr="000C239C" w:rsidRDefault="000C239C" w:rsidP="000C239C">
      <w:r>
        <w:t xml:space="preserve">Staff provided </w:t>
      </w:r>
      <w:r w:rsidR="00D15B45">
        <w:t>the following</w:t>
      </w:r>
      <w:r>
        <w:t xml:space="preserve"> “i</w:t>
      </w:r>
      <w:r w:rsidRPr="000C239C">
        <w:t>mportant considerations at portfolio/program/activity level (supported by current/recent evidence):</w:t>
      </w:r>
      <w:r>
        <w:t>”</w:t>
      </w:r>
    </w:p>
    <w:p w14:paraId="42D49449" w14:textId="77777777" w:rsidR="00000000" w:rsidRPr="000C239C" w:rsidRDefault="00044013" w:rsidP="000C239C">
      <w:pPr>
        <w:pStyle w:val="ListParagraph"/>
        <w:numPr>
          <w:ilvl w:val="0"/>
          <w:numId w:val="17"/>
        </w:numPr>
      </w:pPr>
      <w:r w:rsidRPr="000C239C">
        <w:t>St</w:t>
      </w:r>
      <w:r w:rsidRPr="000C239C">
        <w:t>andard practice for repair versus replace in the market segment of interest; Functionality and feasibility of repairs.</w:t>
      </w:r>
    </w:p>
    <w:p w14:paraId="70497A46" w14:textId="77777777" w:rsidR="00000000" w:rsidRPr="000C239C" w:rsidRDefault="00044013" w:rsidP="000C239C">
      <w:pPr>
        <w:pStyle w:val="ListParagraph"/>
        <w:numPr>
          <w:ilvl w:val="0"/>
          <w:numId w:val="17"/>
        </w:numPr>
      </w:pPr>
      <w:r w:rsidRPr="000C239C">
        <w:t xml:space="preserve">Non-energy </w:t>
      </w:r>
      <w:r w:rsidRPr="000C239C">
        <w:t>considerations that impact the customer decision process (as much or more than energy cost considerations)</w:t>
      </w:r>
    </w:p>
    <w:p w14:paraId="4DE4D3C1" w14:textId="77777777" w:rsidR="00000000" w:rsidRPr="000C239C" w:rsidRDefault="00044013" w:rsidP="000C239C">
      <w:pPr>
        <w:pStyle w:val="ListParagraph"/>
        <w:numPr>
          <w:ilvl w:val="0"/>
          <w:numId w:val="17"/>
        </w:numPr>
      </w:pPr>
      <w:r w:rsidRPr="000C239C">
        <w:t>Typical repair versus replace payback from the customer perspective</w:t>
      </w:r>
    </w:p>
    <w:p w14:paraId="7056EB74" w14:textId="69B84FC1" w:rsidR="000C239C" w:rsidRDefault="000C239C" w:rsidP="00466ED0">
      <w:r>
        <w:t>Staff/Consultants clarified that, as with other AR projects, the level of rigor should depend o</w:t>
      </w:r>
      <w:r w:rsidR="00D15B45">
        <w:t xml:space="preserve">n the incentive (or tier) level: </w:t>
      </w:r>
    </w:p>
    <w:p w14:paraId="5C293B1F" w14:textId="3D299BDE" w:rsidR="00D15B45" w:rsidRPr="00D15B45" w:rsidRDefault="00D15B45" w:rsidP="00D15B45">
      <w:pPr>
        <w:pStyle w:val="ListParagraph"/>
        <w:numPr>
          <w:ilvl w:val="0"/>
          <w:numId w:val="19"/>
        </w:numPr>
      </w:pPr>
      <w:r w:rsidRPr="00D15B45">
        <w:rPr>
          <w:b/>
          <w:u w:val="single"/>
        </w:rPr>
        <w:t xml:space="preserve">Program submission </w:t>
      </w:r>
      <w:r w:rsidRPr="00D15B45">
        <w:t>requirement may always be high while project level criteria may vary greatly by incentive dollar amount</w:t>
      </w:r>
      <w:r>
        <w:t xml:space="preserve">. </w:t>
      </w:r>
      <w:r w:rsidRPr="00D15B45">
        <w:t>Program submissions must fully describe project eligibility criteria with examples, process to be followed to establish eligibility, and documentation archiving requirements</w:t>
      </w:r>
      <w:r>
        <w:t>.</w:t>
      </w:r>
    </w:p>
    <w:p w14:paraId="5ED887B6" w14:textId="02F4CADC" w:rsidR="00D15B45" w:rsidRPr="00466ED0" w:rsidRDefault="00D15B45" w:rsidP="00D15B45">
      <w:pPr>
        <w:pStyle w:val="ListParagraph"/>
        <w:numPr>
          <w:ilvl w:val="0"/>
          <w:numId w:val="19"/>
        </w:numPr>
      </w:pPr>
      <w:r w:rsidRPr="00D15B45">
        <w:rPr>
          <w:b/>
          <w:u w:val="single"/>
        </w:rPr>
        <w:t>Project criteria</w:t>
      </w:r>
      <w:r w:rsidRPr="00D15B45">
        <w:t xml:space="preserve"> should always </w:t>
      </w:r>
      <w:r>
        <w:t>include a consideration of the [evidence requirements]</w:t>
      </w:r>
      <w:r w:rsidRPr="00D15B45">
        <w:t>. However, lower incentive levels, as with PoE tiers, should have a much lower level – and in some cases very limited – of requirements.</w:t>
      </w:r>
    </w:p>
    <w:p w14:paraId="5D39133F" w14:textId="0044BDBD" w:rsidR="00466ED0" w:rsidRDefault="009966E4" w:rsidP="000E3A00">
      <w:pPr>
        <w:rPr>
          <w:b/>
        </w:rPr>
      </w:pPr>
      <w:r w:rsidRPr="00E85E5D">
        <w:rPr>
          <w:b/>
          <w:highlight w:val="yellow"/>
        </w:rPr>
        <w:t xml:space="preserve">[Q4] What </w:t>
      </w:r>
      <w:r>
        <w:rPr>
          <w:b/>
          <w:highlight w:val="yellow"/>
        </w:rPr>
        <w:t xml:space="preserve">types of evidence/data </w:t>
      </w:r>
      <w:r w:rsidR="003145BF">
        <w:rPr>
          <w:b/>
          <w:highlight w:val="yellow"/>
        </w:rPr>
        <w:t xml:space="preserve">we use </w:t>
      </w:r>
      <w:r>
        <w:rPr>
          <w:b/>
          <w:highlight w:val="yellow"/>
        </w:rPr>
        <w:t xml:space="preserve">to prove the points developed above (Q3), and what is the relative accessibility or value of those evidence/data?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
        <w:gridCol w:w="4229"/>
        <w:gridCol w:w="2070"/>
        <w:gridCol w:w="2894"/>
        <w:gridCol w:w="1151"/>
      </w:tblGrid>
      <w:tr w:rsidR="00D15B45" w:rsidRPr="00CC225B" w14:paraId="3B2CD0CD" w14:textId="77777777" w:rsidTr="00044013">
        <w:trPr>
          <w:trHeight w:val="576"/>
        </w:trPr>
        <w:tc>
          <w:tcPr>
            <w:tcW w:w="207" w:type="pct"/>
            <w:shd w:val="clear" w:color="000000" w:fill="E7E6E6"/>
          </w:tcPr>
          <w:p w14:paraId="14A6DB37" w14:textId="56550D6D" w:rsidR="00D15B45" w:rsidRPr="00CC225B" w:rsidRDefault="00D15B45" w:rsidP="00D15B45">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w:t>
            </w:r>
          </w:p>
        </w:tc>
        <w:tc>
          <w:tcPr>
            <w:tcW w:w="1960" w:type="pct"/>
            <w:shd w:val="clear" w:color="000000" w:fill="E7E6E6"/>
            <w:noWrap/>
            <w:hideMark/>
          </w:tcPr>
          <w:p w14:paraId="49A45668" w14:textId="08F4066B" w:rsidR="00D15B45" w:rsidRPr="00CC225B" w:rsidRDefault="00D15B45" w:rsidP="00D15B45">
            <w:pPr>
              <w:spacing w:after="0" w:line="240" w:lineRule="auto"/>
              <w:rPr>
                <w:rFonts w:ascii="Calibri" w:eastAsia="Times New Roman" w:hAnsi="Calibri" w:cs="Times New Roman"/>
                <w:b/>
                <w:bCs/>
                <w:color w:val="000000"/>
              </w:rPr>
            </w:pPr>
            <w:r w:rsidRPr="00CC225B">
              <w:rPr>
                <w:rFonts w:ascii="Calibri" w:eastAsia="Times New Roman" w:hAnsi="Calibri" w:cs="Times New Roman"/>
                <w:b/>
                <w:bCs/>
                <w:color w:val="000000"/>
              </w:rPr>
              <w:t>Type of Evidence</w:t>
            </w:r>
          </w:p>
        </w:tc>
        <w:tc>
          <w:tcPr>
            <w:tcW w:w="959" w:type="pct"/>
            <w:shd w:val="clear" w:color="000000" w:fill="E7E6E6"/>
          </w:tcPr>
          <w:p w14:paraId="45AD4416" w14:textId="62424DFA" w:rsidR="00D15B45" w:rsidRPr="00CC225B" w:rsidRDefault="00D15B45" w:rsidP="00D15B45">
            <w:pPr>
              <w:spacing w:after="0" w:line="240" w:lineRule="auto"/>
              <w:rPr>
                <w:rFonts w:ascii="Calibri" w:eastAsia="Times New Roman" w:hAnsi="Calibri" w:cs="Times New Roman"/>
                <w:b/>
                <w:bCs/>
                <w:color w:val="000000"/>
              </w:rPr>
            </w:pPr>
            <w:r w:rsidRPr="00CC225B">
              <w:rPr>
                <w:rFonts w:ascii="Calibri" w:eastAsia="Times New Roman" w:hAnsi="Calibri" w:cs="Times New Roman"/>
                <w:b/>
                <w:bCs/>
                <w:color w:val="000000"/>
              </w:rPr>
              <w:t>Proof Point</w:t>
            </w:r>
          </w:p>
        </w:tc>
        <w:tc>
          <w:tcPr>
            <w:tcW w:w="1341" w:type="pct"/>
            <w:shd w:val="clear" w:color="000000" w:fill="E7E6E6"/>
          </w:tcPr>
          <w:p w14:paraId="445F2AC6" w14:textId="51A28AB6" w:rsidR="00D15B45" w:rsidRDefault="00D15B45" w:rsidP="00D15B45">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Commentary</w:t>
            </w:r>
          </w:p>
        </w:tc>
        <w:tc>
          <w:tcPr>
            <w:tcW w:w="533" w:type="pct"/>
            <w:shd w:val="clear" w:color="000000" w:fill="E7E6E6"/>
          </w:tcPr>
          <w:p w14:paraId="43551202" w14:textId="56D1A977" w:rsidR="00D15B45" w:rsidRDefault="00D15B45" w:rsidP="00D15B45">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Suggested</w:t>
            </w:r>
            <w:r w:rsidRPr="00CC225B">
              <w:rPr>
                <w:rFonts w:ascii="Calibri" w:eastAsia="Times New Roman" w:hAnsi="Calibri" w:cs="Times New Roman"/>
                <w:b/>
                <w:bCs/>
                <w:color w:val="000000"/>
              </w:rPr>
              <w:t xml:space="preserve"> Score</w:t>
            </w:r>
          </w:p>
        </w:tc>
      </w:tr>
      <w:tr w:rsidR="00D15B45" w:rsidRPr="00CC225B" w14:paraId="69EDD9D4" w14:textId="77777777" w:rsidTr="00044013">
        <w:tc>
          <w:tcPr>
            <w:tcW w:w="207" w:type="pct"/>
          </w:tcPr>
          <w:p w14:paraId="59BDB3D6" w14:textId="17F0E8D0" w:rsidR="00D15B45" w:rsidRPr="00F97DB1" w:rsidRDefault="00D15B45" w:rsidP="00D15B45">
            <w:pPr>
              <w:spacing w:after="0" w:line="240" w:lineRule="auto"/>
            </w:pPr>
            <w:r>
              <w:t>1</w:t>
            </w:r>
          </w:p>
        </w:tc>
        <w:tc>
          <w:tcPr>
            <w:tcW w:w="1960" w:type="pct"/>
            <w:shd w:val="clear" w:color="auto" w:fill="auto"/>
          </w:tcPr>
          <w:p w14:paraId="60298ABB" w14:textId="60348420" w:rsidR="00D15B45" w:rsidRPr="00CC225B" w:rsidRDefault="00D15B45" w:rsidP="00D15B45">
            <w:pPr>
              <w:spacing w:after="0" w:line="240" w:lineRule="auto"/>
              <w:rPr>
                <w:rFonts w:ascii="Calibri" w:eastAsia="Times New Roman" w:hAnsi="Calibri" w:cs="Times New Roman"/>
                <w:color w:val="000000"/>
              </w:rPr>
            </w:pPr>
            <w:r w:rsidRPr="00F97DB1">
              <w:t>Recent history of repairs/</w:t>
            </w:r>
            <w:r w:rsidRPr="00E85E5D">
              <w:rPr>
                <w:highlight w:val="green"/>
              </w:rPr>
              <w:t xml:space="preserve">costs </w:t>
            </w:r>
            <w:r w:rsidRPr="00F97DB1">
              <w:t>and anticipated repairs</w:t>
            </w:r>
            <w:r>
              <w:t xml:space="preserve"> (</w:t>
            </w:r>
            <w:r w:rsidRPr="00F97DB1">
              <w:t>Reliability may have cost implications past equipment maintenance</w:t>
            </w:r>
            <w:r>
              <w:t>)</w:t>
            </w:r>
          </w:p>
        </w:tc>
        <w:tc>
          <w:tcPr>
            <w:tcW w:w="959" w:type="pct"/>
            <w:shd w:val="clear" w:color="auto" w:fill="auto"/>
          </w:tcPr>
          <w:p w14:paraId="34BC2152" w14:textId="77777777" w:rsidR="00D15B45" w:rsidRPr="00CC225B" w:rsidRDefault="00D15B45" w:rsidP="00D15B45">
            <w:pPr>
              <w:spacing w:after="0" w:line="240" w:lineRule="auto"/>
              <w:rPr>
                <w:rFonts w:ascii="Calibri" w:eastAsia="Times New Roman" w:hAnsi="Calibri" w:cs="Times New Roman"/>
                <w:color w:val="006100"/>
              </w:rPr>
            </w:pPr>
          </w:p>
        </w:tc>
        <w:tc>
          <w:tcPr>
            <w:tcW w:w="1341" w:type="pct"/>
          </w:tcPr>
          <w:p w14:paraId="0F11EDE2" w14:textId="53AC41DC" w:rsidR="00D15B45" w:rsidRPr="005424D6" w:rsidRDefault="00D15B45" w:rsidP="00D15B45">
            <w:pPr>
              <w:spacing w:after="0" w:line="240" w:lineRule="auto"/>
              <w:rPr>
                <w:color w:val="000000" w:themeColor="text1"/>
              </w:rPr>
            </w:pPr>
            <w:r w:rsidRPr="005424D6">
              <w:rPr>
                <w:color w:val="000000" w:themeColor="text1"/>
              </w:rPr>
              <w:t xml:space="preserve">“… we do not </w:t>
            </w:r>
            <w:r>
              <w:rPr>
                <w:color w:val="000000" w:themeColor="text1"/>
              </w:rPr>
              <w:t xml:space="preserve">adopt the use of repair cost in determining equipment </w:t>
            </w:r>
            <w:r w:rsidRPr="005424D6">
              <w:rPr>
                <w:color w:val="000000" w:themeColor="text1"/>
              </w:rPr>
              <w:t>eligibility-based definitions.”</w:t>
            </w:r>
          </w:p>
        </w:tc>
        <w:tc>
          <w:tcPr>
            <w:tcW w:w="533" w:type="pct"/>
          </w:tcPr>
          <w:p w14:paraId="7C5A9F94" w14:textId="11F8C107" w:rsidR="00D15B45" w:rsidRPr="005424D6" w:rsidRDefault="00D15B45" w:rsidP="00D15B45">
            <w:pPr>
              <w:spacing w:after="0" w:line="240" w:lineRule="auto"/>
              <w:rPr>
                <w:color w:val="000000" w:themeColor="text1"/>
              </w:rPr>
            </w:pPr>
          </w:p>
        </w:tc>
      </w:tr>
      <w:tr w:rsidR="00D15B45" w:rsidRPr="00CC225B" w14:paraId="6262DAD5" w14:textId="77777777" w:rsidTr="00044013">
        <w:tc>
          <w:tcPr>
            <w:tcW w:w="207" w:type="pct"/>
          </w:tcPr>
          <w:p w14:paraId="39997FD2" w14:textId="102041B7" w:rsidR="00D15B45" w:rsidRPr="00F97DB1" w:rsidRDefault="00D15B45" w:rsidP="00D15B45">
            <w:pPr>
              <w:spacing w:after="0" w:line="240" w:lineRule="auto"/>
            </w:pPr>
            <w:r>
              <w:t>2</w:t>
            </w:r>
          </w:p>
        </w:tc>
        <w:tc>
          <w:tcPr>
            <w:tcW w:w="1960" w:type="pct"/>
            <w:shd w:val="clear" w:color="auto" w:fill="auto"/>
          </w:tcPr>
          <w:p w14:paraId="64CA99B1" w14:textId="5DA90E61" w:rsidR="00D15B45" w:rsidRPr="00CC225B" w:rsidRDefault="00D15B45" w:rsidP="00D15B45">
            <w:pPr>
              <w:spacing w:after="0" w:line="240" w:lineRule="auto"/>
              <w:rPr>
                <w:rFonts w:ascii="Calibri" w:eastAsia="Times New Roman" w:hAnsi="Calibri" w:cs="Times New Roman"/>
                <w:color w:val="000000"/>
              </w:rPr>
            </w:pPr>
            <w:r w:rsidRPr="00F97DB1">
              <w:t xml:space="preserve">Replacement cost versus repair </w:t>
            </w:r>
            <w:r w:rsidRPr="00E85E5D">
              <w:rPr>
                <w:highlight w:val="green"/>
              </w:rPr>
              <w:t>cost</w:t>
            </w:r>
            <w:r>
              <w:t xml:space="preserve"> (</w:t>
            </w:r>
            <w:r w:rsidRPr="00F97DB1">
              <w:t>There may be lead-time and/or down-time considerations that can be different and important in the comparison</w:t>
            </w:r>
            <w:r>
              <w:t>)</w:t>
            </w:r>
          </w:p>
        </w:tc>
        <w:tc>
          <w:tcPr>
            <w:tcW w:w="959" w:type="pct"/>
            <w:shd w:val="clear" w:color="auto" w:fill="auto"/>
          </w:tcPr>
          <w:p w14:paraId="4B7708EC" w14:textId="77777777" w:rsidR="00D15B45" w:rsidRPr="00CC225B" w:rsidRDefault="00D15B45" w:rsidP="00D15B45">
            <w:pPr>
              <w:spacing w:after="0" w:line="240" w:lineRule="auto"/>
              <w:rPr>
                <w:rFonts w:ascii="Calibri" w:eastAsia="Times New Roman" w:hAnsi="Calibri" w:cs="Times New Roman"/>
                <w:color w:val="006100"/>
              </w:rPr>
            </w:pPr>
          </w:p>
        </w:tc>
        <w:tc>
          <w:tcPr>
            <w:tcW w:w="1341" w:type="pct"/>
          </w:tcPr>
          <w:p w14:paraId="46A5D833" w14:textId="7AE2310E" w:rsidR="00D15B45" w:rsidRPr="005424D6" w:rsidRDefault="00D15B45" w:rsidP="00D15B45">
            <w:pPr>
              <w:spacing w:after="0" w:line="240" w:lineRule="auto"/>
              <w:rPr>
                <w:color w:val="000000" w:themeColor="text1"/>
              </w:rPr>
            </w:pPr>
            <w:r w:rsidRPr="005424D6">
              <w:rPr>
                <w:color w:val="000000" w:themeColor="text1"/>
              </w:rPr>
              <w:t>“… we do not adopt the use of repair cost in determining equipment eligibility-based definitions.”</w:t>
            </w:r>
          </w:p>
        </w:tc>
        <w:tc>
          <w:tcPr>
            <w:tcW w:w="533" w:type="pct"/>
          </w:tcPr>
          <w:p w14:paraId="5951215D" w14:textId="3DDF9D64" w:rsidR="00D15B45" w:rsidRPr="005424D6" w:rsidRDefault="00D15B45" w:rsidP="00D15B45">
            <w:pPr>
              <w:spacing w:after="0" w:line="240" w:lineRule="auto"/>
              <w:rPr>
                <w:color w:val="000000" w:themeColor="text1"/>
              </w:rPr>
            </w:pPr>
          </w:p>
        </w:tc>
      </w:tr>
      <w:tr w:rsidR="00D15B45" w:rsidRPr="00CC225B" w14:paraId="39FBD977" w14:textId="77777777" w:rsidTr="00044013">
        <w:tc>
          <w:tcPr>
            <w:tcW w:w="207" w:type="pct"/>
          </w:tcPr>
          <w:p w14:paraId="12DE49AA" w14:textId="54178200" w:rsidR="00D15B45" w:rsidRPr="00F97DB1" w:rsidRDefault="00D15B45" w:rsidP="00D15B45">
            <w:pPr>
              <w:spacing w:after="0" w:line="240" w:lineRule="auto"/>
            </w:pPr>
            <w:r>
              <w:t>3</w:t>
            </w:r>
          </w:p>
        </w:tc>
        <w:tc>
          <w:tcPr>
            <w:tcW w:w="1960" w:type="pct"/>
            <w:shd w:val="clear" w:color="auto" w:fill="auto"/>
          </w:tcPr>
          <w:p w14:paraId="74BCB202" w14:textId="56CB2B08" w:rsidR="00D15B45" w:rsidRPr="00CC225B" w:rsidRDefault="00D15B45" w:rsidP="00D15B45">
            <w:pPr>
              <w:spacing w:after="0" w:line="240" w:lineRule="auto"/>
              <w:rPr>
                <w:rFonts w:ascii="Calibri" w:eastAsia="Times New Roman" w:hAnsi="Calibri" w:cs="Times New Roman"/>
                <w:color w:val="000000"/>
              </w:rPr>
            </w:pPr>
            <w:r w:rsidRPr="00F97DB1">
              <w:t xml:space="preserve">Impact of repair versus replacement on maintenance </w:t>
            </w:r>
            <w:r w:rsidRPr="00E85E5D">
              <w:rPr>
                <w:highlight w:val="green"/>
              </w:rPr>
              <w:t>costs</w:t>
            </w:r>
          </w:p>
        </w:tc>
        <w:tc>
          <w:tcPr>
            <w:tcW w:w="959" w:type="pct"/>
            <w:shd w:val="clear" w:color="auto" w:fill="auto"/>
          </w:tcPr>
          <w:p w14:paraId="0605D9DC" w14:textId="77777777" w:rsidR="00D15B45" w:rsidRPr="00CC225B" w:rsidRDefault="00D15B45" w:rsidP="00D15B45">
            <w:pPr>
              <w:spacing w:after="0" w:line="240" w:lineRule="auto"/>
              <w:rPr>
                <w:rFonts w:ascii="Calibri" w:eastAsia="Times New Roman" w:hAnsi="Calibri" w:cs="Times New Roman"/>
                <w:color w:val="006100"/>
              </w:rPr>
            </w:pPr>
          </w:p>
        </w:tc>
        <w:tc>
          <w:tcPr>
            <w:tcW w:w="1341" w:type="pct"/>
          </w:tcPr>
          <w:p w14:paraId="29838C63" w14:textId="76BF5326" w:rsidR="00D15B45" w:rsidRPr="00CC225B" w:rsidRDefault="00D15B45" w:rsidP="00D15B45">
            <w:pPr>
              <w:spacing w:after="0" w:line="240" w:lineRule="auto"/>
              <w:rPr>
                <w:rFonts w:ascii="Calibri" w:eastAsia="Times New Roman" w:hAnsi="Calibri" w:cs="Times New Roman"/>
                <w:color w:val="006100"/>
              </w:rPr>
            </w:pPr>
            <w:r w:rsidRPr="005424D6">
              <w:rPr>
                <w:color w:val="000000" w:themeColor="text1"/>
              </w:rPr>
              <w:t>“… we do not adopt the use of repair cost in determining equipment eligibility-based definitions.”</w:t>
            </w:r>
          </w:p>
        </w:tc>
        <w:tc>
          <w:tcPr>
            <w:tcW w:w="533" w:type="pct"/>
          </w:tcPr>
          <w:p w14:paraId="36AD8609" w14:textId="77777777" w:rsidR="00D15B45" w:rsidRPr="00CC225B" w:rsidRDefault="00D15B45" w:rsidP="00D15B45">
            <w:pPr>
              <w:spacing w:after="0" w:line="240" w:lineRule="auto"/>
              <w:rPr>
                <w:rFonts w:ascii="Calibri" w:eastAsia="Times New Roman" w:hAnsi="Calibri" w:cs="Times New Roman"/>
                <w:color w:val="006100"/>
              </w:rPr>
            </w:pPr>
          </w:p>
        </w:tc>
      </w:tr>
      <w:tr w:rsidR="00D15B45" w:rsidRPr="00CC225B" w14:paraId="780261B1" w14:textId="77777777" w:rsidTr="00044013">
        <w:tc>
          <w:tcPr>
            <w:tcW w:w="207" w:type="pct"/>
          </w:tcPr>
          <w:p w14:paraId="5C659BBC" w14:textId="79C96BEF" w:rsidR="00D15B45" w:rsidRPr="00F97DB1" w:rsidRDefault="00D15B45" w:rsidP="00D15B45">
            <w:pPr>
              <w:spacing w:after="0" w:line="240" w:lineRule="auto"/>
            </w:pPr>
            <w:r>
              <w:t>4</w:t>
            </w:r>
          </w:p>
        </w:tc>
        <w:tc>
          <w:tcPr>
            <w:tcW w:w="1960" w:type="pct"/>
            <w:shd w:val="clear" w:color="auto" w:fill="auto"/>
          </w:tcPr>
          <w:p w14:paraId="05720682" w14:textId="50C97A4C" w:rsidR="00D15B45" w:rsidRPr="00CC225B" w:rsidRDefault="00D15B45" w:rsidP="00D15B45">
            <w:pPr>
              <w:spacing w:after="0" w:line="240" w:lineRule="auto"/>
              <w:rPr>
                <w:rFonts w:ascii="Calibri" w:eastAsia="Times New Roman" w:hAnsi="Calibri" w:cs="Times New Roman"/>
                <w:color w:val="000000"/>
              </w:rPr>
            </w:pPr>
            <w:r w:rsidRPr="00F97DB1">
              <w:t>Energy savings</w:t>
            </w:r>
          </w:p>
        </w:tc>
        <w:tc>
          <w:tcPr>
            <w:tcW w:w="959" w:type="pct"/>
            <w:shd w:val="clear" w:color="auto" w:fill="auto"/>
          </w:tcPr>
          <w:p w14:paraId="027056A3" w14:textId="77777777" w:rsidR="00D15B45" w:rsidRPr="00CC225B" w:rsidRDefault="00D15B45" w:rsidP="00D15B45">
            <w:pPr>
              <w:spacing w:after="0" w:line="240" w:lineRule="auto"/>
              <w:rPr>
                <w:rFonts w:ascii="Calibri" w:eastAsia="Times New Roman" w:hAnsi="Calibri" w:cs="Times New Roman"/>
                <w:color w:val="006100"/>
              </w:rPr>
            </w:pPr>
          </w:p>
        </w:tc>
        <w:tc>
          <w:tcPr>
            <w:tcW w:w="1341" w:type="pct"/>
          </w:tcPr>
          <w:p w14:paraId="0C540CCF" w14:textId="77777777" w:rsidR="00D15B45" w:rsidRPr="00CC225B" w:rsidRDefault="00D15B45" w:rsidP="00D15B45">
            <w:pPr>
              <w:spacing w:after="0" w:line="240" w:lineRule="auto"/>
              <w:rPr>
                <w:rFonts w:ascii="Calibri" w:eastAsia="Times New Roman" w:hAnsi="Calibri" w:cs="Times New Roman"/>
                <w:color w:val="006100"/>
              </w:rPr>
            </w:pPr>
          </w:p>
        </w:tc>
        <w:tc>
          <w:tcPr>
            <w:tcW w:w="533" w:type="pct"/>
          </w:tcPr>
          <w:p w14:paraId="125B5E96" w14:textId="6363F252" w:rsidR="00D15B45" w:rsidRPr="00CC225B" w:rsidRDefault="00D15B45" w:rsidP="00D15B45">
            <w:pPr>
              <w:spacing w:after="0" w:line="240" w:lineRule="auto"/>
              <w:rPr>
                <w:rFonts w:ascii="Calibri" w:eastAsia="Times New Roman" w:hAnsi="Calibri" w:cs="Times New Roman"/>
                <w:color w:val="006100"/>
              </w:rPr>
            </w:pPr>
          </w:p>
        </w:tc>
      </w:tr>
      <w:tr w:rsidR="00D15B45" w:rsidRPr="00CC225B" w14:paraId="45FB06E2" w14:textId="77777777" w:rsidTr="00044013">
        <w:tc>
          <w:tcPr>
            <w:tcW w:w="207" w:type="pct"/>
          </w:tcPr>
          <w:p w14:paraId="4762EB3C" w14:textId="12CED994" w:rsidR="00D15B45" w:rsidRPr="00F97DB1" w:rsidRDefault="00D15B45" w:rsidP="00D15B45">
            <w:pPr>
              <w:spacing w:after="0" w:line="240" w:lineRule="auto"/>
            </w:pPr>
            <w:r>
              <w:t>5</w:t>
            </w:r>
          </w:p>
        </w:tc>
        <w:tc>
          <w:tcPr>
            <w:tcW w:w="1960" w:type="pct"/>
            <w:shd w:val="clear" w:color="auto" w:fill="auto"/>
          </w:tcPr>
          <w:p w14:paraId="29D75116" w14:textId="41146B3D" w:rsidR="00D15B45" w:rsidRPr="00CC225B" w:rsidRDefault="00D15B45" w:rsidP="00D15B45">
            <w:pPr>
              <w:spacing w:after="0" w:line="240" w:lineRule="auto"/>
              <w:rPr>
                <w:rFonts w:ascii="Calibri" w:eastAsia="Times New Roman" w:hAnsi="Calibri" w:cs="Times New Roman"/>
                <w:color w:val="000000"/>
              </w:rPr>
            </w:pPr>
            <w:r w:rsidRPr="00F97DB1">
              <w:t>Effective useful life of existing and replacement equipment</w:t>
            </w:r>
            <w:r>
              <w:t xml:space="preserve"> (</w:t>
            </w:r>
            <w:r w:rsidRPr="00F97DB1">
              <w:t>policy limit of 20 years may have caused reduction for of life for major capital projects – i.e., industrial processes</w:t>
            </w:r>
            <w:r>
              <w:t>)</w:t>
            </w:r>
          </w:p>
        </w:tc>
        <w:tc>
          <w:tcPr>
            <w:tcW w:w="959" w:type="pct"/>
            <w:shd w:val="clear" w:color="auto" w:fill="auto"/>
          </w:tcPr>
          <w:p w14:paraId="315F16B5" w14:textId="24704C3D" w:rsidR="00D15B45" w:rsidRPr="00CC225B" w:rsidRDefault="00D15B45" w:rsidP="00D15B45">
            <w:pPr>
              <w:spacing w:after="0" w:line="240" w:lineRule="auto"/>
              <w:rPr>
                <w:rFonts w:ascii="Calibri" w:eastAsia="Times New Roman" w:hAnsi="Calibri" w:cs="Times New Roman"/>
                <w:color w:val="006100"/>
              </w:rPr>
            </w:pPr>
          </w:p>
        </w:tc>
        <w:tc>
          <w:tcPr>
            <w:tcW w:w="1341" w:type="pct"/>
          </w:tcPr>
          <w:p w14:paraId="24FB907D" w14:textId="77777777" w:rsidR="00D15B45" w:rsidRPr="00CC225B" w:rsidRDefault="00D15B45" w:rsidP="00D15B45">
            <w:pPr>
              <w:spacing w:after="0" w:line="240" w:lineRule="auto"/>
              <w:rPr>
                <w:rFonts w:ascii="Calibri" w:eastAsia="Times New Roman" w:hAnsi="Calibri" w:cs="Times New Roman"/>
                <w:color w:val="006100"/>
              </w:rPr>
            </w:pPr>
          </w:p>
        </w:tc>
        <w:tc>
          <w:tcPr>
            <w:tcW w:w="533" w:type="pct"/>
          </w:tcPr>
          <w:p w14:paraId="2F938539" w14:textId="0F7C0C96" w:rsidR="00D15B45" w:rsidRPr="00CC225B" w:rsidRDefault="00D15B45" w:rsidP="00D15B45">
            <w:pPr>
              <w:spacing w:after="0" w:line="240" w:lineRule="auto"/>
              <w:rPr>
                <w:rFonts w:ascii="Calibri" w:eastAsia="Times New Roman" w:hAnsi="Calibri" w:cs="Times New Roman"/>
                <w:color w:val="006100"/>
              </w:rPr>
            </w:pPr>
          </w:p>
        </w:tc>
      </w:tr>
      <w:tr w:rsidR="00D15B45" w:rsidRPr="00CC225B" w14:paraId="41A46169" w14:textId="77777777" w:rsidTr="00044013">
        <w:tc>
          <w:tcPr>
            <w:tcW w:w="207" w:type="pct"/>
          </w:tcPr>
          <w:p w14:paraId="1ADFA91A" w14:textId="5C97E986" w:rsidR="00D15B45" w:rsidRPr="00F97DB1" w:rsidRDefault="00D15B45" w:rsidP="00D15B45">
            <w:r>
              <w:t>6</w:t>
            </w:r>
          </w:p>
        </w:tc>
        <w:tc>
          <w:tcPr>
            <w:tcW w:w="1960" w:type="pct"/>
            <w:shd w:val="clear" w:color="auto" w:fill="auto"/>
          </w:tcPr>
          <w:p w14:paraId="45BC50F6" w14:textId="38E7421A" w:rsidR="00D15B45" w:rsidRPr="00F97DB1" w:rsidRDefault="00D15B45" w:rsidP="00D15B45">
            <w:r w:rsidRPr="00F97DB1">
              <w:t>Remaining useful life of existing (with and without repair) equipment</w:t>
            </w:r>
          </w:p>
          <w:p w14:paraId="2B1831DE" w14:textId="45726198" w:rsidR="00D15B45" w:rsidRPr="00CC225B" w:rsidRDefault="00D15B45" w:rsidP="00D15B45">
            <w:pPr>
              <w:spacing w:after="0" w:line="240" w:lineRule="auto"/>
              <w:rPr>
                <w:rFonts w:ascii="Calibri" w:eastAsia="Times New Roman" w:hAnsi="Calibri" w:cs="Times New Roman"/>
                <w:color w:val="000000"/>
              </w:rPr>
            </w:pPr>
          </w:p>
        </w:tc>
        <w:tc>
          <w:tcPr>
            <w:tcW w:w="959" w:type="pct"/>
            <w:shd w:val="clear" w:color="auto" w:fill="auto"/>
          </w:tcPr>
          <w:p w14:paraId="47B09D76" w14:textId="5AF05CC5" w:rsidR="00D15B45" w:rsidRPr="00CC225B" w:rsidRDefault="00D15B45" w:rsidP="00D15B45">
            <w:pPr>
              <w:spacing w:after="0" w:line="240" w:lineRule="auto"/>
              <w:rPr>
                <w:rFonts w:ascii="Calibri" w:eastAsia="Times New Roman" w:hAnsi="Calibri" w:cs="Times New Roman"/>
                <w:color w:val="006100"/>
              </w:rPr>
            </w:pPr>
          </w:p>
        </w:tc>
        <w:tc>
          <w:tcPr>
            <w:tcW w:w="1341" w:type="pct"/>
          </w:tcPr>
          <w:p w14:paraId="5625F514" w14:textId="77777777" w:rsidR="00D15B45" w:rsidRPr="00CC225B" w:rsidRDefault="00D15B45" w:rsidP="00D15B45">
            <w:pPr>
              <w:spacing w:after="0" w:line="240" w:lineRule="auto"/>
              <w:rPr>
                <w:rFonts w:ascii="Calibri" w:eastAsia="Times New Roman" w:hAnsi="Calibri" w:cs="Times New Roman"/>
                <w:color w:val="006100"/>
              </w:rPr>
            </w:pPr>
          </w:p>
        </w:tc>
        <w:tc>
          <w:tcPr>
            <w:tcW w:w="533" w:type="pct"/>
          </w:tcPr>
          <w:p w14:paraId="1DEEAB98" w14:textId="61E2D583" w:rsidR="00D15B45" w:rsidRPr="00CC225B" w:rsidRDefault="00D15B45" w:rsidP="00D15B45">
            <w:pPr>
              <w:spacing w:after="0" w:line="240" w:lineRule="auto"/>
              <w:rPr>
                <w:rFonts w:ascii="Calibri" w:eastAsia="Times New Roman" w:hAnsi="Calibri" w:cs="Times New Roman"/>
                <w:color w:val="006100"/>
              </w:rPr>
            </w:pPr>
          </w:p>
        </w:tc>
      </w:tr>
      <w:tr w:rsidR="00D15B45" w:rsidRPr="00CC225B" w14:paraId="231878DC" w14:textId="77777777" w:rsidTr="00044013">
        <w:tc>
          <w:tcPr>
            <w:tcW w:w="207" w:type="pct"/>
          </w:tcPr>
          <w:p w14:paraId="22713A98" w14:textId="28CC7BF5" w:rsidR="00D15B45" w:rsidRPr="00CC225B" w:rsidRDefault="00D15B45" w:rsidP="00D15B45">
            <w:pPr>
              <w:spacing w:after="0" w:line="240" w:lineRule="auto"/>
              <w:rPr>
                <w:rFonts w:ascii="Calibri" w:eastAsia="Times New Roman" w:hAnsi="Calibri" w:cs="Times New Roman"/>
                <w:color w:val="000000"/>
              </w:rPr>
            </w:pPr>
            <w:r>
              <w:rPr>
                <w:rFonts w:ascii="Calibri" w:eastAsia="Times New Roman" w:hAnsi="Calibri" w:cs="Times New Roman"/>
                <w:color w:val="000000"/>
              </w:rPr>
              <w:lastRenderedPageBreak/>
              <w:t>7</w:t>
            </w:r>
          </w:p>
        </w:tc>
        <w:tc>
          <w:tcPr>
            <w:tcW w:w="1960" w:type="pct"/>
            <w:shd w:val="clear" w:color="auto" w:fill="auto"/>
          </w:tcPr>
          <w:p w14:paraId="7070C224" w14:textId="2547DA41" w:rsidR="00D15B45" w:rsidRPr="00CC225B" w:rsidRDefault="005A5010" w:rsidP="00D15B45">
            <w:pPr>
              <w:spacing w:after="0" w:line="240" w:lineRule="auto"/>
              <w:rPr>
                <w:rFonts w:ascii="Calibri" w:eastAsia="Times New Roman" w:hAnsi="Calibri" w:cs="Times New Roman"/>
                <w:color w:val="000000"/>
              </w:rPr>
            </w:pPr>
            <w:r w:rsidRPr="005A5010">
              <w:t>Historical capital budget planning documentation (prior to project) that indicates equipment-specific maintenance outlays AND Invoices of equipment-specific maintenance outlays</w:t>
            </w:r>
          </w:p>
        </w:tc>
        <w:tc>
          <w:tcPr>
            <w:tcW w:w="959" w:type="pct"/>
            <w:shd w:val="clear" w:color="auto" w:fill="auto"/>
          </w:tcPr>
          <w:p w14:paraId="30D4D252" w14:textId="77777777" w:rsidR="00D15B45" w:rsidRPr="00CC225B" w:rsidRDefault="00D15B45" w:rsidP="00D15B45">
            <w:pPr>
              <w:spacing w:after="0" w:line="240" w:lineRule="auto"/>
              <w:rPr>
                <w:rFonts w:ascii="Calibri" w:eastAsia="Times New Roman" w:hAnsi="Calibri" w:cs="Times New Roman"/>
                <w:color w:val="006100"/>
              </w:rPr>
            </w:pPr>
          </w:p>
        </w:tc>
        <w:tc>
          <w:tcPr>
            <w:tcW w:w="1341" w:type="pct"/>
          </w:tcPr>
          <w:p w14:paraId="4A624EE7" w14:textId="77777777" w:rsidR="00D15B45" w:rsidRPr="00CC225B" w:rsidRDefault="00D15B45" w:rsidP="00D15B45">
            <w:pPr>
              <w:spacing w:after="0" w:line="240" w:lineRule="auto"/>
              <w:rPr>
                <w:rFonts w:ascii="Calibri" w:eastAsia="Times New Roman" w:hAnsi="Calibri" w:cs="Times New Roman"/>
                <w:color w:val="006100"/>
              </w:rPr>
            </w:pPr>
          </w:p>
        </w:tc>
        <w:tc>
          <w:tcPr>
            <w:tcW w:w="533" w:type="pct"/>
          </w:tcPr>
          <w:p w14:paraId="619EC335" w14:textId="2CDD8C76" w:rsidR="00D15B45" w:rsidRPr="00CC225B" w:rsidRDefault="00D15B45" w:rsidP="00D15B45">
            <w:pPr>
              <w:spacing w:after="0" w:line="240" w:lineRule="auto"/>
              <w:rPr>
                <w:rFonts w:ascii="Calibri" w:eastAsia="Times New Roman" w:hAnsi="Calibri" w:cs="Times New Roman"/>
                <w:color w:val="006100"/>
              </w:rPr>
            </w:pPr>
          </w:p>
        </w:tc>
      </w:tr>
      <w:tr w:rsidR="00D15B45" w:rsidRPr="00CC225B" w14:paraId="36C5CF1A" w14:textId="77777777" w:rsidTr="00044013">
        <w:tc>
          <w:tcPr>
            <w:tcW w:w="207" w:type="pct"/>
          </w:tcPr>
          <w:p w14:paraId="27A25CA7" w14:textId="47BC3AAC" w:rsidR="00D15B45" w:rsidRPr="00CC225B" w:rsidRDefault="00D15B45" w:rsidP="00D15B45">
            <w:pPr>
              <w:spacing w:after="0" w:line="240" w:lineRule="auto"/>
              <w:rPr>
                <w:rFonts w:ascii="Calibri" w:eastAsia="Times New Roman" w:hAnsi="Calibri" w:cs="Times New Roman"/>
                <w:color w:val="000000"/>
              </w:rPr>
            </w:pPr>
            <w:r>
              <w:rPr>
                <w:rFonts w:ascii="Calibri" w:eastAsia="Times New Roman" w:hAnsi="Calibri" w:cs="Times New Roman"/>
                <w:color w:val="000000"/>
              </w:rPr>
              <w:t>8</w:t>
            </w:r>
          </w:p>
        </w:tc>
        <w:tc>
          <w:tcPr>
            <w:tcW w:w="1960" w:type="pct"/>
            <w:shd w:val="clear" w:color="auto" w:fill="auto"/>
          </w:tcPr>
          <w:p w14:paraId="7CE165C9" w14:textId="148DD834" w:rsidR="00D15B45" w:rsidRPr="00CC225B" w:rsidRDefault="005A5010" w:rsidP="00D15B45">
            <w:pPr>
              <w:spacing w:after="0" w:line="240" w:lineRule="auto"/>
              <w:rPr>
                <w:rFonts w:ascii="Calibri" w:eastAsia="Times New Roman" w:hAnsi="Calibri" w:cs="Times New Roman"/>
                <w:color w:val="000000"/>
              </w:rPr>
            </w:pPr>
            <w:r w:rsidRPr="005A5010">
              <w:t>Lifecycle design documentation that indicates that the equipment was designed to operate for a period exceeding 20 years</w:t>
            </w:r>
          </w:p>
        </w:tc>
        <w:tc>
          <w:tcPr>
            <w:tcW w:w="959" w:type="pct"/>
            <w:shd w:val="clear" w:color="auto" w:fill="auto"/>
          </w:tcPr>
          <w:p w14:paraId="6E0AD65D" w14:textId="77777777" w:rsidR="00D15B45" w:rsidRPr="00CC225B" w:rsidRDefault="00D15B45" w:rsidP="00D15B45">
            <w:pPr>
              <w:spacing w:after="0" w:line="240" w:lineRule="auto"/>
              <w:rPr>
                <w:rFonts w:ascii="Calibri" w:eastAsia="Times New Roman" w:hAnsi="Calibri" w:cs="Times New Roman"/>
                <w:color w:val="006100"/>
              </w:rPr>
            </w:pPr>
          </w:p>
        </w:tc>
        <w:tc>
          <w:tcPr>
            <w:tcW w:w="1341" w:type="pct"/>
          </w:tcPr>
          <w:p w14:paraId="336FE1CE" w14:textId="77777777" w:rsidR="00D15B45" w:rsidRPr="00CC225B" w:rsidRDefault="00D15B45" w:rsidP="00D15B45">
            <w:pPr>
              <w:spacing w:after="0" w:line="240" w:lineRule="auto"/>
              <w:rPr>
                <w:rFonts w:ascii="Calibri" w:eastAsia="Times New Roman" w:hAnsi="Calibri" w:cs="Times New Roman"/>
                <w:color w:val="006100"/>
              </w:rPr>
            </w:pPr>
          </w:p>
        </w:tc>
        <w:tc>
          <w:tcPr>
            <w:tcW w:w="533" w:type="pct"/>
          </w:tcPr>
          <w:p w14:paraId="65A5479B" w14:textId="3879CB0F" w:rsidR="00D15B45" w:rsidRPr="00CC225B" w:rsidRDefault="00D15B45" w:rsidP="00D15B45">
            <w:pPr>
              <w:spacing w:after="0" w:line="240" w:lineRule="auto"/>
              <w:rPr>
                <w:rFonts w:ascii="Calibri" w:eastAsia="Times New Roman" w:hAnsi="Calibri" w:cs="Times New Roman"/>
                <w:color w:val="006100"/>
              </w:rPr>
            </w:pPr>
          </w:p>
        </w:tc>
      </w:tr>
      <w:tr w:rsidR="00D15B45" w:rsidRPr="00CC225B" w14:paraId="475EB64C" w14:textId="77777777" w:rsidTr="00044013">
        <w:tc>
          <w:tcPr>
            <w:tcW w:w="207" w:type="pct"/>
          </w:tcPr>
          <w:p w14:paraId="08FBA458" w14:textId="77777777" w:rsidR="00D15B45" w:rsidRPr="00CC225B" w:rsidRDefault="00D15B45" w:rsidP="00D15B45">
            <w:pPr>
              <w:spacing w:after="0" w:line="240" w:lineRule="auto"/>
              <w:rPr>
                <w:rFonts w:ascii="Calibri" w:eastAsia="Times New Roman" w:hAnsi="Calibri" w:cs="Times New Roman"/>
                <w:color w:val="000000"/>
              </w:rPr>
            </w:pPr>
            <w:r>
              <w:rPr>
                <w:rFonts w:ascii="Calibri" w:eastAsia="Times New Roman" w:hAnsi="Calibri" w:cs="Times New Roman"/>
                <w:color w:val="000000"/>
              </w:rPr>
              <w:t>9</w:t>
            </w:r>
          </w:p>
        </w:tc>
        <w:tc>
          <w:tcPr>
            <w:tcW w:w="1960" w:type="pct"/>
            <w:shd w:val="clear" w:color="auto" w:fill="auto"/>
          </w:tcPr>
          <w:p w14:paraId="38DC8502" w14:textId="6ABC486C" w:rsidR="00D15B45" w:rsidRPr="00CC225B" w:rsidRDefault="00044013" w:rsidP="00D15B45">
            <w:pPr>
              <w:spacing w:after="0" w:line="240" w:lineRule="auto"/>
              <w:rPr>
                <w:rFonts w:ascii="Calibri" w:eastAsia="Times New Roman" w:hAnsi="Calibri" w:cs="Times New Roman"/>
                <w:color w:val="000000"/>
              </w:rPr>
            </w:pPr>
            <w:r>
              <w:t>In-</w:t>
            </w:r>
            <w:bookmarkStart w:id="5" w:name="_GoBack"/>
            <w:bookmarkEnd w:id="5"/>
            <w:r w:rsidR="005A5010" w:rsidRPr="005A5010">
              <w:t>house engineering analysis comparing repair vs replace (internal) AND estimated associated costs</w:t>
            </w:r>
          </w:p>
        </w:tc>
        <w:tc>
          <w:tcPr>
            <w:tcW w:w="959" w:type="pct"/>
            <w:shd w:val="clear" w:color="auto" w:fill="auto"/>
          </w:tcPr>
          <w:p w14:paraId="7EE76AAD" w14:textId="77777777" w:rsidR="00D15B45" w:rsidRPr="00CC225B" w:rsidRDefault="00D15B45" w:rsidP="00D15B45">
            <w:pPr>
              <w:spacing w:after="0" w:line="240" w:lineRule="auto"/>
              <w:rPr>
                <w:rFonts w:ascii="Calibri" w:eastAsia="Times New Roman" w:hAnsi="Calibri" w:cs="Times New Roman"/>
                <w:color w:val="006100"/>
              </w:rPr>
            </w:pPr>
          </w:p>
        </w:tc>
        <w:tc>
          <w:tcPr>
            <w:tcW w:w="1341" w:type="pct"/>
          </w:tcPr>
          <w:p w14:paraId="0EF45D98" w14:textId="77777777" w:rsidR="00D15B45" w:rsidRPr="00CC225B" w:rsidRDefault="00D15B45" w:rsidP="00D15B45">
            <w:pPr>
              <w:spacing w:after="0" w:line="240" w:lineRule="auto"/>
              <w:rPr>
                <w:rFonts w:ascii="Calibri" w:eastAsia="Times New Roman" w:hAnsi="Calibri" w:cs="Times New Roman"/>
                <w:color w:val="006100"/>
              </w:rPr>
            </w:pPr>
          </w:p>
        </w:tc>
        <w:tc>
          <w:tcPr>
            <w:tcW w:w="533" w:type="pct"/>
          </w:tcPr>
          <w:p w14:paraId="4FB755AD" w14:textId="77777777" w:rsidR="00D15B45" w:rsidRPr="00CC225B" w:rsidRDefault="00D15B45" w:rsidP="00D15B45">
            <w:pPr>
              <w:spacing w:after="0" w:line="240" w:lineRule="auto"/>
              <w:rPr>
                <w:rFonts w:ascii="Calibri" w:eastAsia="Times New Roman" w:hAnsi="Calibri" w:cs="Times New Roman"/>
                <w:color w:val="006100"/>
              </w:rPr>
            </w:pPr>
          </w:p>
        </w:tc>
      </w:tr>
      <w:tr w:rsidR="005A5010" w:rsidRPr="00CC225B" w14:paraId="4F356BB8" w14:textId="77777777" w:rsidTr="00044013">
        <w:tc>
          <w:tcPr>
            <w:tcW w:w="207" w:type="pct"/>
          </w:tcPr>
          <w:p w14:paraId="59E06028" w14:textId="77777777" w:rsidR="005A5010" w:rsidRPr="00CC225B" w:rsidRDefault="005A5010" w:rsidP="001F4652">
            <w:pPr>
              <w:spacing w:after="0" w:line="240" w:lineRule="auto"/>
              <w:rPr>
                <w:rFonts w:ascii="Calibri" w:eastAsia="Times New Roman" w:hAnsi="Calibri" w:cs="Times New Roman"/>
                <w:color w:val="000000"/>
              </w:rPr>
            </w:pPr>
            <w:r>
              <w:rPr>
                <w:rFonts w:ascii="Calibri" w:eastAsia="Times New Roman" w:hAnsi="Calibri" w:cs="Times New Roman"/>
                <w:color w:val="000000"/>
              </w:rPr>
              <w:t>10</w:t>
            </w:r>
          </w:p>
        </w:tc>
        <w:tc>
          <w:tcPr>
            <w:tcW w:w="1960" w:type="pct"/>
            <w:shd w:val="clear" w:color="auto" w:fill="auto"/>
          </w:tcPr>
          <w:p w14:paraId="0FD5CB8E" w14:textId="2840FAAF" w:rsidR="005A5010" w:rsidRPr="00CC225B" w:rsidRDefault="005A5010" w:rsidP="001F4652">
            <w:pPr>
              <w:spacing w:after="0" w:line="240" w:lineRule="auto"/>
              <w:rPr>
                <w:rFonts w:ascii="Calibri" w:eastAsia="Times New Roman" w:hAnsi="Calibri" w:cs="Times New Roman"/>
                <w:color w:val="000000"/>
              </w:rPr>
            </w:pPr>
            <w:r w:rsidRPr="005A5010">
              <w:t>Historical evidence of regular maintenance AND at least one documented instance of significant repair activities to critical systems that extends the life of the equipment</w:t>
            </w:r>
          </w:p>
        </w:tc>
        <w:tc>
          <w:tcPr>
            <w:tcW w:w="959" w:type="pct"/>
            <w:shd w:val="clear" w:color="auto" w:fill="auto"/>
          </w:tcPr>
          <w:p w14:paraId="17EEC514" w14:textId="77777777" w:rsidR="005A5010" w:rsidRPr="00CC225B" w:rsidRDefault="005A5010" w:rsidP="001F4652">
            <w:pPr>
              <w:spacing w:after="0" w:line="240" w:lineRule="auto"/>
              <w:rPr>
                <w:rFonts w:ascii="Calibri" w:eastAsia="Times New Roman" w:hAnsi="Calibri" w:cs="Times New Roman"/>
                <w:color w:val="006100"/>
              </w:rPr>
            </w:pPr>
          </w:p>
        </w:tc>
        <w:tc>
          <w:tcPr>
            <w:tcW w:w="1341" w:type="pct"/>
          </w:tcPr>
          <w:p w14:paraId="3E0B5679" w14:textId="77777777" w:rsidR="005A5010" w:rsidRPr="00CC225B" w:rsidRDefault="005A5010" w:rsidP="001F4652">
            <w:pPr>
              <w:spacing w:after="0" w:line="240" w:lineRule="auto"/>
              <w:rPr>
                <w:rFonts w:ascii="Calibri" w:eastAsia="Times New Roman" w:hAnsi="Calibri" w:cs="Times New Roman"/>
                <w:color w:val="006100"/>
              </w:rPr>
            </w:pPr>
          </w:p>
        </w:tc>
        <w:tc>
          <w:tcPr>
            <w:tcW w:w="533" w:type="pct"/>
          </w:tcPr>
          <w:p w14:paraId="5401415D" w14:textId="77777777" w:rsidR="005A5010" w:rsidRPr="00CC225B" w:rsidRDefault="005A5010" w:rsidP="001F4652">
            <w:pPr>
              <w:spacing w:after="0" w:line="240" w:lineRule="auto"/>
              <w:rPr>
                <w:rFonts w:ascii="Calibri" w:eastAsia="Times New Roman" w:hAnsi="Calibri" w:cs="Times New Roman"/>
                <w:color w:val="006100"/>
              </w:rPr>
            </w:pPr>
          </w:p>
        </w:tc>
      </w:tr>
      <w:tr w:rsidR="005A5010" w:rsidRPr="00CC225B" w14:paraId="4E0F1860" w14:textId="77777777" w:rsidTr="00044013">
        <w:tc>
          <w:tcPr>
            <w:tcW w:w="207" w:type="pct"/>
          </w:tcPr>
          <w:p w14:paraId="4F725101" w14:textId="6B2C597F" w:rsidR="005A5010" w:rsidRPr="00CC225B" w:rsidRDefault="005A5010" w:rsidP="001F4652">
            <w:pPr>
              <w:spacing w:after="0" w:line="240" w:lineRule="auto"/>
              <w:rPr>
                <w:rFonts w:ascii="Calibri" w:eastAsia="Times New Roman" w:hAnsi="Calibri" w:cs="Times New Roman"/>
                <w:color w:val="000000"/>
              </w:rPr>
            </w:pPr>
            <w:r>
              <w:rPr>
                <w:rFonts w:ascii="Calibri" w:eastAsia="Times New Roman" w:hAnsi="Calibri" w:cs="Times New Roman"/>
                <w:color w:val="000000"/>
              </w:rPr>
              <w:t>11</w:t>
            </w:r>
          </w:p>
        </w:tc>
        <w:tc>
          <w:tcPr>
            <w:tcW w:w="1960" w:type="pct"/>
            <w:shd w:val="clear" w:color="auto" w:fill="auto"/>
          </w:tcPr>
          <w:p w14:paraId="6F9A6110" w14:textId="509439B6" w:rsidR="005A5010" w:rsidRPr="00CC225B" w:rsidRDefault="005A5010" w:rsidP="001F4652">
            <w:pPr>
              <w:spacing w:after="0" w:line="240" w:lineRule="auto"/>
              <w:rPr>
                <w:rFonts w:ascii="Calibri" w:eastAsia="Times New Roman" w:hAnsi="Calibri" w:cs="Times New Roman"/>
                <w:color w:val="000000"/>
              </w:rPr>
            </w:pPr>
            <w:r w:rsidRPr="005A5010">
              <w:t>External scoping documentation regarding equipment-specific repairs AND cost estimates for repairs AND cost estimates for replacement</w:t>
            </w:r>
          </w:p>
        </w:tc>
        <w:tc>
          <w:tcPr>
            <w:tcW w:w="959" w:type="pct"/>
            <w:shd w:val="clear" w:color="auto" w:fill="auto"/>
          </w:tcPr>
          <w:p w14:paraId="108A8A84" w14:textId="77777777" w:rsidR="005A5010" w:rsidRPr="00CC225B" w:rsidRDefault="005A5010" w:rsidP="001F4652">
            <w:pPr>
              <w:spacing w:after="0" w:line="240" w:lineRule="auto"/>
              <w:rPr>
                <w:rFonts w:ascii="Calibri" w:eastAsia="Times New Roman" w:hAnsi="Calibri" w:cs="Times New Roman"/>
                <w:color w:val="006100"/>
              </w:rPr>
            </w:pPr>
          </w:p>
        </w:tc>
        <w:tc>
          <w:tcPr>
            <w:tcW w:w="1341" w:type="pct"/>
          </w:tcPr>
          <w:p w14:paraId="2DF0AC6A" w14:textId="77777777" w:rsidR="005A5010" w:rsidRPr="00CC225B" w:rsidRDefault="005A5010" w:rsidP="001F4652">
            <w:pPr>
              <w:spacing w:after="0" w:line="240" w:lineRule="auto"/>
              <w:rPr>
                <w:rFonts w:ascii="Calibri" w:eastAsia="Times New Roman" w:hAnsi="Calibri" w:cs="Times New Roman"/>
                <w:color w:val="006100"/>
              </w:rPr>
            </w:pPr>
          </w:p>
        </w:tc>
        <w:tc>
          <w:tcPr>
            <w:tcW w:w="533" w:type="pct"/>
          </w:tcPr>
          <w:p w14:paraId="05133CC6" w14:textId="77777777" w:rsidR="005A5010" w:rsidRPr="00CC225B" w:rsidRDefault="005A5010" w:rsidP="001F4652">
            <w:pPr>
              <w:spacing w:after="0" w:line="240" w:lineRule="auto"/>
              <w:rPr>
                <w:rFonts w:ascii="Calibri" w:eastAsia="Times New Roman" w:hAnsi="Calibri" w:cs="Times New Roman"/>
                <w:color w:val="006100"/>
              </w:rPr>
            </w:pPr>
          </w:p>
        </w:tc>
      </w:tr>
      <w:tr w:rsidR="005A5010" w:rsidRPr="00CC225B" w14:paraId="6D041E2B" w14:textId="77777777" w:rsidTr="00044013">
        <w:tc>
          <w:tcPr>
            <w:tcW w:w="207" w:type="pct"/>
          </w:tcPr>
          <w:p w14:paraId="3426E74E" w14:textId="6FE81D45" w:rsidR="005A5010" w:rsidRPr="00CC225B" w:rsidRDefault="005A5010" w:rsidP="001F4652">
            <w:pPr>
              <w:spacing w:after="0" w:line="240" w:lineRule="auto"/>
              <w:rPr>
                <w:rFonts w:ascii="Calibri" w:eastAsia="Times New Roman" w:hAnsi="Calibri" w:cs="Times New Roman"/>
                <w:color w:val="000000"/>
              </w:rPr>
            </w:pPr>
            <w:r>
              <w:rPr>
                <w:rFonts w:ascii="Calibri" w:eastAsia="Times New Roman" w:hAnsi="Calibri" w:cs="Times New Roman"/>
                <w:color w:val="000000"/>
              </w:rPr>
              <w:t>12</w:t>
            </w:r>
          </w:p>
        </w:tc>
        <w:tc>
          <w:tcPr>
            <w:tcW w:w="1960" w:type="pct"/>
            <w:shd w:val="clear" w:color="auto" w:fill="auto"/>
          </w:tcPr>
          <w:p w14:paraId="5384594D" w14:textId="3F881C19" w:rsidR="005A5010" w:rsidRPr="00CC225B" w:rsidRDefault="005A5010" w:rsidP="001F4652">
            <w:pPr>
              <w:spacing w:after="0" w:line="240" w:lineRule="auto"/>
              <w:rPr>
                <w:rFonts w:ascii="Calibri" w:eastAsia="Times New Roman" w:hAnsi="Calibri" w:cs="Times New Roman"/>
                <w:color w:val="000000"/>
              </w:rPr>
            </w:pPr>
            <w:r w:rsidRPr="005A5010">
              <w:t>Evidence that the unit is “grandfathered” under AQMD rules AND scoping documentation for impending repairs AND cost estimates for repairs AND no AQMD violations that indicate that modifications to the existing equipment are intended for emissions compliance purposes</w:t>
            </w:r>
          </w:p>
        </w:tc>
        <w:tc>
          <w:tcPr>
            <w:tcW w:w="959" w:type="pct"/>
            <w:shd w:val="clear" w:color="auto" w:fill="auto"/>
          </w:tcPr>
          <w:p w14:paraId="1762C122" w14:textId="77777777" w:rsidR="005A5010" w:rsidRPr="00CC225B" w:rsidRDefault="005A5010" w:rsidP="001F4652">
            <w:pPr>
              <w:spacing w:after="0" w:line="240" w:lineRule="auto"/>
              <w:rPr>
                <w:rFonts w:ascii="Calibri" w:eastAsia="Times New Roman" w:hAnsi="Calibri" w:cs="Times New Roman"/>
                <w:color w:val="006100"/>
              </w:rPr>
            </w:pPr>
          </w:p>
        </w:tc>
        <w:tc>
          <w:tcPr>
            <w:tcW w:w="1341" w:type="pct"/>
          </w:tcPr>
          <w:p w14:paraId="4297E6E1" w14:textId="77777777" w:rsidR="005A5010" w:rsidRPr="00CC225B" w:rsidRDefault="005A5010" w:rsidP="001F4652">
            <w:pPr>
              <w:spacing w:after="0" w:line="240" w:lineRule="auto"/>
              <w:rPr>
                <w:rFonts w:ascii="Calibri" w:eastAsia="Times New Roman" w:hAnsi="Calibri" w:cs="Times New Roman"/>
                <w:color w:val="006100"/>
              </w:rPr>
            </w:pPr>
          </w:p>
        </w:tc>
        <w:tc>
          <w:tcPr>
            <w:tcW w:w="533" w:type="pct"/>
          </w:tcPr>
          <w:p w14:paraId="5881220C" w14:textId="77777777" w:rsidR="005A5010" w:rsidRPr="00CC225B" w:rsidRDefault="005A5010" w:rsidP="001F4652">
            <w:pPr>
              <w:spacing w:after="0" w:line="240" w:lineRule="auto"/>
              <w:rPr>
                <w:rFonts w:ascii="Calibri" w:eastAsia="Times New Roman" w:hAnsi="Calibri" w:cs="Times New Roman"/>
                <w:color w:val="006100"/>
              </w:rPr>
            </w:pPr>
          </w:p>
        </w:tc>
      </w:tr>
      <w:tr w:rsidR="005A5010" w:rsidRPr="00CC225B" w14:paraId="080B450C" w14:textId="77777777" w:rsidTr="00044013">
        <w:tc>
          <w:tcPr>
            <w:tcW w:w="207" w:type="pct"/>
          </w:tcPr>
          <w:p w14:paraId="1A0C1B6C" w14:textId="77777777" w:rsidR="005A5010" w:rsidRPr="00CC225B" w:rsidRDefault="005A5010" w:rsidP="001F4652">
            <w:pPr>
              <w:spacing w:after="0" w:line="240" w:lineRule="auto"/>
              <w:rPr>
                <w:rFonts w:ascii="Calibri" w:eastAsia="Times New Roman" w:hAnsi="Calibri" w:cs="Times New Roman"/>
                <w:color w:val="000000"/>
              </w:rPr>
            </w:pPr>
            <w:r>
              <w:rPr>
                <w:rFonts w:ascii="Calibri" w:eastAsia="Times New Roman" w:hAnsi="Calibri" w:cs="Times New Roman"/>
                <w:color w:val="000000"/>
              </w:rPr>
              <w:t>13</w:t>
            </w:r>
          </w:p>
        </w:tc>
        <w:tc>
          <w:tcPr>
            <w:tcW w:w="1960" w:type="pct"/>
            <w:shd w:val="clear" w:color="auto" w:fill="auto"/>
          </w:tcPr>
          <w:p w14:paraId="5D84B4B5" w14:textId="77777777" w:rsidR="005A5010" w:rsidRPr="00CC225B" w:rsidRDefault="005A5010" w:rsidP="001F4652">
            <w:pPr>
              <w:spacing w:after="0" w:line="240" w:lineRule="auto"/>
              <w:rPr>
                <w:rFonts w:ascii="Calibri" w:eastAsia="Times New Roman" w:hAnsi="Calibri" w:cs="Times New Roman"/>
                <w:color w:val="000000"/>
              </w:rPr>
            </w:pPr>
          </w:p>
        </w:tc>
        <w:tc>
          <w:tcPr>
            <w:tcW w:w="959" w:type="pct"/>
            <w:shd w:val="clear" w:color="auto" w:fill="auto"/>
          </w:tcPr>
          <w:p w14:paraId="47155F9E" w14:textId="77777777" w:rsidR="005A5010" w:rsidRPr="00CC225B" w:rsidRDefault="005A5010" w:rsidP="001F4652">
            <w:pPr>
              <w:spacing w:after="0" w:line="240" w:lineRule="auto"/>
              <w:rPr>
                <w:rFonts w:ascii="Calibri" w:eastAsia="Times New Roman" w:hAnsi="Calibri" w:cs="Times New Roman"/>
                <w:color w:val="006100"/>
              </w:rPr>
            </w:pPr>
          </w:p>
        </w:tc>
        <w:tc>
          <w:tcPr>
            <w:tcW w:w="1341" w:type="pct"/>
          </w:tcPr>
          <w:p w14:paraId="1A01FE67" w14:textId="77777777" w:rsidR="005A5010" w:rsidRPr="00CC225B" w:rsidRDefault="005A5010" w:rsidP="001F4652">
            <w:pPr>
              <w:spacing w:after="0" w:line="240" w:lineRule="auto"/>
              <w:rPr>
                <w:rFonts w:ascii="Calibri" w:eastAsia="Times New Roman" w:hAnsi="Calibri" w:cs="Times New Roman"/>
                <w:color w:val="006100"/>
              </w:rPr>
            </w:pPr>
          </w:p>
        </w:tc>
        <w:tc>
          <w:tcPr>
            <w:tcW w:w="533" w:type="pct"/>
          </w:tcPr>
          <w:p w14:paraId="59896C44" w14:textId="77777777" w:rsidR="005A5010" w:rsidRPr="00CC225B" w:rsidRDefault="005A5010" w:rsidP="001F4652">
            <w:pPr>
              <w:spacing w:after="0" w:line="240" w:lineRule="auto"/>
              <w:rPr>
                <w:rFonts w:ascii="Calibri" w:eastAsia="Times New Roman" w:hAnsi="Calibri" w:cs="Times New Roman"/>
                <w:color w:val="006100"/>
              </w:rPr>
            </w:pPr>
          </w:p>
        </w:tc>
      </w:tr>
      <w:tr w:rsidR="005A5010" w:rsidRPr="00CC225B" w14:paraId="6AD5D8BA" w14:textId="77777777" w:rsidTr="00044013">
        <w:tc>
          <w:tcPr>
            <w:tcW w:w="207" w:type="pct"/>
          </w:tcPr>
          <w:p w14:paraId="336496C1" w14:textId="77777777" w:rsidR="005A5010" w:rsidRPr="00CC225B" w:rsidRDefault="005A5010" w:rsidP="001F4652">
            <w:pPr>
              <w:spacing w:after="0" w:line="240" w:lineRule="auto"/>
              <w:rPr>
                <w:rFonts w:ascii="Calibri" w:eastAsia="Times New Roman" w:hAnsi="Calibri" w:cs="Times New Roman"/>
                <w:color w:val="000000"/>
              </w:rPr>
            </w:pPr>
            <w:r>
              <w:rPr>
                <w:rFonts w:ascii="Calibri" w:eastAsia="Times New Roman" w:hAnsi="Calibri" w:cs="Times New Roman"/>
                <w:color w:val="000000"/>
              </w:rPr>
              <w:t>14</w:t>
            </w:r>
          </w:p>
        </w:tc>
        <w:tc>
          <w:tcPr>
            <w:tcW w:w="1960" w:type="pct"/>
            <w:shd w:val="clear" w:color="auto" w:fill="auto"/>
          </w:tcPr>
          <w:p w14:paraId="34F84933" w14:textId="77777777" w:rsidR="005A5010" w:rsidRPr="00CC225B" w:rsidRDefault="005A5010" w:rsidP="001F4652">
            <w:pPr>
              <w:spacing w:after="0" w:line="240" w:lineRule="auto"/>
              <w:rPr>
                <w:rFonts w:ascii="Calibri" w:eastAsia="Times New Roman" w:hAnsi="Calibri" w:cs="Times New Roman"/>
                <w:color w:val="000000"/>
              </w:rPr>
            </w:pPr>
          </w:p>
        </w:tc>
        <w:tc>
          <w:tcPr>
            <w:tcW w:w="959" w:type="pct"/>
            <w:shd w:val="clear" w:color="auto" w:fill="auto"/>
          </w:tcPr>
          <w:p w14:paraId="341CF043" w14:textId="77777777" w:rsidR="005A5010" w:rsidRPr="00CC225B" w:rsidRDefault="005A5010" w:rsidP="001F4652">
            <w:pPr>
              <w:spacing w:after="0" w:line="240" w:lineRule="auto"/>
              <w:rPr>
                <w:rFonts w:ascii="Calibri" w:eastAsia="Times New Roman" w:hAnsi="Calibri" w:cs="Times New Roman"/>
                <w:color w:val="006100"/>
              </w:rPr>
            </w:pPr>
          </w:p>
        </w:tc>
        <w:tc>
          <w:tcPr>
            <w:tcW w:w="1341" w:type="pct"/>
          </w:tcPr>
          <w:p w14:paraId="5539FFCC" w14:textId="77777777" w:rsidR="005A5010" w:rsidRPr="00CC225B" w:rsidRDefault="005A5010" w:rsidP="001F4652">
            <w:pPr>
              <w:spacing w:after="0" w:line="240" w:lineRule="auto"/>
              <w:rPr>
                <w:rFonts w:ascii="Calibri" w:eastAsia="Times New Roman" w:hAnsi="Calibri" w:cs="Times New Roman"/>
                <w:color w:val="006100"/>
              </w:rPr>
            </w:pPr>
          </w:p>
        </w:tc>
        <w:tc>
          <w:tcPr>
            <w:tcW w:w="533" w:type="pct"/>
          </w:tcPr>
          <w:p w14:paraId="2D171D90" w14:textId="77777777" w:rsidR="005A5010" w:rsidRPr="00CC225B" w:rsidRDefault="005A5010" w:rsidP="001F4652">
            <w:pPr>
              <w:spacing w:after="0" w:line="240" w:lineRule="auto"/>
              <w:rPr>
                <w:rFonts w:ascii="Calibri" w:eastAsia="Times New Roman" w:hAnsi="Calibri" w:cs="Times New Roman"/>
                <w:color w:val="006100"/>
              </w:rPr>
            </w:pPr>
          </w:p>
        </w:tc>
      </w:tr>
      <w:tr w:rsidR="005A5010" w:rsidRPr="00CC225B" w14:paraId="2D8D69C0" w14:textId="77777777" w:rsidTr="00044013">
        <w:tc>
          <w:tcPr>
            <w:tcW w:w="207" w:type="pct"/>
          </w:tcPr>
          <w:p w14:paraId="52064278" w14:textId="638F5509" w:rsidR="005A5010" w:rsidRPr="00CC225B" w:rsidRDefault="005A5010" w:rsidP="001F4652">
            <w:pPr>
              <w:spacing w:after="0" w:line="240" w:lineRule="auto"/>
              <w:rPr>
                <w:rFonts w:ascii="Calibri" w:eastAsia="Times New Roman" w:hAnsi="Calibri" w:cs="Times New Roman"/>
                <w:color w:val="000000"/>
              </w:rPr>
            </w:pPr>
            <w:r>
              <w:rPr>
                <w:rFonts w:ascii="Calibri" w:eastAsia="Times New Roman" w:hAnsi="Calibri" w:cs="Times New Roman"/>
                <w:color w:val="000000"/>
              </w:rPr>
              <w:t>15</w:t>
            </w:r>
          </w:p>
        </w:tc>
        <w:tc>
          <w:tcPr>
            <w:tcW w:w="1960" w:type="pct"/>
            <w:shd w:val="clear" w:color="auto" w:fill="auto"/>
          </w:tcPr>
          <w:p w14:paraId="5530D055" w14:textId="77777777" w:rsidR="005A5010" w:rsidRPr="00CC225B" w:rsidRDefault="005A5010" w:rsidP="001F4652">
            <w:pPr>
              <w:spacing w:after="0" w:line="240" w:lineRule="auto"/>
              <w:rPr>
                <w:rFonts w:ascii="Calibri" w:eastAsia="Times New Roman" w:hAnsi="Calibri" w:cs="Times New Roman"/>
                <w:color w:val="000000"/>
              </w:rPr>
            </w:pPr>
          </w:p>
        </w:tc>
        <w:tc>
          <w:tcPr>
            <w:tcW w:w="959" w:type="pct"/>
            <w:shd w:val="clear" w:color="auto" w:fill="auto"/>
          </w:tcPr>
          <w:p w14:paraId="4CB52572" w14:textId="77777777" w:rsidR="005A5010" w:rsidRPr="00CC225B" w:rsidRDefault="005A5010" w:rsidP="001F4652">
            <w:pPr>
              <w:spacing w:after="0" w:line="240" w:lineRule="auto"/>
              <w:rPr>
                <w:rFonts w:ascii="Calibri" w:eastAsia="Times New Roman" w:hAnsi="Calibri" w:cs="Times New Roman"/>
                <w:color w:val="006100"/>
              </w:rPr>
            </w:pPr>
          </w:p>
        </w:tc>
        <w:tc>
          <w:tcPr>
            <w:tcW w:w="1341" w:type="pct"/>
          </w:tcPr>
          <w:p w14:paraId="5C6A54B6" w14:textId="77777777" w:rsidR="005A5010" w:rsidRPr="00CC225B" w:rsidRDefault="005A5010" w:rsidP="001F4652">
            <w:pPr>
              <w:spacing w:after="0" w:line="240" w:lineRule="auto"/>
              <w:rPr>
                <w:rFonts w:ascii="Calibri" w:eastAsia="Times New Roman" w:hAnsi="Calibri" w:cs="Times New Roman"/>
                <w:color w:val="006100"/>
              </w:rPr>
            </w:pPr>
          </w:p>
        </w:tc>
        <w:tc>
          <w:tcPr>
            <w:tcW w:w="533" w:type="pct"/>
          </w:tcPr>
          <w:p w14:paraId="7640C333" w14:textId="77777777" w:rsidR="005A5010" w:rsidRPr="00CC225B" w:rsidRDefault="005A5010" w:rsidP="001F4652">
            <w:pPr>
              <w:spacing w:after="0" w:line="240" w:lineRule="auto"/>
              <w:rPr>
                <w:rFonts w:ascii="Calibri" w:eastAsia="Times New Roman" w:hAnsi="Calibri" w:cs="Times New Roman"/>
                <w:color w:val="006100"/>
              </w:rPr>
            </w:pPr>
          </w:p>
        </w:tc>
      </w:tr>
      <w:tr w:rsidR="005A5010" w:rsidRPr="00CC225B" w14:paraId="579A3D6C" w14:textId="77777777" w:rsidTr="00044013">
        <w:tc>
          <w:tcPr>
            <w:tcW w:w="207" w:type="pct"/>
          </w:tcPr>
          <w:p w14:paraId="1F4D08FA" w14:textId="186EF021" w:rsidR="005A5010" w:rsidRPr="00CC225B" w:rsidRDefault="005A5010" w:rsidP="001F4652">
            <w:pPr>
              <w:spacing w:after="0" w:line="240" w:lineRule="auto"/>
              <w:rPr>
                <w:rFonts w:ascii="Calibri" w:eastAsia="Times New Roman" w:hAnsi="Calibri" w:cs="Times New Roman"/>
                <w:color w:val="000000"/>
              </w:rPr>
            </w:pPr>
            <w:r>
              <w:rPr>
                <w:rFonts w:ascii="Calibri" w:eastAsia="Times New Roman" w:hAnsi="Calibri" w:cs="Times New Roman"/>
                <w:color w:val="000000"/>
              </w:rPr>
              <w:t>16</w:t>
            </w:r>
          </w:p>
        </w:tc>
        <w:tc>
          <w:tcPr>
            <w:tcW w:w="1960" w:type="pct"/>
            <w:shd w:val="clear" w:color="auto" w:fill="auto"/>
          </w:tcPr>
          <w:p w14:paraId="695E25ED" w14:textId="77777777" w:rsidR="005A5010" w:rsidRPr="00CC225B" w:rsidRDefault="005A5010" w:rsidP="001F4652">
            <w:pPr>
              <w:spacing w:after="0" w:line="240" w:lineRule="auto"/>
              <w:rPr>
                <w:rFonts w:ascii="Calibri" w:eastAsia="Times New Roman" w:hAnsi="Calibri" w:cs="Times New Roman"/>
                <w:color w:val="000000"/>
              </w:rPr>
            </w:pPr>
          </w:p>
        </w:tc>
        <w:tc>
          <w:tcPr>
            <w:tcW w:w="959" w:type="pct"/>
            <w:shd w:val="clear" w:color="auto" w:fill="auto"/>
          </w:tcPr>
          <w:p w14:paraId="5BE1DD65" w14:textId="77777777" w:rsidR="005A5010" w:rsidRPr="00CC225B" w:rsidRDefault="005A5010" w:rsidP="001F4652">
            <w:pPr>
              <w:spacing w:after="0" w:line="240" w:lineRule="auto"/>
              <w:rPr>
                <w:rFonts w:ascii="Calibri" w:eastAsia="Times New Roman" w:hAnsi="Calibri" w:cs="Times New Roman"/>
                <w:color w:val="006100"/>
              </w:rPr>
            </w:pPr>
          </w:p>
        </w:tc>
        <w:tc>
          <w:tcPr>
            <w:tcW w:w="1341" w:type="pct"/>
          </w:tcPr>
          <w:p w14:paraId="02F765E7" w14:textId="77777777" w:rsidR="005A5010" w:rsidRPr="00CC225B" w:rsidRDefault="005A5010" w:rsidP="001F4652">
            <w:pPr>
              <w:spacing w:after="0" w:line="240" w:lineRule="auto"/>
              <w:rPr>
                <w:rFonts w:ascii="Calibri" w:eastAsia="Times New Roman" w:hAnsi="Calibri" w:cs="Times New Roman"/>
                <w:color w:val="006100"/>
              </w:rPr>
            </w:pPr>
          </w:p>
        </w:tc>
        <w:tc>
          <w:tcPr>
            <w:tcW w:w="533" w:type="pct"/>
          </w:tcPr>
          <w:p w14:paraId="680D0C35" w14:textId="77777777" w:rsidR="005A5010" w:rsidRPr="00CC225B" w:rsidRDefault="005A5010" w:rsidP="001F4652">
            <w:pPr>
              <w:spacing w:after="0" w:line="240" w:lineRule="auto"/>
              <w:rPr>
                <w:rFonts w:ascii="Calibri" w:eastAsia="Times New Roman" w:hAnsi="Calibri" w:cs="Times New Roman"/>
                <w:color w:val="006100"/>
              </w:rPr>
            </w:pPr>
          </w:p>
        </w:tc>
      </w:tr>
    </w:tbl>
    <w:p w14:paraId="0F068F41" w14:textId="63AACCC9" w:rsidR="005A5010" w:rsidRDefault="005A5010" w:rsidP="000E3A00">
      <w:pPr>
        <w:rPr>
          <w:b/>
        </w:rPr>
      </w:pPr>
    </w:p>
    <w:p w14:paraId="64729D5B" w14:textId="05A9E28F" w:rsidR="00D15B45" w:rsidRDefault="00D15B45" w:rsidP="00D15B45">
      <w:pPr>
        <w:rPr>
          <w:b/>
        </w:rPr>
      </w:pPr>
      <w:r w:rsidRPr="00E85E5D">
        <w:rPr>
          <w:b/>
          <w:highlight w:val="yellow"/>
        </w:rPr>
        <w:t>[Q</w:t>
      </w:r>
      <w:r>
        <w:rPr>
          <w:b/>
          <w:highlight w:val="yellow"/>
        </w:rPr>
        <w:t>5</w:t>
      </w:r>
      <w:r w:rsidRPr="00E85E5D">
        <w:rPr>
          <w:b/>
          <w:highlight w:val="yellow"/>
        </w:rPr>
        <w:t xml:space="preserve">] </w:t>
      </w:r>
      <w:r>
        <w:rPr>
          <w:b/>
          <w:highlight w:val="yellow"/>
        </w:rPr>
        <w:t>How do we assign the evidence listed above to different tiers</w:t>
      </w:r>
      <w:r>
        <w:rPr>
          <w:b/>
          <w:highlight w:val="yellow"/>
        </w:rPr>
        <w:t xml:space="preserve">? </w:t>
      </w:r>
    </w:p>
    <w:p w14:paraId="32884C4D" w14:textId="77777777" w:rsidR="00B45080" w:rsidRPr="009966E4" w:rsidRDefault="00B45080" w:rsidP="000E3A00">
      <w:pPr>
        <w:rPr>
          <w:b/>
        </w:rPr>
      </w:pPr>
    </w:p>
    <w:p w14:paraId="67A6A794" w14:textId="3BFEEE8D" w:rsidR="00466ED0" w:rsidRDefault="00466ED0" w:rsidP="00466ED0">
      <w:pPr>
        <w:pStyle w:val="Caption"/>
        <w:keepNext/>
      </w:pPr>
      <w:r w:rsidRPr="000D328A">
        <w:lastRenderedPageBreak/>
        <w:t xml:space="preserve">Table </w:t>
      </w:r>
      <w:r>
        <w:fldChar w:fldCharType="begin"/>
      </w:r>
      <w:r>
        <w:instrText xml:space="preserve"> SEQ Table \* ARABIC </w:instrText>
      </w:r>
      <w:r>
        <w:fldChar w:fldCharType="separate"/>
      </w:r>
      <w:r w:rsidRPr="000D328A">
        <w:t>1</w:t>
      </w:r>
      <w:r>
        <w:fldChar w:fldCharType="end"/>
      </w:r>
      <w:r w:rsidRPr="000D328A">
        <w:t>. Summary of POE Proposal</w:t>
      </w:r>
      <w:r>
        <w:t xml:space="preserve">s – Equipment Operation </w:t>
      </w:r>
      <w:r w:rsidR="00370670">
        <w:t>for Repair-Eligible/Indefinitely</w:t>
      </w:r>
    </w:p>
    <w:tbl>
      <w:tblPr>
        <w:tblStyle w:val="TableGrid"/>
        <w:tblW w:w="0" w:type="auto"/>
        <w:tblLook w:val="04A0" w:firstRow="1" w:lastRow="0" w:firstColumn="1" w:lastColumn="0" w:noHBand="0" w:noVBand="1"/>
      </w:tblPr>
      <w:tblGrid>
        <w:gridCol w:w="1471"/>
        <w:gridCol w:w="2237"/>
        <w:gridCol w:w="2415"/>
        <w:gridCol w:w="2220"/>
        <w:gridCol w:w="2447"/>
      </w:tblGrid>
      <w:tr w:rsidR="00466ED0" w:rsidRPr="00C12374" w14:paraId="4FC9C32F" w14:textId="77777777" w:rsidTr="00E85E5D">
        <w:tc>
          <w:tcPr>
            <w:tcW w:w="1471" w:type="dxa"/>
            <w:shd w:val="clear" w:color="auto" w:fill="E7E6E6" w:themeFill="background2"/>
          </w:tcPr>
          <w:p w14:paraId="70C4EF6A" w14:textId="77777777" w:rsidR="00466ED0" w:rsidRPr="00C12374" w:rsidRDefault="00466ED0" w:rsidP="00466ED0">
            <w:pPr>
              <w:keepNext/>
              <w:keepLines/>
              <w:rPr>
                <w:b/>
              </w:rPr>
            </w:pPr>
          </w:p>
        </w:tc>
        <w:tc>
          <w:tcPr>
            <w:tcW w:w="2237" w:type="dxa"/>
            <w:shd w:val="clear" w:color="auto" w:fill="E7E6E6" w:themeFill="background2"/>
          </w:tcPr>
          <w:p w14:paraId="65558080" w14:textId="18FD6004" w:rsidR="00466ED0" w:rsidRPr="00C12374" w:rsidRDefault="00466ED0" w:rsidP="00466ED0">
            <w:pPr>
              <w:keepNext/>
              <w:keepLines/>
              <w:rPr>
                <w:b/>
              </w:rPr>
            </w:pPr>
            <w:r>
              <w:rPr>
                <w:b/>
              </w:rPr>
              <w:t>Full</w:t>
            </w:r>
          </w:p>
        </w:tc>
        <w:tc>
          <w:tcPr>
            <w:tcW w:w="2415" w:type="dxa"/>
            <w:shd w:val="clear" w:color="auto" w:fill="E7E6E6" w:themeFill="background2"/>
          </w:tcPr>
          <w:p w14:paraId="4E21B855" w14:textId="541FDC5B" w:rsidR="00466ED0" w:rsidRPr="00C12374" w:rsidRDefault="00466ED0" w:rsidP="00466ED0">
            <w:pPr>
              <w:keepNext/>
              <w:keepLines/>
              <w:rPr>
                <w:b/>
              </w:rPr>
            </w:pPr>
            <w:r w:rsidRPr="00C12374">
              <w:rPr>
                <w:b/>
              </w:rPr>
              <w:t>Med Rigor (“Tier 1”)</w:t>
            </w:r>
          </w:p>
        </w:tc>
        <w:tc>
          <w:tcPr>
            <w:tcW w:w="2220" w:type="dxa"/>
            <w:shd w:val="clear" w:color="auto" w:fill="E7E6E6" w:themeFill="background2"/>
          </w:tcPr>
          <w:p w14:paraId="7EA97469" w14:textId="77777777" w:rsidR="00466ED0" w:rsidRPr="00C12374" w:rsidRDefault="00466ED0" w:rsidP="00466ED0">
            <w:pPr>
              <w:keepNext/>
              <w:keepLines/>
              <w:rPr>
                <w:b/>
              </w:rPr>
            </w:pPr>
            <w:r w:rsidRPr="00C12374">
              <w:rPr>
                <w:b/>
              </w:rPr>
              <w:t>Low Rigor (“Tier 2”)</w:t>
            </w:r>
          </w:p>
        </w:tc>
        <w:tc>
          <w:tcPr>
            <w:tcW w:w="2447" w:type="dxa"/>
            <w:shd w:val="clear" w:color="auto" w:fill="E7E6E6" w:themeFill="background2"/>
          </w:tcPr>
          <w:p w14:paraId="45E3D0B0" w14:textId="77777777" w:rsidR="00466ED0" w:rsidRPr="00C12374" w:rsidRDefault="00466ED0" w:rsidP="00466ED0">
            <w:pPr>
              <w:keepNext/>
              <w:keepLines/>
              <w:rPr>
                <w:b/>
              </w:rPr>
            </w:pPr>
            <w:r w:rsidRPr="00C12374">
              <w:rPr>
                <w:b/>
              </w:rPr>
              <w:t>“Tier 0” (potential option)</w:t>
            </w:r>
          </w:p>
        </w:tc>
      </w:tr>
      <w:tr w:rsidR="00466ED0" w14:paraId="3474E678" w14:textId="77777777" w:rsidTr="00E85E5D">
        <w:tc>
          <w:tcPr>
            <w:tcW w:w="1471" w:type="dxa"/>
          </w:tcPr>
          <w:p w14:paraId="0A51B459" w14:textId="77777777" w:rsidR="00466ED0" w:rsidRPr="00705D93" w:rsidRDefault="00466ED0" w:rsidP="00466ED0">
            <w:pPr>
              <w:keepNext/>
              <w:keepLines/>
              <w:rPr>
                <w:b/>
              </w:rPr>
            </w:pPr>
            <w:r w:rsidRPr="00705D93">
              <w:rPr>
                <w:b/>
              </w:rPr>
              <w:t>T1WG Proposal</w:t>
            </w:r>
          </w:p>
        </w:tc>
        <w:tc>
          <w:tcPr>
            <w:tcW w:w="2237" w:type="dxa"/>
          </w:tcPr>
          <w:p w14:paraId="66940304" w14:textId="2F730E58" w:rsidR="00466ED0" w:rsidRPr="00CF4E27" w:rsidRDefault="00466ED0" w:rsidP="00466ED0">
            <w:pPr>
              <w:keepNext/>
              <w:keepLines/>
            </w:pPr>
            <w:r>
              <w:t>n/a</w:t>
            </w:r>
          </w:p>
        </w:tc>
        <w:tc>
          <w:tcPr>
            <w:tcW w:w="2415" w:type="dxa"/>
          </w:tcPr>
          <w:p w14:paraId="7B807EBD" w14:textId="1C2F887E" w:rsidR="00466ED0" w:rsidRDefault="00466ED0" w:rsidP="00466ED0">
            <w:pPr>
              <w:keepNext/>
              <w:keepLines/>
            </w:pPr>
            <w:r w:rsidRPr="00CF4E27">
              <w:t>n/a</w:t>
            </w:r>
          </w:p>
        </w:tc>
        <w:tc>
          <w:tcPr>
            <w:tcW w:w="2220" w:type="dxa"/>
          </w:tcPr>
          <w:p w14:paraId="0B8B12A6" w14:textId="42A81627" w:rsidR="00466ED0" w:rsidRDefault="00466ED0" w:rsidP="00466ED0">
            <w:pPr>
              <w:keepNext/>
              <w:keepLines/>
            </w:pPr>
            <w:r w:rsidRPr="00CF4E27">
              <w:t>n/a</w:t>
            </w:r>
          </w:p>
        </w:tc>
        <w:tc>
          <w:tcPr>
            <w:tcW w:w="2447" w:type="dxa"/>
          </w:tcPr>
          <w:p w14:paraId="715712B0" w14:textId="77777777" w:rsidR="00466ED0" w:rsidRDefault="00466ED0" w:rsidP="00466ED0">
            <w:pPr>
              <w:keepNext/>
              <w:keepLines/>
            </w:pPr>
            <w:r>
              <w:t>n/a</w:t>
            </w:r>
          </w:p>
        </w:tc>
      </w:tr>
      <w:tr w:rsidR="00466ED0" w14:paraId="43B208A8" w14:textId="77777777" w:rsidTr="00E85E5D">
        <w:tc>
          <w:tcPr>
            <w:tcW w:w="1471" w:type="dxa"/>
          </w:tcPr>
          <w:p w14:paraId="03BA5F3E" w14:textId="77777777" w:rsidR="00466ED0" w:rsidRPr="00705D93" w:rsidRDefault="00466ED0" w:rsidP="00466ED0">
            <w:pPr>
              <w:keepNext/>
              <w:keepLines/>
              <w:rPr>
                <w:b/>
              </w:rPr>
            </w:pPr>
            <w:r w:rsidRPr="00705D93">
              <w:rPr>
                <w:b/>
              </w:rPr>
              <w:t>Issues</w:t>
            </w:r>
          </w:p>
        </w:tc>
        <w:tc>
          <w:tcPr>
            <w:tcW w:w="2237" w:type="dxa"/>
          </w:tcPr>
          <w:p w14:paraId="7FEC7DB4" w14:textId="77777777" w:rsidR="00466ED0" w:rsidRDefault="00466ED0" w:rsidP="00466ED0">
            <w:pPr>
              <w:keepNext/>
              <w:keepLines/>
            </w:pPr>
          </w:p>
        </w:tc>
        <w:tc>
          <w:tcPr>
            <w:tcW w:w="2415" w:type="dxa"/>
          </w:tcPr>
          <w:p w14:paraId="1FE4723E" w14:textId="5744A7F6" w:rsidR="00466ED0" w:rsidRDefault="00466ED0" w:rsidP="00466ED0">
            <w:pPr>
              <w:keepNext/>
              <w:keepLines/>
            </w:pPr>
          </w:p>
        </w:tc>
        <w:tc>
          <w:tcPr>
            <w:tcW w:w="2220" w:type="dxa"/>
          </w:tcPr>
          <w:p w14:paraId="19FF6827" w14:textId="77777777" w:rsidR="00466ED0" w:rsidRDefault="00466ED0" w:rsidP="00466ED0">
            <w:pPr>
              <w:keepNext/>
              <w:keepLines/>
            </w:pPr>
          </w:p>
        </w:tc>
        <w:tc>
          <w:tcPr>
            <w:tcW w:w="2447" w:type="dxa"/>
          </w:tcPr>
          <w:p w14:paraId="764B5969" w14:textId="77777777" w:rsidR="00466ED0" w:rsidRDefault="00466ED0" w:rsidP="00466ED0">
            <w:pPr>
              <w:keepNext/>
              <w:keepLines/>
            </w:pPr>
          </w:p>
        </w:tc>
      </w:tr>
      <w:tr w:rsidR="00E85E5D" w14:paraId="045306AD" w14:textId="77777777" w:rsidTr="00E85E5D">
        <w:tc>
          <w:tcPr>
            <w:tcW w:w="1471" w:type="dxa"/>
            <w:shd w:val="clear" w:color="auto" w:fill="E2EFD9" w:themeFill="accent6" w:themeFillTint="33"/>
          </w:tcPr>
          <w:p w14:paraId="61BDCA01" w14:textId="31E3E464" w:rsidR="00E85E5D" w:rsidRPr="00705D93" w:rsidRDefault="00E85E5D" w:rsidP="001F4652">
            <w:pPr>
              <w:keepNext/>
              <w:keepLines/>
              <w:rPr>
                <w:b/>
              </w:rPr>
            </w:pPr>
            <w:r w:rsidRPr="00705D93">
              <w:rPr>
                <w:b/>
              </w:rPr>
              <w:t xml:space="preserve">T2WG </w:t>
            </w:r>
            <w:r>
              <w:rPr>
                <w:b/>
              </w:rPr>
              <w:t>- Equipment Viability</w:t>
            </w:r>
          </w:p>
        </w:tc>
        <w:tc>
          <w:tcPr>
            <w:tcW w:w="2237" w:type="dxa"/>
            <w:shd w:val="clear" w:color="auto" w:fill="E2EFD9" w:themeFill="accent6" w:themeFillTint="33"/>
          </w:tcPr>
          <w:p w14:paraId="48FB7635" w14:textId="77777777" w:rsidR="00E85E5D" w:rsidRDefault="00E85E5D" w:rsidP="001F4652">
            <w:pPr>
              <w:keepNext/>
              <w:keepLines/>
            </w:pPr>
          </w:p>
        </w:tc>
        <w:tc>
          <w:tcPr>
            <w:tcW w:w="2415" w:type="dxa"/>
            <w:shd w:val="clear" w:color="auto" w:fill="E2EFD9" w:themeFill="accent6" w:themeFillTint="33"/>
          </w:tcPr>
          <w:p w14:paraId="71F2B408" w14:textId="77777777" w:rsidR="00E85E5D" w:rsidRDefault="00E85E5D" w:rsidP="001F4652">
            <w:pPr>
              <w:keepNext/>
              <w:keepLines/>
            </w:pPr>
          </w:p>
        </w:tc>
        <w:tc>
          <w:tcPr>
            <w:tcW w:w="2220" w:type="dxa"/>
            <w:shd w:val="clear" w:color="auto" w:fill="E2EFD9" w:themeFill="accent6" w:themeFillTint="33"/>
          </w:tcPr>
          <w:p w14:paraId="06F17C83" w14:textId="77777777" w:rsidR="00E85E5D" w:rsidRDefault="00E85E5D" w:rsidP="001F4652">
            <w:pPr>
              <w:keepNext/>
              <w:keepLines/>
            </w:pPr>
          </w:p>
        </w:tc>
        <w:tc>
          <w:tcPr>
            <w:tcW w:w="2447" w:type="dxa"/>
            <w:shd w:val="clear" w:color="auto" w:fill="E2EFD9" w:themeFill="accent6" w:themeFillTint="33"/>
          </w:tcPr>
          <w:p w14:paraId="79426CC0" w14:textId="77777777" w:rsidR="00E85E5D" w:rsidRDefault="00E85E5D" w:rsidP="001F4652">
            <w:pPr>
              <w:keepNext/>
              <w:keepLines/>
            </w:pPr>
          </w:p>
        </w:tc>
      </w:tr>
      <w:tr w:rsidR="00D15B45" w14:paraId="188DC441" w14:textId="77777777" w:rsidTr="001F4652">
        <w:tc>
          <w:tcPr>
            <w:tcW w:w="1471" w:type="dxa"/>
            <w:shd w:val="clear" w:color="auto" w:fill="E2EFD9" w:themeFill="accent6" w:themeFillTint="33"/>
          </w:tcPr>
          <w:p w14:paraId="71F7A3CD" w14:textId="19399335" w:rsidR="00D15B45" w:rsidRPr="00705D93" w:rsidRDefault="00D15B45" w:rsidP="00D15B45">
            <w:pPr>
              <w:keepNext/>
              <w:keepLines/>
              <w:rPr>
                <w:b/>
              </w:rPr>
            </w:pPr>
            <w:r w:rsidRPr="00705D93">
              <w:rPr>
                <w:b/>
              </w:rPr>
              <w:t>T2WG</w:t>
            </w:r>
            <w:r>
              <w:rPr>
                <w:b/>
              </w:rPr>
              <w:t xml:space="preserve"> </w:t>
            </w:r>
            <w:r>
              <w:rPr>
                <w:b/>
              </w:rPr>
              <w:t>– Program Influence</w:t>
            </w:r>
          </w:p>
        </w:tc>
        <w:tc>
          <w:tcPr>
            <w:tcW w:w="2237" w:type="dxa"/>
            <w:shd w:val="clear" w:color="auto" w:fill="E2EFD9" w:themeFill="accent6" w:themeFillTint="33"/>
          </w:tcPr>
          <w:p w14:paraId="4453D54D" w14:textId="2331B294" w:rsidR="00D15B45" w:rsidRDefault="00D15B45" w:rsidP="00D15B45">
            <w:pPr>
              <w:keepNext/>
              <w:keepLines/>
            </w:pPr>
            <w:r>
              <w:t>Same as regular POE</w:t>
            </w:r>
          </w:p>
        </w:tc>
        <w:tc>
          <w:tcPr>
            <w:tcW w:w="2415" w:type="dxa"/>
            <w:shd w:val="clear" w:color="auto" w:fill="E2EFD9" w:themeFill="accent6" w:themeFillTint="33"/>
          </w:tcPr>
          <w:p w14:paraId="5F2ABF1E" w14:textId="0462F6EC" w:rsidR="00D15B45" w:rsidRDefault="00D15B45" w:rsidP="00D15B45">
            <w:pPr>
              <w:keepNext/>
              <w:keepLines/>
            </w:pPr>
            <w:r>
              <w:t>Same as regular POE</w:t>
            </w:r>
          </w:p>
        </w:tc>
        <w:tc>
          <w:tcPr>
            <w:tcW w:w="2220" w:type="dxa"/>
            <w:shd w:val="clear" w:color="auto" w:fill="E2EFD9" w:themeFill="accent6" w:themeFillTint="33"/>
          </w:tcPr>
          <w:p w14:paraId="05F2BB11" w14:textId="25FDF8EC" w:rsidR="00D15B45" w:rsidRDefault="00D15B45" w:rsidP="00D15B45">
            <w:pPr>
              <w:keepNext/>
              <w:keepLines/>
            </w:pPr>
            <w:r>
              <w:t>Same as regular POE</w:t>
            </w:r>
          </w:p>
        </w:tc>
        <w:tc>
          <w:tcPr>
            <w:tcW w:w="2447" w:type="dxa"/>
            <w:shd w:val="clear" w:color="auto" w:fill="E2EFD9" w:themeFill="accent6" w:themeFillTint="33"/>
          </w:tcPr>
          <w:p w14:paraId="4BFF347F" w14:textId="225CB681" w:rsidR="00D15B45" w:rsidRDefault="00D15B45" w:rsidP="00D15B45">
            <w:pPr>
              <w:keepNext/>
              <w:keepLines/>
            </w:pPr>
            <w:r>
              <w:t>Same as regular POE</w:t>
            </w:r>
          </w:p>
        </w:tc>
      </w:tr>
      <w:tr w:rsidR="00D15B45" w14:paraId="0CFFB3A1" w14:textId="77777777" w:rsidTr="00E85E5D">
        <w:tc>
          <w:tcPr>
            <w:tcW w:w="1471" w:type="dxa"/>
            <w:shd w:val="clear" w:color="auto" w:fill="E2EFD9" w:themeFill="accent6" w:themeFillTint="33"/>
          </w:tcPr>
          <w:p w14:paraId="0033D752" w14:textId="7F70EE74" w:rsidR="00D15B45" w:rsidRPr="00705D93" w:rsidRDefault="00D15B45" w:rsidP="00D15B45">
            <w:pPr>
              <w:keepNext/>
              <w:keepLines/>
              <w:rPr>
                <w:b/>
              </w:rPr>
            </w:pPr>
            <w:r w:rsidRPr="00705D93">
              <w:rPr>
                <w:b/>
              </w:rPr>
              <w:t>T2WG</w:t>
            </w:r>
            <w:r>
              <w:rPr>
                <w:b/>
              </w:rPr>
              <w:t xml:space="preserve"> –</w:t>
            </w:r>
            <w:r>
              <w:rPr>
                <w:b/>
              </w:rPr>
              <w:t xml:space="preserve"> </w:t>
            </w:r>
            <w:r>
              <w:rPr>
                <w:b/>
              </w:rPr>
              <w:t>Affidavit</w:t>
            </w:r>
          </w:p>
        </w:tc>
        <w:tc>
          <w:tcPr>
            <w:tcW w:w="2237" w:type="dxa"/>
            <w:shd w:val="clear" w:color="auto" w:fill="E2EFD9" w:themeFill="accent6" w:themeFillTint="33"/>
          </w:tcPr>
          <w:p w14:paraId="5FD8084E" w14:textId="38DBFFB4" w:rsidR="00D15B45" w:rsidRDefault="00D15B45" w:rsidP="00D15B45">
            <w:pPr>
              <w:keepNext/>
              <w:keepLines/>
            </w:pPr>
            <w:r>
              <w:t>Same as regular POE</w:t>
            </w:r>
          </w:p>
        </w:tc>
        <w:tc>
          <w:tcPr>
            <w:tcW w:w="2415" w:type="dxa"/>
            <w:shd w:val="clear" w:color="auto" w:fill="E2EFD9" w:themeFill="accent6" w:themeFillTint="33"/>
          </w:tcPr>
          <w:p w14:paraId="7DC375EB" w14:textId="5C9FD217" w:rsidR="00D15B45" w:rsidRDefault="00D15B45" w:rsidP="00D15B45">
            <w:pPr>
              <w:keepNext/>
              <w:keepLines/>
            </w:pPr>
            <w:r>
              <w:t>Same as regular POE</w:t>
            </w:r>
          </w:p>
        </w:tc>
        <w:tc>
          <w:tcPr>
            <w:tcW w:w="2220" w:type="dxa"/>
            <w:shd w:val="clear" w:color="auto" w:fill="E2EFD9" w:themeFill="accent6" w:themeFillTint="33"/>
          </w:tcPr>
          <w:p w14:paraId="4E8FC1F0" w14:textId="009E7ED2" w:rsidR="00D15B45" w:rsidRDefault="00D15B45" w:rsidP="00D15B45">
            <w:pPr>
              <w:keepNext/>
              <w:keepLines/>
            </w:pPr>
            <w:r>
              <w:t>Same as regular POE</w:t>
            </w:r>
          </w:p>
        </w:tc>
        <w:tc>
          <w:tcPr>
            <w:tcW w:w="2447" w:type="dxa"/>
            <w:shd w:val="clear" w:color="auto" w:fill="E2EFD9" w:themeFill="accent6" w:themeFillTint="33"/>
          </w:tcPr>
          <w:p w14:paraId="7C1000E8" w14:textId="07DE8FF1" w:rsidR="00D15B45" w:rsidRDefault="00D15B45" w:rsidP="00D15B45">
            <w:pPr>
              <w:keepNext/>
              <w:keepLines/>
            </w:pPr>
            <w:r>
              <w:t>Same as regular POE</w:t>
            </w:r>
          </w:p>
        </w:tc>
      </w:tr>
      <w:tr w:rsidR="00D15B45" w14:paraId="406075C8" w14:textId="77777777" w:rsidTr="00E85E5D">
        <w:tc>
          <w:tcPr>
            <w:tcW w:w="10790" w:type="dxa"/>
            <w:gridSpan w:val="5"/>
            <w:shd w:val="clear" w:color="auto" w:fill="E7E6E6" w:themeFill="background2"/>
          </w:tcPr>
          <w:p w14:paraId="688B3AED" w14:textId="2A9D68EC" w:rsidR="00D15B45" w:rsidRDefault="00D15B45" w:rsidP="00D15B45">
            <w:pPr>
              <w:keepNext/>
              <w:keepLines/>
            </w:pPr>
            <w:r w:rsidRPr="00C12374">
              <w:rPr>
                <w:b/>
              </w:rPr>
              <w:t>Position</w:t>
            </w:r>
            <w:r>
              <w:rPr>
                <w:b/>
              </w:rPr>
              <w:t xml:space="preserve"> on T2WG Proposal</w:t>
            </w:r>
          </w:p>
        </w:tc>
      </w:tr>
      <w:tr w:rsidR="00D15B45" w14:paraId="5D2038F8" w14:textId="77777777" w:rsidTr="00E85E5D">
        <w:tc>
          <w:tcPr>
            <w:tcW w:w="1471" w:type="dxa"/>
            <w:shd w:val="clear" w:color="auto" w:fill="E2EFD9" w:themeFill="accent6" w:themeFillTint="33"/>
          </w:tcPr>
          <w:p w14:paraId="4F9351C5" w14:textId="77777777" w:rsidR="00D15B45" w:rsidRDefault="00D15B45" w:rsidP="00D15B45">
            <w:pPr>
              <w:keepNext/>
              <w:keepLines/>
            </w:pPr>
            <w:r>
              <w:t>Staff</w:t>
            </w:r>
          </w:p>
        </w:tc>
        <w:tc>
          <w:tcPr>
            <w:tcW w:w="2237" w:type="dxa"/>
            <w:shd w:val="clear" w:color="auto" w:fill="E2EFD9" w:themeFill="accent6" w:themeFillTint="33"/>
          </w:tcPr>
          <w:p w14:paraId="749CFFA0" w14:textId="77777777" w:rsidR="00D15B45" w:rsidRDefault="00D15B45" w:rsidP="00D15B45">
            <w:pPr>
              <w:keepNext/>
              <w:keepLines/>
            </w:pPr>
          </w:p>
        </w:tc>
        <w:tc>
          <w:tcPr>
            <w:tcW w:w="2415" w:type="dxa"/>
            <w:shd w:val="clear" w:color="auto" w:fill="E2EFD9" w:themeFill="accent6" w:themeFillTint="33"/>
          </w:tcPr>
          <w:p w14:paraId="61B4E3C8" w14:textId="663E06F0" w:rsidR="00D15B45" w:rsidRDefault="00D15B45" w:rsidP="00D15B45">
            <w:pPr>
              <w:keepNext/>
              <w:keepLines/>
            </w:pPr>
          </w:p>
        </w:tc>
        <w:tc>
          <w:tcPr>
            <w:tcW w:w="2220" w:type="dxa"/>
            <w:shd w:val="clear" w:color="auto" w:fill="E2EFD9" w:themeFill="accent6" w:themeFillTint="33"/>
          </w:tcPr>
          <w:p w14:paraId="73935B1A" w14:textId="7469C7F7" w:rsidR="00D15B45" w:rsidRPr="00E31E9C" w:rsidRDefault="00D15B45" w:rsidP="00D15B45">
            <w:pPr>
              <w:keepNext/>
              <w:keepLines/>
              <w:rPr>
                <w:b/>
              </w:rPr>
            </w:pPr>
          </w:p>
        </w:tc>
        <w:tc>
          <w:tcPr>
            <w:tcW w:w="2447" w:type="dxa"/>
            <w:shd w:val="clear" w:color="auto" w:fill="E2EFD9" w:themeFill="accent6" w:themeFillTint="33"/>
          </w:tcPr>
          <w:p w14:paraId="771AE06A" w14:textId="77777777" w:rsidR="00D15B45" w:rsidRDefault="00D15B45" w:rsidP="00D15B45">
            <w:pPr>
              <w:keepNext/>
              <w:keepLines/>
            </w:pPr>
          </w:p>
        </w:tc>
      </w:tr>
      <w:tr w:rsidR="00D15B45" w14:paraId="159E3D08" w14:textId="77777777" w:rsidTr="00E85E5D">
        <w:tc>
          <w:tcPr>
            <w:tcW w:w="1471" w:type="dxa"/>
            <w:shd w:val="clear" w:color="auto" w:fill="E2EFD9" w:themeFill="accent6" w:themeFillTint="33"/>
          </w:tcPr>
          <w:p w14:paraId="383662AD" w14:textId="77777777" w:rsidR="00D15B45" w:rsidRDefault="00D15B45" w:rsidP="00D15B45">
            <w:pPr>
              <w:keepNext/>
              <w:keepLines/>
            </w:pPr>
            <w:r>
              <w:t>IOU</w:t>
            </w:r>
          </w:p>
        </w:tc>
        <w:tc>
          <w:tcPr>
            <w:tcW w:w="2237" w:type="dxa"/>
            <w:shd w:val="clear" w:color="auto" w:fill="E2EFD9" w:themeFill="accent6" w:themeFillTint="33"/>
          </w:tcPr>
          <w:p w14:paraId="28CD43A6" w14:textId="77777777" w:rsidR="00D15B45" w:rsidRDefault="00D15B45" w:rsidP="00D15B45">
            <w:pPr>
              <w:keepNext/>
              <w:keepLines/>
            </w:pPr>
          </w:p>
        </w:tc>
        <w:tc>
          <w:tcPr>
            <w:tcW w:w="2415" w:type="dxa"/>
            <w:shd w:val="clear" w:color="auto" w:fill="E2EFD9" w:themeFill="accent6" w:themeFillTint="33"/>
          </w:tcPr>
          <w:p w14:paraId="197465DC" w14:textId="4607802E" w:rsidR="00D15B45" w:rsidRDefault="00D15B45" w:rsidP="00D15B45">
            <w:pPr>
              <w:keepNext/>
              <w:keepLines/>
            </w:pPr>
          </w:p>
        </w:tc>
        <w:tc>
          <w:tcPr>
            <w:tcW w:w="2220" w:type="dxa"/>
            <w:shd w:val="clear" w:color="auto" w:fill="E2EFD9" w:themeFill="accent6" w:themeFillTint="33"/>
          </w:tcPr>
          <w:p w14:paraId="217468B0" w14:textId="77777777" w:rsidR="00D15B45" w:rsidRPr="00E31E9C" w:rsidRDefault="00D15B45" w:rsidP="00D15B45">
            <w:pPr>
              <w:keepNext/>
              <w:keepLines/>
              <w:rPr>
                <w:b/>
              </w:rPr>
            </w:pPr>
          </w:p>
        </w:tc>
        <w:tc>
          <w:tcPr>
            <w:tcW w:w="2447" w:type="dxa"/>
            <w:shd w:val="clear" w:color="auto" w:fill="E2EFD9" w:themeFill="accent6" w:themeFillTint="33"/>
          </w:tcPr>
          <w:p w14:paraId="09E0F185" w14:textId="77777777" w:rsidR="00D15B45" w:rsidRDefault="00D15B45" w:rsidP="00D15B45">
            <w:pPr>
              <w:keepNext/>
              <w:keepLines/>
            </w:pPr>
          </w:p>
        </w:tc>
      </w:tr>
      <w:tr w:rsidR="00D15B45" w14:paraId="0E506D0E" w14:textId="77777777" w:rsidTr="00E85E5D">
        <w:tc>
          <w:tcPr>
            <w:tcW w:w="1471" w:type="dxa"/>
            <w:shd w:val="clear" w:color="auto" w:fill="E2EFD9" w:themeFill="accent6" w:themeFillTint="33"/>
          </w:tcPr>
          <w:p w14:paraId="72981AD8" w14:textId="77777777" w:rsidR="00D15B45" w:rsidRDefault="00D15B45" w:rsidP="00D15B45">
            <w:pPr>
              <w:keepNext/>
              <w:keepLines/>
            </w:pPr>
            <w:r>
              <w:t>Implementers</w:t>
            </w:r>
          </w:p>
        </w:tc>
        <w:tc>
          <w:tcPr>
            <w:tcW w:w="2237" w:type="dxa"/>
            <w:shd w:val="clear" w:color="auto" w:fill="E2EFD9" w:themeFill="accent6" w:themeFillTint="33"/>
          </w:tcPr>
          <w:p w14:paraId="1D0FE326" w14:textId="77777777" w:rsidR="00D15B45" w:rsidRDefault="00D15B45" w:rsidP="00D15B45">
            <w:pPr>
              <w:keepNext/>
              <w:keepLines/>
            </w:pPr>
          </w:p>
        </w:tc>
        <w:tc>
          <w:tcPr>
            <w:tcW w:w="2415" w:type="dxa"/>
            <w:shd w:val="clear" w:color="auto" w:fill="E2EFD9" w:themeFill="accent6" w:themeFillTint="33"/>
          </w:tcPr>
          <w:p w14:paraId="504AC07C" w14:textId="65A8F019" w:rsidR="00D15B45" w:rsidRDefault="00D15B45" w:rsidP="00D15B45">
            <w:pPr>
              <w:keepNext/>
              <w:keepLines/>
            </w:pPr>
          </w:p>
        </w:tc>
        <w:tc>
          <w:tcPr>
            <w:tcW w:w="2220" w:type="dxa"/>
            <w:shd w:val="clear" w:color="auto" w:fill="E2EFD9" w:themeFill="accent6" w:themeFillTint="33"/>
          </w:tcPr>
          <w:p w14:paraId="5EC7442A" w14:textId="77777777" w:rsidR="00D15B45" w:rsidRPr="00E31E9C" w:rsidRDefault="00D15B45" w:rsidP="00D15B45">
            <w:pPr>
              <w:keepNext/>
              <w:keepLines/>
              <w:rPr>
                <w:b/>
              </w:rPr>
            </w:pPr>
          </w:p>
        </w:tc>
        <w:tc>
          <w:tcPr>
            <w:tcW w:w="2447" w:type="dxa"/>
            <w:shd w:val="clear" w:color="auto" w:fill="E2EFD9" w:themeFill="accent6" w:themeFillTint="33"/>
          </w:tcPr>
          <w:p w14:paraId="1D8EE769" w14:textId="77777777" w:rsidR="00D15B45" w:rsidRDefault="00D15B45" w:rsidP="00D15B45">
            <w:pPr>
              <w:keepNext/>
              <w:keepLines/>
            </w:pPr>
          </w:p>
        </w:tc>
      </w:tr>
      <w:tr w:rsidR="00D15B45" w14:paraId="29A2E931" w14:textId="77777777" w:rsidTr="00E85E5D">
        <w:tc>
          <w:tcPr>
            <w:tcW w:w="1471" w:type="dxa"/>
            <w:shd w:val="clear" w:color="auto" w:fill="E2EFD9" w:themeFill="accent6" w:themeFillTint="33"/>
          </w:tcPr>
          <w:p w14:paraId="3E74779F" w14:textId="77777777" w:rsidR="00D15B45" w:rsidRDefault="00D15B45" w:rsidP="00D15B45">
            <w:pPr>
              <w:keepNext/>
              <w:keepLines/>
            </w:pPr>
            <w:r>
              <w:t>ORA</w:t>
            </w:r>
          </w:p>
        </w:tc>
        <w:tc>
          <w:tcPr>
            <w:tcW w:w="2237" w:type="dxa"/>
            <w:shd w:val="clear" w:color="auto" w:fill="E2EFD9" w:themeFill="accent6" w:themeFillTint="33"/>
          </w:tcPr>
          <w:p w14:paraId="16E84FE8" w14:textId="77777777" w:rsidR="00D15B45" w:rsidRDefault="00D15B45" w:rsidP="00D15B45">
            <w:pPr>
              <w:keepNext/>
              <w:keepLines/>
            </w:pPr>
          </w:p>
        </w:tc>
        <w:tc>
          <w:tcPr>
            <w:tcW w:w="2415" w:type="dxa"/>
            <w:shd w:val="clear" w:color="auto" w:fill="E2EFD9" w:themeFill="accent6" w:themeFillTint="33"/>
          </w:tcPr>
          <w:p w14:paraId="151DD7D2" w14:textId="0589EA25" w:rsidR="00D15B45" w:rsidRDefault="00D15B45" w:rsidP="00D15B45">
            <w:pPr>
              <w:keepNext/>
              <w:keepLines/>
            </w:pPr>
          </w:p>
        </w:tc>
        <w:tc>
          <w:tcPr>
            <w:tcW w:w="2220" w:type="dxa"/>
            <w:shd w:val="clear" w:color="auto" w:fill="E2EFD9" w:themeFill="accent6" w:themeFillTint="33"/>
          </w:tcPr>
          <w:p w14:paraId="34ED4A96" w14:textId="77777777" w:rsidR="00D15B45" w:rsidRPr="00E31E9C" w:rsidRDefault="00D15B45" w:rsidP="00D15B45">
            <w:pPr>
              <w:keepNext/>
              <w:keepLines/>
              <w:rPr>
                <w:b/>
              </w:rPr>
            </w:pPr>
          </w:p>
        </w:tc>
        <w:tc>
          <w:tcPr>
            <w:tcW w:w="2447" w:type="dxa"/>
            <w:shd w:val="clear" w:color="auto" w:fill="E2EFD9" w:themeFill="accent6" w:themeFillTint="33"/>
          </w:tcPr>
          <w:p w14:paraId="0E533848" w14:textId="77777777" w:rsidR="00D15B45" w:rsidRDefault="00D15B45" w:rsidP="00D15B45">
            <w:pPr>
              <w:keepNext/>
              <w:keepLines/>
            </w:pPr>
          </w:p>
        </w:tc>
      </w:tr>
      <w:tr w:rsidR="00D15B45" w14:paraId="245CEA90" w14:textId="77777777" w:rsidTr="00E85E5D">
        <w:tc>
          <w:tcPr>
            <w:tcW w:w="1471" w:type="dxa"/>
            <w:shd w:val="clear" w:color="auto" w:fill="E2EFD9" w:themeFill="accent6" w:themeFillTint="33"/>
          </w:tcPr>
          <w:p w14:paraId="69D8B7C4" w14:textId="77777777" w:rsidR="00D15B45" w:rsidRDefault="00D15B45" w:rsidP="00D15B45">
            <w:pPr>
              <w:keepNext/>
              <w:keepLines/>
            </w:pPr>
            <w:r>
              <w:t>Other</w:t>
            </w:r>
          </w:p>
        </w:tc>
        <w:tc>
          <w:tcPr>
            <w:tcW w:w="2237" w:type="dxa"/>
            <w:shd w:val="clear" w:color="auto" w:fill="E2EFD9" w:themeFill="accent6" w:themeFillTint="33"/>
          </w:tcPr>
          <w:p w14:paraId="7774BE84" w14:textId="77777777" w:rsidR="00D15B45" w:rsidRDefault="00D15B45" w:rsidP="00D15B45">
            <w:pPr>
              <w:keepNext/>
              <w:keepLines/>
            </w:pPr>
          </w:p>
        </w:tc>
        <w:tc>
          <w:tcPr>
            <w:tcW w:w="2415" w:type="dxa"/>
            <w:shd w:val="clear" w:color="auto" w:fill="E2EFD9" w:themeFill="accent6" w:themeFillTint="33"/>
          </w:tcPr>
          <w:p w14:paraId="3A0ED888" w14:textId="694E2F2D" w:rsidR="00D15B45" w:rsidRDefault="00D15B45" w:rsidP="00D15B45">
            <w:pPr>
              <w:keepNext/>
              <w:keepLines/>
            </w:pPr>
          </w:p>
        </w:tc>
        <w:tc>
          <w:tcPr>
            <w:tcW w:w="2220" w:type="dxa"/>
            <w:shd w:val="clear" w:color="auto" w:fill="E2EFD9" w:themeFill="accent6" w:themeFillTint="33"/>
          </w:tcPr>
          <w:p w14:paraId="6695BCAF" w14:textId="77777777" w:rsidR="00D15B45" w:rsidRPr="00E31E9C" w:rsidRDefault="00D15B45" w:rsidP="00D15B45">
            <w:pPr>
              <w:keepNext/>
              <w:keepLines/>
              <w:rPr>
                <w:b/>
              </w:rPr>
            </w:pPr>
          </w:p>
        </w:tc>
        <w:tc>
          <w:tcPr>
            <w:tcW w:w="2447" w:type="dxa"/>
            <w:shd w:val="clear" w:color="auto" w:fill="E2EFD9" w:themeFill="accent6" w:themeFillTint="33"/>
          </w:tcPr>
          <w:p w14:paraId="19747944" w14:textId="77777777" w:rsidR="00D15B45" w:rsidRDefault="00D15B45" w:rsidP="00D15B45">
            <w:pPr>
              <w:keepNext/>
              <w:keepLines/>
            </w:pPr>
          </w:p>
        </w:tc>
      </w:tr>
    </w:tbl>
    <w:p w14:paraId="2E78F111" w14:textId="58F78C2F" w:rsidR="00466ED0" w:rsidRDefault="00466ED0" w:rsidP="000E3A00"/>
    <w:p w14:paraId="71802CBE" w14:textId="77777777" w:rsidR="00D8674F" w:rsidRDefault="00D8674F" w:rsidP="00D8674F">
      <w:pPr>
        <w:pStyle w:val="Heading2"/>
        <w:rPr>
          <w:b/>
        </w:rPr>
        <w:sectPr w:rsidR="00D8674F" w:rsidSect="00F40FB1">
          <w:pgSz w:w="12240" w:h="15840"/>
          <w:pgMar w:top="720" w:right="720" w:bottom="720" w:left="720" w:header="720" w:footer="720" w:gutter="0"/>
          <w:cols w:space="720"/>
          <w:docGrid w:linePitch="360"/>
        </w:sectPr>
      </w:pPr>
    </w:p>
    <w:p w14:paraId="2BC9DAB1" w14:textId="0F66B025" w:rsidR="00D8674F" w:rsidRDefault="00D8674F" w:rsidP="00D8674F">
      <w:pPr>
        <w:pStyle w:val="Heading2"/>
      </w:pPr>
      <w:r w:rsidRPr="00D8674F">
        <w:rPr>
          <w:b/>
        </w:rPr>
        <w:lastRenderedPageBreak/>
        <w:t>Implementation Issues</w:t>
      </w:r>
    </w:p>
    <w:p w14:paraId="14F322B6" w14:textId="0D3732D2" w:rsidR="00D8674F" w:rsidRDefault="00D8674F" w:rsidP="00D8674F">
      <w:r>
        <w:t xml:space="preserve">Staff recommends a </w:t>
      </w:r>
      <w:r w:rsidR="00044013" w:rsidRPr="00D8674F">
        <w:t xml:space="preserve">single </w:t>
      </w:r>
      <w:r>
        <w:t xml:space="preserve">combined </w:t>
      </w:r>
      <w:r w:rsidR="00044013" w:rsidRPr="00D8674F">
        <w:t>category</w:t>
      </w:r>
      <w:r>
        <w:t xml:space="preserve"> </w:t>
      </w:r>
      <w:r w:rsidR="00044013" w:rsidRPr="00D8674F">
        <w:t>in terms of treatment in s</w:t>
      </w:r>
      <w:r w:rsidR="00044013" w:rsidRPr="00D8674F">
        <w:t xml:space="preserve">ubmissions of proposals for treatment of projects/measures as </w:t>
      </w:r>
      <w:r w:rsidR="00044013" w:rsidRPr="00D8674F">
        <w:t>repair eligible or repair indefinitely</w:t>
      </w:r>
      <w:r>
        <w:t xml:space="preserve">: </w:t>
      </w:r>
    </w:p>
    <w:p w14:paraId="4D9F06D3" w14:textId="33A325EF" w:rsidR="00000000" w:rsidRPr="00D8674F" w:rsidRDefault="00044013" w:rsidP="00D8674F">
      <w:pPr>
        <w:pStyle w:val="ListParagraph"/>
        <w:numPr>
          <w:ilvl w:val="0"/>
          <w:numId w:val="15"/>
        </w:numPr>
      </w:pPr>
      <w:r w:rsidRPr="00D8674F">
        <w:t>A class of equipment where the age of the equipment relative to its EUL has reduced (less or little) weig</w:t>
      </w:r>
      <w:r w:rsidRPr="00D8674F">
        <w:t>ht in the consideration of evidence for treatment as accelerated replacement. This is not to imply that the age of the equipment has no weight, but rather that if the age exceeds the EUL that alone cannot automatically disqualify the project for considerat</w:t>
      </w:r>
      <w:r w:rsidRPr="00D8674F">
        <w:t>ion using an AR treatment.</w:t>
      </w:r>
    </w:p>
    <w:p w14:paraId="59DE10FD" w14:textId="61654517" w:rsidR="00D8674F" w:rsidRPr="00D8674F" w:rsidRDefault="00D8674F" w:rsidP="000E3A00">
      <w:pPr>
        <w:rPr>
          <w:b/>
        </w:rPr>
      </w:pPr>
      <w:r w:rsidRPr="00D8674F">
        <w:rPr>
          <w:b/>
          <w:highlight w:val="yellow"/>
        </w:rPr>
        <w:t>[Q</w:t>
      </w:r>
      <w:r w:rsidR="00D15B45">
        <w:rPr>
          <w:b/>
          <w:highlight w:val="yellow"/>
        </w:rPr>
        <w:t>6</w:t>
      </w:r>
      <w:r w:rsidRPr="00D8674F">
        <w:rPr>
          <w:b/>
          <w:highlight w:val="yellow"/>
        </w:rPr>
        <w:t xml:space="preserve">] </w:t>
      </w:r>
      <w:r w:rsidRPr="00D8674F">
        <w:rPr>
          <w:b/>
          <w:highlight w:val="yellow"/>
        </w:rPr>
        <w:t>Are there reasons to keep separate and consider proposals in a separate manner?</w:t>
      </w:r>
    </w:p>
    <w:p w14:paraId="4B66C970" w14:textId="21E7097E" w:rsidR="00DE2AC0" w:rsidRDefault="00DE2AC0" w:rsidP="00DE2AC0">
      <w:pPr>
        <w:pStyle w:val="Heading2"/>
        <w:rPr>
          <w:b/>
        </w:rPr>
      </w:pPr>
      <w:r>
        <w:rPr>
          <w:b/>
        </w:rPr>
        <w:t>Submittal Process</w:t>
      </w:r>
    </w:p>
    <w:p w14:paraId="2432B9B1" w14:textId="408943D9" w:rsidR="00D8674F" w:rsidRDefault="00DE2AC0" w:rsidP="00DE2AC0">
      <w:commentRangeStart w:id="6"/>
      <w:r>
        <w:t>Staff</w:t>
      </w:r>
      <w:commentRangeEnd w:id="6"/>
      <w:r w:rsidR="00D8674F">
        <w:rPr>
          <w:rStyle w:val="CommentReference"/>
        </w:rPr>
        <w:commentReference w:id="6"/>
      </w:r>
      <w:r>
        <w:t>/Consultants prefer</w:t>
      </w:r>
      <w:r w:rsidRPr="00DE2AC0">
        <w:t xml:space="preserve"> an approach that allows “pre-qualification” of equipment types as eligible</w:t>
      </w:r>
      <w:r w:rsidR="00D8674F">
        <w:t xml:space="preserve"> while allowing simplified site-</w:t>
      </w:r>
      <w:r w:rsidRPr="00DE2AC0">
        <w:t>specific criteria</w:t>
      </w:r>
      <w:r w:rsidR="00D8674F">
        <w:t>:</w:t>
      </w:r>
    </w:p>
    <w:p w14:paraId="10707BAB" w14:textId="77777777" w:rsidR="00D8674F" w:rsidRDefault="00DE2AC0" w:rsidP="00DE2AC0">
      <w:pPr>
        <w:pStyle w:val="ListParagraph"/>
        <w:numPr>
          <w:ilvl w:val="0"/>
          <w:numId w:val="13"/>
        </w:numPr>
      </w:pPr>
      <w:r w:rsidRPr="00DE2AC0">
        <w:t>CPUC will develop a submission/review/approval process for the PAs to submit equipment types that are proposed for this treatment</w:t>
      </w:r>
      <w:r w:rsidR="00D8674F">
        <w:t>.</w:t>
      </w:r>
    </w:p>
    <w:p w14:paraId="3763E903" w14:textId="2F955F29" w:rsidR="00DE2AC0" w:rsidRPr="00DE2AC0" w:rsidRDefault="00DE2AC0" w:rsidP="00DE2AC0">
      <w:pPr>
        <w:pStyle w:val="ListParagraph"/>
        <w:numPr>
          <w:ilvl w:val="0"/>
          <w:numId w:val="13"/>
        </w:numPr>
      </w:pPr>
      <w:r w:rsidRPr="00DE2AC0">
        <w:t>Submittal would include the equipment types (reference to specific measures, workpapers, etc.), the programs authorized to use the treatment, the evidence supporting the treatment and the criteria that will be used at the site/project/measure level to qualify specific equipment.</w:t>
      </w:r>
    </w:p>
    <w:p w14:paraId="1CD9353F" w14:textId="13FE0A5B" w:rsidR="00DE2AC0" w:rsidRPr="009966E4" w:rsidRDefault="00DE2AC0" w:rsidP="00DE2AC0">
      <w:pPr>
        <w:rPr>
          <w:b/>
        </w:rPr>
      </w:pPr>
      <w:r w:rsidRPr="00E85E5D">
        <w:rPr>
          <w:b/>
          <w:highlight w:val="yellow"/>
        </w:rPr>
        <w:t>[Q</w:t>
      </w:r>
      <w:r w:rsidR="00D15B45">
        <w:rPr>
          <w:b/>
          <w:highlight w:val="yellow"/>
        </w:rPr>
        <w:t>7</w:t>
      </w:r>
      <w:r w:rsidRPr="00E85E5D">
        <w:rPr>
          <w:b/>
          <w:highlight w:val="yellow"/>
        </w:rPr>
        <w:t xml:space="preserve">] </w:t>
      </w:r>
      <w:r w:rsidR="00D8674F">
        <w:rPr>
          <w:b/>
          <w:highlight w:val="yellow"/>
        </w:rPr>
        <w:t>Collect i</w:t>
      </w:r>
      <w:r>
        <w:rPr>
          <w:b/>
          <w:highlight w:val="yellow"/>
        </w:rPr>
        <w:t xml:space="preserve">nput </w:t>
      </w:r>
      <w:r w:rsidR="00D8674F">
        <w:rPr>
          <w:b/>
          <w:highlight w:val="yellow"/>
        </w:rPr>
        <w:t xml:space="preserve">on </w:t>
      </w:r>
      <w:r>
        <w:rPr>
          <w:b/>
          <w:highlight w:val="yellow"/>
        </w:rPr>
        <w:t>the submittal process?</w:t>
      </w:r>
      <w:r w:rsidR="00D8674F">
        <w:rPr>
          <w:b/>
          <w:highlight w:val="yellow"/>
        </w:rPr>
        <w:t xml:space="preserve"> (Consider doing this for Task 6 – do we need it now?)</w:t>
      </w:r>
      <w:r>
        <w:rPr>
          <w:b/>
          <w:highlight w:val="yellow"/>
        </w:rPr>
        <w:t xml:space="preserve"> </w:t>
      </w:r>
      <w:r>
        <w:rPr>
          <w:b/>
          <w:highlight w:val="yellow"/>
        </w:rPr>
        <w:t xml:space="preserve"> </w:t>
      </w:r>
    </w:p>
    <w:p w14:paraId="6796BCE3" w14:textId="77777777" w:rsidR="00DE2AC0" w:rsidRDefault="00DE2AC0" w:rsidP="00CE75F7">
      <w:pPr>
        <w:rPr>
          <w:b/>
          <w:highlight w:val="yellow"/>
        </w:rPr>
      </w:pPr>
    </w:p>
    <w:p w14:paraId="50700710" w14:textId="34822034" w:rsidR="00E31E9C" w:rsidRPr="00E85E5D" w:rsidRDefault="00E85E5D" w:rsidP="00CE75F7">
      <w:pPr>
        <w:rPr>
          <w:b/>
        </w:rPr>
      </w:pPr>
      <w:r w:rsidRPr="00D15B45">
        <w:rPr>
          <w:b/>
          <w:highlight w:val="yellow"/>
        </w:rPr>
        <w:t>[</w:t>
      </w:r>
      <w:r w:rsidR="00D15B45" w:rsidRPr="00D15B45">
        <w:rPr>
          <w:b/>
          <w:highlight w:val="yellow"/>
        </w:rPr>
        <w:t>Q8</w:t>
      </w:r>
      <w:r w:rsidRPr="00D15B45">
        <w:rPr>
          <w:b/>
          <w:highlight w:val="yellow"/>
        </w:rPr>
        <w:t xml:space="preserve">] </w:t>
      </w:r>
      <w:r w:rsidR="00D8674F" w:rsidRPr="00D15B45">
        <w:rPr>
          <w:b/>
          <w:highlight w:val="yellow"/>
        </w:rPr>
        <w:t>Other Questions</w:t>
      </w:r>
      <w:r w:rsidR="00D15B45" w:rsidRPr="00D15B45">
        <w:rPr>
          <w:b/>
          <w:highlight w:val="yellow"/>
        </w:rPr>
        <w:t>/Issues?</w:t>
      </w:r>
      <w:r w:rsidRPr="00E85E5D">
        <w:rPr>
          <w:b/>
        </w:rPr>
        <w:t xml:space="preserve">  </w:t>
      </w:r>
    </w:p>
    <w:sectPr w:rsidR="00E31E9C" w:rsidRPr="00E85E5D" w:rsidSect="00F40FB1">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Arlis Reynolds" w:date="2017-06-14T00:31:00Z" w:initials="AR">
    <w:p w14:paraId="3EF68000" w14:textId="77777777" w:rsidR="00466ED0" w:rsidRPr="00466ED0" w:rsidRDefault="00466ED0" w:rsidP="005424D6">
      <w:pPr>
        <w:pStyle w:val="ListParagraph"/>
        <w:ind w:left="0"/>
        <w:rPr>
          <w:color w:val="000000" w:themeColor="text1"/>
        </w:rPr>
      </w:pPr>
      <w:r w:rsidRPr="00466ED0">
        <w:rPr>
          <w:rStyle w:val="CommentReference"/>
          <w:color w:val="000000" w:themeColor="text1"/>
        </w:rPr>
        <w:annotationRef/>
      </w:r>
      <w:r w:rsidRPr="00466ED0">
        <w:rPr>
          <w:color w:val="000000" w:themeColor="text1"/>
        </w:rPr>
        <w:t xml:space="preserve">“… </w:t>
      </w:r>
      <w:r w:rsidRPr="00466ED0">
        <w:rPr>
          <w:color w:val="000000" w:themeColor="text1"/>
          <w:sz w:val="24"/>
          <w:szCs w:val="24"/>
        </w:rPr>
        <w:t xml:space="preserve">we do not adopt the definition of repair-eligible that is proposed in the draft guidance document, due to apparent risk and complexity…” </w:t>
      </w:r>
    </w:p>
    <w:p w14:paraId="16E3FC82" w14:textId="77777777" w:rsidR="005424D6" w:rsidRDefault="005424D6" w:rsidP="005424D6">
      <w:pPr>
        <w:rPr>
          <w:color w:val="000000" w:themeColor="text1"/>
          <w:sz w:val="24"/>
          <w:szCs w:val="24"/>
        </w:rPr>
      </w:pPr>
    </w:p>
    <w:p w14:paraId="645EF6B0" w14:textId="5E12EB91" w:rsidR="00466ED0" w:rsidRPr="005424D6" w:rsidRDefault="00466ED0" w:rsidP="005424D6">
      <w:pPr>
        <w:rPr>
          <w:i/>
          <w:color w:val="000000" w:themeColor="text1"/>
        </w:rPr>
      </w:pPr>
      <w:r w:rsidRPr="005424D6">
        <w:rPr>
          <w:color w:val="000000" w:themeColor="text1"/>
          <w:sz w:val="24"/>
          <w:szCs w:val="24"/>
        </w:rPr>
        <w:t>“… we do not adopt the use of repair cost in determining equipment eligibility-based definitions.”</w:t>
      </w:r>
    </w:p>
  </w:comment>
  <w:comment w:id="1" w:author="Arlis Reynolds" w:date="2017-06-14T00:33:00Z" w:initials="AR">
    <w:p w14:paraId="75B2DCB3" w14:textId="77777777" w:rsidR="00CC738F" w:rsidRPr="00466ED0" w:rsidRDefault="00CC738F" w:rsidP="00CC738F">
      <w:pPr>
        <w:rPr>
          <w:rFonts w:cs="Corbel"/>
          <w:color w:val="000000" w:themeColor="text1"/>
          <w:sz w:val="24"/>
          <w:szCs w:val="24"/>
        </w:rPr>
      </w:pPr>
      <w:r w:rsidRPr="00466ED0">
        <w:rPr>
          <w:rStyle w:val="CommentReference"/>
          <w:color w:val="000000" w:themeColor="text1"/>
        </w:rPr>
        <w:annotationRef/>
      </w:r>
      <w:r w:rsidRPr="00466ED0">
        <w:rPr>
          <w:rFonts w:cs="Corbel"/>
          <w:color w:val="000000" w:themeColor="text1"/>
          <w:sz w:val="24"/>
          <w:szCs w:val="24"/>
        </w:rPr>
        <w:t>“…equipment older than its EUL may qualify for accelerated replacement baseline treatment if it is determined to be repair eligible or repair indefinitely.”</w:t>
      </w:r>
    </w:p>
  </w:comment>
  <w:comment w:id="2" w:author="Arlis Reynolds" w:date="2017-06-14T01:10:00Z" w:initials="AR">
    <w:p w14:paraId="2D4C204E" w14:textId="1C0EC541" w:rsidR="00A826B8" w:rsidRDefault="00A826B8">
      <w:pPr>
        <w:pStyle w:val="CommentText"/>
      </w:pPr>
      <w:r>
        <w:rPr>
          <w:rStyle w:val="CommentReference"/>
        </w:rPr>
        <w:annotationRef/>
      </w:r>
      <w:r>
        <w:t xml:space="preserve">Not in T2WG Scope, but we can give input in Task 6. </w:t>
      </w:r>
    </w:p>
  </w:comment>
  <w:comment w:id="3" w:author="Arlis Reynolds" w:date="2017-06-14T01:10:00Z" w:initials="AR">
    <w:p w14:paraId="3274153D" w14:textId="11FB74B9" w:rsidR="005578FF" w:rsidRDefault="005578FF">
      <w:pPr>
        <w:pStyle w:val="CommentText"/>
      </w:pPr>
      <w:r>
        <w:rPr>
          <w:rStyle w:val="CommentReference"/>
        </w:rPr>
        <w:annotationRef/>
      </w:r>
      <w:r>
        <w:t>Let’s provide some examples.</w:t>
      </w:r>
    </w:p>
  </w:comment>
  <w:comment w:id="4" w:author="Arlis Reynolds" w:date="2017-06-14T02:21:00Z" w:initials="AR">
    <w:p w14:paraId="21FD6C9B" w14:textId="0B7E14D7" w:rsidR="00044013" w:rsidRDefault="00044013">
      <w:pPr>
        <w:pStyle w:val="CommentText"/>
      </w:pPr>
      <w:r>
        <w:rPr>
          <w:rStyle w:val="CommentReference"/>
        </w:rPr>
        <w:annotationRef/>
      </w:r>
      <w:r>
        <w:t>This is evidence</w:t>
      </w:r>
    </w:p>
  </w:comment>
  <w:comment w:id="6" w:author="Arlis Reynolds" w:date="2017-06-14T01:36:00Z" w:initials="AR">
    <w:p w14:paraId="6CFCB84B" w14:textId="5E21FD19" w:rsidR="00D8674F" w:rsidRDefault="00D8674F">
      <w:pPr>
        <w:pStyle w:val="CommentText"/>
      </w:pPr>
      <w:r>
        <w:rPr>
          <w:rStyle w:val="CommentReference"/>
        </w:rPr>
        <w:annotationRef/>
      </w:r>
      <w:r>
        <w:t>From PPT notes from T2WG Meeting 4</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45EF6B0" w15:done="0"/>
  <w15:commentEx w15:paraId="75B2DCB3" w15:done="0"/>
  <w15:commentEx w15:paraId="2D4C204E" w15:done="0"/>
  <w15:commentEx w15:paraId="3274153D" w15:done="0"/>
  <w15:commentEx w15:paraId="21FD6C9B" w15:done="0"/>
  <w15:commentEx w15:paraId="6CFCB84B"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orbel">
    <w:panose1 w:val="020B0503020204020204"/>
    <w:charset w:val="00"/>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F787A"/>
    <w:multiLevelType w:val="hybridMultilevel"/>
    <w:tmpl w:val="8B024F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4E0D5D"/>
    <w:multiLevelType w:val="hybridMultilevel"/>
    <w:tmpl w:val="9A1C9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F017A8"/>
    <w:multiLevelType w:val="hybridMultilevel"/>
    <w:tmpl w:val="5C20C97A"/>
    <w:lvl w:ilvl="0" w:tplc="EEE46554">
      <w:start w:val="1"/>
      <w:numFmt w:val="upperRoman"/>
      <w:lvlText w:val="%1."/>
      <w:lvlJc w:val="right"/>
      <w:pPr>
        <w:tabs>
          <w:tab w:val="num" w:pos="720"/>
        </w:tabs>
        <w:ind w:left="720" w:hanging="360"/>
      </w:pPr>
    </w:lvl>
    <w:lvl w:ilvl="1" w:tplc="C9C8B4E0">
      <w:numFmt w:val="bullet"/>
      <w:lvlText w:val="•"/>
      <w:lvlJc w:val="right"/>
      <w:pPr>
        <w:tabs>
          <w:tab w:val="num" w:pos="1440"/>
        </w:tabs>
        <w:ind w:left="1440" w:hanging="360"/>
      </w:pPr>
      <w:rPr>
        <w:rFonts w:ascii="Arial" w:hAnsi="Arial" w:hint="default"/>
      </w:rPr>
    </w:lvl>
    <w:lvl w:ilvl="2" w:tplc="76A642D2" w:tentative="1">
      <w:start w:val="1"/>
      <w:numFmt w:val="upperRoman"/>
      <w:lvlText w:val="%3."/>
      <w:lvlJc w:val="right"/>
      <w:pPr>
        <w:tabs>
          <w:tab w:val="num" w:pos="2160"/>
        </w:tabs>
        <w:ind w:left="2160" w:hanging="360"/>
      </w:pPr>
    </w:lvl>
    <w:lvl w:ilvl="3" w:tplc="FA9E1B00" w:tentative="1">
      <w:start w:val="1"/>
      <w:numFmt w:val="upperRoman"/>
      <w:lvlText w:val="%4."/>
      <w:lvlJc w:val="right"/>
      <w:pPr>
        <w:tabs>
          <w:tab w:val="num" w:pos="2880"/>
        </w:tabs>
        <w:ind w:left="2880" w:hanging="360"/>
      </w:pPr>
    </w:lvl>
    <w:lvl w:ilvl="4" w:tplc="3D04135C" w:tentative="1">
      <w:start w:val="1"/>
      <w:numFmt w:val="upperRoman"/>
      <w:lvlText w:val="%5."/>
      <w:lvlJc w:val="right"/>
      <w:pPr>
        <w:tabs>
          <w:tab w:val="num" w:pos="3600"/>
        </w:tabs>
        <w:ind w:left="3600" w:hanging="360"/>
      </w:pPr>
    </w:lvl>
    <w:lvl w:ilvl="5" w:tplc="37F29C9E" w:tentative="1">
      <w:start w:val="1"/>
      <w:numFmt w:val="upperRoman"/>
      <w:lvlText w:val="%6."/>
      <w:lvlJc w:val="right"/>
      <w:pPr>
        <w:tabs>
          <w:tab w:val="num" w:pos="4320"/>
        </w:tabs>
        <w:ind w:left="4320" w:hanging="360"/>
      </w:pPr>
    </w:lvl>
    <w:lvl w:ilvl="6" w:tplc="E7A062F6" w:tentative="1">
      <w:start w:val="1"/>
      <w:numFmt w:val="upperRoman"/>
      <w:lvlText w:val="%7."/>
      <w:lvlJc w:val="right"/>
      <w:pPr>
        <w:tabs>
          <w:tab w:val="num" w:pos="5040"/>
        </w:tabs>
        <w:ind w:left="5040" w:hanging="360"/>
      </w:pPr>
    </w:lvl>
    <w:lvl w:ilvl="7" w:tplc="0F0C9850" w:tentative="1">
      <w:start w:val="1"/>
      <w:numFmt w:val="upperRoman"/>
      <w:lvlText w:val="%8."/>
      <w:lvlJc w:val="right"/>
      <w:pPr>
        <w:tabs>
          <w:tab w:val="num" w:pos="5760"/>
        </w:tabs>
        <w:ind w:left="5760" w:hanging="360"/>
      </w:pPr>
    </w:lvl>
    <w:lvl w:ilvl="8" w:tplc="C32C1F4A" w:tentative="1">
      <w:start w:val="1"/>
      <w:numFmt w:val="upperRoman"/>
      <w:lvlText w:val="%9."/>
      <w:lvlJc w:val="right"/>
      <w:pPr>
        <w:tabs>
          <w:tab w:val="num" w:pos="6480"/>
        </w:tabs>
        <w:ind w:left="6480" w:hanging="360"/>
      </w:pPr>
    </w:lvl>
  </w:abstractNum>
  <w:abstractNum w:abstractNumId="3" w15:restartNumberingAfterBreak="0">
    <w:nsid w:val="1C09352B"/>
    <w:multiLevelType w:val="hybridMultilevel"/>
    <w:tmpl w:val="FCDAF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C52D27"/>
    <w:multiLevelType w:val="hybridMultilevel"/>
    <w:tmpl w:val="F0824F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3E33C0"/>
    <w:multiLevelType w:val="hybridMultilevel"/>
    <w:tmpl w:val="23A02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5C3DCF"/>
    <w:multiLevelType w:val="hybridMultilevel"/>
    <w:tmpl w:val="D1182C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856A47"/>
    <w:multiLevelType w:val="hybridMultilevel"/>
    <w:tmpl w:val="CBBED9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751162"/>
    <w:multiLevelType w:val="hybridMultilevel"/>
    <w:tmpl w:val="FF2CE2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755DB1"/>
    <w:multiLevelType w:val="hybridMultilevel"/>
    <w:tmpl w:val="4642A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0A35E2"/>
    <w:multiLevelType w:val="hybridMultilevel"/>
    <w:tmpl w:val="BF0EF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9A5BAD"/>
    <w:multiLevelType w:val="hybridMultilevel"/>
    <w:tmpl w:val="AFEA1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4F00A0"/>
    <w:multiLevelType w:val="hybridMultilevel"/>
    <w:tmpl w:val="2F26360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652F5B"/>
    <w:multiLevelType w:val="hybridMultilevel"/>
    <w:tmpl w:val="CD9E9BD6"/>
    <w:lvl w:ilvl="0" w:tplc="EFC265E2">
      <w:start w:val="1"/>
      <w:numFmt w:val="bullet"/>
      <w:lvlText w:val="–"/>
      <w:lvlJc w:val="left"/>
      <w:pPr>
        <w:tabs>
          <w:tab w:val="num" w:pos="720"/>
        </w:tabs>
        <w:ind w:left="720" w:hanging="360"/>
      </w:pPr>
      <w:rPr>
        <w:rFonts w:ascii="Times New Roman" w:hAnsi="Times New Roman" w:hint="default"/>
      </w:rPr>
    </w:lvl>
    <w:lvl w:ilvl="1" w:tplc="12F6D10E">
      <w:start w:val="1"/>
      <w:numFmt w:val="bullet"/>
      <w:lvlText w:val="–"/>
      <w:lvlJc w:val="left"/>
      <w:pPr>
        <w:tabs>
          <w:tab w:val="num" w:pos="1440"/>
        </w:tabs>
        <w:ind w:left="1440" w:hanging="360"/>
      </w:pPr>
      <w:rPr>
        <w:rFonts w:ascii="Times New Roman" w:hAnsi="Times New Roman" w:hint="default"/>
      </w:rPr>
    </w:lvl>
    <w:lvl w:ilvl="2" w:tplc="7F00B80E" w:tentative="1">
      <w:start w:val="1"/>
      <w:numFmt w:val="bullet"/>
      <w:lvlText w:val="–"/>
      <w:lvlJc w:val="left"/>
      <w:pPr>
        <w:tabs>
          <w:tab w:val="num" w:pos="2160"/>
        </w:tabs>
        <w:ind w:left="2160" w:hanging="360"/>
      </w:pPr>
      <w:rPr>
        <w:rFonts w:ascii="Times New Roman" w:hAnsi="Times New Roman" w:hint="default"/>
      </w:rPr>
    </w:lvl>
    <w:lvl w:ilvl="3" w:tplc="61DCC4D8" w:tentative="1">
      <w:start w:val="1"/>
      <w:numFmt w:val="bullet"/>
      <w:lvlText w:val="–"/>
      <w:lvlJc w:val="left"/>
      <w:pPr>
        <w:tabs>
          <w:tab w:val="num" w:pos="2880"/>
        </w:tabs>
        <w:ind w:left="2880" w:hanging="360"/>
      </w:pPr>
      <w:rPr>
        <w:rFonts w:ascii="Times New Roman" w:hAnsi="Times New Roman" w:hint="default"/>
      </w:rPr>
    </w:lvl>
    <w:lvl w:ilvl="4" w:tplc="1E4C960C" w:tentative="1">
      <w:start w:val="1"/>
      <w:numFmt w:val="bullet"/>
      <w:lvlText w:val="–"/>
      <w:lvlJc w:val="left"/>
      <w:pPr>
        <w:tabs>
          <w:tab w:val="num" w:pos="3600"/>
        </w:tabs>
        <w:ind w:left="3600" w:hanging="360"/>
      </w:pPr>
      <w:rPr>
        <w:rFonts w:ascii="Times New Roman" w:hAnsi="Times New Roman" w:hint="default"/>
      </w:rPr>
    </w:lvl>
    <w:lvl w:ilvl="5" w:tplc="E168D0B6" w:tentative="1">
      <w:start w:val="1"/>
      <w:numFmt w:val="bullet"/>
      <w:lvlText w:val="–"/>
      <w:lvlJc w:val="left"/>
      <w:pPr>
        <w:tabs>
          <w:tab w:val="num" w:pos="4320"/>
        </w:tabs>
        <w:ind w:left="4320" w:hanging="360"/>
      </w:pPr>
      <w:rPr>
        <w:rFonts w:ascii="Times New Roman" w:hAnsi="Times New Roman" w:hint="default"/>
      </w:rPr>
    </w:lvl>
    <w:lvl w:ilvl="6" w:tplc="7566657A" w:tentative="1">
      <w:start w:val="1"/>
      <w:numFmt w:val="bullet"/>
      <w:lvlText w:val="–"/>
      <w:lvlJc w:val="left"/>
      <w:pPr>
        <w:tabs>
          <w:tab w:val="num" w:pos="5040"/>
        </w:tabs>
        <w:ind w:left="5040" w:hanging="360"/>
      </w:pPr>
      <w:rPr>
        <w:rFonts w:ascii="Times New Roman" w:hAnsi="Times New Roman" w:hint="default"/>
      </w:rPr>
    </w:lvl>
    <w:lvl w:ilvl="7" w:tplc="8FFAD070" w:tentative="1">
      <w:start w:val="1"/>
      <w:numFmt w:val="bullet"/>
      <w:lvlText w:val="–"/>
      <w:lvlJc w:val="left"/>
      <w:pPr>
        <w:tabs>
          <w:tab w:val="num" w:pos="5760"/>
        </w:tabs>
        <w:ind w:left="5760" w:hanging="360"/>
      </w:pPr>
      <w:rPr>
        <w:rFonts w:ascii="Times New Roman" w:hAnsi="Times New Roman" w:hint="default"/>
      </w:rPr>
    </w:lvl>
    <w:lvl w:ilvl="8" w:tplc="10D894FE"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4E8637D2"/>
    <w:multiLevelType w:val="hybridMultilevel"/>
    <w:tmpl w:val="4F586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6609DC"/>
    <w:multiLevelType w:val="hybridMultilevel"/>
    <w:tmpl w:val="C082E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9A5DC7"/>
    <w:multiLevelType w:val="hybridMultilevel"/>
    <w:tmpl w:val="D1182C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BA0B36"/>
    <w:multiLevelType w:val="hybridMultilevel"/>
    <w:tmpl w:val="78EC6E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124B51"/>
    <w:multiLevelType w:val="hybridMultilevel"/>
    <w:tmpl w:val="52785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994AEF"/>
    <w:multiLevelType w:val="hybridMultilevel"/>
    <w:tmpl w:val="B3FC53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8947B5"/>
    <w:multiLevelType w:val="hybridMultilevel"/>
    <w:tmpl w:val="568A7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6"/>
  </w:num>
  <w:num w:numId="4">
    <w:abstractNumId w:val="3"/>
  </w:num>
  <w:num w:numId="5">
    <w:abstractNumId w:val="4"/>
  </w:num>
  <w:num w:numId="6">
    <w:abstractNumId w:val="11"/>
  </w:num>
  <w:num w:numId="7">
    <w:abstractNumId w:val="8"/>
  </w:num>
  <w:num w:numId="8">
    <w:abstractNumId w:val="5"/>
  </w:num>
  <w:num w:numId="9">
    <w:abstractNumId w:val="17"/>
  </w:num>
  <w:num w:numId="10">
    <w:abstractNumId w:val="15"/>
  </w:num>
  <w:num w:numId="11">
    <w:abstractNumId w:val="7"/>
  </w:num>
  <w:num w:numId="12">
    <w:abstractNumId w:val="0"/>
  </w:num>
  <w:num w:numId="13">
    <w:abstractNumId w:val="10"/>
  </w:num>
  <w:num w:numId="14">
    <w:abstractNumId w:val="2"/>
  </w:num>
  <w:num w:numId="15">
    <w:abstractNumId w:val="14"/>
  </w:num>
  <w:num w:numId="16">
    <w:abstractNumId w:val="13"/>
  </w:num>
  <w:num w:numId="17">
    <w:abstractNumId w:val="9"/>
  </w:num>
  <w:num w:numId="18">
    <w:abstractNumId w:val="1"/>
  </w:num>
  <w:num w:numId="19">
    <w:abstractNumId w:val="20"/>
  </w:num>
  <w:num w:numId="20">
    <w:abstractNumId w:val="19"/>
  </w:num>
  <w:num w:numId="21">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rlis Reynolds">
    <w15:presenceInfo w15:providerId="AD" w15:userId="S-1-5-21-1244020187-519449412-911163043-73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A00"/>
    <w:rsid w:val="00044013"/>
    <w:rsid w:val="00055555"/>
    <w:rsid w:val="00055630"/>
    <w:rsid w:val="000C239C"/>
    <w:rsid w:val="000C3EC1"/>
    <w:rsid w:val="000D328A"/>
    <w:rsid w:val="000E3A00"/>
    <w:rsid w:val="001A6965"/>
    <w:rsid w:val="002744B8"/>
    <w:rsid w:val="00281418"/>
    <w:rsid w:val="002D2AC6"/>
    <w:rsid w:val="003145BF"/>
    <w:rsid w:val="00354707"/>
    <w:rsid w:val="003646B7"/>
    <w:rsid w:val="00370670"/>
    <w:rsid w:val="003B7898"/>
    <w:rsid w:val="00403A05"/>
    <w:rsid w:val="004150D5"/>
    <w:rsid w:val="00466ED0"/>
    <w:rsid w:val="0048012F"/>
    <w:rsid w:val="00480AA0"/>
    <w:rsid w:val="004D3EFB"/>
    <w:rsid w:val="005424D6"/>
    <w:rsid w:val="005578FF"/>
    <w:rsid w:val="00594EA4"/>
    <w:rsid w:val="005A5010"/>
    <w:rsid w:val="005B6F35"/>
    <w:rsid w:val="005F4848"/>
    <w:rsid w:val="00705D93"/>
    <w:rsid w:val="0077008A"/>
    <w:rsid w:val="00774F4D"/>
    <w:rsid w:val="007832E9"/>
    <w:rsid w:val="007B4B9B"/>
    <w:rsid w:val="007B5D86"/>
    <w:rsid w:val="00842870"/>
    <w:rsid w:val="00900029"/>
    <w:rsid w:val="00920C02"/>
    <w:rsid w:val="00980AC3"/>
    <w:rsid w:val="009966E4"/>
    <w:rsid w:val="009F36F5"/>
    <w:rsid w:val="00A826B8"/>
    <w:rsid w:val="00AE7D51"/>
    <w:rsid w:val="00B365DE"/>
    <w:rsid w:val="00B45080"/>
    <w:rsid w:val="00BA60E2"/>
    <w:rsid w:val="00BC78D1"/>
    <w:rsid w:val="00C03A30"/>
    <w:rsid w:val="00C12374"/>
    <w:rsid w:val="00C30F76"/>
    <w:rsid w:val="00C75209"/>
    <w:rsid w:val="00C93CAE"/>
    <w:rsid w:val="00CC225B"/>
    <w:rsid w:val="00CC738F"/>
    <w:rsid w:val="00CD5D5B"/>
    <w:rsid w:val="00CE75F7"/>
    <w:rsid w:val="00D15B45"/>
    <w:rsid w:val="00D8674F"/>
    <w:rsid w:val="00DE2AC0"/>
    <w:rsid w:val="00E31E9C"/>
    <w:rsid w:val="00E840FC"/>
    <w:rsid w:val="00E85E5D"/>
    <w:rsid w:val="00EC5769"/>
    <w:rsid w:val="00F40FB1"/>
    <w:rsid w:val="00F651CA"/>
    <w:rsid w:val="00FA6E28"/>
    <w:rsid w:val="00FD3BE0"/>
    <w:rsid w:val="00FD3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8AD68"/>
  <w15:chartTrackingRefBased/>
  <w15:docId w15:val="{21DA1A4E-8608-4A96-B6CE-0F01B3040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0E3A0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E75F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iPriority w:val="9"/>
    <w:unhideWhenUsed/>
    <w:qFormat/>
    <w:rsid w:val="00E31E9C"/>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3A00"/>
    <w:pPr>
      <w:ind w:left="720"/>
      <w:contextualSpacing/>
    </w:pPr>
  </w:style>
  <w:style w:type="character" w:customStyle="1" w:styleId="Heading2Char">
    <w:name w:val="Heading 2 Char"/>
    <w:basedOn w:val="DefaultParagraphFont"/>
    <w:link w:val="Heading2"/>
    <w:uiPriority w:val="9"/>
    <w:rsid w:val="000E3A00"/>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0E3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E3A00"/>
    <w:rPr>
      <w:sz w:val="16"/>
      <w:szCs w:val="16"/>
    </w:rPr>
  </w:style>
  <w:style w:type="paragraph" w:styleId="CommentText">
    <w:name w:val="annotation text"/>
    <w:basedOn w:val="Normal"/>
    <w:link w:val="CommentTextChar"/>
    <w:uiPriority w:val="99"/>
    <w:unhideWhenUsed/>
    <w:rsid w:val="000E3A00"/>
    <w:pPr>
      <w:spacing w:line="240" w:lineRule="auto"/>
    </w:pPr>
    <w:rPr>
      <w:sz w:val="20"/>
      <w:szCs w:val="20"/>
    </w:rPr>
  </w:style>
  <w:style w:type="character" w:customStyle="1" w:styleId="CommentTextChar">
    <w:name w:val="Comment Text Char"/>
    <w:basedOn w:val="DefaultParagraphFont"/>
    <w:link w:val="CommentText"/>
    <w:uiPriority w:val="99"/>
    <w:rsid w:val="000E3A00"/>
    <w:rPr>
      <w:sz w:val="20"/>
      <w:szCs w:val="20"/>
    </w:rPr>
  </w:style>
  <w:style w:type="paragraph" w:styleId="BalloonText">
    <w:name w:val="Balloon Text"/>
    <w:basedOn w:val="Normal"/>
    <w:link w:val="BalloonTextChar"/>
    <w:uiPriority w:val="99"/>
    <w:semiHidden/>
    <w:unhideWhenUsed/>
    <w:rsid w:val="000E3A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A00"/>
    <w:rPr>
      <w:rFonts w:ascii="Segoe UI" w:hAnsi="Segoe UI" w:cs="Segoe UI"/>
      <w:sz w:val="18"/>
      <w:szCs w:val="18"/>
    </w:rPr>
  </w:style>
  <w:style w:type="character" w:customStyle="1" w:styleId="Heading5Char">
    <w:name w:val="Heading 5 Char"/>
    <w:basedOn w:val="DefaultParagraphFont"/>
    <w:link w:val="Heading5"/>
    <w:uiPriority w:val="9"/>
    <w:rsid w:val="00E31E9C"/>
    <w:rPr>
      <w:rFonts w:asciiTheme="majorHAnsi" w:eastAsiaTheme="majorEastAsia" w:hAnsiTheme="majorHAnsi" w:cstheme="majorBidi"/>
      <w:color w:val="2E74B5" w:themeColor="accent1" w:themeShade="BF"/>
    </w:rPr>
  </w:style>
  <w:style w:type="paragraph" w:styleId="NoSpacing">
    <w:name w:val="No Spacing"/>
    <w:uiPriority w:val="1"/>
    <w:qFormat/>
    <w:rsid w:val="00E31E9C"/>
    <w:pPr>
      <w:spacing w:after="0" w:line="240" w:lineRule="auto"/>
    </w:pPr>
  </w:style>
  <w:style w:type="paragraph" w:styleId="CommentSubject">
    <w:name w:val="annotation subject"/>
    <w:basedOn w:val="CommentText"/>
    <w:next w:val="CommentText"/>
    <w:link w:val="CommentSubjectChar"/>
    <w:uiPriority w:val="99"/>
    <w:semiHidden/>
    <w:unhideWhenUsed/>
    <w:rsid w:val="00C12374"/>
    <w:rPr>
      <w:b/>
      <w:bCs/>
    </w:rPr>
  </w:style>
  <w:style w:type="character" w:customStyle="1" w:styleId="CommentSubjectChar">
    <w:name w:val="Comment Subject Char"/>
    <w:basedOn w:val="CommentTextChar"/>
    <w:link w:val="CommentSubject"/>
    <w:uiPriority w:val="99"/>
    <w:semiHidden/>
    <w:rsid w:val="00C12374"/>
    <w:rPr>
      <w:b/>
      <w:bCs/>
      <w:sz w:val="20"/>
      <w:szCs w:val="20"/>
    </w:rPr>
  </w:style>
  <w:style w:type="character" w:customStyle="1" w:styleId="Heading3Char">
    <w:name w:val="Heading 3 Char"/>
    <w:basedOn w:val="DefaultParagraphFont"/>
    <w:link w:val="Heading3"/>
    <w:uiPriority w:val="9"/>
    <w:rsid w:val="00CE75F7"/>
    <w:rPr>
      <w:rFonts w:asciiTheme="majorHAnsi" w:eastAsiaTheme="majorEastAsia" w:hAnsiTheme="majorHAnsi" w:cstheme="majorBidi"/>
      <w:color w:val="1F4D78" w:themeColor="accent1" w:themeShade="7F"/>
      <w:sz w:val="24"/>
      <w:szCs w:val="24"/>
    </w:rPr>
  </w:style>
  <w:style w:type="paragraph" w:styleId="Caption">
    <w:name w:val="caption"/>
    <w:basedOn w:val="Normal"/>
    <w:next w:val="Normal"/>
    <w:uiPriority w:val="35"/>
    <w:unhideWhenUsed/>
    <w:qFormat/>
    <w:rsid w:val="000D328A"/>
    <w:pPr>
      <w:spacing w:after="80" w:line="240" w:lineRule="auto"/>
    </w:pPr>
    <w:rPr>
      <w:b/>
      <w:iCs/>
      <w:color w:val="44546A" w:themeColor="text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343362">
      <w:bodyDiv w:val="1"/>
      <w:marLeft w:val="0"/>
      <w:marRight w:val="0"/>
      <w:marTop w:val="0"/>
      <w:marBottom w:val="0"/>
      <w:divBdr>
        <w:top w:val="none" w:sz="0" w:space="0" w:color="auto"/>
        <w:left w:val="none" w:sz="0" w:space="0" w:color="auto"/>
        <w:bottom w:val="none" w:sz="0" w:space="0" w:color="auto"/>
        <w:right w:val="none" w:sz="0" w:space="0" w:color="auto"/>
      </w:divBdr>
    </w:div>
    <w:div w:id="855849687">
      <w:bodyDiv w:val="1"/>
      <w:marLeft w:val="0"/>
      <w:marRight w:val="0"/>
      <w:marTop w:val="0"/>
      <w:marBottom w:val="0"/>
      <w:divBdr>
        <w:top w:val="none" w:sz="0" w:space="0" w:color="auto"/>
        <w:left w:val="none" w:sz="0" w:space="0" w:color="auto"/>
        <w:bottom w:val="none" w:sz="0" w:space="0" w:color="auto"/>
        <w:right w:val="none" w:sz="0" w:space="0" w:color="auto"/>
      </w:divBdr>
    </w:div>
    <w:div w:id="994992375">
      <w:bodyDiv w:val="1"/>
      <w:marLeft w:val="0"/>
      <w:marRight w:val="0"/>
      <w:marTop w:val="0"/>
      <w:marBottom w:val="0"/>
      <w:divBdr>
        <w:top w:val="none" w:sz="0" w:space="0" w:color="auto"/>
        <w:left w:val="none" w:sz="0" w:space="0" w:color="auto"/>
        <w:bottom w:val="none" w:sz="0" w:space="0" w:color="auto"/>
        <w:right w:val="none" w:sz="0" w:space="0" w:color="auto"/>
      </w:divBdr>
      <w:divsChild>
        <w:div w:id="1555384001">
          <w:marLeft w:val="1166"/>
          <w:marRight w:val="0"/>
          <w:marTop w:val="96"/>
          <w:marBottom w:val="0"/>
          <w:divBdr>
            <w:top w:val="none" w:sz="0" w:space="0" w:color="auto"/>
            <w:left w:val="none" w:sz="0" w:space="0" w:color="auto"/>
            <w:bottom w:val="none" w:sz="0" w:space="0" w:color="auto"/>
            <w:right w:val="none" w:sz="0" w:space="0" w:color="auto"/>
          </w:divBdr>
        </w:div>
        <w:div w:id="718939684">
          <w:marLeft w:val="1166"/>
          <w:marRight w:val="0"/>
          <w:marTop w:val="96"/>
          <w:marBottom w:val="0"/>
          <w:divBdr>
            <w:top w:val="none" w:sz="0" w:space="0" w:color="auto"/>
            <w:left w:val="none" w:sz="0" w:space="0" w:color="auto"/>
            <w:bottom w:val="none" w:sz="0" w:space="0" w:color="auto"/>
            <w:right w:val="none" w:sz="0" w:space="0" w:color="auto"/>
          </w:divBdr>
        </w:div>
        <w:div w:id="1111166788">
          <w:marLeft w:val="1166"/>
          <w:marRight w:val="0"/>
          <w:marTop w:val="96"/>
          <w:marBottom w:val="0"/>
          <w:divBdr>
            <w:top w:val="none" w:sz="0" w:space="0" w:color="auto"/>
            <w:left w:val="none" w:sz="0" w:space="0" w:color="auto"/>
            <w:bottom w:val="none" w:sz="0" w:space="0" w:color="auto"/>
            <w:right w:val="none" w:sz="0" w:space="0" w:color="auto"/>
          </w:divBdr>
        </w:div>
      </w:divsChild>
    </w:div>
    <w:div w:id="1930385042">
      <w:bodyDiv w:val="1"/>
      <w:marLeft w:val="0"/>
      <w:marRight w:val="0"/>
      <w:marTop w:val="0"/>
      <w:marBottom w:val="0"/>
      <w:divBdr>
        <w:top w:val="none" w:sz="0" w:space="0" w:color="auto"/>
        <w:left w:val="none" w:sz="0" w:space="0" w:color="auto"/>
        <w:bottom w:val="none" w:sz="0" w:space="0" w:color="auto"/>
        <w:right w:val="none" w:sz="0" w:space="0" w:color="auto"/>
      </w:divBdr>
      <w:divsChild>
        <w:div w:id="1559895345">
          <w:marLeft w:val="806"/>
          <w:marRight w:val="0"/>
          <w:marTop w:val="0"/>
          <w:marBottom w:val="0"/>
          <w:divBdr>
            <w:top w:val="none" w:sz="0" w:space="0" w:color="auto"/>
            <w:left w:val="none" w:sz="0" w:space="0" w:color="auto"/>
            <w:bottom w:val="none" w:sz="0" w:space="0" w:color="auto"/>
            <w:right w:val="none" w:sz="0" w:space="0" w:color="auto"/>
          </w:divBdr>
        </w:div>
        <w:div w:id="489370677">
          <w:marLeft w:val="126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6986AB-C1E3-408A-A09C-F70D6EB70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8</Pages>
  <Words>1636</Words>
  <Characters>9329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Arlis Reynolds</dc:creator>
  <cp:keywords/>
  <dc:description/>
  <cp:lastModifiedBy>Arlis Reynolds</cp:lastModifiedBy>
  <cp:revision>54</cp:revision>
  <dcterms:created xsi:type="dcterms:W3CDTF">2017-06-13T21:12:00Z</dcterms:created>
  <dcterms:modified xsi:type="dcterms:W3CDTF">2017-06-14T09:22:00Z</dcterms:modified>
</cp:coreProperties>
</file>