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80" w:rsidRPr="006A64DF" w:rsidRDefault="00512CE8" w:rsidP="00B03D40">
      <w:pPr>
        <w:pStyle w:val="Heading1"/>
      </w:pPr>
      <w:r>
        <w:t>Problem Statement</w:t>
      </w:r>
      <w:r w:rsidRPr="006A64DF">
        <w:t xml:space="preserve"> </w:t>
      </w:r>
      <w:r w:rsidR="00077A71">
        <w:t xml:space="preserve">and Recommendations </w:t>
      </w:r>
      <w:r w:rsidR="00430380" w:rsidRPr="006A64DF">
        <w:t xml:space="preserve">for </w:t>
      </w:r>
      <w:r w:rsidR="004725C5" w:rsidRPr="006A64DF">
        <w:t>CPUC-</w:t>
      </w:r>
      <w:r w:rsidR="00430380" w:rsidRPr="006A64DF">
        <w:t>T</w:t>
      </w:r>
      <w:r w:rsidR="00B03D40">
        <w:t xml:space="preserve">rack </w:t>
      </w:r>
      <w:r w:rsidR="00430380" w:rsidRPr="006A64DF">
        <w:t>2</w:t>
      </w:r>
      <w:r w:rsidR="00B03D40">
        <w:t xml:space="preserve"> Working Group (T2WG) in response to </w:t>
      </w:r>
      <w:r w:rsidR="00B03D40" w:rsidRPr="00B03D40">
        <w:t xml:space="preserve">D.16-08-019 Resolutions </w:t>
      </w:r>
      <w:r w:rsidR="00B03D40">
        <w:t>(Custom process</w:t>
      </w:r>
      <w:r w:rsidR="00ED72DA">
        <w:t xml:space="preserve"> review &amp; </w:t>
      </w:r>
      <w:r w:rsidR="00B03D40">
        <w:t>ISP Guidance Update)</w:t>
      </w:r>
    </w:p>
    <w:p w:rsidR="00ED72DA" w:rsidRDefault="00ED72DA" w:rsidP="003E00F3">
      <w:pPr>
        <w:pStyle w:val="Subtitle"/>
      </w:pPr>
    </w:p>
    <w:p w:rsidR="006A19D3" w:rsidRPr="006A64DF" w:rsidRDefault="004725C5" w:rsidP="00ED72DA">
      <w:pPr>
        <w:pStyle w:val="Subtitle"/>
      </w:pPr>
      <w:r w:rsidRPr="006A64DF">
        <w:t xml:space="preserve">A Summary of </w:t>
      </w:r>
      <w:r w:rsidR="009771B8">
        <w:t>H</w:t>
      </w:r>
      <w:r w:rsidR="004108F3" w:rsidRPr="006A64DF">
        <w:t xml:space="preserve">igh-level </w:t>
      </w:r>
      <w:r w:rsidR="009771B8">
        <w:t>I</w:t>
      </w:r>
      <w:r w:rsidR="004108F3" w:rsidRPr="006A64DF">
        <w:t xml:space="preserve">ssues </w:t>
      </w:r>
      <w:r w:rsidR="009771B8">
        <w:t xml:space="preserve">on the </w:t>
      </w:r>
      <w:r w:rsidR="00B03D40" w:rsidRPr="006A64DF">
        <w:t>existing</w:t>
      </w:r>
      <w:r w:rsidR="00B03D40">
        <w:t xml:space="preserve"> </w:t>
      </w:r>
      <w:r w:rsidR="009771B8">
        <w:t xml:space="preserve">ISP Guide </w:t>
      </w:r>
      <w:r w:rsidR="00B03D40">
        <w:t xml:space="preserve">(V1.2A, April 2014) </w:t>
      </w:r>
      <w:r w:rsidR="009771B8" w:rsidRPr="006A64DF">
        <w:t xml:space="preserve">and Recommendations </w:t>
      </w:r>
      <w:r w:rsidRPr="006A64DF">
        <w:t xml:space="preserve">for </w:t>
      </w:r>
      <w:r w:rsidR="006A19D3" w:rsidRPr="006A64DF">
        <w:t>revising the ISP Study Guide</w:t>
      </w:r>
      <w:r w:rsidR="00ED3A79" w:rsidRPr="006A64DF">
        <w:t xml:space="preserve"> </w:t>
      </w:r>
    </w:p>
    <w:p w:rsidR="004108F3" w:rsidRDefault="004725C5" w:rsidP="00B73D70">
      <w:pPr>
        <w:spacing w:after="240"/>
      </w:pPr>
      <w:r w:rsidRPr="006A64DF">
        <w:t xml:space="preserve">Prepared by </w:t>
      </w:r>
      <w:r w:rsidR="00ED3A79" w:rsidRPr="006A64DF">
        <w:t>Tim Xu</w:t>
      </w:r>
      <w:r w:rsidR="00E10B9F">
        <w:t xml:space="preserve"> and</w:t>
      </w:r>
      <w:r w:rsidR="002A3435">
        <w:t xml:space="preserve"> </w:t>
      </w:r>
      <w:r w:rsidR="00ED3A79" w:rsidRPr="006A64DF">
        <w:t>Rafael Friedmann, PG&amp;E, updated December 2016</w:t>
      </w:r>
    </w:p>
    <w:p w:rsidR="002C6634" w:rsidRPr="006A64DF" w:rsidRDefault="000876ED" w:rsidP="003E00F3">
      <w:pPr>
        <w:pStyle w:val="Heading1"/>
      </w:pPr>
      <w:r>
        <w:t xml:space="preserve">1. </w:t>
      </w:r>
      <w:r w:rsidR="002C6634" w:rsidRPr="006A64DF">
        <w:t>Background</w:t>
      </w:r>
    </w:p>
    <w:p w:rsidR="00B03D40" w:rsidRDefault="00B03D40" w:rsidP="00B03D40">
      <w:pPr>
        <w:spacing w:after="240"/>
      </w:pPr>
      <w:r>
        <w:t xml:space="preserve">Industry Standard Practice (ISP) </w:t>
      </w:r>
      <w:r w:rsidR="00DF1CBF">
        <w:t xml:space="preserve">has been defined as: ISP </w:t>
      </w:r>
      <w:r>
        <w:t>represents the typical equipment or commonly used current practice absent the program.</w:t>
      </w:r>
      <w:r w:rsidRPr="00D1052A">
        <w:rPr>
          <w:vertAlign w:val="superscript"/>
        </w:rPr>
        <w:footnoteReference w:id="1"/>
      </w:r>
      <w:r>
        <w:t xml:space="preserve"> The existing ISP Guide indicates that an ISP study is an investigation as to what is presently the Industry Standard Practice for a technology/measure in a given application/market segment.</w:t>
      </w:r>
      <w:r w:rsidR="009F5AA8">
        <w:t xml:space="preserve"> The existing ISP Guide focuses on prescribing the process of conducting ISP studies geared toward applications in a given market.</w:t>
      </w:r>
    </w:p>
    <w:p w:rsidR="00E90EAC" w:rsidRDefault="002C6634" w:rsidP="00B73D70">
      <w:pPr>
        <w:spacing w:after="240"/>
      </w:pPr>
      <w:r w:rsidRPr="006A64DF">
        <w:t xml:space="preserve">The concept of Industry Standard Practice (ISP) was originally used as a risk-mitigation tool to support and validate a decision to sunset an existing energy efficiency measure (EEM) that has already been in the program. </w:t>
      </w:r>
      <w:r w:rsidR="00D403B1">
        <w:t>The risk-mitigation study concept was p</w:t>
      </w:r>
      <w:r w:rsidR="00D403B1" w:rsidRPr="006A64DF">
        <w:t>roposed by SCE (Pierre Landry) and accepted by CPUC (Kay Hardy) to help identify EE measures that needed to be sunset</w:t>
      </w:r>
      <w:r w:rsidR="00D403B1">
        <w:t xml:space="preserve">. </w:t>
      </w:r>
      <w:r w:rsidR="00D403B1" w:rsidRPr="006A64DF">
        <w:t xml:space="preserve"> </w:t>
      </w:r>
      <w:r w:rsidRPr="006A64DF">
        <w:t xml:space="preserve">CPUC Energy Division staff </w:t>
      </w:r>
      <w:r w:rsidR="00D403B1">
        <w:t xml:space="preserve">later </w:t>
      </w:r>
      <w:r w:rsidRPr="006A64DF">
        <w:t xml:space="preserve">extended </w:t>
      </w:r>
      <w:r w:rsidR="00E90EAC">
        <w:t>the</w:t>
      </w:r>
      <w:r w:rsidRPr="006A64DF">
        <w:t xml:space="preserve"> use</w:t>
      </w:r>
      <w:r w:rsidR="009278E3" w:rsidRPr="006A64DF">
        <w:t xml:space="preserve"> </w:t>
      </w:r>
      <w:r w:rsidR="00E90EAC">
        <w:t>of this</w:t>
      </w:r>
      <w:r w:rsidRPr="006A64DF">
        <w:t xml:space="preserve"> concept to seek and determine baseline</w:t>
      </w:r>
      <w:r w:rsidR="003E00F3">
        <w:t>s</w:t>
      </w:r>
      <w:r w:rsidRPr="006A64DF">
        <w:t xml:space="preserve"> </w:t>
      </w:r>
      <w:r w:rsidR="00D403B1">
        <w:t>(</w:t>
      </w:r>
      <w:r w:rsidR="00CE614D">
        <w:t xml:space="preserve">e.g., </w:t>
      </w:r>
      <w:r w:rsidR="00E90EAC">
        <w:t>counterfactual</w:t>
      </w:r>
      <w:r w:rsidR="003E00F3">
        <w:t>s</w:t>
      </w:r>
      <w:r w:rsidR="00D403B1">
        <w:t>)</w:t>
      </w:r>
      <w:r w:rsidRPr="006A64DF">
        <w:t xml:space="preserve"> for custom projects</w:t>
      </w:r>
      <w:r w:rsidR="00D403B1">
        <w:t xml:space="preserve">, </w:t>
      </w:r>
      <w:r w:rsidR="00D403B1" w:rsidRPr="006A64DF">
        <w:t xml:space="preserve">out of understandable concern that “as-is” pre-existing condition) was not always </w:t>
      </w:r>
      <w:r w:rsidR="00760D3E">
        <w:t xml:space="preserve">the </w:t>
      </w:r>
      <w:r w:rsidR="005B3C1D">
        <w:t>appropriate</w:t>
      </w:r>
      <w:r w:rsidR="005B3C1D" w:rsidRPr="006A64DF">
        <w:t xml:space="preserve"> </w:t>
      </w:r>
      <w:r w:rsidR="00D403B1" w:rsidRPr="006A64DF">
        <w:t>baseline</w:t>
      </w:r>
      <w:r w:rsidR="003E00F3">
        <w:t>,</w:t>
      </w:r>
      <w:r w:rsidR="00D403B1" w:rsidRPr="006A64DF">
        <w:t xml:space="preserve"> particularly for </w:t>
      </w:r>
      <w:r w:rsidR="005B3C1D">
        <w:t>replace on burnout</w:t>
      </w:r>
      <w:r w:rsidR="00B03D40">
        <w:t xml:space="preserve"> (ROB),</w:t>
      </w:r>
      <w:r w:rsidR="005B3C1D">
        <w:t xml:space="preserve">  and normal replacement</w:t>
      </w:r>
      <w:r w:rsidR="00B03D40">
        <w:t xml:space="preserve"> (NR)</w:t>
      </w:r>
      <w:r w:rsidR="005B3C1D">
        <w:t xml:space="preserve"> projects</w:t>
      </w:r>
      <w:r w:rsidR="00D403B1" w:rsidRPr="006A64DF">
        <w:t>.</w:t>
      </w:r>
    </w:p>
    <w:p w:rsidR="00512CE8" w:rsidRDefault="00512CE8" w:rsidP="00077A71">
      <w:pPr>
        <w:pStyle w:val="Heading2"/>
      </w:pPr>
      <w:r>
        <w:t>1.1 Statement of Problems</w:t>
      </w:r>
    </w:p>
    <w:p w:rsidR="00DF1CBF" w:rsidRDefault="002C6634" w:rsidP="00B73D70">
      <w:pPr>
        <w:spacing w:after="240"/>
      </w:pPr>
      <w:r w:rsidRPr="006A64DF">
        <w:t xml:space="preserve">The experience of applying </w:t>
      </w:r>
      <w:r w:rsidR="00DF1CBF">
        <w:t xml:space="preserve">the </w:t>
      </w:r>
      <w:r w:rsidRPr="006A64DF">
        <w:t xml:space="preserve">ISP concepts </w:t>
      </w:r>
      <w:r w:rsidR="00DF1CBF">
        <w:t>to custom projects and</w:t>
      </w:r>
      <w:r w:rsidR="009771B8">
        <w:t xml:space="preserve"> programs </w:t>
      </w:r>
      <w:r w:rsidRPr="006A64DF">
        <w:t xml:space="preserve">has been mixed. </w:t>
      </w:r>
      <w:r w:rsidR="000405FB">
        <w:t xml:space="preserve">The existing ISP Guide provides detailed guidance on how an ISP study should be done for a technology/energy efficiency measure in a specific application/market segment. These ISP studies are </w:t>
      </w:r>
      <w:r w:rsidR="000405FB" w:rsidRPr="006A64DF">
        <w:t>based</w:t>
      </w:r>
      <w:r w:rsidR="000405FB">
        <w:t xml:space="preserve"> upon market assessments of commonly adopted technologies and a literature research of relevant regulations. These market-based ISP studies can be used for </w:t>
      </w:r>
      <w:r w:rsidR="000405FB" w:rsidRPr="006A64DF">
        <w:t>establishing broad market segment baselines</w:t>
      </w:r>
      <w:r w:rsidR="000405FB">
        <w:t>. But</w:t>
      </w:r>
      <w:r w:rsidR="00382378">
        <w:t xml:space="preserve"> </w:t>
      </w:r>
      <w:r w:rsidR="00FD5E0F">
        <w:t>most</w:t>
      </w:r>
      <w:r w:rsidR="00382378" w:rsidRPr="006A64DF">
        <w:t xml:space="preserve"> custom projects </w:t>
      </w:r>
      <w:r w:rsidR="00382378">
        <w:t xml:space="preserve">with large savings </w:t>
      </w:r>
      <w:r w:rsidR="00DF1CBF">
        <w:t xml:space="preserve">estimates </w:t>
      </w:r>
      <w:r w:rsidR="00382378" w:rsidRPr="006A64DF">
        <w:t>are often unique</w:t>
      </w:r>
      <w:r w:rsidR="00382378">
        <w:t xml:space="preserve"> (or semi-unique)</w:t>
      </w:r>
      <w:r w:rsidR="00382378" w:rsidRPr="006A64DF">
        <w:t xml:space="preserve">. </w:t>
      </w:r>
      <w:r w:rsidR="00DF5A62">
        <w:t xml:space="preserve">These </w:t>
      </w:r>
      <w:r w:rsidR="000405FB">
        <w:t xml:space="preserve">larger </w:t>
      </w:r>
      <w:r w:rsidR="00DF5A62">
        <w:t xml:space="preserve">projects </w:t>
      </w:r>
      <w:r w:rsidR="00DF1CBF">
        <w:t>have</w:t>
      </w:r>
      <w:r w:rsidR="00DF5A62">
        <w:t xml:space="preserve"> s</w:t>
      </w:r>
      <w:r w:rsidR="00382378" w:rsidRPr="006A64DF">
        <w:t>ite</w:t>
      </w:r>
      <w:r w:rsidR="00DF5A62">
        <w:t>-</w:t>
      </w:r>
      <w:r w:rsidR="00382378" w:rsidRPr="006A64DF">
        <w:t xml:space="preserve">specific </w:t>
      </w:r>
      <w:r w:rsidR="00DF5A62">
        <w:t>or customer-specific</w:t>
      </w:r>
      <w:r w:rsidR="00DF1CBF">
        <w:t xml:space="preserve"> characteristics that are not repeated across broader markets</w:t>
      </w:r>
      <w:r w:rsidR="00DF5A62">
        <w:t xml:space="preserve">.  </w:t>
      </w:r>
      <w:r w:rsidR="00DF1CBF">
        <w:t xml:space="preserve">It is not possible to develop or use an ISP baseline that is based on a market </w:t>
      </w:r>
      <w:r w:rsidR="000405FB">
        <w:t>assessment</w:t>
      </w:r>
      <w:r w:rsidR="00DF1CBF">
        <w:t xml:space="preserve"> study for such projects. </w:t>
      </w:r>
    </w:p>
    <w:p w:rsidR="00DF5A62" w:rsidRDefault="007E36B0" w:rsidP="00B73D70">
      <w:pPr>
        <w:spacing w:after="240"/>
      </w:pPr>
      <w:r>
        <w:t>We have learned that d</w:t>
      </w:r>
      <w:r w:rsidR="00DF5A62">
        <w:t>esigning, expecting, or a</w:t>
      </w:r>
      <w:r w:rsidR="00E33621">
        <w:t>ugmenting market-base</w:t>
      </w:r>
      <w:r w:rsidR="00DF5A62">
        <w:t>d</w:t>
      </w:r>
      <w:r w:rsidR="00E33621">
        <w:t xml:space="preserve"> ISP studies </w:t>
      </w:r>
      <w:r w:rsidR="00DF5A62">
        <w:t xml:space="preserve">for </w:t>
      </w:r>
      <w:r w:rsidR="000405FB">
        <w:t xml:space="preserve">unique </w:t>
      </w:r>
      <w:r w:rsidR="00E33621">
        <w:t xml:space="preserve">custom projects </w:t>
      </w:r>
      <w:r w:rsidR="00DF5A62">
        <w:t>is inappropriate</w:t>
      </w:r>
      <w:r w:rsidR="000405FB">
        <w:t>. T</w:t>
      </w:r>
      <w:r w:rsidR="00CE614D">
        <w:t xml:space="preserve">he existing </w:t>
      </w:r>
      <w:r w:rsidR="000405FB">
        <w:t xml:space="preserve">ISP </w:t>
      </w:r>
      <w:r w:rsidR="00CE614D">
        <w:t xml:space="preserve">Guide </w:t>
      </w:r>
      <w:r w:rsidR="000405FB">
        <w:t>needs to be revised to provide guidance on how to develop accurate baselines to use for such unique, typically very large and complex, custom projects.</w:t>
      </w:r>
      <w:r w:rsidR="00DF5A62">
        <w:t xml:space="preserve"> </w:t>
      </w:r>
    </w:p>
    <w:p w:rsidR="00196EBC" w:rsidRDefault="009F5AA8" w:rsidP="00382378">
      <w:pPr>
        <w:spacing w:after="240"/>
      </w:pPr>
      <w:r>
        <w:lastRenderedPageBreak/>
        <w:t xml:space="preserve">The </w:t>
      </w:r>
      <w:r w:rsidRPr="006A64DF">
        <w:t xml:space="preserve">mixed </w:t>
      </w:r>
      <w:r>
        <w:t xml:space="preserve">experience </w:t>
      </w:r>
      <w:r w:rsidR="000405FB">
        <w:t>with the ISP Guide is partly due to</w:t>
      </w:r>
      <w:r w:rsidR="002C6634" w:rsidRPr="006A64DF">
        <w:t xml:space="preserve"> ambiguity in the purpose</w:t>
      </w:r>
      <w:r w:rsidR="000405FB">
        <w:t xml:space="preserve"> of conducting an ISP study</w:t>
      </w:r>
      <w:r w:rsidR="002C6634" w:rsidRPr="006A64DF">
        <w:t xml:space="preserve"> (e.g., where/when to apply an ISP study</w:t>
      </w:r>
      <w:r w:rsidR="00CE614D">
        <w:t xml:space="preserve"> </w:t>
      </w:r>
      <w:r w:rsidR="000405FB">
        <w:t xml:space="preserve">and </w:t>
      </w:r>
      <w:r w:rsidR="00CE614D">
        <w:t xml:space="preserve">with </w:t>
      </w:r>
      <w:r w:rsidR="000405FB">
        <w:t>what</w:t>
      </w:r>
      <w:r w:rsidR="00CE614D">
        <w:t xml:space="preserve"> approach</w:t>
      </w:r>
      <w:r w:rsidR="002C6634" w:rsidRPr="006A64DF">
        <w:t xml:space="preserve">), disparity of ISP definitions and understanding, misinterpretation of the ISP concept and its applicability, </w:t>
      </w:r>
      <w:r w:rsidR="009771B8" w:rsidRPr="006A64DF">
        <w:t xml:space="preserve">absence of </w:t>
      </w:r>
      <w:r>
        <w:t xml:space="preserve">a </w:t>
      </w:r>
      <w:r w:rsidR="00926B17">
        <w:t>tangible</w:t>
      </w:r>
      <w:r>
        <w:t xml:space="preserve"> list of </w:t>
      </w:r>
      <w:r w:rsidR="009771B8" w:rsidRPr="006A64DF">
        <w:t xml:space="preserve">qualifiers </w:t>
      </w:r>
      <w:r w:rsidR="00296863">
        <w:t xml:space="preserve">for </w:t>
      </w:r>
      <w:r w:rsidR="009771B8" w:rsidRPr="006A64DF">
        <w:t xml:space="preserve">determining standard practice, </w:t>
      </w:r>
      <w:r w:rsidR="00926B17" w:rsidRPr="006A64DF">
        <w:t>confusion</w:t>
      </w:r>
      <w:r w:rsidR="00926B17">
        <w:t xml:space="preserve"> in </w:t>
      </w:r>
      <w:r>
        <w:t xml:space="preserve">custom </w:t>
      </w:r>
      <w:r w:rsidR="002C6634" w:rsidRPr="006A64DF">
        <w:t>process</w:t>
      </w:r>
      <w:r w:rsidR="00926B17">
        <w:t xml:space="preserve"> reviews</w:t>
      </w:r>
      <w:r w:rsidR="002C6634" w:rsidRPr="006A64DF">
        <w:t xml:space="preserve">, </w:t>
      </w:r>
      <w:r w:rsidR="000405FB">
        <w:t xml:space="preserve">and </w:t>
      </w:r>
      <w:r w:rsidR="002C6634" w:rsidRPr="006A64DF">
        <w:t xml:space="preserve">subjectivity in deciding what qualifies as </w:t>
      </w:r>
      <w:r w:rsidR="000405FB">
        <w:t xml:space="preserve">an </w:t>
      </w:r>
      <w:r w:rsidR="002C6634" w:rsidRPr="006A64DF">
        <w:t xml:space="preserve">ISP or non-ISP.  </w:t>
      </w:r>
      <w:r w:rsidR="00382378">
        <w:t>For example, t</w:t>
      </w:r>
      <w:r w:rsidR="00382378" w:rsidRPr="006A64DF">
        <w:t xml:space="preserve">he term ISP and baseline </w:t>
      </w:r>
      <w:r w:rsidR="000405FB">
        <w:t>are</w:t>
      </w:r>
      <w:r w:rsidR="00382378" w:rsidRPr="006A64DF">
        <w:t xml:space="preserve"> often used interchangeabl</w:t>
      </w:r>
      <w:r w:rsidR="00926B17">
        <w:t>y</w:t>
      </w:r>
      <w:r w:rsidR="00382378">
        <w:t xml:space="preserve"> by </w:t>
      </w:r>
      <w:r w:rsidR="000405FB">
        <w:t>CPUC</w:t>
      </w:r>
      <w:r w:rsidR="00382378">
        <w:t xml:space="preserve"> staff, implementers and reviewers</w:t>
      </w:r>
      <w:r w:rsidR="00382378" w:rsidRPr="006A64DF">
        <w:t xml:space="preserve">, generating </w:t>
      </w:r>
      <w:r w:rsidR="00296863">
        <w:t xml:space="preserve">unnecessary </w:t>
      </w:r>
      <w:r w:rsidR="00382378" w:rsidRPr="006A64DF">
        <w:t>confusion</w:t>
      </w:r>
      <w:r w:rsidR="000405FB">
        <w:t>.</w:t>
      </w:r>
      <w:r w:rsidR="00382378" w:rsidRPr="006A64DF">
        <w:t xml:space="preserve"> </w:t>
      </w:r>
      <w:r w:rsidR="00296863">
        <w:t>Such confusion often resulted in convoluted issues in custom process</w:t>
      </w:r>
      <w:r w:rsidR="003E00F3">
        <w:t>es</w:t>
      </w:r>
      <w:r w:rsidR="00296863">
        <w:t xml:space="preserve"> </w:t>
      </w:r>
      <w:r w:rsidR="00272BE1">
        <w:t>and review inefficienc</w:t>
      </w:r>
      <w:r w:rsidR="000405FB">
        <w:t>ies</w:t>
      </w:r>
      <w:r w:rsidR="00296863">
        <w:t>.</w:t>
      </w:r>
      <w:r w:rsidR="00272BE1">
        <w:t xml:space="preserve"> </w:t>
      </w:r>
      <w:r w:rsidR="00CE614D">
        <w:t>In addition,</w:t>
      </w:r>
      <w:r w:rsidR="00272BE1">
        <w:t xml:space="preserve"> the existing Guide describes common technology adoption</w:t>
      </w:r>
      <w:r w:rsidR="00CE614D">
        <w:t xml:space="preserve"> curves</w:t>
      </w:r>
      <w:r w:rsidR="00272BE1">
        <w:t xml:space="preserve"> and includes a number of m</w:t>
      </w:r>
      <w:r w:rsidR="00272BE1" w:rsidRPr="00272BE1">
        <w:t xml:space="preserve">arket saturation </w:t>
      </w:r>
      <w:r w:rsidR="00272BE1">
        <w:t>diagrams in section 2</w:t>
      </w:r>
      <w:r w:rsidR="00272BE1" w:rsidRPr="00272BE1">
        <w:t xml:space="preserve"> </w:t>
      </w:r>
      <w:r w:rsidR="00272BE1">
        <w:t xml:space="preserve">to explain the ISP concept. These diagrams, </w:t>
      </w:r>
      <w:r w:rsidR="00272BE1" w:rsidRPr="00272BE1">
        <w:t xml:space="preserve">while interesting, imply </w:t>
      </w:r>
      <w:r w:rsidR="00272BE1">
        <w:t xml:space="preserve">that </w:t>
      </w:r>
      <w:r w:rsidR="00272BE1" w:rsidRPr="00272BE1">
        <w:t xml:space="preserve">ISP determination is based upon </w:t>
      </w:r>
      <w:r w:rsidR="00272BE1">
        <w:t>market saturation/</w:t>
      </w:r>
      <w:r w:rsidR="00272BE1" w:rsidRPr="00272BE1">
        <w:t>penetration rate</w:t>
      </w:r>
      <w:r w:rsidR="000405FB">
        <w:t xml:space="preserve">. This has two major drawbacks: 1) It is unclear at what saturation/penetration rate a measure should be considered ISP; and 2) If you assume ISP at less than 100% saturation/penetration, then you are saying that market laggards are not allowed to benefit from the program, even though they are very unlikely to be free riders. This would reduce the </w:t>
      </w:r>
      <w:r w:rsidR="0058015B">
        <w:t xml:space="preserve">uptake of the measure across these laggards, resulting in lower savings. </w:t>
      </w:r>
      <w:r w:rsidR="00272BE1">
        <w:t xml:space="preserve"> </w:t>
      </w:r>
    </w:p>
    <w:p w:rsidR="009603E1" w:rsidRDefault="00272BE1" w:rsidP="00382378">
      <w:pPr>
        <w:spacing w:after="240"/>
      </w:pPr>
      <w:r>
        <w:t xml:space="preserve">Commission staff </w:t>
      </w:r>
      <w:r w:rsidR="0058015B">
        <w:t xml:space="preserve">often </w:t>
      </w:r>
      <w:r>
        <w:t>contended that the ISP determinant isn’t</w:t>
      </w:r>
      <w:r w:rsidR="00DD16BD" w:rsidRPr="00DD16BD">
        <w:t xml:space="preserve"> </w:t>
      </w:r>
      <w:r w:rsidR="00DD16BD">
        <w:t>market saturation rate (historical or in-situ adoption)</w:t>
      </w:r>
      <w:r>
        <w:t xml:space="preserve">, instead ISP determinant </w:t>
      </w:r>
      <w:r w:rsidR="00CE614D">
        <w:t xml:space="preserve">should be </w:t>
      </w:r>
      <w:r>
        <w:t xml:space="preserve">today’s </w:t>
      </w:r>
      <w:r w:rsidR="00CE614D">
        <w:t xml:space="preserve">trend of measure </w:t>
      </w:r>
      <w:r>
        <w:t>procurement and installation</w:t>
      </w:r>
      <w:r w:rsidR="00CE614D">
        <w:t xml:space="preserve">, yet </w:t>
      </w:r>
      <w:r w:rsidR="0058015B">
        <w:t xml:space="preserve">again, </w:t>
      </w:r>
      <w:r w:rsidR="00CE614D">
        <w:t xml:space="preserve">no specific metric or threshold is recommended </w:t>
      </w:r>
      <w:r w:rsidR="009603E1">
        <w:t>as the determinant</w:t>
      </w:r>
      <w:r>
        <w:t xml:space="preserve">. </w:t>
      </w:r>
      <w:r w:rsidR="009603E1">
        <w:t xml:space="preserve">In either case, the absence of quantifiable metric or threshold for determining ISP in the existing Guide </w:t>
      </w:r>
      <w:r w:rsidR="0058015B">
        <w:t xml:space="preserve">results in increased uncertainty </w:t>
      </w:r>
      <w:r w:rsidR="001B1860">
        <w:t>and difficulties in</w:t>
      </w:r>
      <w:r w:rsidR="0058015B">
        <w:t xml:space="preserve"> implementat</w:t>
      </w:r>
      <w:r w:rsidR="001B1860">
        <w:t xml:space="preserve">ion </w:t>
      </w:r>
      <w:r w:rsidR="0058015B">
        <w:t xml:space="preserve">of ISP baselines and </w:t>
      </w:r>
      <w:r w:rsidR="009603E1">
        <w:t>lend</w:t>
      </w:r>
      <w:r w:rsidR="0058015B">
        <w:t>s</w:t>
      </w:r>
      <w:r w:rsidR="009603E1">
        <w:t xml:space="preserve"> outcomes from an ISP investigation to subjective judgment.  </w:t>
      </w:r>
    </w:p>
    <w:p w:rsidR="008252F8" w:rsidRDefault="00453B3C" w:rsidP="00B73D70">
      <w:pPr>
        <w:spacing w:after="240"/>
      </w:pPr>
      <w:r>
        <w:t>There are policy</w:t>
      </w:r>
      <w:r w:rsidR="00C4443B">
        <w:t>, reporting, and claim</w:t>
      </w:r>
      <w:r>
        <w:t xml:space="preserve"> elements relevant to ISP studies. </w:t>
      </w:r>
      <w:r w:rsidR="00CB4473">
        <w:t xml:space="preserve">For example, </w:t>
      </w:r>
      <w:r w:rsidR="00CB4473" w:rsidRPr="00CB4473">
        <w:t>there is a need to convey that the baseline option used for a custom project must meet the customer’s minimum technical, functional and economic requirements, and that the proposed measure must be the more costly, more efficient option which exceeds the minimum requirements</w:t>
      </w:r>
      <w:r w:rsidR="00CB4473">
        <w:t xml:space="preserve">. ISP investigations in site- or custom-specific projects need to address multiple viable options meeting the minimal needs before a reasonable baseline can be derived.  In addition, </w:t>
      </w:r>
      <w:r w:rsidR="00DD16BD">
        <w:t>ISP stud</w:t>
      </w:r>
      <w:r>
        <w:t>ies</w:t>
      </w:r>
      <w:r w:rsidR="00DD16BD">
        <w:t xml:space="preserve"> have</w:t>
      </w:r>
      <w:r w:rsidR="00CB4473" w:rsidRPr="00CB4473">
        <w:t xml:space="preserve"> </w:t>
      </w:r>
      <w:r w:rsidR="00DD16BD">
        <w:t xml:space="preserve">been conceived </w:t>
      </w:r>
      <w:r w:rsidR="00CB4473">
        <w:t xml:space="preserve">unfortunately </w:t>
      </w:r>
      <w:r w:rsidR="00DD16BD">
        <w:t xml:space="preserve">by </w:t>
      </w:r>
      <w:r>
        <w:t>some</w:t>
      </w:r>
      <w:r w:rsidR="00DD16BD">
        <w:t xml:space="preserve"> to have limited values</w:t>
      </w:r>
      <w:r>
        <w:t xml:space="preserve"> as they are </w:t>
      </w:r>
      <w:r w:rsidR="00DD16BD">
        <w:t>perceived to increase the baseline</w:t>
      </w:r>
      <w:r w:rsidR="00C4443B">
        <w:t xml:space="preserve"> thus reduce claimed savings</w:t>
      </w:r>
      <w:r>
        <w:t>; yet</w:t>
      </w:r>
      <w:r w:rsidR="00CB4473">
        <w:t xml:space="preserve"> roles of ISP studies </w:t>
      </w:r>
      <w:r>
        <w:t>in contributing to savings aren’t fully recognized, if at all, when compared to the roles of Code</w:t>
      </w:r>
      <w:r w:rsidR="00C4443B">
        <w:t>s</w:t>
      </w:r>
      <w:r>
        <w:t xml:space="preserve"> and Standard</w:t>
      </w:r>
      <w:r w:rsidR="00C4443B">
        <w:t>s(C&amp;S)</w:t>
      </w:r>
      <w:r w:rsidR="00DD16BD">
        <w:t xml:space="preserve">.  </w:t>
      </w:r>
      <w:r w:rsidR="009603E1">
        <w:t xml:space="preserve">For example, </w:t>
      </w:r>
      <w:r w:rsidR="001B1860">
        <w:t xml:space="preserve">both PG&amp;E and </w:t>
      </w:r>
      <w:r>
        <w:t xml:space="preserve">SCE’s </w:t>
      </w:r>
      <w:r w:rsidRPr="00453B3C">
        <w:t xml:space="preserve">2017 goal filing </w:t>
      </w:r>
      <w:r>
        <w:t>indicates</w:t>
      </w:r>
      <w:r w:rsidRPr="00453B3C">
        <w:t xml:space="preserve"> </w:t>
      </w:r>
      <w:r>
        <w:t xml:space="preserve">significant </w:t>
      </w:r>
      <w:r w:rsidRPr="00453B3C">
        <w:t>C&amp;S contribut</w:t>
      </w:r>
      <w:r>
        <w:t>ion to savings goal</w:t>
      </w:r>
      <w:r w:rsidRPr="00453B3C">
        <w:t>s (</w:t>
      </w:r>
      <w:r w:rsidR="001B1860">
        <w:t>40</w:t>
      </w:r>
      <w:r>
        <w:t>~</w:t>
      </w:r>
      <w:r w:rsidRPr="00453B3C">
        <w:t>50% for energy</w:t>
      </w:r>
      <w:r w:rsidR="00C4443B">
        <w:t xml:space="preserve"> savings</w:t>
      </w:r>
      <w:r w:rsidRPr="00453B3C">
        <w:t>)</w:t>
      </w:r>
      <w:r>
        <w:t xml:space="preserve">; yet </w:t>
      </w:r>
      <w:r w:rsidR="00123A0B">
        <w:t>there is effort or no means to track how ISP work’s contributed to savings</w:t>
      </w:r>
      <w:r w:rsidR="00C4443B">
        <w:t xml:space="preserve">, especially net savings. </w:t>
      </w:r>
      <w:r w:rsidR="001B1860">
        <w:t>Using ISP study outcomes for baseline implies that the savings estimated from that baseline are NET savings, and should not be adjusted by the results from a NTGR survey. This would align ISP baselines with how C&amp;S baselines are used to estimate savings.</w:t>
      </w:r>
      <w:r w:rsidR="009603E1">
        <w:t xml:space="preserve">  </w:t>
      </w:r>
      <w:r w:rsidR="008252F8">
        <w:t>In t</w:t>
      </w:r>
      <w:r w:rsidR="00C4443B">
        <w:t xml:space="preserve">he </w:t>
      </w:r>
      <w:r w:rsidR="00CB4473">
        <w:t xml:space="preserve">Guide </w:t>
      </w:r>
      <w:r w:rsidR="00C4443B">
        <w:t>update, it</w:t>
      </w:r>
      <w:r w:rsidR="008252F8">
        <w:t xml:space="preserve"> </w:t>
      </w:r>
      <w:r w:rsidR="001B1860">
        <w:t xml:space="preserve">may </w:t>
      </w:r>
      <w:r w:rsidR="008252F8">
        <w:t>be helpful</w:t>
      </w:r>
      <w:r w:rsidR="00C4443B">
        <w:t xml:space="preserve"> to </w:t>
      </w:r>
      <w:r w:rsidR="008252F8">
        <w:t>recommend/</w:t>
      </w:r>
      <w:r w:rsidR="009603E1" w:rsidRPr="009603E1">
        <w:t>create a process for which every measure</w:t>
      </w:r>
      <w:r w:rsidR="00C4443B">
        <w:t xml:space="preserve"> or application </w:t>
      </w:r>
      <w:r w:rsidR="009603E1" w:rsidRPr="009603E1">
        <w:t xml:space="preserve">that </w:t>
      </w:r>
      <w:r w:rsidR="00C4443B">
        <w:t xml:space="preserve">utilizes ISP studies or goes into ISP investigation </w:t>
      </w:r>
      <w:r w:rsidR="009603E1" w:rsidRPr="009603E1">
        <w:t>is credited formally to the “standards” aspect of codes and standards.</w:t>
      </w:r>
      <w:r w:rsidR="009603E1">
        <w:t xml:space="preserve"> </w:t>
      </w:r>
      <w:r w:rsidR="00C4443B">
        <w:t xml:space="preserve"> </w:t>
      </w:r>
    </w:p>
    <w:p w:rsidR="003C0278" w:rsidRDefault="002C6634" w:rsidP="00B73D70">
      <w:pPr>
        <w:spacing w:after="240"/>
      </w:pPr>
      <w:r w:rsidRPr="006A64DF">
        <w:t xml:space="preserve">ISP studies that followed the existing ISP Guide and CPUC staff directions in recent years </w:t>
      </w:r>
      <w:r w:rsidR="002B01AF">
        <w:t>can be</w:t>
      </w:r>
      <w:r w:rsidRPr="006A64DF">
        <w:t xml:space="preserve"> time-consuming</w:t>
      </w:r>
      <w:r w:rsidR="00CB4473">
        <w:t xml:space="preserve"> due to confusion and gyration with custom process</w:t>
      </w:r>
      <w:r w:rsidR="00C217B2">
        <w:t xml:space="preserve"> review</w:t>
      </w:r>
      <w:r w:rsidR="00CB4473">
        <w:t>s</w:t>
      </w:r>
      <w:r w:rsidRPr="006A64DF">
        <w:t xml:space="preserve">. </w:t>
      </w:r>
    </w:p>
    <w:p w:rsidR="003C0278" w:rsidRDefault="003C0278" w:rsidP="00077A71">
      <w:pPr>
        <w:pStyle w:val="Heading2"/>
      </w:pPr>
      <w:r>
        <w:t>1.2 Purpose</w:t>
      </w:r>
    </w:p>
    <w:p w:rsidR="002C6634" w:rsidRPr="006A64DF" w:rsidRDefault="002C6634" w:rsidP="00B73D70">
      <w:pPr>
        <w:spacing w:after="240"/>
      </w:pPr>
      <w:r w:rsidRPr="006A64DF">
        <w:t>In order to enhance the usefulness of ISP studies, it</w:t>
      </w:r>
      <w:r w:rsidR="00E90EAC">
        <w:t xml:space="preserve"> i</w:t>
      </w:r>
      <w:r w:rsidRPr="006A64DF">
        <w:t xml:space="preserve">s necessary to update the existing ISP Guide document to clarify the </w:t>
      </w:r>
      <w:r w:rsidR="00E90EAC">
        <w:t>above</w:t>
      </w:r>
      <w:r w:rsidRPr="006A64DF">
        <w:t xml:space="preserve"> issues</w:t>
      </w:r>
      <w:r w:rsidR="002B01AF">
        <w:t>.</w:t>
      </w:r>
      <w:r w:rsidR="00D403B1">
        <w:t xml:space="preserve"> </w:t>
      </w:r>
      <w:r w:rsidR="00CB4473">
        <w:t xml:space="preserve"> In particular, </w:t>
      </w:r>
      <w:r w:rsidR="003C0278">
        <w:t xml:space="preserve">the existing Guide need a major revision as </w:t>
      </w:r>
      <w:r w:rsidR="00CB4473">
        <w:lastRenderedPageBreak/>
        <w:t>i</w:t>
      </w:r>
      <w:r w:rsidR="00D403B1">
        <w:t>t’s necessary to provide the study approaches applicable to various measure</w:t>
      </w:r>
      <w:r w:rsidR="00C217B2">
        <w:t>s or</w:t>
      </w:r>
      <w:r w:rsidR="00D403B1">
        <w:t xml:space="preserve"> applications, and to provide guidance on how and when an applicable ISP investigation should be performed, especially for custom measures being included in on-going custom projects subjected to custom reviews. </w:t>
      </w:r>
      <w:r w:rsidR="0058015B">
        <w:t>Clarifying roles and responsibilities, incorporating timelines to carry out and finalize dispositions around ISP baselines, and an independent dispute resolution process and entity, would resolve many of the issues and reduce the costs of ISP studies, while ensuring they are used appropriately to develop more accurate savings estimates and help programs stay relevant in markets.</w:t>
      </w:r>
    </w:p>
    <w:p w:rsidR="00D81123" w:rsidRPr="006A64DF" w:rsidRDefault="000876ED" w:rsidP="003E00F3">
      <w:pPr>
        <w:pStyle w:val="Heading1"/>
      </w:pPr>
      <w:r>
        <w:t xml:space="preserve">2. </w:t>
      </w:r>
      <w:r w:rsidR="009A1B9E">
        <w:t xml:space="preserve">Essential </w:t>
      </w:r>
      <w:r w:rsidR="000449C6" w:rsidRPr="006A64DF">
        <w:t xml:space="preserve">Issues </w:t>
      </w:r>
      <w:r w:rsidR="009A1B9E">
        <w:t xml:space="preserve">for Inclusion in the New/Updated </w:t>
      </w:r>
      <w:r w:rsidR="00E90EAC">
        <w:t xml:space="preserve">ISP </w:t>
      </w:r>
      <w:r w:rsidR="00430380" w:rsidRPr="006A64DF">
        <w:t>Guide</w:t>
      </w:r>
    </w:p>
    <w:p w:rsidR="00C25C02" w:rsidRPr="006A64DF" w:rsidRDefault="008759CE" w:rsidP="00B73D70">
      <w:pPr>
        <w:spacing w:after="240"/>
      </w:pPr>
      <w:r w:rsidRPr="006A64DF">
        <w:t xml:space="preserve">In order to develop a clear framework and focus </w:t>
      </w:r>
      <w:r w:rsidR="00296863">
        <w:t xml:space="preserve">T2WG </w:t>
      </w:r>
      <w:r w:rsidR="00C25C02" w:rsidRPr="006A64DF">
        <w:t>conversation</w:t>
      </w:r>
      <w:r w:rsidRPr="006A64DF">
        <w:t>s</w:t>
      </w:r>
      <w:r w:rsidR="00296863">
        <w:t xml:space="preserve"> </w:t>
      </w:r>
      <w:r w:rsidR="00F6798B" w:rsidRPr="006A64DF">
        <w:t>on</w:t>
      </w:r>
      <w:r w:rsidR="00E90EAC">
        <w:t xml:space="preserve"> key areas to improve</w:t>
      </w:r>
      <w:r w:rsidR="00F6798B" w:rsidRPr="006A64DF">
        <w:t>,</w:t>
      </w:r>
      <w:r w:rsidRPr="006A64DF">
        <w:t xml:space="preserve"> we propose to </w:t>
      </w:r>
      <w:r w:rsidR="00D81123" w:rsidRPr="006A64DF">
        <w:t xml:space="preserve">review </w:t>
      </w:r>
      <w:r w:rsidR="00C25C02" w:rsidRPr="006A64DF">
        <w:t>th</w:t>
      </w:r>
      <w:r w:rsidR="00085498" w:rsidRPr="006A64DF">
        <w:t xml:space="preserve">e following </w:t>
      </w:r>
      <w:r w:rsidRPr="006A64DF">
        <w:t xml:space="preserve">questions first to reach a consensus of what needs to be worked on, and </w:t>
      </w:r>
      <w:r w:rsidR="00E90EAC">
        <w:t xml:space="preserve">clarify </w:t>
      </w:r>
      <w:r w:rsidRPr="006A64DF">
        <w:t xml:space="preserve">what we will </w:t>
      </w:r>
      <w:r w:rsidR="00E90EAC">
        <w:t>seek</w:t>
      </w:r>
      <w:r w:rsidRPr="006A64DF">
        <w:t xml:space="preserve"> to accomplish from the revision effort. Clarifying the intended purpose will affect how the guidance document will be written, what </w:t>
      </w:r>
      <w:r w:rsidR="00E90EAC">
        <w:t>is in scope</w:t>
      </w:r>
      <w:r w:rsidR="00B06971">
        <w:t xml:space="preserve"> for the T2WG</w:t>
      </w:r>
      <w:r w:rsidR="00430380" w:rsidRPr="006A64DF">
        <w:t xml:space="preserve">, and what should be addressed in </w:t>
      </w:r>
      <w:r w:rsidR="006A64DF" w:rsidRPr="006A64DF">
        <w:t>other</w:t>
      </w:r>
      <w:r w:rsidR="00430380" w:rsidRPr="006A64DF">
        <w:t xml:space="preserve"> forums</w:t>
      </w:r>
      <w:r w:rsidRPr="006A64DF">
        <w:t>.</w:t>
      </w:r>
    </w:p>
    <w:p w:rsidR="00C25C02" w:rsidRDefault="000876ED" w:rsidP="003E00F3">
      <w:pPr>
        <w:pStyle w:val="Heading2"/>
      </w:pPr>
      <w:r>
        <w:t xml:space="preserve">2.1 </w:t>
      </w:r>
      <w:r w:rsidR="003B4186" w:rsidRPr="006A64DF">
        <w:t>Confirm the fundamental purpose of ISP studies</w:t>
      </w:r>
      <w:r w:rsidR="00C25C02" w:rsidRPr="006A64DF">
        <w:t xml:space="preserve"> </w:t>
      </w:r>
    </w:p>
    <w:p w:rsidR="002B01AF" w:rsidRDefault="002B01AF" w:rsidP="002B2889"/>
    <w:p w:rsidR="00E93B11" w:rsidRPr="00E93B11" w:rsidRDefault="00E93B11" w:rsidP="002B2889">
      <w:r>
        <w:t xml:space="preserve">Some preliminary examples of potential use cases </w:t>
      </w:r>
      <w:r w:rsidR="00B06971">
        <w:t xml:space="preserve">for ISP studies for T2WG </w:t>
      </w:r>
      <w:r>
        <w:t>to explore are listed below</w:t>
      </w:r>
      <w:r w:rsidR="002B01AF">
        <w:t>:</w:t>
      </w:r>
      <w:r>
        <w:t xml:space="preserve"> </w:t>
      </w:r>
    </w:p>
    <w:p w:rsidR="00C25C02" w:rsidRPr="006A64DF" w:rsidRDefault="00E93B11" w:rsidP="003E00F3">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Determine if</w:t>
      </w:r>
      <w:r w:rsidR="00A82625">
        <w:rPr>
          <w:rFonts w:ascii="Times New Roman" w:hAnsi="Times New Roman" w:cs="Times New Roman"/>
          <w:sz w:val="24"/>
          <w:szCs w:val="24"/>
        </w:rPr>
        <w:t xml:space="preserve"> a </w:t>
      </w:r>
      <w:r w:rsidR="00C25C02" w:rsidRPr="006A64DF">
        <w:rPr>
          <w:rFonts w:ascii="Times New Roman" w:hAnsi="Times New Roman" w:cs="Times New Roman"/>
          <w:sz w:val="24"/>
          <w:szCs w:val="24"/>
        </w:rPr>
        <w:t xml:space="preserve">measure </w:t>
      </w:r>
      <w:r w:rsidR="00A82625">
        <w:rPr>
          <w:rFonts w:ascii="Times New Roman" w:hAnsi="Times New Roman" w:cs="Times New Roman"/>
          <w:sz w:val="24"/>
          <w:szCs w:val="24"/>
        </w:rPr>
        <w:t>still warrants</w:t>
      </w:r>
      <w:r w:rsidR="00C25C02" w:rsidRPr="006A64DF">
        <w:rPr>
          <w:rFonts w:ascii="Times New Roman" w:hAnsi="Times New Roman" w:cs="Times New Roman"/>
          <w:sz w:val="24"/>
          <w:szCs w:val="24"/>
        </w:rPr>
        <w:t xml:space="preserve"> program support</w:t>
      </w:r>
      <w:r w:rsidR="00A82625">
        <w:rPr>
          <w:rFonts w:ascii="Times New Roman" w:hAnsi="Times New Roman" w:cs="Times New Roman"/>
          <w:sz w:val="24"/>
          <w:szCs w:val="24"/>
        </w:rPr>
        <w:t>.</w:t>
      </w:r>
      <w:r w:rsidR="00430380" w:rsidRPr="006A64DF">
        <w:rPr>
          <w:rFonts w:ascii="Times New Roman" w:hAnsi="Times New Roman" w:cs="Times New Roman"/>
          <w:sz w:val="24"/>
          <w:szCs w:val="24"/>
        </w:rPr>
        <w:t xml:space="preserve"> i.e., study today’s market trend for </w:t>
      </w:r>
      <w:r w:rsidR="00E90EAC">
        <w:rPr>
          <w:rFonts w:ascii="Times New Roman" w:hAnsi="Times New Roman" w:cs="Times New Roman"/>
          <w:sz w:val="24"/>
          <w:szCs w:val="24"/>
        </w:rPr>
        <w:t xml:space="preserve">possible </w:t>
      </w:r>
      <w:r w:rsidR="00430380" w:rsidRPr="006A64DF">
        <w:rPr>
          <w:rFonts w:ascii="Times New Roman" w:hAnsi="Times New Roman" w:cs="Times New Roman"/>
          <w:sz w:val="24"/>
          <w:szCs w:val="24"/>
        </w:rPr>
        <w:t>measure sunset</w:t>
      </w:r>
    </w:p>
    <w:p w:rsidR="001433C9" w:rsidRPr="006A64DF" w:rsidRDefault="001433C9" w:rsidP="003E00F3">
      <w:pPr>
        <w:pStyle w:val="ListParagraph"/>
        <w:numPr>
          <w:ilvl w:val="1"/>
          <w:numId w:val="4"/>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Determine if measures which have not been previously supported by ratepayer funds should be supported</w:t>
      </w:r>
      <w:r w:rsidR="00430380" w:rsidRPr="006A64DF">
        <w:rPr>
          <w:rFonts w:ascii="Times New Roman" w:hAnsi="Times New Roman" w:cs="Times New Roman"/>
          <w:sz w:val="24"/>
          <w:szCs w:val="24"/>
        </w:rPr>
        <w:t>, i.e., study today’s market trends for a new or existing measure(s) that would have broad market applications</w:t>
      </w:r>
      <w:r w:rsidRPr="006A64DF">
        <w:rPr>
          <w:rFonts w:ascii="Times New Roman" w:hAnsi="Times New Roman" w:cs="Times New Roman"/>
          <w:sz w:val="24"/>
          <w:szCs w:val="24"/>
        </w:rPr>
        <w:t>.</w:t>
      </w:r>
    </w:p>
    <w:p w:rsidR="00C25C02" w:rsidRPr="006A64DF" w:rsidRDefault="009A1B9E" w:rsidP="003E00F3">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Investigate and d</w:t>
      </w:r>
      <w:r w:rsidR="00C25C02" w:rsidRPr="006A64DF">
        <w:rPr>
          <w:rFonts w:ascii="Times New Roman" w:hAnsi="Times New Roman" w:cs="Times New Roman"/>
          <w:sz w:val="24"/>
          <w:szCs w:val="24"/>
        </w:rPr>
        <w:t xml:space="preserve">evelop </w:t>
      </w:r>
      <w:r w:rsidR="00430380" w:rsidRPr="006A64DF">
        <w:rPr>
          <w:rFonts w:ascii="Times New Roman" w:hAnsi="Times New Roman" w:cs="Times New Roman"/>
          <w:sz w:val="24"/>
          <w:szCs w:val="24"/>
        </w:rPr>
        <w:t xml:space="preserve">information needed </w:t>
      </w:r>
      <w:r w:rsidR="00E90EAC">
        <w:rPr>
          <w:rFonts w:ascii="Times New Roman" w:hAnsi="Times New Roman" w:cs="Times New Roman"/>
          <w:sz w:val="24"/>
          <w:szCs w:val="24"/>
        </w:rPr>
        <w:t>to</w:t>
      </w:r>
      <w:r w:rsidR="00430380" w:rsidRPr="006A64DF">
        <w:rPr>
          <w:rFonts w:ascii="Times New Roman" w:hAnsi="Times New Roman" w:cs="Times New Roman"/>
          <w:sz w:val="24"/>
          <w:szCs w:val="24"/>
        </w:rPr>
        <w:t xml:space="preserve"> determin</w:t>
      </w:r>
      <w:r w:rsidR="00E90EAC">
        <w:rPr>
          <w:rFonts w:ascii="Times New Roman" w:hAnsi="Times New Roman" w:cs="Times New Roman"/>
          <w:sz w:val="24"/>
          <w:szCs w:val="24"/>
        </w:rPr>
        <w:t>e</w:t>
      </w:r>
      <w:r w:rsidR="00430380" w:rsidRPr="006A64DF">
        <w:rPr>
          <w:rFonts w:ascii="Times New Roman" w:hAnsi="Times New Roman" w:cs="Times New Roman"/>
          <w:sz w:val="24"/>
          <w:szCs w:val="24"/>
        </w:rPr>
        <w:t xml:space="preserve"> the </w:t>
      </w:r>
      <w:r w:rsidR="006A64DF" w:rsidRPr="006A64DF">
        <w:rPr>
          <w:rFonts w:ascii="Times New Roman" w:hAnsi="Times New Roman" w:cs="Times New Roman"/>
          <w:sz w:val="24"/>
          <w:szCs w:val="24"/>
        </w:rPr>
        <w:t xml:space="preserve">appropriate </w:t>
      </w:r>
      <w:r w:rsidR="00E90EAC">
        <w:rPr>
          <w:rFonts w:ascii="Times New Roman" w:hAnsi="Times New Roman" w:cs="Times New Roman"/>
          <w:sz w:val="24"/>
          <w:szCs w:val="24"/>
        </w:rPr>
        <w:t xml:space="preserve">counterfactual </w:t>
      </w:r>
      <w:r w:rsidR="006A64DF" w:rsidRPr="006A64DF">
        <w:rPr>
          <w:rFonts w:ascii="Times New Roman" w:hAnsi="Times New Roman" w:cs="Times New Roman"/>
          <w:sz w:val="24"/>
          <w:szCs w:val="24"/>
        </w:rPr>
        <w:t>baseline</w:t>
      </w:r>
      <w:r w:rsidR="00C25C02" w:rsidRPr="006A64DF">
        <w:rPr>
          <w:rFonts w:ascii="Times New Roman" w:hAnsi="Times New Roman" w:cs="Times New Roman"/>
          <w:sz w:val="24"/>
          <w:szCs w:val="24"/>
        </w:rPr>
        <w:t xml:space="preserve"> for a specific application of a measure (</w:t>
      </w:r>
      <w:r>
        <w:rPr>
          <w:rFonts w:ascii="Times New Roman" w:hAnsi="Times New Roman" w:cs="Times New Roman"/>
          <w:sz w:val="24"/>
          <w:szCs w:val="24"/>
        </w:rPr>
        <w:t>for custom project)</w:t>
      </w:r>
      <w:r w:rsidR="00430380" w:rsidRPr="006A64DF">
        <w:rPr>
          <w:rFonts w:ascii="Times New Roman" w:hAnsi="Times New Roman" w:cs="Times New Roman"/>
          <w:sz w:val="24"/>
          <w:szCs w:val="24"/>
        </w:rPr>
        <w:t>, i.e., for one-off, unique or semi-unique measures applicable to a very limited market/application.</w:t>
      </w:r>
    </w:p>
    <w:p w:rsidR="008759CE" w:rsidRPr="00A82625" w:rsidRDefault="00E93B11" w:rsidP="00A82625">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Describe how</w:t>
      </w:r>
      <w:r w:rsidR="00A82625" w:rsidRPr="00A82625">
        <w:rPr>
          <w:rFonts w:ascii="Times New Roman" w:hAnsi="Times New Roman" w:cs="Times New Roman"/>
          <w:sz w:val="24"/>
          <w:szCs w:val="24"/>
        </w:rPr>
        <w:t xml:space="preserve"> </w:t>
      </w:r>
      <w:r w:rsidR="000876ED" w:rsidRPr="00A82625">
        <w:rPr>
          <w:rFonts w:ascii="Times New Roman" w:hAnsi="Times New Roman" w:cs="Times New Roman"/>
          <w:sz w:val="24"/>
          <w:szCs w:val="24"/>
        </w:rPr>
        <w:t>ISP</w:t>
      </w:r>
      <w:r w:rsidR="00A82625" w:rsidRPr="00A82625">
        <w:rPr>
          <w:rFonts w:ascii="Times New Roman" w:hAnsi="Times New Roman" w:cs="Times New Roman"/>
          <w:sz w:val="24"/>
          <w:szCs w:val="24"/>
        </w:rPr>
        <w:t xml:space="preserve"> study results should be used</w:t>
      </w:r>
      <w:r>
        <w:rPr>
          <w:rFonts w:ascii="Times New Roman" w:hAnsi="Times New Roman" w:cs="Times New Roman"/>
          <w:sz w:val="24"/>
          <w:szCs w:val="24"/>
        </w:rPr>
        <w:t xml:space="preserve"> in baseline selection </w:t>
      </w:r>
      <w:r w:rsidR="009A1B9E" w:rsidRPr="00A82625">
        <w:rPr>
          <w:rFonts w:ascii="Times New Roman" w:hAnsi="Times New Roman" w:cs="Times New Roman"/>
          <w:sz w:val="24"/>
          <w:szCs w:val="24"/>
        </w:rPr>
        <w:t xml:space="preserve">(e.g., how </w:t>
      </w:r>
      <w:r w:rsidR="00A82625" w:rsidRPr="00A82625">
        <w:rPr>
          <w:rFonts w:ascii="Times New Roman" w:hAnsi="Times New Roman" w:cs="Times New Roman"/>
          <w:sz w:val="24"/>
          <w:szCs w:val="24"/>
        </w:rPr>
        <w:t xml:space="preserve">would an ISP result affect the baseline selection for a </w:t>
      </w:r>
      <w:r w:rsidR="009A1B9E" w:rsidRPr="00A82625">
        <w:rPr>
          <w:rFonts w:ascii="Times New Roman" w:hAnsi="Times New Roman" w:cs="Times New Roman"/>
          <w:sz w:val="24"/>
          <w:szCs w:val="24"/>
        </w:rPr>
        <w:t>laggard or early adopter</w:t>
      </w:r>
      <w:r w:rsidR="00D5298E" w:rsidRPr="00A82625">
        <w:rPr>
          <w:rFonts w:ascii="Times New Roman" w:hAnsi="Times New Roman" w:cs="Times New Roman"/>
          <w:sz w:val="24"/>
          <w:szCs w:val="24"/>
        </w:rPr>
        <w:t xml:space="preserve"> in high and low market penetration scenario, respectively</w:t>
      </w:r>
      <w:r w:rsidR="009A1B9E" w:rsidRPr="00A82625">
        <w:rPr>
          <w:rFonts w:ascii="Times New Roman" w:hAnsi="Times New Roman" w:cs="Times New Roman"/>
          <w:sz w:val="24"/>
          <w:szCs w:val="24"/>
        </w:rPr>
        <w:t>)?</w:t>
      </w:r>
    </w:p>
    <w:p w:rsidR="00D5298E" w:rsidRPr="006A64DF" w:rsidRDefault="00D5298E" w:rsidP="003E00F3">
      <w:pPr>
        <w:pStyle w:val="ListParagraph"/>
        <w:numPr>
          <w:ilvl w:val="1"/>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Provide guidance on how to identify appropriate baseline absence of a</w:t>
      </w:r>
      <w:r w:rsidR="00A82625">
        <w:rPr>
          <w:rFonts w:ascii="Times New Roman" w:hAnsi="Times New Roman" w:cs="Times New Roman"/>
          <w:sz w:val="24"/>
          <w:szCs w:val="24"/>
        </w:rPr>
        <w:t xml:space="preserve"> code, </w:t>
      </w:r>
      <w:r>
        <w:rPr>
          <w:rFonts w:ascii="Times New Roman" w:hAnsi="Times New Roman" w:cs="Times New Roman"/>
          <w:sz w:val="24"/>
          <w:szCs w:val="24"/>
        </w:rPr>
        <w:t>existing ISP study</w:t>
      </w:r>
      <w:r w:rsidR="006F0BFC">
        <w:rPr>
          <w:rFonts w:ascii="Times New Roman" w:hAnsi="Times New Roman" w:cs="Times New Roman"/>
          <w:sz w:val="24"/>
          <w:szCs w:val="24"/>
        </w:rPr>
        <w:t>,</w:t>
      </w:r>
      <w:r>
        <w:rPr>
          <w:rFonts w:ascii="Times New Roman" w:hAnsi="Times New Roman" w:cs="Times New Roman"/>
          <w:sz w:val="24"/>
          <w:szCs w:val="24"/>
        </w:rPr>
        <w:t xml:space="preserve"> or disposition</w:t>
      </w:r>
      <w:r w:rsidR="00A82625">
        <w:rPr>
          <w:rFonts w:ascii="Times New Roman" w:hAnsi="Times New Roman" w:cs="Times New Roman"/>
          <w:sz w:val="24"/>
          <w:szCs w:val="24"/>
        </w:rPr>
        <w:t>.</w:t>
      </w:r>
    </w:p>
    <w:p w:rsidR="00C25C02" w:rsidRPr="006A64DF" w:rsidRDefault="00C25C02" w:rsidP="00B73D70">
      <w:pPr>
        <w:pStyle w:val="ListParagraph"/>
        <w:spacing w:after="240" w:line="240" w:lineRule="auto"/>
        <w:ind w:left="1440"/>
        <w:rPr>
          <w:rFonts w:ascii="Times New Roman" w:hAnsi="Times New Roman" w:cs="Times New Roman"/>
          <w:sz w:val="24"/>
          <w:szCs w:val="24"/>
        </w:rPr>
      </w:pPr>
    </w:p>
    <w:p w:rsidR="00997AC9" w:rsidRDefault="00997AC9" w:rsidP="00B73D70">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002B01AF">
        <w:rPr>
          <w:rFonts w:ascii="Times New Roman" w:hAnsi="Times New Roman" w:cs="Times New Roman"/>
          <w:sz w:val="24"/>
          <w:szCs w:val="24"/>
        </w:rPr>
        <w:t xml:space="preserve">item </w:t>
      </w:r>
      <w:r>
        <w:rPr>
          <w:rFonts w:ascii="Times New Roman" w:hAnsi="Times New Roman" w:cs="Times New Roman"/>
          <w:sz w:val="24"/>
          <w:szCs w:val="24"/>
        </w:rPr>
        <w:t>2), ISP studies will advance industry’s understanding of today’s market trend and standard practice</w:t>
      </w:r>
      <w:r w:rsidR="005A69B5">
        <w:rPr>
          <w:rFonts w:ascii="Times New Roman" w:hAnsi="Times New Roman" w:cs="Times New Roman"/>
          <w:sz w:val="24"/>
          <w:szCs w:val="24"/>
        </w:rPr>
        <w:t xml:space="preserve">. The outcomes of such ISP studies will advance our understanding of the market trends, and </w:t>
      </w:r>
      <w:r>
        <w:rPr>
          <w:rFonts w:ascii="Times New Roman" w:hAnsi="Times New Roman" w:cs="Times New Roman"/>
          <w:sz w:val="24"/>
          <w:szCs w:val="24"/>
        </w:rPr>
        <w:t>provid</w:t>
      </w:r>
      <w:r w:rsidR="005A69B5">
        <w:rPr>
          <w:rFonts w:ascii="Times New Roman" w:hAnsi="Times New Roman" w:cs="Times New Roman"/>
          <w:sz w:val="24"/>
          <w:szCs w:val="24"/>
        </w:rPr>
        <w:t>e</w:t>
      </w:r>
      <w:r>
        <w:rPr>
          <w:rFonts w:ascii="Times New Roman" w:hAnsi="Times New Roman" w:cs="Times New Roman"/>
          <w:sz w:val="24"/>
          <w:szCs w:val="24"/>
        </w:rPr>
        <w:t xml:space="preserve"> information to guide </w:t>
      </w:r>
      <w:r w:rsidR="002B2889">
        <w:rPr>
          <w:rFonts w:ascii="Times New Roman" w:hAnsi="Times New Roman" w:cs="Times New Roman"/>
          <w:sz w:val="24"/>
          <w:szCs w:val="24"/>
        </w:rPr>
        <w:t>portfolio/</w:t>
      </w:r>
      <w:r>
        <w:rPr>
          <w:rFonts w:ascii="Times New Roman" w:hAnsi="Times New Roman" w:cs="Times New Roman"/>
          <w:sz w:val="24"/>
          <w:szCs w:val="24"/>
        </w:rPr>
        <w:t>program design and inf</w:t>
      </w:r>
      <w:r w:rsidR="002B2889">
        <w:rPr>
          <w:rFonts w:ascii="Times New Roman" w:hAnsi="Times New Roman" w:cs="Times New Roman"/>
          <w:sz w:val="24"/>
          <w:szCs w:val="24"/>
        </w:rPr>
        <w:t>l</w:t>
      </w:r>
      <w:r>
        <w:rPr>
          <w:rFonts w:ascii="Times New Roman" w:hAnsi="Times New Roman" w:cs="Times New Roman"/>
          <w:sz w:val="24"/>
          <w:szCs w:val="24"/>
        </w:rPr>
        <w:t>uence</w:t>
      </w:r>
      <w:r w:rsidR="002B2889">
        <w:rPr>
          <w:rFonts w:ascii="Times New Roman" w:hAnsi="Times New Roman" w:cs="Times New Roman"/>
          <w:sz w:val="24"/>
          <w:szCs w:val="24"/>
        </w:rPr>
        <w:t xml:space="preserve">.  </w:t>
      </w:r>
    </w:p>
    <w:p w:rsidR="00C25C02" w:rsidRPr="006A64DF" w:rsidRDefault="00C217B2" w:rsidP="00B73D70">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002B01AF">
        <w:rPr>
          <w:rFonts w:ascii="Times New Roman" w:hAnsi="Times New Roman" w:cs="Times New Roman"/>
          <w:sz w:val="24"/>
          <w:szCs w:val="24"/>
        </w:rPr>
        <w:t xml:space="preserve">item </w:t>
      </w:r>
      <w:r>
        <w:rPr>
          <w:rFonts w:ascii="Times New Roman" w:hAnsi="Times New Roman" w:cs="Times New Roman"/>
          <w:sz w:val="24"/>
          <w:szCs w:val="24"/>
        </w:rPr>
        <w:t>3)</w:t>
      </w:r>
      <w:r w:rsidR="00997AC9">
        <w:rPr>
          <w:rFonts w:ascii="Times New Roman" w:hAnsi="Times New Roman" w:cs="Times New Roman"/>
          <w:sz w:val="24"/>
          <w:szCs w:val="24"/>
        </w:rPr>
        <w:t>,</w:t>
      </w:r>
      <w:r>
        <w:rPr>
          <w:rFonts w:ascii="Times New Roman" w:hAnsi="Times New Roman" w:cs="Times New Roman"/>
          <w:sz w:val="24"/>
          <w:szCs w:val="24"/>
        </w:rPr>
        <w:t xml:space="preserve"> when </w:t>
      </w:r>
      <w:r w:rsidR="00C25C02" w:rsidRPr="006A64DF">
        <w:rPr>
          <w:rFonts w:ascii="Times New Roman" w:hAnsi="Times New Roman" w:cs="Times New Roman"/>
          <w:sz w:val="24"/>
          <w:szCs w:val="24"/>
        </w:rPr>
        <w:t xml:space="preserve">ISP studies are </w:t>
      </w:r>
      <w:r w:rsidR="00D920D9" w:rsidRPr="006A64DF">
        <w:rPr>
          <w:rFonts w:ascii="Times New Roman" w:hAnsi="Times New Roman" w:cs="Times New Roman"/>
          <w:sz w:val="24"/>
          <w:szCs w:val="24"/>
        </w:rPr>
        <w:t xml:space="preserve">used </w:t>
      </w:r>
      <w:r w:rsidR="00C25C02" w:rsidRPr="006A64DF">
        <w:rPr>
          <w:rFonts w:ascii="Times New Roman" w:hAnsi="Times New Roman" w:cs="Times New Roman"/>
          <w:sz w:val="24"/>
          <w:szCs w:val="24"/>
        </w:rPr>
        <w:t xml:space="preserve">to </w:t>
      </w:r>
      <w:r w:rsidR="003B4186" w:rsidRPr="006A64DF">
        <w:rPr>
          <w:rFonts w:ascii="Times New Roman" w:hAnsi="Times New Roman" w:cs="Times New Roman"/>
          <w:sz w:val="24"/>
          <w:szCs w:val="24"/>
        </w:rPr>
        <w:t xml:space="preserve">support the </w:t>
      </w:r>
      <w:r w:rsidR="00C25C02" w:rsidRPr="006A64DF">
        <w:rPr>
          <w:rFonts w:ascii="Times New Roman" w:hAnsi="Times New Roman" w:cs="Times New Roman"/>
          <w:sz w:val="24"/>
          <w:szCs w:val="24"/>
        </w:rPr>
        <w:t>develop</w:t>
      </w:r>
      <w:r w:rsidR="003B4186" w:rsidRPr="006A64DF">
        <w:rPr>
          <w:rFonts w:ascii="Times New Roman" w:hAnsi="Times New Roman" w:cs="Times New Roman"/>
          <w:sz w:val="24"/>
          <w:szCs w:val="24"/>
        </w:rPr>
        <w:t>ment of appropriate</w:t>
      </w:r>
      <w:r w:rsidR="00C25C02" w:rsidRPr="006A64DF">
        <w:rPr>
          <w:rFonts w:ascii="Times New Roman" w:hAnsi="Times New Roman" w:cs="Times New Roman"/>
          <w:sz w:val="24"/>
          <w:szCs w:val="24"/>
        </w:rPr>
        <w:t xml:space="preserve"> </w:t>
      </w:r>
      <w:r w:rsidR="00E90EAC">
        <w:rPr>
          <w:rFonts w:ascii="Times New Roman" w:hAnsi="Times New Roman" w:cs="Times New Roman"/>
          <w:sz w:val="24"/>
          <w:szCs w:val="24"/>
        </w:rPr>
        <w:t xml:space="preserve">counterfactual </w:t>
      </w:r>
      <w:r w:rsidR="00C25C02" w:rsidRPr="006A64DF">
        <w:rPr>
          <w:rFonts w:ascii="Times New Roman" w:hAnsi="Times New Roman" w:cs="Times New Roman"/>
          <w:sz w:val="24"/>
          <w:szCs w:val="24"/>
        </w:rPr>
        <w:t>baselines</w:t>
      </w:r>
      <w:r w:rsidR="006F0BFC">
        <w:rPr>
          <w:rFonts w:ascii="Times New Roman" w:hAnsi="Times New Roman" w:cs="Times New Roman"/>
          <w:sz w:val="24"/>
          <w:szCs w:val="24"/>
        </w:rPr>
        <w:t xml:space="preserve"> in specific projects</w:t>
      </w:r>
      <w:r w:rsidR="00C25C02" w:rsidRPr="006A64DF">
        <w:rPr>
          <w:rFonts w:ascii="Times New Roman" w:hAnsi="Times New Roman" w:cs="Times New Roman"/>
          <w:sz w:val="24"/>
          <w:szCs w:val="24"/>
        </w:rPr>
        <w:t xml:space="preserve">, then </w:t>
      </w:r>
      <w:r>
        <w:rPr>
          <w:rFonts w:ascii="Times New Roman" w:hAnsi="Times New Roman" w:cs="Times New Roman"/>
          <w:sz w:val="24"/>
          <w:szCs w:val="24"/>
        </w:rPr>
        <w:t>T2WG</w:t>
      </w:r>
      <w:r w:rsidR="002B01AF">
        <w:rPr>
          <w:rFonts w:ascii="Times New Roman" w:hAnsi="Times New Roman" w:cs="Times New Roman"/>
          <w:sz w:val="24"/>
          <w:szCs w:val="24"/>
        </w:rPr>
        <w:t xml:space="preserve"> </w:t>
      </w:r>
      <w:r w:rsidR="00C25C02" w:rsidRPr="006A64DF">
        <w:rPr>
          <w:rFonts w:ascii="Times New Roman" w:hAnsi="Times New Roman" w:cs="Times New Roman"/>
          <w:sz w:val="24"/>
          <w:szCs w:val="24"/>
        </w:rPr>
        <w:t>need</w:t>
      </w:r>
      <w:r w:rsidR="006F0BFC">
        <w:rPr>
          <w:rFonts w:ascii="Times New Roman" w:hAnsi="Times New Roman" w:cs="Times New Roman"/>
          <w:sz w:val="24"/>
          <w:szCs w:val="24"/>
        </w:rPr>
        <w:t>s</w:t>
      </w:r>
      <w:r w:rsidR="00C25C02" w:rsidRPr="006A64DF">
        <w:rPr>
          <w:rFonts w:ascii="Times New Roman" w:hAnsi="Times New Roman" w:cs="Times New Roman"/>
          <w:sz w:val="24"/>
          <w:szCs w:val="24"/>
        </w:rPr>
        <w:t xml:space="preserve"> to </w:t>
      </w:r>
      <w:r w:rsidR="006F0BFC">
        <w:rPr>
          <w:rFonts w:ascii="Times New Roman" w:hAnsi="Times New Roman" w:cs="Times New Roman"/>
          <w:sz w:val="24"/>
          <w:szCs w:val="24"/>
        </w:rPr>
        <w:t>address</w:t>
      </w:r>
      <w:r w:rsidR="006F0BFC" w:rsidRPr="006A64DF">
        <w:rPr>
          <w:rFonts w:ascii="Times New Roman" w:hAnsi="Times New Roman" w:cs="Times New Roman"/>
          <w:sz w:val="24"/>
          <w:szCs w:val="24"/>
        </w:rPr>
        <w:t xml:space="preserve"> </w:t>
      </w:r>
      <w:r w:rsidR="00C25C02" w:rsidRPr="006A64DF">
        <w:rPr>
          <w:rFonts w:ascii="Times New Roman" w:hAnsi="Times New Roman" w:cs="Times New Roman"/>
          <w:sz w:val="24"/>
          <w:szCs w:val="24"/>
        </w:rPr>
        <w:t>at least the following:</w:t>
      </w:r>
    </w:p>
    <w:p w:rsidR="00C25C02" w:rsidRPr="006A64DF" w:rsidRDefault="003B4186"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In customer projects, </w:t>
      </w:r>
      <w:r w:rsidR="003E7318" w:rsidRPr="006A64DF">
        <w:rPr>
          <w:rFonts w:ascii="Times New Roman" w:hAnsi="Times New Roman" w:cs="Times New Roman"/>
          <w:sz w:val="24"/>
          <w:szCs w:val="24"/>
        </w:rPr>
        <w:t xml:space="preserve">establish and </w:t>
      </w:r>
      <w:r w:rsidRPr="006A64DF">
        <w:rPr>
          <w:rFonts w:ascii="Times New Roman" w:hAnsi="Times New Roman" w:cs="Times New Roman"/>
          <w:sz w:val="24"/>
          <w:szCs w:val="24"/>
        </w:rPr>
        <w:t xml:space="preserve">document measure </w:t>
      </w:r>
      <w:r w:rsidR="003E7318" w:rsidRPr="006A64DF">
        <w:rPr>
          <w:rFonts w:ascii="Times New Roman" w:hAnsi="Times New Roman" w:cs="Times New Roman"/>
          <w:sz w:val="24"/>
          <w:szCs w:val="24"/>
        </w:rPr>
        <w:t xml:space="preserve">type &amp; </w:t>
      </w:r>
      <w:r w:rsidRPr="006A64DF">
        <w:rPr>
          <w:rFonts w:ascii="Times New Roman" w:hAnsi="Times New Roman" w:cs="Times New Roman"/>
          <w:sz w:val="24"/>
          <w:szCs w:val="24"/>
        </w:rPr>
        <w:t xml:space="preserve">eligibility, measure options, and </w:t>
      </w:r>
      <w:r w:rsidR="00E90EAC">
        <w:rPr>
          <w:rFonts w:ascii="Times New Roman" w:hAnsi="Times New Roman" w:cs="Times New Roman"/>
          <w:sz w:val="24"/>
          <w:szCs w:val="24"/>
        </w:rPr>
        <w:t>prov</w:t>
      </w:r>
      <w:r w:rsidR="00B06971">
        <w:rPr>
          <w:rFonts w:ascii="Times New Roman" w:hAnsi="Times New Roman" w:cs="Times New Roman"/>
          <w:sz w:val="24"/>
          <w:szCs w:val="24"/>
        </w:rPr>
        <w:t>id</w:t>
      </w:r>
      <w:r w:rsidR="00E90EAC">
        <w:rPr>
          <w:rFonts w:ascii="Times New Roman" w:hAnsi="Times New Roman" w:cs="Times New Roman"/>
          <w:sz w:val="24"/>
          <w:szCs w:val="24"/>
        </w:rPr>
        <w:t xml:space="preserve">e </w:t>
      </w:r>
      <w:r w:rsidR="00B06971">
        <w:rPr>
          <w:rFonts w:ascii="Times New Roman" w:hAnsi="Times New Roman" w:cs="Times New Roman"/>
          <w:sz w:val="24"/>
          <w:szCs w:val="24"/>
        </w:rPr>
        <w:t xml:space="preserve">evidence of </w:t>
      </w:r>
      <w:r w:rsidR="00E90EAC">
        <w:rPr>
          <w:rFonts w:ascii="Times New Roman" w:hAnsi="Times New Roman" w:cs="Times New Roman"/>
          <w:sz w:val="24"/>
          <w:szCs w:val="24"/>
        </w:rPr>
        <w:t xml:space="preserve">some program </w:t>
      </w:r>
      <w:r w:rsidRPr="006A64DF">
        <w:rPr>
          <w:rFonts w:ascii="Times New Roman" w:hAnsi="Times New Roman" w:cs="Times New Roman"/>
          <w:sz w:val="24"/>
          <w:szCs w:val="24"/>
        </w:rPr>
        <w:t>influence</w:t>
      </w:r>
      <w:r w:rsidR="003E7318" w:rsidRPr="006A64DF">
        <w:rPr>
          <w:rFonts w:ascii="Times New Roman" w:hAnsi="Times New Roman" w:cs="Times New Roman"/>
          <w:sz w:val="24"/>
          <w:szCs w:val="24"/>
        </w:rPr>
        <w:t xml:space="preserve">, before an ISP study is </w:t>
      </w:r>
      <w:r w:rsidR="003E7318" w:rsidRPr="006A64DF">
        <w:rPr>
          <w:rFonts w:ascii="Times New Roman" w:hAnsi="Times New Roman" w:cs="Times New Roman"/>
          <w:sz w:val="24"/>
          <w:szCs w:val="24"/>
        </w:rPr>
        <w:lastRenderedPageBreak/>
        <w:t>initiated</w:t>
      </w:r>
      <w:r w:rsidRPr="006A64DF">
        <w:rPr>
          <w:rFonts w:ascii="Times New Roman" w:hAnsi="Times New Roman" w:cs="Times New Roman"/>
          <w:sz w:val="24"/>
          <w:szCs w:val="24"/>
        </w:rPr>
        <w:t xml:space="preserve">. </w:t>
      </w:r>
      <w:r w:rsidR="00C25C02" w:rsidRPr="006A64DF">
        <w:rPr>
          <w:rFonts w:ascii="Times New Roman" w:hAnsi="Times New Roman" w:cs="Times New Roman"/>
          <w:sz w:val="24"/>
          <w:szCs w:val="24"/>
        </w:rPr>
        <w:t xml:space="preserve">What data </w:t>
      </w:r>
      <w:r w:rsidRPr="006A64DF">
        <w:rPr>
          <w:rFonts w:ascii="Times New Roman" w:hAnsi="Times New Roman" w:cs="Times New Roman"/>
          <w:sz w:val="24"/>
          <w:szCs w:val="24"/>
        </w:rPr>
        <w:t xml:space="preserve">(i.e., today’s market trend) </w:t>
      </w:r>
      <w:r w:rsidR="00C25C02" w:rsidRPr="006A64DF">
        <w:rPr>
          <w:rFonts w:ascii="Times New Roman" w:hAnsi="Times New Roman" w:cs="Times New Roman"/>
          <w:sz w:val="24"/>
          <w:szCs w:val="24"/>
        </w:rPr>
        <w:t xml:space="preserve">do </w:t>
      </w:r>
      <w:r w:rsidR="00C217B2">
        <w:rPr>
          <w:rFonts w:ascii="Times New Roman" w:hAnsi="Times New Roman" w:cs="Times New Roman"/>
          <w:sz w:val="24"/>
          <w:szCs w:val="24"/>
        </w:rPr>
        <w:t xml:space="preserve">PAs </w:t>
      </w:r>
      <w:r w:rsidR="00C25C02" w:rsidRPr="006A64DF">
        <w:rPr>
          <w:rFonts w:ascii="Times New Roman" w:hAnsi="Times New Roman" w:cs="Times New Roman"/>
          <w:sz w:val="24"/>
          <w:szCs w:val="24"/>
        </w:rPr>
        <w:t xml:space="preserve">need to collect to support an ISP </w:t>
      </w:r>
      <w:r w:rsidR="00CC1644">
        <w:rPr>
          <w:rFonts w:ascii="Times New Roman" w:hAnsi="Times New Roman" w:cs="Times New Roman"/>
          <w:sz w:val="24"/>
          <w:szCs w:val="24"/>
        </w:rPr>
        <w:t xml:space="preserve">counterfactual baseline </w:t>
      </w:r>
      <w:r w:rsidR="00C25C02" w:rsidRPr="006A64DF">
        <w:rPr>
          <w:rFonts w:ascii="Times New Roman" w:hAnsi="Times New Roman" w:cs="Times New Roman"/>
          <w:sz w:val="24"/>
          <w:szCs w:val="24"/>
        </w:rPr>
        <w:t xml:space="preserve">determination? </w:t>
      </w:r>
    </w:p>
    <w:p w:rsidR="006F0BFC" w:rsidRPr="006A64DF" w:rsidRDefault="006F0BFC" w:rsidP="006F0BFC">
      <w:pPr>
        <w:pStyle w:val="ListParagraph"/>
        <w:numPr>
          <w:ilvl w:val="3"/>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Do broad market studies suffice? </w:t>
      </w:r>
    </w:p>
    <w:p w:rsidR="00C25C02" w:rsidRPr="006A64DF" w:rsidRDefault="00C25C02" w:rsidP="002B2889">
      <w:pPr>
        <w:pStyle w:val="ListParagraph"/>
        <w:numPr>
          <w:ilvl w:val="3"/>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What secondary research</w:t>
      </w:r>
      <w:r w:rsidR="00085498" w:rsidRPr="006A64DF">
        <w:rPr>
          <w:rFonts w:ascii="Times New Roman" w:hAnsi="Times New Roman" w:cs="Times New Roman"/>
          <w:sz w:val="24"/>
          <w:szCs w:val="24"/>
        </w:rPr>
        <w:t xml:space="preserve"> suffices?</w:t>
      </w:r>
    </w:p>
    <w:p w:rsidR="00085498" w:rsidRPr="006A64DF" w:rsidRDefault="00085498" w:rsidP="002B2889">
      <w:pPr>
        <w:pStyle w:val="ListParagraph"/>
        <w:numPr>
          <w:ilvl w:val="3"/>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What primary research suffices? </w:t>
      </w:r>
    </w:p>
    <w:p w:rsidR="00085498" w:rsidRPr="006A64DF" w:rsidRDefault="006F0BFC" w:rsidP="00B73D70">
      <w:pPr>
        <w:pStyle w:val="ListParagraph"/>
        <w:numPr>
          <w:ilvl w:val="3"/>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Develop</w:t>
      </w:r>
      <w:r w:rsidR="00085498" w:rsidRPr="006A64DF">
        <w:rPr>
          <w:rFonts w:ascii="Times New Roman" w:hAnsi="Times New Roman" w:cs="Times New Roman"/>
          <w:sz w:val="24"/>
          <w:szCs w:val="24"/>
        </w:rPr>
        <w:t xml:space="preserve"> specific core questions to ask if interviews/surveys involved?</w:t>
      </w:r>
    </w:p>
    <w:p w:rsidR="00085498" w:rsidRPr="006A64DF" w:rsidRDefault="00085498"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Who collects the data and does the analysis?</w:t>
      </w:r>
    </w:p>
    <w:p w:rsidR="00085498" w:rsidRPr="006A64DF" w:rsidRDefault="00085498"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Who is involved in the development of the research plan? What process is followed?</w:t>
      </w:r>
    </w:p>
    <w:p w:rsidR="00085498" w:rsidRPr="006A64DF" w:rsidRDefault="00085498"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How is the data analyzed and interpreted? </w:t>
      </w:r>
    </w:p>
    <w:p w:rsidR="00B06971" w:rsidRDefault="00085498"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If </w:t>
      </w:r>
      <w:r w:rsidR="00E93B11">
        <w:rPr>
          <w:rFonts w:ascii="Times New Roman" w:hAnsi="Times New Roman" w:cs="Times New Roman"/>
          <w:sz w:val="24"/>
          <w:szCs w:val="24"/>
        </w:rPr>
        <w:t>stakeholders</w:t>
      </w:r>
      <w:r w:rsidR="00E93B11" w:rsidRPr="006A64DF">
        <w:rPr>
          <w:rFonts w:ascii="Times New Roman" w:hAnsi="Times New Roman" w:cs="Times New Roman"/>
          <w:sz w:val="24"/>
          <w:szCs w:val="24"/>
        </w:rPr>
        <w:t xml:space="preserve"> </w:t>
      </w:r>
      <w:r w:rsidRPr="006A64DF">
        <w:rPr>
          <w:rFonts w:ascii="Times New Roman" w:hAnsi="Times New Roman" w:cs="Times New Roman"/>
          <w:sz w:val="24"/>
          <w:szCs w:val="24"/>
        </w:rPr>
        <w:t>disagree on the results, who do they go to for dispute resolution?</w:t>
      </w:r>
    </w:p>
    <w:p w:rsidR="003B4186" w:rsidRPr="006A64DF" w:rsidRDefault="00B06971" w:rsidP="00B73D70">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Establish timelines for each step.</w:t>
      </w:r>
      <w:r w:rsidR="00085498" w:rsidRPr="006A64DF">
        <w:rPr>
          <w:rFonts w:ascii="Times New Roman" w:hAnsi="Times New Roman" w:cs="Times New Roman"/>
          <w:sz w:val="24"/>
          <w:szCs w:val="24"/>
        </w:rPr>
        <w:t xml:space="preserve"> </w:t>
      </w:r>
    </w:p>
    <w:p w:rsidR="008252F8" w:rsidRDefault="008252F8" w:rsidP="002B2889">
      <w:pPr>
        <w:pStyle w:val="ListParagraph"/>
        <w:spacing w:after="240" w:line="240" w:lineRule="auto"/>
        <w:ind w:left="0"/>
        <w:rPr>
          <w:rFonts w:ascii="Times New Roman" w:hAnsi="Times New Roman" w:cs="Times New Roman"/>
          <w:sz w:val="24"/>
          <w:szCs w:val="24"/>
        </w:rPr>
      </w:pPr>
    </w:p>
    <w:p w:rsidR="00997AC9" w:rsidRPr="006A64DF" w:rsidRDefault="00997AC9" w:rsidP="002B2889">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As mentioned, t</w:t>
      </w:r>
      <w:r w:rsidRPr="00997AC9">
        <w:rPr>
          <w:rFonts w:ascii="Times New Roman" w:hAnsi="Times New Roman" w:cs="Times New Roman"/>
          <w:sz w:val="24"/>
          <w:szCs w:val="24"/>
        </w:rPr>
        <w:t>here are policy, reporting, and claim elements relevant to ISP studies.</w:t>
      </w:r>
      <w:r>
        <w:rPr>
          <w:rFonts w:ascii="Times New Roman" w:hAnsi="Times New Roman" w:cs="Times New Roman"/>
          <w:sz w:val="24"/>
          <w:szCs w:val="24"/>
        </w:rPr>
        <w:t xml:space="preserve"> In the update, </w:t>
      </w:r>
      <w:r w:rsidR="002B2889">
        <w:rPr>
          <w:rFonts w:ascii="Times New Roman" w:hAnsi="Times New Roman" w:cs="Times New Roman"/>
          <w:sz w:val="24"/>
          <w:szCs w:val="24"/>
        </w:rPr>
        <w:t>clarifications</w:t>
      </w:r>
      <w:r>
        <w:rPr>
          <w:rFonts w:ascii="Times New Roman" w:hAnsi="Times New Roman" w:cs="Times New Roman"/>
          <w:sz w:val="24"/>
          <w:szCs w:val="24"/>
        </w:rPr>
        <w:t xml:space="preserve"> should be made to address </w:t>
      </w:r>
      <w:r w:rsidR="002B2889">
        <w:rPr>
          <w:rFonts w:ascii="Times New Roman" w:hAnsi="Times New Roman" w:cs="Times New Roman"/>
          <w:sz w:val="24"/>
          <w:szCs w:val="24"/>
        </w:rPr>
        <w:t xml:space="preserve">issues </w:t>
      </w:r>
      <w:r w:rsidR="008252F8">
        <w:rPr>
          <w:rFonts w:ascii="Times New Roman" w:hAnsi="Times New Roman" w:cs="Times New Roman"/>
          <w:sz w:val="24"/>
          <w:szCs w:val="24"/>
        </w:rPr>
        <w:t>enlisted in</w:t>
      </w:r>
      <w:r w:rsidR="002B2889">
        <w:rPr>
          <w:rFonts w:ascii="Times New Roman" w:hAnsi="Times New Roman" w:cs="Times New Roman"/>
          <w:sz w:val="24"/>
          <w:szCs w:val="24"/>
        </w:rPr>
        <w:t xml:space="preserve"> </w:t>
      </w:r>
      <w:r w:rsidR="008252F8">
        <w:rPr>
          <w:rFonts w:ascii="Times New Roman" w:hAnsi="Times New Roman" w:cs="Times New Roman"/>
          <w:sz w:val="24"/>
          <w:szCs w:val="24"/>
        </w:rPr>
        <w:t xml:space="preserve">1) through 5), including </w:t>
      </w:r>
      <w:r w:rsidR="002B2889">
        <w:rPr>
          <w:rFonts w:ascii="Times New Roman" w:hAnsi="Times New Roman" w:cs="Times New Roman"/>
          <w:sz w:val="24"/>
          <w:szCs w:val="24"/>
        </w:rPr>
        <w:t>custom process reviews.</w:t>
      </w:r>
      <w:r>
        <w:rPr>
          <w:rFonts w:ascii="Times New Roman" w:hAnsi="Times New Roman" w:cs="Times New Roman"/>
          <w:sz w:val="24"/>
          <w:szCs w:val="24"/>
        </w:rPr>
        <w:t xml:space="preserve"> </w:t>
      </w:r>
      <w:r w:rsidR="002B01AF">
        <w:rPr>
          <w:rFonts w:ascii="Times New Roman" w:hAnsi="Times New Roman" w:cs="Times New Roman"/>
          <w:sz w:val="24"/>
          <w:szCs w:val="24"/>
        </w:rPr>
        <w:t>Items 1) through 3) focus on study approaches and study processes; Items 4) and 5) focus on policy</w:t>
      </w:r>
      <w:r w:rsidR="001B1860">
        <w:rPr>
          <w:rFonts w:ascii="Times New Roman" w:hAnsi="Times New Roman" w:cs="Times New Roman"/>
          <w:sz w:val="24"/>
          <w:szCs w:val="24"/>
        </w:rPr>
        <w:t xml:space="preserve"> and may be relevant to custom process review</w:t>
      </w:r>
      <w:r w:rsidR="002B01AF">
        <w:rPr>
          <w:rFonts w:ascii="Times New Roman" w:hAnsi="Times New Roman" w:cs="Times New Roman"/>
          <w:sz w:val="24"/>
          <w:szCs w:val="24"/>
        </w:rPr>
        <w:t xml:space="preserve">. </w:t>
      </w:r>
    </w:p>
    <w:p w:rsidR="00D5298E" w:rsidRDefault="000876ED" w:rsidP="00D5298E">
      <w:pPr>
        <w:pStyle w:val="Heading1"/>
      </w:pPr>
      <w:r>
        <w:t xml:space="preserve">2.2 </w:t>
      </w:r>
      <w:r w:rsidR="00D5298E">
        <w:t>Reality C</w:t>
      </w:r>
      <w:r w:rsidR="009A1B9E">
        <w:t>heck</w:t>
      </w:r>
      <w:r w:rsidR="00D5298E">
        <w:t>s and PG&amp;E Recommendations</w:t>
      </w:r>
    </w:p>
    <w:p w:rsidR="00744713" w:rsidRPr="006A64DF" w:rsidRDefault="00744713" w:rsidP="00B73D70">
      <w:pPr>
        <w:pStyle w:val="ListParagraph"/>
        <w:spacing w:after="240" w:line="240" w:lineRule="auto"/>
        <w:ind w:left="0"/>
        <w:rPr>
          <w:rFonts w:ascii="Times New Roman" w:hAnsi="Times New Roman" w:cs="Times New Roman"/>
          <w:sz w:val="24"/>
          <w:szCs w:val="24"/>
        </w:rPr>
      </w:pPr>
      <w:r w:rsidRPr="006A64DF">
        <w:rPr>
          <w:rFonts w:ascii="Times New Roman" w:hAnsi="Times New Roman" w:cs="Times New Roman"/>
          <w:sz w:val="24"/>
          <w:szCs w:val="24"/>
        </w:rPr>
        <w:t xml:space="preserve">The strength </w:t>
      </w:r>
      <w:r w:rsidR="000876ED" w:rsidRPr="006A64DF">
        <w:rPr>
          <w:rFonts w:ascii="Times New Roman" w:hAnsi="Times New Roman" w:cs="Times New Roman"/>
          <w:sz w:val="24"/>
          <w:szCs w:val="24"/>
        </w:rPr>
        <w:t>of the</w:t>
      </w:r>
      <w:r w:rsidRPr="006A64DF">
        <w:rPr>
          <w:rFonts w:ascii="Times New Roman" w:hAnsi="Times New Roman" w:cs="Times New Roman"/>
          <w:sz w:val="24"/>
          <w:szCs w:val="24"/>
        </w:rPr>
        <w:t xml:space="preserve"> existing </w:t>
      </w:r>
      <w:r w:rsidR="00CC1644">
        <w:rPr>
          <w:rFonts w:ascii="Times New Roman" w:hAnsi="Times New Roman" w:cs="Times New Roman"/>
          <w:sz w:val="24"/>
          <w:szCs w:val="24"/>
        </w:rPr>
        <w:t>ISP G</w:t>
      </w:r>
      <w:r w:rsidRPr="006A64DF">
        <w:rPr>
          <w:rFonts w:ascii="Times New Roman" w:hAnsi="Times New Roman" w:cs="Times New Roman"/>
          <w:sz w:val="24"/>
          <w:szCs w:val="24"/>
        </w:rPr>
        <w:t>uide</w:t>
      </w:r>
      <w:r w:rsidR="00CC1644">
        <w:rPr>
          <w:rFonts w:ascii="Times New Roman" w:hAnsi="Times New Roman" w:cs="Times New Roman"/>
          <w:sz w:val="24"/>
          <w:szCs w:val="24"/>
        </w:rPr>
        <w:t xml:space="preserve"> (V.</w:t>
      </w:r>
      <w:r w:rsidR="00C217B2">
        <w:rPr>
          <w:rFonts w:ascii="Times New Roman" w:hAnsi="Times New Roman" w:cs="Times New Roman"/>
          <w:sz w:val="24"/>
          <w:szCs w:val="24"/>
        </w:rPr>
        <w:t>1.2</w:t>
      </w:r>
      <w:r w:rsidR="006F0BFC">
        <w:rPr>
          <w:rFonts w:ascii="Times New Roman" w:hAnsi="Times New Roman" w:cs="Times New Roman"/>
          <w:sz w:val="24"/>
          <w:szCs w:val="24"/>
        </w:rPr>
        <w:t>A</w:t>
      </w:r>
      <w:r w:rsidR="00C217B2">
        <w:rPr>
          <w:rFonts w:ascii="Times New Roman" w:hAnsi="Times New Roman" w:cs="Times New Roman"/>
          <w:sz w:val="24"/>
          <w:szCs w:val="24"/>
        </w:rPr>
        <w:t>)</w:t>
      </w:r>
      <w:r w:rsidRPr="006A64DF">
        <w:rPr>
          <w:rFonts w:ascii="Times New Roman" w:hAnsi="Times New Roman" w:cs="Times New Roman"/>
          <w:sz w:val="24"/>
          <w:szCs w:val="24"/>
        </w:rPr>
        <w:t xml:space="preserve"> is that it provide</w:t>
      </w:r>
      <w:r w:rsidR="00CC1644">
        <w:rPr>
          <w:rFonts w:ascii="Times New Roman" w:hAnsi="Times New Roman" w:cs="Times New Roman"/>
          <w:sz w:val="24"/>
          <w:szCs w:val="24"/>
        </w:rPr>
        <w:t>s</w:t>
      </w:r>
      <w:r w:rsidRPr="006A64DF">
        <w:rPr>
          <w:rFonts w:ascii="Times New Roman" w:hAnsi="Times New Roman" w:cs="Times New Roman"/>
          <w:sz w:val="24"/>
          <w:szCs w:val="24"/>
        </w:rPr>
        <w:t xml:space="preserve"> key steps for a typical market-based ISP study</w:t>
      </w:r>
      <w:r w:rsidR="00CC1644">
        <w:rPr>
          <w:rFonts w:ascii="Times New Roman" w:hAnsi="Times New Roman" w:cs="Times New Roman"/>
          <w:sz w:val="24"/>
          <w:szCs w:val="24"/>
        </w:rPr>
        <w:t xml:space="preserve">. The ISP Guide needs to be rewritten </w:t>
      </w:r>
      <w:r w:rsidR="00B06971">
        <w:rPr>
          <w:rFonts w:ascii="Times New Roman" w:hAnsi="Times New Roman" w:cs="Times New Roman"/>
          <w:sz w:val="24"/>
          <w:szCs w:val="24"/>
        </w:rPr>
        <w:t>to make it clearer, more concise, and resolve current confusion that results in subjective interpretations and unnecessary disputes.</w:t>
      </w:r>
      <w:r w:rsidRPr="006A64DF">
        <w:rPr>
          <w:rFonts w:ascii="Times New Roman" w:hAnsi="Times New Roman" w:cs="Times New Roman"/>
          <w:sz w:val="24"/>
          <w:szCs w:val="24"/>
        </w:rPr>
        <w:t xml:space="preserve"> </w:t>
      </w:r>
    </w:p>
    <w:p w:rsidR="00744713" w:rsidRPr="006A64DF" w:rsidRDefault="00744713" w:rsidP="00B73D70">
      <w:pPr>
        <w:pStyle w:val="ListParagraph"/>
        <w:spacing w:after="240" w:line="240" w:lineRule="auto"/>
        <w:ind w:left="0"/>
        <w:rPr>
          <w:rFonts w:ascii="Times New Roman" w:hAnsi="Times New Roman" w:cs="Times New Roman"/>
          <w:sz w:val="24"/>
          <w:szCs w:val="24"/>
        </w:rPr>
      </w:pPr>
    </w:p>
    <w:p w:rsidR="00C217B2" w:rsidRDefault="00744713" w:rsidP="00B73D70">
      <w:pPr>
        <w:pStyle w:val="ListParagraph"/>
        <w:spacing w:after="240" w:line="240" w:lineRule="auto"/>
        <w:ind w:left="0"/>
        <w:rPr>
          <w:rFonts w:ascii="Times New Roman" w:hAnsi="Times New Roman" w:cs="Times New Roman"/>
          <w:sz w:val="24"/>
          <w:szCs w:val="24"/>
        </w:rPr>
      </w:pPr>
      <w:r w:rsidRPr="006A64DF">
        <w:rPr>
          <w:rFonts w:ascii="Times New Roman" w:hAnsi="Times New Roman" w:cs="Times New Roman"/>
          <w:sz w:val="24"/>
          <w:szCs w:val="24"/>
        </w:rPr>
        <w:t xml:space="preserve">PG&amp;E recommends that </w:t>
      </w:r>
      <w:r w:rsidR="00CC1644">
        <w:rPr>
          <w:rFonts w:ascii="Times New Roman" w:hAnsi="Times New Roman" w:cs="Times New Roman"/>
          <w:sz w:val="24"/>
          <w:szCs w:val="24"/>
        </w:rPr>
        <w:t>the T2</w:t>
      </w:r>
      <w:r w:rsidRPr="006A64DF">
        <w:rPr>
          <w:rFonts w:ascii="Times New Roman" w:hAnsi="Times New Roman" w:cs="Times New Roman"/>
          <w:sz w:val="24"/>
          <w:szCs w:val="24"/>
        </w:rPr>
        <w:t>WG focus on the above issues first (</w:t>
      </w:r>
      <w:r w:rsidR="000876ED">
        <w:rPr>
          <w:rFonts w:ascii="Times New Roman" w:hAnsi="Times New Roman" w:cs="Times New Roman"/>
          <w:sz w:val="24"/>
          <w:szCs w:val="24"/>
        </w:rPr>
        <w:t xml:space="preserve">i.e., </w:t>
      </w:r>
      <w:r w:rsidRPr="006A64DF">
        <w:rPr>
          <w:rFonts w:ascii="Times New Roman" w:hAnsi="Times New Roman" w:cs="Times New Roman"/>
          <w:sz w:val="24"/>
          <w:szCs w:val="24"/>
        </w:rPr>
        <w:t>purpose</w:t>
      </w:r>
      <w:r w:rsidR="000876ED">
        <w:rPr>
          <w:rFonts w:ascii="Times New Roman" w:hAnsi="Times New Roman" w:cs="Times New Roman"/>
          <w:sz w:val="24"/>
          <w:szCs w:val="24"/>
        </w:rPr>
        <w:t xml:space="preserve">, </w:t>
      </w:r>
      <w:r w:rsidRPr="006A64DF">
        <w:rPr>
          <w:rFonts w:ascii="Times New Roman" w:hAnsi="Times New Roman" w:cs="Times New Roman"/>
          <w:sz w:val="24"/>
          <w:szCs w:val="24"/>
        </w:rPr>
        <w:t>scope</w:t>
      </w:r>
      <w:r w:rsidR="000876ED">
        <w:rPr>
          <w:rFonts w:ascii="Times New Roman" w:hAnsi="Times New Roman" w:cs="Times New Roman"/>
          <w:sz w:val="24"/>
          <w:szCs w:val="24"/>
        </w:rPr>
        <w:t xml:space="preserve">, and </w:t>
      </w:r>
      <w:r w:rsidRPr="006A64DF">
        <w:rPr>
          <w:rFonts w:ascii="Times New Roman" w:hAnsi="Times New Roman" w:cs="Times New Roman"/>
          <w:sz w:val="24"/>
          <w:szCs w:val="24"/>
        </w:rPr>
        <w:t xml:space="preserve">approaches).  </w:t>
      </w:r>
      <w:r w:rsidR="00085498" w:rsidRPr="006A64DF">
        <w:rPr>
          <w:rFonts w:ascii="Times New Roman" w:hAnsi="Times New Roman" w:cs="Times New Roman"/>
          <w:sz w:val="24"/>
          <w:szCs w:val="24"/>
        </w:rPr>
        <w:t xml:space="preserve">Once </w:t>
      </w:r>
      <w:r w:rsidR="00CC1644">
        <w:rPr>
          <w:rFonts w:ascii="Times New Roman" w:hAnsi="Times New Roman" w:cs="Times New Roman"/>
          <w:sz w:val="24"/>
          <w:szCs w:val="24"/>
        </w:rPr>
        <w:t>the T2WG</w:t>
      </w:r>
      <w:r w:rsidR="00085498" w:rsidRPr="006A64DF">
        <w:rPr>
          <w:rFonts w:ascii="Times New Roman" w:hAnsi="Times New Roman" w:cs="Times New Roman"/>
          <w:sz w:val="24"/>
          <w:szCs w:val="24"/>
        </w:rPr>
        <w:t xml:space="preserve"> agree</w:t>
      </w:r>
      <w:r w:rsidR="00CC1644">
        <w:rPr>
          <w:rFonts w:ascii="Times New Roman" w:hAnsi="Times New Roman" w:cs="Times New Roman"/>
          <w:sz w:val="24"/>
          <w:szCs w:val="24"/>
        </w:rPr>
        <w:t>s</w:t>
      </w:r>
      <w:r w:rsidR="00085498" w:rsidRPr="006A64DF">
        <w:rPr>
          <w:rFonts w:ascii="Times New Roman" w:hAnsi="Times New Roman" w:cs="Times New Roman"/>
          <w:sz w:val="24"/>
          <w:szCs w:val="24"/>
        </w:rPr>
        <w:t xml:space="preserve"> on the</w:t>
      </w:r>
      <w:r w:rsidR="00CC1644">
        <w:rPr>
          <w:rFonts w:ascii="Times New Roman" w:hAnsi="Times New Roman" w:cs="Times New Roman"/>
          <w:sz w:val="24"/>
          <w:szCs w:val="24"/>
        </w:rPr>
        <w:t xml:space="preserve"> core</w:t>
      </w:r>
      <w:r w:rsidR="00085498" w:rsidRPr="006A64DF">
        <w:rPr>
          <w:rFonts w:ascii="Times New Roman" w:hAnsi="Times New Roman" w:cs="Times New Roman"/>
          <w:sz w:val="24"/>
          <w:szCs w:val="24"/>
        </w:rPr>
        <w:t xml:space="preserve"> </w:t>
      </w:r>
      <w:r w:rsidR="0015035F" w:rsidRPr="006A64DF">
        <w:rPr>
          <w:rFonts w:ascii="Times New Roman" w:hAnsi="Times New Roman" w:cs="Times New Roman"/>
          <w:sz w:val="24"/>
          <w:szCs w:val="24"/>
        </w:rPr>
        <w:t xml:space="preserve">conceptual terms </w:t>
      </w:r>
      <w:r w:rsidR="00085498" w:rsidRPr="006A64DF">
        <w:rPr>
          <w:rFonts w:ascii="Times New Roman" w:hAnsi="Times New Roman" w:cs="Times New Roman"/>
          <w:sz w:val="24"/>
          <w:szCs w:val="24"/>
        </w:rPr>
        <w:t xml:space="preserve">and the </w:t>
      </w:r>
      <w:r w:rsidR="0015035F" w:rsidRPr="006A64DF">
        <w:rPr>
          <w:rFonts w:ascii="Times New Roman" w:hAnsi="Times New Roman" w:cs="Times New Roman"/>
          <w:sz w:val="24"/>
          <w:szCs w:val="24"/>
        </w:rPr>
        <w:t xml:space="preserve">types of study activities needed to </w:t>
      </w:r>
      <w:r w:rsidR="00085498" w:rsidRPr="006A64DF">
        <w:rPr>
          <w:rFonts w:ascii="Times New Roman" w:hAnsi="Times New Roman" w:cs="Times New Roman"/>
          <w:sz w:val="24"/>
          <w:szCs w:val="24"/>
        </w:rPr>
        <w:t>carry out,</w:t>
      </w:r>
      <w:r w:rsidR="00CC1644">
        <w:rPr>
          <w:rFonts w:ascii="Times New Roman" w:hAnsi="Times New Roman" w:cs="Times New Roman"/>
          <w:sz w:val="24"/>
          <w:szCs w:val="24"/>
        </w:rPr>
        <w:t xml:space="preserve"> </w:t>
      </w:r>
      <w:r w:rsidR="00306DDE">
        <w:rPr>
          <w:rFonts w:ascii="Times New Roman" w:hAnsi="Times New Roman" w:cs="Times New Roman"/>
          <w:sz w:val="24"/>
          <w:szCs w:val="24"/>
        </w:rPr>
        <w:t xml:space="preserve">PA should </w:t>
      </w:r>
      <w:r w:rsidR="00CC1644">
        <w:rPr>
          <w:rFonts w:ascii="Times New Roman" w:hAnsi="Times New Roman" w:cs="Times New Roman"/>
          <w:sz w:val="24"/>
          <w:szCs w:val="24"/>
        </w:rPr>
        <w:t>address issues such as</w:t>
      </w:r>
      <w:r w:rsidR="00085498" w:rsidRPr="006A64DF">
        <w:rPr>
          <w:rFonts w:ascii="Times New Roman" w:hAnsi="Times New Roman" w:cs="Times New Roman"/>
          <w:sz w:val="24"/>
          <w:szCs w:val="24"/>
        </w:rPr>
        <w:t xml:space="preserve"> where the budget is com</w:t>
      </w:r>
      <w:r w:rsidR="0015035F" w:rsidRPr="006A64DF">
        <w:rPr>
          <w:rFonts w:ascii="Times New Roman" w:hAnsi="Times New Roman" w:cs="Times New Roman"/>
          <w:sz w:val="24"/>
          <w:szCs w:val="24"/>
        </w:rPr>
        <w:t>ing</w:t>
      </w:r>
      <w:r w:rsidR="00085498" w:rsidRPr="006A64DF">
        <w:rPr>
          <w:rFonts w:ascii="Times New Roman" w:hAnsi="Times New Roman" w:cs="Times New Roman"/>
          <w:sz w:val="24"/>
          <w:szCs w:val="24"/>
        </w:rPr>
        <w:t xml:space="preserve"> from</w:t>
      </w:r>
      <w:r w:rsidR="00CC1644">
        <w:rPr>
          <w:rFonts w:ascii="Times New Roman" w:hAnsi="Times New Roman" w:cs="Times New Roman"/>
          <w:sz w:val="24"/>
          <w:szCs w:val="24"/>
        </w:rPr>
        <w:t xml:space="preserve"> to do the ISP studies</w:t>
      </w:r>
      <w:r w:rsidR="00085498" w:rsidRPr="006A64DF">
        <w:rPr>
          <w:rFonts w:ascii="Times New Roman" w:hAnsi="Times New Roman" w:cs="Times New Roman"/>
          <w:sz w:val="24"/>
          <w:szCs w:val="24"/>
        </w:rPr>
        <w:t xml:space="preserve">, </w:t>
      </w:r>
      <w:r w:rsidR="0015035F" w:rsidRPr="006A64DF">
        <w:rPr>
          <w:rFonts w:ascii="Times New Roman" w:hAnsi="Times New Roman" w:cs="Times New Roman"/>
          <w:sz w:val="24"/>
          <w:szCs w:val="24"/>
        </w:rPr>
        <w:t xml:space="preserve">where the IOU </w:t>
      </w:r>
      <w:r w:rsidR="00CC1644">
        <w:rPr>
          <w:rFonts w:ascii="Times New Roman" w:hAnsi="Times New Roman" w:cs="Times New Roman"/>
          <w:sz w:val="24"/>
          <w:szCs w:val="24"/>
        </w:rPr>
        <w:t xml:space="preserve">ISP </w:t>
      </w:r>
      <w:r w:rsidR="0015035F" w:rsidRPr="006A64DF">
        <w:rPr>
          <w:rFonts w:ascii="Times New Roman" w:hAnsi="Times New Roman" w:cs="Times New Roman"/>
          <w:sz w:val="24"/>
          <w:szCs w:val="24"/>
        </w:rPr>
        <w:t xml:space="preserve">lead should  reside (e.g., </w:t>
      </w:r>
      <w:r w:rsidR="00306DDE">
        <w:rPr>
          <w:rFonts w:ascii="Times New Roman" w:hAnsi="Times New Roman" w:cs="Times New Roman"/>
          <w:sz w:val="24"/>
          <w:szCs w:val="24"/>
        </w:rPr>
        <w:t>P</w:t>
      </w:r>
      <w:r w:rsidR="0015035F" w:rsidRPr="006A64DF">
        <w:rPr>
          <w:rFonts w:ascii="Times New Roman" w:hAnsi="Times New Roman" w:cs="Times New Roman"/>
          <w:sz w:val="24"/>
          <w:szCs w:val="24"/>
        </w:rPr>
        <w:t xml:space="preserve">rogram, </w:t>
      </w:r>
      <w:r w:rsidR="00306DDE">
        <w:rPr>
          <w:rFonts w:ascii="Times New Roman" w:hAnsi="Times New Roman" w:cs="Times New Roman"/>
          <w:sz w:val="24"/>
          <w:szCs w:val="24"/>
        </w:rPr>
        <w:t>E</w:t>
      </w:r>
      <w:r w:rsidR="0015035F" w:rsidRPr="006A64DF">
        <w:rPr>
          <w:rFonts w:ascii="Times New Roman" w:hAnsi="Times New Roman" w:cs="Times New Roman"/>
          <w:sz w:val="24"/>
          <w:szCs w:val="24"/>
        </w:rPr>
        <w:t xml:space="preserve">ngineering,  </w:t>
      </w:r>
      <w:r w:rsidR="00306DDE">
        <w:rPr>
          <w:rFonts w:ascii="Times New Roman" w:hAnsi="Times New Roman" w:cs="Times New Roman"/>
          <w:sz w:val="24"/>
          <w:szCs w:val="24"/>
        </w:rPr>
        <w:t>T</w:t>
      </w:r>
      <w:r w:rsidR="0015035F" w:rsidRPr="006A64DF">
        <w:rPr>
          <w:rFonts w:ascii="Times New Roman" w:hAnsi="Times New Roman" w:cs="Times New Roman"/>
          <w:sz w:val="24"/>
          <w:szCs w:val="24"/>
        </w:rPr>
        <w:t xml:space="preserve">ech </w:t>
      </w:r>
      <w:r w:rsidR="00306DDE">
        <w:rPr>
          <w:rFonts w:ascii="Times New Roman" w:hAnsi="Times New Roman" w:cs="Times New Roman"/>
          <w:sz w:val="24"/>
          <w:szCs w:val="24"/>
        </w:rPr>
        <w:t>R</w:t>
      </w:r>
      <w:r w:rsidR="0015035F" w:rsidRPr="006A64DF">
        <w:rPr>
          <w:rFonts w:ascii="Times New Roman" w:hAnsi="Times New Roman" w:cs="Times New Roman"/>
          <w:sz w:val="24"/>
          <w:szCs w:val="24"/>
        </w:rPr>
        <w:t xml:space="preserve">eview, or EM&amp;V) to </w:t>
      </w:r>
      <w:r w:rsidR="00CC1644">
        <w:rPr>
          <w:rFonts w:ascii="Times New Roman" w:hAnsi="Times New Roman" w:cs="Times New Roman"/>
          <w:sz w:val="24"/>
          <w:szCs w:val="24"/>
        </w:rPr>
        <w:t>foster</w:t>
      </w:r>
      <w:r w:rsidR="00CC1644" w:rsidRPr="006A64DF">
        <w:rPr>
          <w:rFonts w:ascii="Times New Roman" w:hAnsi="Times New Roman" w:cs="Times New Roman"/>
          <w:sz w:val="24"/>
          <w:szCs w:val="24"/>
        </w:rPr>
        <w:t xml:space="preserve"> </w:t>
      </w:r>
      <w:r w:rsidR="0015035F" w:rsidRPr="006A64DF">
        <w:rPr>
          <w:rFonts w:ascii="Times New Roman" w:hAnsi="Times New Roman" w:cs="Times New Roman"/>
          <w:sz w:val="24"/>
          <w:szCs w:val="24"/>
        </w:rPr>
        <w:t>impartial</w:t>
      </w:r>
      <w:r w:rsidR="00CC1644">
        <w:rPr>
          <w:rFonts w:ascii="Times New Roman" w:hAnsi="Times New Roman" w:cs="Times New Roman"/>
          <w:sz w:val="24"/>
          <w:szCs w:val="24"/>
        </w:rPr>
        <w:t>ity. The T2WG can</w:t>
      </w:r>
      <w:r w:rsidR="00085498" w:rsidRPr="006A64DF">
        <w:rPr>
          <w:rFonts w:ascii="Times New Roman" w:hAnsi="Times New Roman" w:cs="Times New Roman"/>
          <w:sz w:val="24"/>
          <w:szCs w:val="24"/>
        </w:rPr>
        <w:t xml:space="preserve"> </w:t>
      </w:r>
      <w:r w:rsidR="0015035F" w:rsidRPr="006A64DF">
        <w:rPr>
          <w:rFonts w:ascii="Times New Roman" w:hAnsi="Times New Roman" w:cs="Times New Roman"/>
          <w:sz w:val="24"/>
          <w:szCs w:val="24"/>
        </w:rPr>
        <w:t xml:space="preserve">then </w:t>
      </w:r>
      <w:r w:rsidR="00085498" w:rsidRPr="006A64DF">
        <w:rPr>
          <w:rFonts w:ascii="Times New Roman" w:hAnsi="Times New Roman" w:cs="Times New Roman"/>
          <w:sz w:val="24"/>
          <w:szCs w:val="24"/>
        </w:rPr>
        <w:t>decid</w:t>
      </w:r>
      <w:r w:rsidR="00CC1644">
        <w:rPr>
          <w:rFonts w:ascii="Times New Roman" w:hAnsi="Times New Roman" w:cs="Times New Roman"/>
          <w:sz w:val="24"/>
          <w:szCs w:val="24"/>
        </w:rPr>
        <w:t>e</w:t>
      </w:r>
      <w:r w:rsidR="00BE4E39">
        <w:rPr>
          <w:rFonts w:ascii="Times New Roman" w:hAnsi="Times New Roman" w:cs="Times New Roman"/>
          <w:sz w:val="24"/>
          <w:szCs w:val="24"/>
        </w:rPr>
        <w:t>/confirm</w:t>
      </w:r>
      <w:r w:rsidR="00B06971">
        <w:rPr>
          <w:rFonts w:ascii="Times New Roman" w:hAnsi="Times New Roman" w:cs="Times New Roman"/>
          <w:sz w:val="24"/>
          <w:szCs w:val="24"/>
        </w:rPr>
        <w:t>:</w:t>
      </w:r>
    </w:p>
    <w:p w:rsidR="00C217B2" w:rsidRDefault="00085498" w:rsidP="00196EBC">
      <w:pPr>
        <w:pStyle w:val="ListParagraph"/>
        <w:numPr>
          <w:ilvl w:val="0"/>
          <w:numId w:val="9"/>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if there are several levels</w:t>
      </w:r>
      <w:r w:rsidR="00744713" w:rsidRPr="006A64DF">
        <w:rPr>
          <w:rFonts w:ascii="Times New Roman" w:hAnsi="Times New Roman" w:cs="Times New Roman"/>
          <w:sz w:val="24"/>
          <w:szCs w:val="24"/>
        </w:rPr>
        <w:t xml:space="preserve"> and approaches</w:t>
      </w:r>
      <w:r w:rsidRPr="006A64DF">
        <w:rPr>
          <w:rFonts w:ascii="Times New Roman" w:hAnsi="Times New Roman" w:cs="Times New Roman"/>
          <w:sz w:val="24"/>
          <w:szCs w:val="24"/>
        </w:rPr>
        <w:t xml:space="preserve"> of ISP research (</w:t>
      </w:r>
      <w:r w:rsidR="00217539" w:rsidRPr="006A64DF">
        <w:rPr>
          <w:rFonts w:ascii="Times New Roman" w:hAnsi="Times New Roman" w:cs="Times New Roman"/>
          <w:sz w:val="24"/>
          <w:szCs w:val="24"/>
        </w:rPr>
        <w:t xml:space="preserve">e.g., </w:t>
      </w:r>
      <w:r w:rsidR="000876ED" w:rsidRPr="006A64DF">
        <w:rPr>
          <w:rFonts w:ascii="Times New Roman" w:hAnsi="Times New Roman" w:cs="Times New Roman"/>
          <w:sz w:val="24"/>
          <w:szCs w:val="24"/>
        </w:rPr>
        <w:t>application types</w:t>
      </w:r>
      <w:r w:rsidR="000876ED">
        <w:rPr>
          <w:rFonts w:ascii="Times New Roman" w:hAnsi="Times New Roman" w:cs="Times New Roman"/>
          <w:sz w:val="24"/>
          <w:szCs w:val="24"/>
        </w:rPr>
        <w:t>,</w:t>
      </w:r>
      <w:r w:rsidR="000876ED" w:rsidRPr="006A64DF">
        <w:rPr>
          <w:rFonts w:ascii="Times New Roman" w:hAnsi="Times New Roman" w:cs="Times New Roman"/>
          <w:sz w:val="24"/>
          <w:szCs w:val="24"/>
        </w:rPr>
        <w:t xml:space="preserve"> </w:t>
      </w:r>
      <w:r w:rsidR="00217539" w:rsidRPr="006A64DF">
        <w:rPr>
          <w:rFonts w:ascii="Times New Roman" w:hAnsi="Times New Roman" w:cs="Times New Roman"/>
          <w:sz w:val="24"/>
          <w:szCs w:val="24"/>
        </w:rPr>
        <w:t>sizes of the sample</w:t>
      </w:r>
      <w:r w:rsidR="00235580" w:rsidRPr="006A64DF">
        <w:rPr>
          <w:rFonts w:ascii="Times New Roman" w:hAnsi="Times New Roman" w:cs="Times New Roman"/>
          <w:sz w:val="24"/>
          <w:szCs w:val="24"/>
        </w:rPr>
        <w:t>, small to very large,</w:t>
      </w:r>
      <w:r w:rsidR="000876ED" w:rsidRPr="000876ED">
        <w:rPr>
          <w:rFonts w:ascii="Times New Roman" w:hAnsi="Times New Roman" w:cs="Times New Roman"/>
          <w:sz w:val="24"/>
          <w:szCs w:val="24"/>
        </w:rPr>
        <w:t xml:space="preserve"> </w:t>
      </w:r>
      <w:r w:rsidR="000876ED" w:rsidRPr="006A64DF">
        <w:rPr>
          <w:rFonts w:ascii="Times New Roman" w:hAnsi="Times New Roman" w:cs="Times New Roman"/>
          <w:sz w:val="24"/>
          <w:szCs w:val="24"/>
        </w:rPr>
        <w:t>levels of rigor</w:t>
      </w:r>
      <w:r w:rsidRPr="006A64DF">
        <w:rPr>
          <w:rFonts w:ascii="Times New Roman" w:hAnsi="Times New Roman" w:cs="Times New Roman"/>
          <w:sz w:val="24"/>
          <w:szCs w:val="24"/>
        </w:rPr>
        <w:t>)</w:t>
      </w:r>
    </w:p>
    <w:p w:rsidR="00C217B2" w:rsidRDefault="00085498" w:rsidP="00196EBC">
      <w:pPr>
        <w:pStyle w:val="ListParagraph"/>
        <w:numPr>
          <w:ilvl w:val="0"/>
          <w:numId w:val="9"/>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what triggers an ISP study</w:t>
      </w:r>
    </w:p>
    <w:p w:rsidR="00C217B2" w:rsidRDefault="00085498" w:rsidP="00196EBC">
      <w:pPr>
        <w:pStyle w:val="ListParagraph"/>
        <w:numPr>
          <w:ilvl w:val="0"/>
          <w:numId w:val="9"/>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who can request one</w:t>
      </w:r>
    </w:p>
    <w:p w:rsidR="00C217B2" w:rsidRDefault="00C217B2" w:rsidP="00196EBC">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085498" w:rsidRPr="006A64DF">
        <w:rPr>
          <w:rFonts w:ascii="Times New Roman" w:hAnsi="Times New Roman" w:cs="Times New Roman"/>
          <w:sz w:val="24"/>
          <w:szCs w:val="24"/>
        </w:rPr>
        <w:t>he detailed process to carry these out</w:t>
      </w:r>
    </w:p>
    <w:p w:rsidR="00085498" w:rsidRPr="006A64DF" w:rsidRDefault="00085498" w:rsidP="00196EBC">
      <w:pPr>
        <w:pStyle w:val="ListParagraph"/>
        <w:numPr>
          <w:ilvl w:val="0"/>
          <w:numId w:val="9"/>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how much stakeholder input</w:t>
      </w:r>
      <w:r w:rsidR="00CC1644">
        <w:rPr>
          <w:rFonts w:ascii="Times New Roman" w:hAnsi="Times New Roman" w:cs="Times New Roman"/>
          <w:sz w:val="24"/>
          <w:szCs w:val="24"/>
        </w:rPr>
        <w:t xml:space="preserve"> is required and when</w:t>
      </w:r>
      <w:r w:rsidRPr="006A64DF">
        <w:rPr>
          <w:rFonts w:ascii="Times New Roman" w:hAnsi="Times New Roman" w:cs="Times New Roman"/>
          <w:sz w:val="24"/>
          <w:szCs w:val="24"/>
        </w:rPr>
        <w:t>, timelines, approval process</w:t>
      </w:r>
      <w:r w:rsidR="00CC1644">
        <w:rPr>
          <w:rFonts w:ascii="Times New Roman" w:hAnsi="Times New Roman" w:cs="Times New Roman"/>
          <w:sz w:val="24"/>
          <w:szCs w:val="24"/>
        </w:rPr>
        <w:t>es</w:t>
      </w:r>
      <w:r w:rsidRPr="006A64DF">
        <w:rPr>
          <w:rFonts w:ascii="Times New Roman" w:hAnsi="Times New Roman" w:cs="Times New Roman"/>
          <w:sz w:val="24"/>
          <w:szCs w:val="24"/>
        </w:rPr>
        <w:t>, etc.</w:t>
      </w:r>
    </w:p>
    <w:p w:rsidR="00744713" w:rsidRDefault="00744713" w:rsidP="00B73D70">
      <w:pPr>
        <w:pStyle w:val="ListParagraph"/>
        <w:spacing w:after="240" w:line="240" w:lineRule="auto"/>
        <w:ind w:left="0"/>
        <w:rPr>
          <w:rFonts w:ascii="Times New Roman" w:hAnsi="Times New Roman" w:cs="Times New Roman"/>
          <w:sz w:val="24"/>
          <w:szCs w:val="24"/>
        </w:rPr>
      </w:pPr>
    </w:p>
    <w:p w:rsidR="001B1860" w:rsidRPr="006A64DF" w:rsidRDefault="009C2EE0" w:rsidP="00196EBC">
      <w:pPr>
        <w:pStyle w:val="Heading3"/>
      </w:pPr>
      <w:r>
        <w:t xml:space="preserve">2.2.1 </w:t>
      </w:r>
      <w:r w:rsidR="00196EBC">
        <w:t>Reality C</w:t>
      </w:r>
      <w:r w:rsidR="001B1860">
        <w:t>hecks</w:t>
      </w:r>
      <w:r w:rsidR="00196EBC">
        <w:t xml:space="preserve"> – What’s problematic or missing in the existing Guide?</w:t>
      </w:r>
    </w:p>
    <w:p w:rsidR="004108F3" w:rsidRPr="006A64DF" w:rsidRDefault="009C296A" w:rsidP="00B73D70">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ISP concept, d</w:t>
      </w:r>
      <w:r w:rsidR="004108F3" w:rsidRPr="006A64DF">
        <w:rPr>
          <w:rFonts w:ascii="Times New Roman" w:hAnsi="Times New Roman" w:cs="Times New Roman"/>
          <w:sz w:val="24"/>
          <w:szCs w:val="24"/>
        </w:rPr>
        <w:t>efinitions &amp; applicability (specific market)</w:t>
      </w:r>
      <w:r w:rsidR="00217539" w:rsidRPr="006A64DF">
        <w:rPr>
          <w:rFonts w:ascii="Times New Roman" w:hAnsi="Times New Roman" w:cs="Times New Roman"/>
          <w:sz w:val="24"/>
          <w:szCs w:val="24"/>
        </w:rPr>
        <w:t xml:space="preserve"> – The existing Guide presents murky </w:t>
      </w:r>
      <w:r w:rsidR="00235580" w:rsidRPr="006A64DF">
        <w:rPr>
          <w:rFonts w:ascii="Times New Roman" w:hAnsi="Times New Roman" w:cs="Times New Roman"/>
          <w:sz w:val="24"/>
          <w:szCs w:val="24"/>
        </w:rPr>
        <w:t xml:space="preserve">definitions, </w:t>
      </w:r>
      <w:r w:rsidR="00217539" w:rsidRPr="006A64DF">
        <w:rPr>
          <w:rFonts w:ascii="Times New Roman" w:hAnsi="Times New Roman" w:cs="Times New Roman"/>
          <w:sz w:val="24"/>
          <w:szCs w:val="24"/>
        </w:rPr>
        <w:t xml:space="preserve">often conflicting within the text. </w:t>
      </w:r>
      <w:r w:rsidR="00D81123" w:rsidRPr="006A64DF">
        <w:rPr>
          <w:rFonts w:ascii="Times New Roman" w:hAnsi="Times New Roman" w:cs="Times New Roman"/>
          <w:sz w:val="24"/>
          <w:szCs w:val="24"/>
        </w:rPr>
        <w:t xml:space="preserve">The term </w:t>
      </w:r>
      <w:r w:rsidR="00217539" w:rsidRPr="006A64DF">
        <w:rPr>
          <w:rFonts w:ascii="Times New Roman" w:hAnsi="Times New Roman" w:cs="Times New Roman"/>
          <w:sz w:val="24"/>
          <w:szCs w:val="24"/>
        </w:rPr>
        <w:t>ISP is often perceived as market penetration in the document.</w:t>
      </w:r>
      <w:r w:rsidR="003E7318" w:rsidRPr="006A64DF">
        <w:rPr>
          <w:rFonts w:ascii="Times New Roman" w:hAnsi="Times New Roman" w:cs="Times New Roman"/>
          <w:sz w:val="24"/>
          <w:szCs w:val="24"/>
        </w:rPr>
        <w:t xml:space="preserve"> Market saturation graphs in the existing document, while interesting, imply ISP determination is based upon penetration rate; however, </w:t>
      </w:r>
      <w:r w:rsidR="001C0ED5">
        <w:rPr>
          <w:rFonts w:ascii="Times New Roman" w:hAnsi="Times New Roman" w:cs="Times New Roman"/>
          <w:sz w:val="24"/>
          <w:szCs w:val="24"/>
        </w:rPr>
        <w:t>the ISP Guide does not</w:t>
      </w:r>
      <w:r w:rsidR="003E7318" w:rsidRPr="006A64DF">
        <w:rPr>
          <w:rFonts w:ascii="Times New Roman" w:hAnsi="Times New Roman" w:cs="Times New Roman"/>
          <w:sz w:val="24"/>
          <w:szCs w:val="24"/>
        </w:rPr>
        <w:t xml:space="preserve"> indi</w:t>
      </w:r>
      <w:r w:rsidR="00744713" w:rsidRPr="006A64DF">
        <w:rPr>
          <w:rFonts w:ascii="Times New Roman" w:hAnsi="Times New Roman" w:cs="Times New Roman"/>
          <w:sz w:val="24"/>
          <w:szCs w:val="24"/>
        </w:rPr>
        <w:t>c</w:t>
      </w:r>
      <w:r w:rsidR="003E7318" w:rsidRPr="006A64DF">
        <w:rPr>
          <w:rFonts w:ascii="Times New Roman" w:hAnsi="Times New Roman" w:cs="Times New Roman"/>
          <w:sz w:val="24"/>
          <w:szCs w:val="24"/>
        </w:rPr>
        <w:t>at</w:t>
      </w:r>
      <w:r w:rsidR="001C0ED5">
        <w:rPr>
          <w:rFonts w:ascii="Times New Roman" w:hAnsi="Times New Roman" w:cs="Times New Roman"/>
          <w:sz w:val="24"/>
          <w:szCs w:val="24"/>
        </w:rPr>
        <w:t>e</w:t>
      </w:r>
      <w:r w:rsidR="003E7318" w:rsidRPr="006A64DF">
        <w:rPr>
          <w:rFonts w:ascii="Times New Roman" w:hAnsi="Times New Roman" w:cs="Times New Roman"/>
          <w:sz w:val="24"/>
          <w:szCs w:val="24"/>
        </w:rPr>
        <w:t xml:space="preserve"> </w:t>
      </w:r>
      <w:r w:rsidR="00744713" w:rsidRPr="006A64DF">
        <w:rPr>
          <w:rFonts w:ascii="Times New Roman" w:hAnsi="Times New Roman" w:cs="Times New Roman"/>
          <w:sz w:val="24"/>
          <w:szCs w:val="24"/>
        </w:rPr>
        <w:t xml:space="preserve">any </w:t>
      </w:r>
      <w:r w:rsidR="00B06971">
        <w:rPr>
          <w:rFonts w:ascii="Times New Roman" w:hAnsi="Times New Roman" w:cs="Times New Roman"/>
          <w:sz w:val="24"/>
          <w:szCs w:val="24"/>
        </w:rPr>
        <w:t xml:space="preserve">penetration or market saturation </w:t>
      </w:r>
      <w:r w:rsidR="003E7318" w:rsidRPr="006A64DF">
        <w:rPr>
          <w:rFonts w:ascii="Times New Roman" w:hAnsi="Times New Roman" w:cs="Times New Roman"/>
          <w:sz w:val="24"/>
          <w:szCs w:val="24"/>
        </w:rPr>
        <w:t xml:space="preserve">metric or threshold </w:t>
      </w:r>
      <w:r w:rsidR="001C0ED5">
        <w:rPr>
          <w:rFonts w:ascii="Times New Roman" w:hAnsi="Times New Roman" w:cs="Times New Roman"/>
          <w:sz w:val="24"/>
          <w:szCs w:val="24"/>
        </w:rPr>
        <w:t>that would define a measure as ISP</w:t>
      </w:r>
      <w:r w:rsidR="003E7318" w:rsidRPr="006A64DF">
        <w:rPr>
          <w:rFonts w:ascii="Times New Roman" w:hAnsi="Times New Roman" w:cs="Times New Roman"/>
          <w:sz w:val="24"/>
          <w:szCs w:val="24"/>
        </w:rPr>
        <w:t xml:space="preserve">.  </w:t>
      </w:r>
    </w:p>
    <w:p w:rsidR="00B06971" w:rsidRDefault="003E47E0" w:rsidP="00B73D70">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Clarification </w:t>
      </w:r>
      <w:r w:rsidR="009C296A" w:rsidRPr="006A64DF">
        <w:rPr>
          <w:rFonts w:ascii="Times New Roman" w:hAnsi="Times New Roman" w:cs="Times New Roman"/>
          <w:sz w:val="24"/>
          <w:szCs w:val="24"/>
        </w:rPr>
        <w:t xml:space="preserve">of </w:t>
      </w:r>
      <w:r w:rsidRPr="006A64DF">
        <w:rPr>
          <w:rFonts w:ascii="Times New Roman" w:hAnsi="Times New Roman" w:cs="Times New Roman"/>
          <w:sz w:val="24"/>
          <w:szCs w:val="24"/>
        </w:rPr>
        <w:t>relevance &amp; difference of market saturation/penetration vs. ISP</w:t>
      </w:r>
      <w:r w:rsidR="00235580" w:rsidRPr="006A64DF">
        <w:rPr>
          <w:rFonts w:ascii="Times New Roman" w:hAnsi="Times New Roman" w:cs="Times New Roman"/>
          <w:sz w:val="24"/>
          <w:szCs w:val="24"/>
        </w:rPr>
        <w:t xml:space="preserve">. </w:t>
      </w:r>
    </w:p>
    <w:p w:rsidR="003E47E0" w:rsidRPr="006A64DF" w:rsidRDefault="00235580" w:rsidP="00B73D70">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lastRenderedPageBreak/>
        <w:t>The existing Guide is too long and lack</w:t>
      </w:r>
      <w:r w:rsidR="001C0ED5">
        <w:rPr>
          <w:rFonts w:ascii="Times New Roman" w:hAnsi="Times New Roman" w:cs="Times New Roman"/>
          <w:sz w:val="24"/>
          <w:szCs w:val="24"/>
        </w:rPr>
        <w:t>s</w:t>
      </w:r>
      <w:r w:rsidRPr="006A64DF">
        <w:rPr>
          <w:rFonts w:ascii="Times New Roman" w:hAnsi="Times New Roman" w:cs="Times New Roman"/>
          <w:sz w:val="24"/>
          <w:szCs w:val="24"/>
        </w:rPr>
        <w:t xml:space="preserve"> clarit</w:t>
      </w:r>
      <w:r w:rsidR="001C0ED5">
        <w:rPr>
          <w:rFonts w:ascii="Times New Roman" w:hAnsi="Times New Roman" w:cs="Times New Roman"/>
          <w:sz w:val="24"/>
          <w:szCs w:val="24"/>
        </w:rPr>
        <w:t>y</w:t>
      </w:r>
      <w:r w:rsidRPr="006A64DF">
        <w:rPr>
          <w:rFonts w:ascii="Times New Roman" w:hAnsi="Times New Roman" w:cs="Times New Roman"/>
          <w:sz w:val="24"/>
          <w:szCs w:val="24"/>
        </w:rPr>
        <w:t xml:space="preserve"> in importan</w:t>
      </w:r>
      <w:r w:rsidR="001C0ED5">
        <w:rPr>
          <w:rFonts w:ascii="Times New Roman" w:hAnsi="Times New Roman" w:cs="Times New Roman"/>
          <w:sz w:val="24"/>
          <w:szCs w:val="24"/>
        </w:rPr>
        <w:t xml:space="preserve">t </w:t>
      </w:r>
      <w:r w:rsidR="00B06971">
        <w:rPr>
          <w:rFonts w:ascii="Times New Roman" w:hAnsi="Times New Roman" w:cs="Times New Roman"/>
          <w:sz w:val="24"/>
          <w:szCs w:val="24"/>
        </w:rPr>
        <w:t xml:space="preserve">aspects affecting </w:t>
      </w:r>
      <w:r w:rsidR="001C0ED5">
        <w:rPr>
          <w:rFonts w:ascii="Times New Roman" w:hAnsi="Times New Roman" w:cs="Times New Roman"/>
          <w:sz w:val="24"/>
          <w:szCs w:val="24"/>
        </w:rPr>
        <w:t>custom project</w:t>
      </w:r>
      <w:r w:rsidRPr="006A64DF">
        <w:rPr>
          <w:rFonts w:ascii="Times New Roman" w:hAnsi="Times New Roman" w:cs="Times New Roman"/>
          <w:sz w:val="24"/>
          <w:szCs w:val="24"/>
        </w:rPr>
        <w:t xml:space="preserve"> </w:t>
      </w:r>
      <w:r w:rsidR="00B06971">
        <w:rPr>
          <w:rFonts w:ascii="Times New Roman" w:hAnsi="Times New Roman" w:cs="Times New Roman"/>
          <w:sz w:val="24"/>
          <w:szCs w:val="24"/>
        </w:rPr>
        <w:t xml:space="preserve">ISP </w:t>
      </w:r>
      <w:r w:rsidRPr="006A64DF">
        <w:rPr>
          <w:rFonts w:ascii="Times New Roman" w:hAnsi="Times New Roman" w:cs="Times New Roman"/>
          <w:sz w:val="24"/>
          <w:szCs w:val="24"/>
        </w:rPr>
        <w:t xml:space="preserve">issues. </w:t>
      </w:r>
      <w:r w:rsidR="001C0ED5">
        <w:rPr>
          <w:rFonts w:ascii="Times New Roman" w:hAnsi="Times New Roman" w:cs="Times New Roman"/>
          <w:sz w:val="24"/>
          <w:szCs w:val="24"/>
        </w:rPr>
        <w:t>For example, t</w:t>
      </w:r>
      <w:r w:rsidRPr="006A64DF">
        <w:rPr>
          <w:rFonts w:ascii="Times New Roman" w:hAnsi="Times New Roman" w:cs="Times New Roman"/>
          <w:sz w:val="24"/>
          <w:szCs w:val="24"/>
        </w:rPr>
        <w:t xml:space="preserve">he </w:t>
      </w:r>
      <w:r w:rsidR="001C0ED5">
        <w:rPr>
          <w:rFonts w:ascii="Times New Roman" w:hAnsi="Times New Roman" w:cs="Times New Roman"/>
          <w:sz w:val="24"/>
          <w:szCs w:val="24"/>
        </w:rPr>
        <w:t xml:space="preserve">ISP </w:t>
      </w:r>
      <w:r w:rsidRPr="006A64DF">
        <w:rPr>
          <w:rFonts w:ascii="Times New Roman" w:hAnsi="Times New Roman" w:cs="Times New Roman"/>
          <w:sz w:val="24"/>
          <w:szCs w:val="24"/>
        </w:rPr>
        <w:t>Guide doesn’t provide guidance on designing effective surveys (e.g., design of questionnaires</w:t>
      </w:r>
      <w:r w:rsidR="001C0ED5">
        <w:rPr>
          <w:rFonts w:ascii="Times New Roman" w:hAnsi="Times New Roman" w:cs="Times New Roman"/>
          <w:sz w:val="24"/>
          <w:szCs w:val="24"/>
        </w:rPr>
        <w:t xml:space="preserve"> and samples</w:t>
      </w:r>
      <w:r w:rsidRPr="006A64DF">
        <w:rPr>
          <w:rFonts w:ascii="Times New Roman" w:hAnsi="Times New Roman" w:cs="Times New Roman"/>
          <w:sz w:val="24"/>
          <w:szCs w:val="24"/>
        </w:rPr>
        <w:t xml:space="preserve">). </w:t>
      </w:r>
    </w:p>
    <w:p w:rsidR="003E7318" w:rsidRPr="006A64DF" w:rsidRDefault="003E7318" w:rsidP="004725C5">
      <w:pPr>
        <w:pStyle w:val="ListParagraph"/>
        <w:spacing w:after="240" w:line="240" w:lineRule="auto"/>
        <w:rPr>
          <w:rFonts w:ascii="Times New Roman" w:hAnsi="Times New Roman" w:cs="Times New Roman"/>
          <w:sz w:val="24"/>
          <w:szCs w:val="24"/>
        </w:rPr>
      </w:pPr>
    </w:p>
    <w:p w:rsidR="00FA1511" w:rsidRPr="006A64DF" w:rsidRDefault="00FA1511"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b/>
          <w:sz w:val="24"/>
          <w:szCs w:val="24"/>
        </w:rPr>
        <w:t>[</w:t>
      </w:r>
      <w:r>
        <w:rPr>
          <w:rFonts w:ascii="Times New Roman" w:hAnsi="Times New Roman" w:cs="Times New Roman"/>
          <w:b/>
          <w:sz w:val="24"/>
          <w:szCs w:val="24"/>
        </w:rPr>
        <w:t xml:space="preserve">Currently Missing or Insufficient, section 2.1 items 1 through 3] </w:t>
      </w:r>
      <w:r w:rsidRPr="006A64DF">
        <w:rPr>
          <w:rFonts w:ascii="Times New Roman" w:hAnsi="Times New Roman" w:cs="Times New Roman"/>
          <w:sz w:val="24"/>
          <w:szCs w:val="24"/>
        </w:rPr>
        <w:t>What type of ISP study should be used/developed</w:t>
      </w:r>
      <w:r>
        <w:rPr>
          <w:rFonts w:ascii="Times New Roman" w:hAnsi="Times New Roman" w:cs="Times New Roman"/>
          <w:sz w:val="24"/>
          <w:szCs w:val="24"/>
        </w:rPr>
        <w:t xml:space="preserve"> for which situation</w:t>
      </w:r>
      <w:r w:rsidRPr="006A64DF">
        <w:rPr>
          <w:rFonts w:ascii="Times New Roman" w:hAnsi="Times New Roman" w:cs="Times New Roman"/>
          <w:sz w:val="24"/>
          <w:szCs w:val="24"/>
        </w:rPr>
        <w:t>?</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Market-based (sector/measure) vs. One-off/Exception vs. sunset</w:t>
      </w:r>
    </w:p>
    <w:p w:rsidR="00FA1511" w:rsidRPr="006A64DF" w:rsidRDefault="00FA1511" w:rsidP="00196EBC">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Purposes of ISP studies (deemed and custom projects)</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Types of ISP study</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Pre-ISP vs. early opinion vs. market-based ISP vs. one-off</w:t>
      </w:r>
      <w:r>
        <w:rPr>
          <w:rFonts w:ascii="Times New Roman" w:hAnsi="Times New Roman" w:cs="Times New Roman"/>
          <w:sz w:val="24"/>
          <w:szCs w:val="24"/>
        </w:rPr>
        <w:t xml:space="preserve"> (custom-specific)</w:t>
      </w:r>
      <w:r w:rsidRPr="006A64DF">
        <w:rPr>
          <w:rFonts w:ascii="Times New Roman" w:hAnsi="Times New Roman" w:cs="Times New Roman"/>
          <w:sz w:val="24"/>
          <w:szCs w:val="24"/>
        </w:rPr>
        <w:t>?</w:t>
      </w:r>
    </w:p>
    <w:p w:rsidR="00FA1511" w:rsidRPr="006A64DF" w:rsidRDefault="00FA1511"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Process/reviews/stakeholder roles throughout the process of an ISP study</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Request form</w:t>
      </w:r>
      <w:r>
        <w:rPr>
          <w:rFonts w:ascii="Times New Roman" w:hAnsi="Times New Roman" w:cs="Times New Roman"/>
          <w:sz w:val="24"/>
          <w:szCs w:val="24"/>
        </w:rPr>
        <w:t xml:space="preserve"> for scope of work</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Survey instrument and review</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Sample selection and recruitment</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Survey administration </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Data compilation and analysis</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Literature reviews</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Draft report</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Stakeholder/ED review</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Final publication (venue) current: http://www.cpuc.ca.gov/General.aspx?id=4133</w:t>
      </w:r>
    </w:p>
    <w:p w:rsidR="00FA1511" w:rsidRPr="006A64DF" w:rsidRDefault="00FA1511"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Turn-around time for each step</w:t>
      </w:r>
    </w:p>
    <w:p w:rsidR="00FA1511" w:rsidRPr="00FA1511" w:rsidRDefault="00FA1511"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Level of Rigors – low vs. high (</w:t>
      </w:r>
      <w:r>
        <w:rPr>
          <w:rFonts w:ascii="Times New Roman" w:hAnsi="Times New Roman" w:cs="Times New Roman"/>
          <w:sz w:val="24"/>
          <w:szCs w:val="24"/>
        </w:rPr>
        <w:t xml:space="preserve">does existing division </w:t>
      </w:r>
      <w:r w:rsidRPr="006A64DF">
        <w:rPr>
          <w:rFonts w:ascii="Times New Roman" w:hAnsi="Times New Roman" w:cs="Times New Roman"/>
          <w:sz w:val="24"/>
          <w:szCs w:val="24"/>
        </w:rPr>
        <w:t xml:space="preserve">make sense? If yes, how can each level bring the most cost-effective values other than who would be eligible to request </w:t>
      </w:r>
      <w:r w:rsidR="00DE4600">
        <w:rPr>
          <w:rFonts w:ascii="Times New Roman" w:hAnsi="Times New Roman" w:cs="Times New Roman"/>
          <w:sz w:val="24"/>
          <w:szCs w:val="24"/>
        </w:rPr>
        <w:t xml:space="preserve">an ISP </w:t>
      </w:r>
      <w:r w:rsidRPr="006A64DF">
        <w:rPr>
          <w:rFonts w:ascii="Times New Roman" w:hAnsi="Times New Roman" w:cs="Times New Roman"/>
          <w:sz w:val="24"/>
          <w:szCs w:val="24"/>
        </w:rPr>
        <w:t>study of high or low rigor?</w:t>
      </w:r>
      <w:r>
        <w:rPr>
          <w:rFonts w:ascii="Times New Roman" w:hAnsi="Times New Roman" w:cs="Times New Roman"/>
          <w:sz w:val="24"/>
          <w:szCs w:val="24"/>
        </w:rPr>
        <w:t xml:space="preserve"> </w:t>
      </w:r>
      <w:r w:rsidR="00DE4600">
        <w:rPr>
          <w:rFonts w:ascii="Times New Roman" w:hAnsi="Times New Roman" w:cs="Times New Roman"/>
          <w:sz w:val="24"/>
          <w:szCs w:val="24"/>
        </w:rPr>
        <w:t>W</w:t>
      </w:r>
      <w:r>
        <w:rPr>
          <w:rFonts w:ascii="Times New Roman" w:hAnsi="Times New Roman" w:cs="Times New Roman"/>
          <w:sz w:val="24"/>
          <w:szCs w:val="24"/>
        </w:rPr>
        <w:t xml:space="preserve">ould it be more appropriate to distinguish based upon the </w:t>
      </w:r>
      <w:r w:rsidR="00196EBC">
        <w:rPr>
          <w:rFonts w:ascii="Times New Roman" w:hAnsi="Times New Roman" w:cs="Times New Roman"/>
          <w:sz w:val="24"/>
          <w:szCs w:val="24"/>
        </w:rPr>
        <w:t xml:space="preserve">study </w:t>
      </w:r>
      <w:r>
        <w:rPr>
          <w:rFonts w:ascii="Times New Roman" w:hAnsi="Times New Roman" w:cs="Times New Roman"/>
          <w:sz w:val="24"/>
          <w:szCs w:val="24"/>
        </w:rPr>
        <w:t>approach</w:t>
      </w:r>
      <w:r w:rsidR="00DE4600">
        <w:rPr>
          <w:rFonts w:ascii="Times New Roman" w:hAnsi="Times New Roman" w:cs="Times New Roman"/>
          <w:sz w:val="24"/>
          <w:szCs w:val="24"/>
        </w:rPr>
        <w:t>?</w:t>
      </w:r>
      <w:r>
        <w:rPr>
          <w:rFonts w:ascii="Times New Roman" w:hAnsi="Times New Roman" w:cs="Times New Roman"/>
          <w:sz w:val="24"/>
          <w:szCs w:val="24"/>
        </w:rPr>
        <w:t xml:space="preserve"> </w:t>
      </w:r>
      <w:r w:rsidRPr="006A64DF">
        <w:rPr>
          <w:rFonts w:ascii="Times New Roman" w:hAnsi="Times New Roman" w:cs="Times New Roman"/>
          <w:sz w:val="24"/>
          <w:szCs w:val="24"/>
        </w:rPr>
        <w:t>)</w:t>
      </w:r>
      <w:r w:rsidRPr="006A64DF">
        <w:rPr>
          <w:rFonts w:ascii="Times New Roman" w:hAnsi="Times New Roman" w:cs="Times New Roman"/>
          <w:b/>
          <w:sz w:val="24"/>
          <w:szCs w:val="24"/>
        </w:rPr>
        <w:t xml:space="preserve"> </w:t>
      </w:r>
    </w:p>
    <w:p w:rsidR="00FA1511" w:rsidRPr="006A64DF" w:rsidRDefault="00FA1511" w:rsidP="00FA1511">
      <w:pPr>
        <w:pStyle w:val="ListParagraph"/>
        <w:numPr>
          <w:ilvl w:val="0"/>
          <w:numId w:val="1"/>
        </w:numPr>
        <w:spacing w:after="240" w:line="240" w:lineRule="auto"/>
        <w:rPr>
          <w:rFonts w:ascii="Times New Roman" w:hAnsi="Times New Roman" w:cs="Times New Roman"/>
          <w:sz w:val="24"/>
          <w:szCs w:val="24"/>
        </w:rPr>
      </w:pPr>
      <w:r w:rsidRPr="000876ED">
        <w:rPr>
          <w:rFonts w:ascii="Times New Roman" w:hAnsi="Times New Roman" w:cs="Times New Roman"/>
          <w:b/>
          <w:sz w:val="24"/>
          <w:szCs w:val="24"/>
        </w:rPr>
        <w:t>[</w:t>
      </w:r>
      <w:r w:rsidRPr="00312D66">
        <w:rPr>
          <w:rFonts w:ascii="Times New Roman" w:hAnsi="Times New Roman" w:cs="Times New Roman"/>
          <w:b/>
          <w:sz w:val="24"/>
          <w:szCs w:val="24"/>
        </w:rPr>
        <w:t>Recommendation</w:t>
      </w:r>
      <w:r>
        <w:rPr>
          <w:rFonts w:ascii="Times New Roman" w:hAnsi="Times New Roman" w:cs="Times New Roman"/>
          <w:b/>
          <w:sz w:val="24"/>
          <w:szCs w:val="24"/>
        </w:rPr>
        <w:t xml:space="preserve"> related to Section 2.1 item 3)</w:t>
      </w:r>
      <w:r w:rsidR="00AA3F5E">
        <w:rPr>
          <w:rFonts w:ascii="Times New Roman" w:hAnsi="Times New Roman" w:cs="Times New Roman"/>
          <w:b/>
          <w:sz w:val="24"/>
          <w:szCs w:val="24"/>
        </w:rPr>
        <w:t>]</w:t>
      </w:r>
      <w:r w:rsidRPr="006A64DF">
        <w:rPr>
          <w:rFonts w:ascii="Times New Roman" w:hAnsi="Times New Roman" w:cs="Times New Roman"/>
          <w:sz w:val="24"/>
          <w:szCs w:val="24"/>
        </w:rPr>
        <w:t>:  A clear guideline need</w:t>
      </w:r>
      <w:r>
        <w:rPr>
          <w:rFonts w:ascii="Times New Roman" w:hAnsi="Times New Roman" w:cs="Times New Roman"/>
          <w:sz w:val="24"/>
          <w:szCs w:val="24"/>
        </w:rPr>
        <w:t>s</w:t>
      </w:r>
      <w:r w:rsidRPr="006A64DF">
        <w:rPr>
          <w:rFonts w:ascii="Times New Roman" w:hAnsi="Times New Roman" w:cs="Times New Roman"/>
          <w:sz w:val="24"/>
          <w:szCs w:val="24"/>
        </w:rPr>
        <w:t xml:space="preserve"> to be developed in this update, in sync with </w:t>
      </w:r>
      <w:r>
        <w:rPr>
          <w:rFonts w:ascii="Times New Roman" w:hAnsi="Times New Roman" w:cs="Times New Roman"/>
          <w:sz w:val="24"/>
          <w:szCs w:val="24"/>
        </w:rPr>
        <w:t xml:space="preserve">the </w:t>
      </w:r>
      <w:r w:rsidRPr="006A64DF">
        <w:rPr>
          <w:rFonts w:ascii="Times New Roman" w:hAnsi="Times New Roman" w:cs="Times New Roman"/>
          <w:sz w:val="24"/>
          <w:szCs w:val="24"/>
        </w:rPr>
        <w:t xml:space="preserve">custom review process, to avoid </w:t>
      </w:r>
      <w:r>
        <w:rPr>
          <w:rFonts w:ascii="Times New Roman" w:hAnsi="Times New Roman" w:cs="Times New Roman"/>
          <w:sz w:val="24"/>
          <w:szCs w:val="24"/>
        </w:rPr>
        <w:t xml:space="preserve">review </w:t>
      </w:r>
      <w:r w:rsidRPr="006A64DF">
        <w:rPr>
          <w:rFonts w:ascii="Times New Roman" w:hAnsi="Times New Roman" w:cs="Times New Roman"/>
          <w:sz w:val="24"/>
          <w:szCs w:val="24"/>
        </w:rPr>
        <w:t>process delays or waste</w:t>
      </w:r>
      <w:r>
        <w:rPr>
          <w:rFonts w:ascii="Times New Roman" w:hAnsi="Times New Roman" w:cs="Times New Roman"/>
          <w:sz w:val="24"/>
          <w:szCs w:val="24"/>
        </w:rPr>
        <w:t>d</w:t>
      </w:r>
      <w:r w:rsidRPr="006A64DF">
        <w:rPr>
          <w:rFonts w:ascii="Times New Roman" w:hAnsi="Times New Roman" w:cs="Times New Roman"/>
          <w:sz w:val="24"/>
          <w:szCs w:val="24"/>
        </w:rPr>
        <w:t xml:space="preserve"> effort</w:t>
      </w:r>
      <w:r>
        <w:rPr>
          <w:rFonts w:ascii="Times New Roman" w:hAnsi="Times New Roman" w:cs="Times New Roman"/>
          <w:sz w:val="24"/>
          <w:szCs w:val="24"/>
        </w:rPr>
        <w:t>s</w:t>
      </w:r>
      <w:r w:rsidRPr="006A64DF">
        <w:rPr>
          <w:rFonts w:ascii="Times New Roman" w:hAnsi="Times New Roman" w:cs="Times New Roman"/>
          <w:sz w:val="24"/>
          <w:szCs w:val="24"/>
        </w:rPr>
        <w:t xml:space="preserve">.  We recommend </w:t>
      </w:r>
      <w:r>
        <w:rPr>
          <w:rFonts w:ascii="Times New Roman" w:hAnsi="Times New Roman" w:cs="Times New Roman"/>
          <w:sz w:val="24"/>
          <w:szCs w:val="24"/>
        </w:rPr>
        <w:t>the T2WG to work out a synchronized process between</w:t>
      </w:r>
      <w:r w:rsidR="00DE4600">
        <w:rPr>
          <w:rFonts w:ascii="Times New Roman" w:hAnsi="Times New Roman" w:cs="Times New Roman"/>
          <w:sz w:val="24"/>
          <w:szCs w:val="24"/>
        </w:rPr>
        <w:t xml:space="preserve"> the</w:t>
      </w:r>
      <w:r>
        <w:rPr>
          <w:rFonts w:ascii="Times New Roman" w:hAnsi="Times New Roman" w:cs="Times New Roman"/>
          <w:sz w:val="24"/>
          <w:szCs w:val="24"/>
        </w:rPr>
        <w:t xml:space="preserve"> ISP study and custom review process to minimize project </w:t>
      </w:r>
      <w:r w:rsidR="00DE4600">
        <w:rPr>
          <w:rFonts w:ascii="Times New Roman" w:hAnsi="Times New Roman" w:cs="Times New Roman"/>
          <w:sz w:val="24"/>
          <w:szCs w:val="24"/>
        </w:rPr>
        <w:t>delays</w:t>
      </w:r>
      <w:r>
        <w:rPr>
          <w:rFonts w:ascii="Times New Roman" w:hAnsi="Times New Roman" w:cs="Times New Roman"/>
          <w:sz w:val="24"/>
          <w:szCs w:val="24"/>
        </w:rPr>
        <w:t xml:space="preserve"> due to absence of an ISP study. </w:t>
      </w:r>
      <w:r w:rsidRPr="006A64DF">
        <w:rPr>
          <w:rFonts w:ascii="Times New Roman" w:hAnsi="Times New Roman" w:cs="Times New Roman"/>
          <w:sz w:val="24"/>
          <w:szCs w:val="24"/>
        </w:rPr>
        <w:t xml:space="preserve">For additional info, </w:t>
      </w:r>
      <w:r w:rsidRPr="003057CE">
        <w:rPr>
          <w:rFonts w:ascii="Times New Roman" w:hAnsi="Times New Roman" w:cs="Times New Roman"/>
          <w:sz w:val="24"/>
          <w:szCs w:val="24"/>
          <w:highlight w:val="yellow"/>
        </w:rPr>
        <w:t>refer to PG&amp;E’s Collaborative Review (CR) Protocol.</w:t>
      </w:r>
      <w:r w:rsidRPr="006A64DF">
        <w:rPr>
          <w:rFonts w:ascii="Times New Roman" w:hAnsi="Times New Roman" w:cs="Times New Roman"/>
          <w:sz w:val="24"/>
          <w:szCs w:val="24"/>
        </w:rPr>
        <w:t xml:space="preserve"> </w:t>
      </w:r>
    </w:p>
    <w:p w:rsidR="00FA1511" w:rsidRPr="006A64DF" w:rsidRDefault="00FA1511"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Essentials for developing an ISP study</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Understand the trigger</w:t>
      </w:r>
      <w:r w:rsidRPr="00312D66">
        <w:rPr>
          <w:rFonts w:ascii="Times New Roman" w:hAnsi="Times New Roman" w:cs="Times New Roman"/>
          <w:sz w:val="24"/>
          <w:szCs w:val="24"/>
        </w:rPr>
        <w:t xml:space="preserve"> </w:t>
      </w:r>
      <w:r w:rsidRPr="006A64DF">
        <w:rPr>
          <w:rFonts w:ascii="Times New Roman" w:hAnsi="Times New Roman" w:cs="Times New Roman"/>
          <w:sz w:val="24"/>
          <w:szCs w:val="24"/>
        </w:rPr>
        <w:t>(</w:t>
      </w:r>
      <w:r>
        <w:rPr>
          <w:rFonts w:ascii="Times New Roman" w:hAnsi="Times New Roman" w:cs="Times New Roman"/>
          <w:sz w:val="24"/>
          <w:szCs w:val="24"/>
        </w:rPr>
        <w:t xml:space="preserve">e.g., savings: </w:t>
      </w:r>
      <w:r w:rsidRPr="006A64DF">
        <w:rPr>
          <w:rFonts w:ascii="Times New Roman" w:hAnsi="Times New Roman" w:cs="Times New Roman"/>
          <w:sz w:val="24"/>
          <w:szCs w:val="24"/>
        </w:rPr>
        <w:t>kWh</w:t>
      </w:r>
      <w:r>
        <w:rPr>
          <w:rFonts w:ascii="Times New Roman" w:hAnsi="Times New Roman" w:cs="Times New Roman"/>
          <w:sz w:val="24"/>
          <w:szCs w:val="24"/>
        </w:rPr>
        <w:t>,</w:t>
      </w:r>
      <w:r w:rsidR="00DA3603">
        <w:rPr>
          <w:rFonts w:ascii="Times New Roman" w:hAnsi="Times New Roman" w:cs="Times New Roman"/>
          <w:sz w:val="24"/>
          <w:szCs w:val="24"/>
        </w:rPr>
        <w:t xml:space="preserve"> </w:t>
      </w:r>
      <w:r w:rsidRPr="006A64DF">
        <w:rPr>
          <w:rFonts w:ascii="Times New Roman" w:hAnsi="Times New Roman" w:cs="Times New Roman"/>
          <w:sz w:val="24"/>
          <w:szCs w:val="24"/>
        </w:rPr>
        <w:t>therm</w:t>
      </w:r>
      <w:r>
        <w:rPr>
          <w:rFonts w:ascii="Times New Roman" w:hAnsi="Times New Roman" w:cs="Times New Roman"/>
          <w:sz w:val="24"/>
          <w:szCs w:val="24"/>
        </w:rPr>
        <w:t>,</w:t>
      </w:r>
      <w:r w:rsidR="00DA3603">
        <w:rPr>
          <w:rFonts w:ascii="Times New Roman" w:hAnsi="Times New Roman" w:cs="Times New Roman"/>
          <w:sz w:val="24"/>
          <w:szCs w:val="24"/>
        </w:rPr>
        <w:t xml:space="preserve"> </w:t>
      </w:r>
      <w:r>
        <w:rPr>
          <w:rFonts w:ascii="Times New Roman" w:hAnsi="Times New Roman" w:cs="Times New Roman"/>
          <w:sz w:val="24"/>
          <w:szCs w:val="24"/>
        </w:rPr>
        <w:t>$</w:t>
      </w:r>
      <w:r w:rsidRPr="006A64DF">
        <w:rPr>
          <w:rFonts w:ascii="Times New Roman" w:hAnsi="Times New Roman" w:cs="Times New Roman"/>
          <w:sz w:val="24"/>
          <w:szCs w:val="24"/>
        </w:rPr>
        <w:t>)</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Determine purpose and scope </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Determine the t</w:t>
      </w:r>
      <w:r w:rsidRPr="006A64DF">
        <w:rPr>
          <w:rFonts w:ascii="Times New Roman" w:hAnsi="Times New Roman" w:cs="Times New Roman"/>
          <w:sz w:val="24"/>
          <w:szCs w:val="24"/>
        </w:rPr>
        <w:t>ype</w:t>
      </w:r>
      <w:r>
        <w:rPr>
          <w:rFonts w:ascii="Times New Roman" w:hAnsi="Times New Roman" w:cs="Times New Roman"/>
          <w:sz w:val="24"/>
          <w:szCs w:val="24"/>
        </w:rPr>
        <w:t xml:space="preserve"> of ISP study and approach</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Determine sample and rigor level </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Who desi</w:t>
      </w:r>
      <w:bookmarkStart w:id="0" w:name="_GoBack"/>
      <w:bookmarkEnd w:id="0"/>
      <w:r>
        <w:rPr>
          <w:rFonts w:ascii="Times New Roman" w:hAnsi="Times New Roman" w:cs="Times New Roman"/>
          <w:sz w:val="24"/>
          <w:szCs w:val="24"/>
        </w:rPr>
        <w:t xml:space="preserve">gn the questions </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Who leads/performs the study or investigation and analysis</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When/How to use the study outcomes </w:t>
      </w:r>
    </w:p>
    <w:p w:rsidR="00FA1511" w:rsidRPr="006A64DF" w:rsidRDefault="00FA1511" w:rsidP="00FA1511">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Who reviews and approves the study report</w:t>
      </w:r>
    </w:p>
    <w:p w:rsidR="00FA1511" w:rsidRDefault="00FA1511" w:rsidP="00FA1511">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How to identify if customers have already adopted the measure as standard practice.</w:t>
      </w:r>
    </w:p>
    <w:p w:rsidR="003E47E0" w:rsidRPr="006A64DF" w:rsidRDefault="00744713" w:rsidP="00FA1511">
      <w:pPr>
        <w:pStyle w:val="ListParagraph"/>
        <w:numPr>
          <w:ilvl w:val="0"/>
          <w:numId w:val="1"/>
        </w:numPr>
        <w:spacing w:after="240" w:line="240" w:lineRule="auto"/>
        <w:rPr>
          <w:rFonts w:ascii="Times New Roman" w:hAnsi="Times New Roman" w:cs="Times New Roman"/>
          <w:sz w:val="24"/>
          <w:szCs w:val="24"/>
        </w:rPr>
      </w:pPr>
      <w:r w:rsidRPr="006A64DF">
        <w:rPr>
          <w:rFonts w:ascii="Times New Roman" w:hAnsi="Times New Roman" w:cs="Times New Roman"/>
          <w:b/>
          <w:sz w:val="24"/>
          <w:szCs w:val="24"/>
        </w:rPr>
        <w:t xml:space="preserve">[Currently </w:t>
      </w:r>
      <w:r w:rsidR="003E7318" w:rsidRPr="006A64DF">
        <w:rPr>
          <w:rFonts w:ascii="Times New Roman" w:hAnsi="Times New Roman" w:cs="Times New Roman"/>
          <w:b/>
          <w:sz w:val="24"/>
          <w:szCs w:val="24"/>
        </w:rPr>
        <w:t>Missing</w:t>
      </w:r>
      <w:r w:rsidR="00C217B2">
        <w:rPr>
          <w:rFonts w:ascii="Times New Roman" w:hAnsi="Times New Roman" w:cs="Times New Roman"/>
          <w:b/>
          <w:sz w:val="24"/>
          <w:szCs w:val="24"/>
        </w:rPr>
        <w:t xml:space="preserve"> or Insufficient</w:t>
      </w:r>
      <w:r w:rsidR="00FA1511">
        <w:rPr>
          <w:rFonts w:ascii="Times New Roman" w:hAnsi="Times New Roman" w:cs="Times New Roman"/>
          <w:b/>
          <w:sz w:val="24"/>
          <w:szCs w:val="24"/>
        </w:rPr>
        <w:t>, related to Section 2.1 item 4)</w:t>
      </w:r>
      <w:r w:rsidRPr="006A64DF">
        <w:rPr>
          <w:rFonts w:ascii="Times New Roman" w:hAnsi="Times New Roman" w:cs="Times New Roman"/>
          <w:b/>
          <w:sz w:val="24"/>
          <w:szCs w:val="24"/>
        </w:rPr>
        <w:t>]</w:t>
      </w:r>
      <w:r w:rsidR="003E7318" w:rsidRPr="006A64DF">
        <w:rPr>
          <w:rFonts w:ascii="Times New Roman" w:hAnsi="Times New Roman" w:cs="Times New Roman"/>
          <w:sz w:val="24"/>
          <w:szCs w:val="24"/>
        </w:rPr>
        <w:t xml:space="preserve"> </w:t>
      </w:r>
      <w:r w:rsidR="00BD7094" w:rsidRPr="006A64DF">
        <w:rPr>
          <w:rFonts w:ascii="Times New Roman" w:hAnsi="Times New Roman" w:cs="Times New Roman"/>
          <w:sz w:val="24"/>
          <w:szCs w:val="24"/>
        </w:rPr>
        <w:t xml:space="preserve">How to address </w:t>
      </w:r>
      <w:r w:rsidR="003E47E0" w:rsidRPr="006A64DF">
        <w:rPr>
          <w:rFonts w:ascii="Times New Roman" w:hAnsi="Times New Roman" w:cs="Times New Roman"/>
          <w:sz w:val="24"/>
          <w:szCs w:val="24"/>
        </w:rPr>
        <w:t xml:space="preserve">ISP for </w:t>
      </w:r>
      <w:r w:rsidR="00BD7094" w:rsidRPr="006A64DF">
        <w:rPr>
          <w:rFonts w:ascii="Times New Roman" w:hAnsi="Times New Roman" w:cs="Times New Roman"/>
          <w:sz w:val="24"/>
          <w:szCs w:val="24"/>
        </w:rPr>
        <w:t>laggard</w:t>
      </w:r>
      <w:r w:rsidR="003E47E0" w:rsidRPr="006A64DF">
        <w:rPr>
          <w:rFonts w:ascii="Times New Roman" w:hAnsi="Times New Roman" w:cs="Times New Roman"/>
          <w:sz w:val="24"/>
          <w:szCs w:val="24"/>
        </w:rPr>
        <w:t>s</w:t>
      </w:r>
      <w:r w:rsidR="00BD7094" w:rsidRPr="006A64DF">
        <w:rPr>
          <w:rFonts w:ascii="Times New Roman" w:hAnsi="Times New Roman" w:cs="Times New Roman"/>
          <w:sz w:val="24"/>
          <w:szCs w:val="24"/>
        </w:rPr>
        <w:t xml:space="preserve"> </w:t>
      </w:r>
      <w:r w:rsidR="003E47E0" w:rsidRPr="006A64DF">
        <w:rPr>
          <w:rFonts w:ascii="Times New Roman" w:hAnsi="Times New Roman" w:cs="Times New Roman"/>
          <w:sz w:val="24"/>
          <w:szCs w:val="24"/>
        </w:rPr>
        <w:t xml:space="preserve">(late </w:t>
      </w:r>
      <w:r w:rsidR="009C296A" w:rsidRPr="006A64DF">
        <w:rPr>
          <w:rFonts w:ascii="Times New Roman" w:hAnsi="Times New Roman" w:cs="Times New Roman"/>
          <w:sz w:val="24"/>
          <w:szCs w:val="24"/>
        </w:rPr>
        <w:t xml:space="preserve">adopter </w:t>
      </w:r>
      <w:r w:rsidR="003E47E0" w:rsidRPr="006A64DF">
        <w:rPr>
          <w:rFonts w:ascii="Times New Roman" w:hAnsi="Times New Roman" w:cs="Times New Roman"/>
          <w:sz w:val="24"/>
          <w:szCs w:val="24"/>
        </w:rPr>
        <w:t xml:space="preserve">in </w:t>
      </w:r>
      <w:r w:rsidR="009C296A" w:rsidRPr="006A64DF">
        <w:rPr>
          <w:rFonts w:ascii="Times New Roman" w:hAnsi="Times New Roman" w:cs="Times New Roman"/>
          <w:sz w:val="24"/>
          <w:szCs w:val="24"/>
        </w:rPr>
        <w:t xml:space="preserve">the </w:t>
      </w:r>
      <w:r w:rsidR="003E47E0" w:rsidRPr="006A64DF">
        <w:rPr>
          <w:rFonts w:ascii="Times New Roman" w:hAnsi="Times New Roman" w:cs="Times New Roman"/>
          <w:sz w:val="24"/>
          <w:szCs w:val="24"/>
        </w:rPr>
        <w:t xml:space="preserve">market of high-penetration) </w:t>
      </w:r>
      <w:r w:rsidR="00BD7094" w:rsidRPr="006A64DF">
        <w:rPr>
          <w:rFonts w:ascii="Times New Roman" w:hAnsi="Times New Roman" w:cs="Times New Roman"/>
          <w:sz w:val="24"/>
          <w:szCs w:val="24"/>
        </w:rPr>
        <w:t xml:space="preserve">vs. </w:t>
      </w:r>
      <w:r w:rsidR="003E47E0" w:rsidRPr="006A64DF">
        <w:rPr>
          <w:rFonts w:ascii="Times New Roman" w:hAnsi="Times New Roman" w:cs="Times New Roman"/>
          <w:sz w:val="24"/>
          <w:szCs w:val="24"/>
        </w:rPr>
        <w:t xml:space="preserve">ISP for </w:t>
      </w:r>
      <w:r w:rsidR="00BD7094" w:rsidRPr="006A64DF">
        <w:rPr>
          <w:rFonts w:ascii="Times New Roman" w:hAnsi="Times New Roman" w:cs="Times New Roman"/>
          <w:sz w:val="24"/>
          <w:szCs w:val="24"/>
        </w:rPr>
        <w:t>leader</w:t>
      </w:r>
      <w:r w:rsidR="003E47E0" w:rsidRPr="006A64DF">
        <w:rPr>
          <w:rFonts w:ascii="Times New Roman" w:hAnsi="Times New Roman" w:cs="Times New Roman"/>
          <w:sz w:val="24"/>
          <w:szCs w:val="24"/>
        </w:rPr>
        <w:t>s (early adopter in market of low-penetration)</w:t>
      </w:r>
      <w:r w:rsidR="00BD7094" w:rsidRPr="006A64DF">
        <w:rPr>
          <w:rFonts w:ascii="Times New Roman" w:hAnsi="Times New Roman" w:cs="Times New Roman"/>
          <w:sz w:val="24"/>
          <w:szCs w:val="24"/>
        </w:rPr>
        <w:t>?</w:t>
      </w:r>
    </w:p>
    <w:p w:rsidR="003E47E0" w:rsidRPr="006A64DF" w:rsidRDefault="003E47E0"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Differentiate by market sub-segmentation? </w:t>
      </w:r>
    </w:p>
    <w:p w:rsidR="00BD7094" w:rsidRPr="006A64DF" w:rsidRDefault="003E47E0" w:rsidP="00B73D70">
      <w:pPr>
        <w:pStyle w:val="ListParagraph"/>
        <w:numPr>
          <w:ilvl w:val="1"/>
          <w:numId w:val="1"/>
        </w:numPr>
        <w:spacing w:after="240" w:line="240" w:lineRule="auto"/>
        <w:rPr>
          <w:rFonts w:ascii="Times New Roman" w:hAnsi="Times New Roman" w:cs="Times New Roman"/>
          <w:sz w:val="24"/>
          <w:szCs w:val="24"/>
        </w:rPr>
      </w:pPr>
      <w:r w:rsidRPr="006A64DF">
        <w:rPr>
          <w:rFonts w:ascii="Times New Roman" w:hAnsi="Times New Roman" w:cs="Times New Roman"/>
          <w:sz w:val="24"/>
          <w:szCs w:val="24"/>
        </w:rPr>
        <w:t xml:space="preserve">How, e.g., by size of business, </w:t>
      </w:r>
      <w:r w:rsidR="009C296A" w:rsidRPr="006A64DF">
        <w:rPr>
          <w:rFonts w:ascii="Times New Roman" w:hAnsi="Times New Roman" w:cs="Times New Roman"/>
          <w:sz w:val="24"/>
          <w:szCs w:val="24"/>
        </w:rPr>
        <w:t xml:space="preserve">financial status, </w:t>
      </w:r>
      <w:r w:rsidRPr="006A64DF">
        <w:rPr>
          <w:rFonts w:ascii="Times New Roman" w:hAnsi="Times New Roman" w:cs="Times New Roman"/>
          <w:sz w:val="24"/>
          <w:szCs w:val="24"/>
        </w:rPr>
        <w:t>location, …</w:t>
      </w:r>
    </w:p>
    <w:p w:rsidR="000876ED" w:rsidRPr="00312D66" w:rsidRDefault="00744713" w:rsidP="000876ED">
      <w:pPr>
        <w:pStyle w:val="ListParagraph"/>
        <w:numPr>
          <w:ilvl w:val="0"/>
          <w:numId w:val="1"/>
        </w:numPr>
        <w:spacing w:after="240" w:line="240" w:lineRule="auto"/>
        <w:rPr>
          <w:rFonts w:ascii="Times New Roman" w:hAnsi="Times New Roman" w:cs="Times New Roman"/>
          <w:sz w:val="24"/>
          <w:szCs w:val="24"/>
        </w:rPr>
      </w:pPr>
      <w:r w:rsidRPr="000876ED">
        <w:rPr>
          <w:rFonts w:ascii="Times New Roman" w:hAnsi="Times New Roman" w:cs="Times New Roman"/>
          <w:b/>
          <w:sz w:val="24"/>
          <w:szCs w:val="24"/>
        </w:rPr>
        <w:lastRenderedPageBreak/>
        <w:t>[</w:t>
      </w:r>
      <w:r w:rsidR="00C217B2">
        <w:rPr>
          <w:rFonts w:ascii="Times New Roman" w:hAnsi="Times New Roman" w:cs="Times New Roman"/>
          <w:b/>
          <w:sz w:val="24"/>
          <w:szCs w:val="24"/>
        </w:rPr>
        <w:t>Currently Missing or Insufficient</w:t>
      </w:r>
      <w:r w:rsidR="00FA1511">
        <w:rPr>
          <w:rFonts w:ascii="Times New Roman" w:hAnsi="Times New Roman" w:cs="Times New Roman"/>
          <w:b/>
          <w:sz w:val="24"/>
          <w:szCs w:val="24"/>
        </w:rPr>
        <w:t xml:space="preserve"> – related to Section 2.1 item 5)</w:t>
      </w:r>
      <w:r w:rsidR="00C217B2">
        <w:rPr>
          <w:rFonts w:ascii="Times New Roman" w:hAnsi="Times New Roman" w:cs="Times New Roman"/>
          <w:b/>
          <w:sz w:val="24"/>
          <w:szCs w:val="24"/>
        </w:rPr>
        <w:t>]</w:t>
      </w:r>
      <w:r w:rsidRPr="000876ED">
        <w:rPr>
          <w:rFonts w:ascii="Times New Roman" w:hAnsi="Times New Roman" w:cs="Times New Roman"/>
          <w:sz w:val="24"/>
          <w:szCs w:val="24"/>
        </w:rPr>
        <w:t xml:space="preserve"> C</w:t>
      </w:r>
      <w:r w:rsidR="003E7318" w:rsidRPr="000876ED">
        <w:rPr>
          <w:rFonts w:ascii="Times New Roman" w:hAnsi="Times New Roman" w:cs="Times New Roman"/>
          <w:sz w:val="24"/>
          <w:szCs w:val="24"/>
        </w:rPr>
        <w:t xml:space="preserve">ustom measure ISP investigation approach. </w:t>
      </w:r>
      <w:r w:rsidR="00BD7094" w:rsidRPr="000876ED">
        <w:rPr>
          <w:rFonts w:ascii="Times New Roman" w:hAnsi="Times New Roman" w:cs="Times New Roman"/>
          <w:sz w:val="24"/>
          <w:szCs w:val="24"/>
        </w:rPr>
        <w:t>How to address baseline assumption</w:t>
      </w:r>
      <w:r w:rsidR="003E47E0" w:rsidRPr="00312D66">
        <w:rPr>
          <w:rFonts w:ascii="Times New Roman" w:hAnsi="Times New Roman" w:cs="Times New Roman"/>
          <w:sz w:val="24"/>
          <w:szCs w:val="24"/>
        </w:rPr>
        <w:t>s</w:t>
      </w:r>
      <w:r w:rsidR="00BD7094" w:rsidRPr="00312D66">
        <w:rPr>
          <w:rFonts w:ascii="Times New Roman" w:hAnsi="Times New Roman" w:cs="Times New Roman"/>
          <w:sz w:val="24"/>
          <w:szCs w:val="24"/>
        </w:rPr>
        <w:t xml:space="preserve"> </w:t>
      </w:r>
      <w:r w:rsidR="001C0ED5" w:rsidRPr="00312D66">
        <w:rPr>
          <w:rFonts w:ascii="Times New Roman" w:hAnsi="Times New Roman" w:cs="Times New Roman"/>
          <w:sz w:val="24"/>
          <w:szCs w:val="24"/>
        </w:rPr>
        <w:t>when there is no</w:t>
      </w:r>
      <w:r w:rsidR="003E47E0" w:rsidRPr="00312D66">
        <w:rPr>
          <w:rFonts w:ascii="Times New Roman" w:hAnsi="Times New Roman" w:cs="Times New Roman"/>
          <w:sz w:val="24"/>
          <w:szCs w:val="24"/>
        </w:rPr>
        <w:t xml:space="preserve"> market-based </w:t>
      </w:r>
      <w:r w:rsidR="00BD7094" w:rsidRPr="00312D66">
        <w:rPr>
          <w:rFonts w:ascii="Times New Roman" w:hAnsi="Times New Roman" w:cs="Times New Roman"/>
          <w:sz w:val="24"/>
          <w:szCs w:val="24"/>
        </w:rPr>
        <w:t>ISP study or code</w:t>
      </w:r>
      <w:r w:rsidR="001C0ED5" w:rsidRPr="00312D66">
        <w:rPr>
          <w:rFonts w:ascii="Times New Roman" w:hAnsi="Times New Roman" w:cs="Times New Roman"/>
          <w:sz w:val="24"/>
          <w:szCs w:val="24"/>
        </w:rPr>
        <w:t xml:space="preserve"> </w:t>
      </w:r>
      <w:r w:rsidR="00FA1511">
        <w:rPr>
          <w:rFonts w:ascii="Times New Roman" w:hAnsi="Times New Roman" w:cs="Times New Roman"/>
          <w:sz w:val="24"/>
          <w:szCs w:val="24"/>
        </w:rPr>
        <w:t xml:space="preserve">or disposition </w:t>
      </w:r>
      <w:r w:rsidR="001C0ED5" w:rsidRPr="00312D66">
        <w:rPr>
          <w:rFonts w:ascii="Times New Roman" w:hAnsi="Times New Roman" w:cs="Times New Roman"/>
          <w:sz w:val="24"/>
          <w:szCs w:val="24"/>
        </w:rPr>
        <w:t>available</w:t>
      </w:r>
      <w:r w:rsidR="00BD7094" w:rsidRPr="00312D66">
        <w:rPr>
          <w:rFonts w:ascii="Times New Roman" w:hAnsi="Times New Roman" w:cs="Times New Roman"/>
          <w:sz w:val="24"/>
          <w:szCs w:val="24"/>
        </w:rPr>
        <w:t>?</w:t>
      </w:r>
      <w:r w:rsidR="00217539" w:rsidRPr="00312D66">
        <w:rPr>
          <w:rFonts w:ascii="Times New Roman" w:hAnsi="Times New Roman" w:cs="Times New Roman"/>
          <w:sz w:val="24"/>
          <w:szCs w:val="24"/>
        </w:rPr>
        <w:t xml:space="preserve"> This is particularly true and needed for custom projects that include unique or semi-unique measures, or measures </w:t>
      </w:r>
      <w:r w:rsidRPr="00312D66">
        <w:rPr>
          <w:rFonts w:ascii="Times New Roman" w:hAnsi="Times New Roman" w:cs="Times New Roman"/>
          <w:sz w:val="24"/>
          <w:szCs w:val="24"/>
        </w:rPr>
        <w:t xml:space="preserve">applicable </w:t>
      </w:r>
      <w:r w:rsidR="006A64DF" w:rsidRPr="00312D66">
        <w:rPr>
          <w:rFonts w:ascii="Times New Roman" w:hAnsi="Times New Roman" w:cs="Times New Roman"/>
          <w:sz w:val="24"/>
          <w:szCs w:val="24"/>
        </w:rPr>
        <w:t>to limited</w:t>
      </w:r>
      <w:r w:rsidR="00217539" w:rsidRPr="00312D66">
        <w:rPr>
          <w:rFonts w:ascii="Times New Roman" w:hAnsi="Times New Roman" w:cs="Times New Roman"/>
          <w:sz w:val="24"/>
          <w:szCs w:val="24"/>
        </w:rPr>
        <w:t xml:space="preserve"> market applications. </w:t>
      </w:r>
      <w:r w:rsidR="00235580" w:rsidRPr="00312D66">
        <w:rPr>
          <w:rFonts w:ascii="Times New Roman" w:hAnsi="Times New Roman" w:cs="Times New Roman"/>
          <w:sz w:val="24"/>
          <w:szCs w:val="24"/>
        </w:rPr>
        <w:t xml:space="preserve">The existing </w:t>
      </w:r>
      <w:r w:rsidR="001C0ED5" w:rsidRPr="00312D66">
        <w:rPr>
          <w:rFonts w:ascii="Times New Roman" w:hAnsi="Times New Roman" w:cs="Times New Roman"/>
          <w:sz w:val="24"/>
          <w:szCs w:val="24"/>
        </w:rPr>
        <w:t xml:space="preserve">ISP </w:t>
      </w:r>
      <w:r w:rsidR="00235580" w:rsidRPr="00312D66">
        <w:rPr>
          <w:rFonts w:ascii="Times New Roman" w:hAnsi="Times New Roman" w:cs="Times New Roman"/>
          <w:sz w:val="24"/>
          <w:szCs w:val="24"/>
        </w:rPr>
        <w:t xml:space="preserve">Guide </w:t>
      </w:r>
      <w:r w:rsidR="001C0ED5" w:rsidRPr="00312D66">
        <w:rPr>
          <w:rFonts w:ascii="Times New Roman" w:hAnsi="Times New Roman" w:cs="Times New Roman"/>
          <w:sz w:val="24"/>
          <w:szCs w:val="24"/>
        </w:rPr>
        <w:t>does not address these cases in detail</w:t>
      </w:r>
      <w:r w:rsidR="00235580" w:rsidRPr="00312D66">
        <w:rPr>
          <w:rFonts w:ascii="Times New Roman" w:hAnsi="Times New Roman" w:cs="Times New Roman"/>
          <w:sz w:val="24"/>
          <w:szCs w:val="24"/>
        </w:rPr>
        <w:t xml:space="preserve"> (see </w:t>
      </w:r>
      <w:r w:rsidR="006F0BFC">
        <w:rPr>
          <w:rFonts w:ascii="Times New Roman" w:hAnsi="Times New Roman" w:cs="Times New Roman"/>
          <w:sz w:val="24"/>
          <w:szCs w:val="24"/>
        </w:rPr>
        <w:t>S</w:t>
      </w:r>
      <w:r w:rsidR="00235580" w:rsidRPr="00312D66">
        <w:rPr>
          <w:rFonts w:ascii="Times New Roman" w:hAnsi="Times New Roman" w:cs="Times New Roman"/>
          <w:sz w:val="24"/>
          <w:szCs w:val="24"/>
        </w:rPr>
        <w:t xml:space="preserve">ection </w:t>
      </w:r>
      <w:r w:rsidR="00F4469E">
        <w:rPr>
          <w:rFonts w:ascii="Times New Roman" w:hAnsi="Times New Roman" w:cs="Times New Roman"/>
          <w:sz w:val="24"/>
          <w:szCs w:val="24"/>
        </w:rPr>
        <w:t xml:space="preserve">4.5 </w:t>
      </w:r>
      <w:r w:rsidR="00235580" w:rsidRPr="00312D66">
        <w:rPr>
          <w:rFonts w:ascii="Times New Roman" w:hAnsi="Times New Roman" w:cs="Times New Roman"/>
          <w:sz w:val="24"/>
          <w:szCs w:val="24"/>
        </w:rPr>
        <w:t xml:space="preserve">on one-off or exception) and </w:t>
      </w:r>
      <w:r w:rsidR="001C0ED5" w:rsidRPr="00312D66">
        <w:rPr>
          <w:rFonts w:ascii="Times New Roman" w:hAnsi="Times New Roman" w:cs="Times New Roman"/>
          <w:sz w:val="24"/>
          <w:szCs w:val="24"/>
        </w:rPr>
        <w:t xml:space="preserve">has resulted in </w:t>
      </w:r>
      <w:r w:rsidR="00235580" w:rsidRPr="00312D66">
        <w:rPr>
          <w:rFonts w:ascii="Times New Roman" w:hAnsi="Times New Roman" w:cs="Times New Roman"/>
          <w:sz w:val="24"/>
          <w:szCs w:val="24"/>
        </w:rPr>
        <w:t>confusion</w:t>
      </w:r>
      <w:r w:rsidR="001C0ED5" w:rsidRPr="00312D66">
        <w:rPr>
          <w:rFonts w:ascii="Times New Roman" w:hAnsi="Times New Roman" w:cs="Times New Roman"/>
          <w:sz w:val="24"/>
          <w:szCs w:val="24"/>
        </w:rPr>
        <w:t xml:space="preserve"> on how to treat these situation</w:t>
      </w:r>
      <w:r w:rsidR="00235580" w:rsidRPr="00312D66">
        <w:rPr>
          <w:rFonts w:ascii="Times New Roman" w:hAnsi="Times New Roman" w:cs="Times New Roman"/>
          <w:sz w:val="24"/>
          <w:szCs w:val="24"/>
        </w:rPr>
        <w:t xml:space="preserve">s. </w:t>
      </w:r>
      <w:r w:rsidR="00235580" w:rsidRPr="000876ED">
        <w:rPr>
          <w:rFonts w:ascii="Times New Roman" w:hAnsi="Times New Roman" w:cs="Times New Roman"/>
          <w:sz w:val="24"/>
          <w:szCs w:val="24"/>
        </w:rPr>
        <w:t xml:space="preserve">The Guide doesn’t clarify approaches </w:t>
      </w:r>
      <w:r w:rsidR="001C0ED5" w:rsidRPr="000876ED">
        <w:rPr>
          <w:rFonts w:ascii="Times New Roman" w:hAnsi="Times New Roman" w:cs="Times New Roman"/>
          <w:sz w:val="24"/>
          <w:szCs w:val="24"/>
        </w:rPr>
        <w:t xml:space="preserve">applicable </w:t>
      </w:r>
      <w:r w:rsidR="00235580" w:rsidRPr="000876ED">
        <w:rPr>
          <w:rFonts w:ascii="Times New Roman" w:hAnsi="Times New Roman" w:cs="Times New Roman"/>
          <w:sz w:val="24"/>
          <w:szCs w:val="24"/>
        </w:rPr>
        <w:t>for different types of ISP investigations</w:t>
      </w:r>
      <w:r w:rsidR="001C0ED5" w:rsidRPr="000876ED">
        <w:rPr>
          <w:rFonts w:ascii="Times New Roman" w:hAnsi="Times New Roman" w:cs="Times New Roman"/>
          <w:sz w:val="24"/>
          <w:szCs w:val="24"/>
        </w:rPr>
        <w:t xml:space="preserve"> (e.g., sunset vs baseline)</w:t>
      </w:r>
      <w:r w:rsidR="006A19D3" w:rsidRPr="00312D66">
        <w:rPr>
          <w:rFonts w:ascii="Times New Roman" w:hAnsi="Times New Roman" w:cs="Times New Roman"/>
          <w:sz w:val="24"/>
          <w:szCs w:val="24"/>
        </w:rPr>
        <w:t xml:space="preserve">. </w:t>
      </w:r>
      <w:r w:rsidR="001C0ED5" w:rsidRPr="00312D66">
        <w:rPr>
          <w:rFonts w:ascii="Times New Roman" w:hAnsi="Times New Roman" w:cs="Times New Roman"/>
          <w:sz w:val="24"/>
          <w:szCs w:val="24"/>
        </w:rPr>
        <w:t>This has led to confusion and wasted resources in the custom review process.</w:t>
      </w:r>
      <w:r w:rsidR="009C377D" w:rsidRPr="00312D66">
        <w:rPr>
          <w:rFonts w:ascii="Times New Roman" w:hAnsi="Times New Roman" w:cs="Times New Roman"/>
          <w:sz w:val="24"/>
          <w:szCs w:val="24"/>
        </w:rPr>
        <w:t xml:space="preserve"> </w:t>
      </w:r>
    </w:p>
    <w:p w:rsidR="00C823BE" w:rsidRPr="006A64DF" w:rsidRDefault="00FA1511" w:rsidP="00B73D70">
      <w:pPr>
        <w:pStyle w:val="ListParagraph"/>
        <w:numPr>
          <w:ilvl w:val="0"/>
          <w:numId w:val="1"/>
        </w:numPr>
        <w:spacing w:after="240" w:line="240" w:lineRule="auto"/>
        <w:rPr>
          <w:rFonts w:ascii="Times New Roman" w:hAnsi="Times New Roman" w:cs="Times New Roman"/>
          <w:sz w:val="24"/>
          <w:szCs w:val="24"/>
        </w:rPr>
      </w:pPr>
      <w:r w:rsidRPr="00312D66" w:rsidDel="00FA1511">
        <w:rPr>
          <w:rFonts w:ascii="Times New Roman" w:hAnsi="Times New Roman" w:cs="Times New Roman"/>
          <w:b/>
          <w:sz w:val="24"/>
          <w:szCs w:val="24"/>
        </w:rPr>
        <w:t xml:space="preserve"> </w:t>
      </w:r>
      <w:r w:rsidR="00007506" w:rsidRPr="006A64DF">
        <w:rPr>
          <w:rFonts w:ascii="Times New Roman" w:hAnsi="Times New Roman" w:cs="Times New Roman"/>
          <w:b/>
          <w:sz w:val="24"/>
          <w:szCs w:val="24"/>
        </w:rPr>
        <w:t>[</w:t>
      </w:r>
      <w:r w:rsidR="00C217B2">
        <w:rPr>
          <w:rFonts w:ascii="Times New Roman" w:hAnsi="Times New Roman" w:cs="Times New Roman"/>
          <w:b/>
          <w:sz w:val="24"/>
          <w:szCs w:val="24"/>
        </w:rPr>
        <w:t>Currently Missing or Insufficient</w:t>
      </w:r>
      <w:r>
        <w:rPr>
          <w:rFonts w:ascii="Times New Roman" w:hAnsi="Times New Roman" w:cs="Times New Roman"/>
          <w:b/>
          <w:sz w:val="24"/>
          <w:szCs w:val="24"/>
        </w:rPr>
        <w:t>, also related to section 2.1 item 5)</w:t>
      </w:r>
      <w:r w:rsidR="00C217B2">
        <w:rPr>
          <w:rFonts w:ascii="Times New Roman" w:hAnsi="Times New Roman" w:cs="Times New Roman"/>
          <w:b/>
          <w:sz w:val="24"/>
          <w:szCs w:val="24"/>
        </w:rPr>
        <w:t>]</w:t>
      </w:r>
      <w:r w:rsidR="006A64DF">
        <w:rPr>
          <w:rFonts w:ascii="Times New Roman" w:hAnsi="Times New Roman" w:cs="Times New Roman"/>
          <w:b/>
          <w:sz w:val="24"/>
          <w:szCs w:val="24"/>
        </w:rPr>
        <w:t xml:space="preserve"> </w:t>
      </w:r>
      <w:r w:rsidR="004108F3" w:rsidRPr="006A64DF">
        <w:rPr>
          <w:rFonts w:ascii="Times New Roman" w:hAnsi="Times New Roman" w:cs="Times New Roman"/>
          <w:sz w:val="24"/>
          <w:szCs w:val="24"/>
        </w:rPr>
        <w:t xml:space="preserve">How-to’s if </w:t>
      </w:r>
      <w:r w:rsidR="00C823BE" w:rsidRPr="006A64DF">
        <w:rPr>
          <w:rFonts w:ascii="Times New Roman" w:hAnsi="Times New Roman" w:cs="Times New Roman"/>
          <w:sz w:val="24"/>
          <w:szCs w:val="24"/>
        </w:rPr>
        <w:t xml:space="preserve">there is </w:t>
      </w:r>
      <w:r w:rsidR="004108F3" w:rsidRPr="006A64DF">
        <w:rPr>
          <w:rFonts w:ascii="Times New Roman" w:hAnsi="Times New Roman" w:cs="Times New Roman"/>
          <w:sz w:val="24"/>
          <w:szCs w:val="24"/>
        </w:rPr>
        <w:t>no ISP trigger</w:t>
      </w:r>
      <w:r w:rsidR="00C823BE" w:rsidRPr="006A64DF">
        <w:rPr>
          <w:rFonts w:ascii="Times New Roman" w:hAnsi="Times New Roman" w:cs="Times New Roman"/>
          <w:sz w:val="24"/>
          <w:szCs w:val="24"/>
        </w:rPr>
        <w:t xml:space="preserve"> (kWh/therm)</w:t>
      </w:r>
      <w:r w:rsidR="004934CA" w:rsidRPr="006A64DF">
        <w:rPr>
          <w:rFonts w:ascii="Times New Roman" w:hAnsi="Times New Roman" w:cs="Times New Roman"/>
          <w:sz w:val="24"/>
          <w:szCs w:val="24"/>
        </w:rPr>
        <w:t xml:space="preserve">, --- what requirements and options </w:t>
      </w:r>
      <w:r w:rsidR="00DE4600">
        <w:rPr>
          <w:rFonts w:ascii="Times New Roman" w:hAnsi="Times New Roman" w:cs="Times New Roman"/>
          <w:sz w:val="24"/>
          <w:szCs w:val="24"/>
        </w:rPr>
        <w:t xml:space="preserve">can be used </w:t>
      </w:r>
      <w:r w:rsidR="004934CA" w:rsidRPr="006A64DF">
        <w:rPr>
          <w:rFonts w:ascii="Times New Roman" w:hAnsi="Times New Roman" w:cs="Times New Roman"/>
          <w:sz w:val="24"/>
          <w:szCs w:val="24"/>
        </w:rPr>
        <w:t xml:space="preserve">to establish appropriate baselines for customer projects with savings lower than the threshold triggering ISP </w:t>
      </w:r>
      <w:r w:rsidR="006A64DF" w:rsidRPr="006A64DF">
        <w:rPr>
          <w:rFonts w:ascii="Times New Roman" w:hAnsi="Times New Roman" w:cs="Times New Roman"/>
          <w:sz w:val="24"/>
          <w:szCs w:val="24"/>
        </w:rPr>
        <w:t>study</w:t>
      </w:r>
      <w:r w:rsidR="00312D66">
        <w:rPr>
          <w:rFonts w:ascii="Times New Roman" w:hAnsi="Times New Roman" w:cs="Times New Roman"/>
          <w:sz w:val="24"/>
          <w:szCs w:val="24"/>
        </w:rPr>
        <w:t>.</w:t>
      </w:r>
    </w:p>
    <w:p w:rsidR="00196EBC" w:rsidRPr="00196EBC" w:rsidRDefault="00196EBC" w:rsidP="00196EBC">
      <w:pPr>
        <w:pStyle w:val="ListParagraph"/>
        <w:numPr>
          <w:ilvl w:val="0"/>
          <w:numId w:val="1"/>
        </w:numPr>
        <w:spacing w:after="240" w:line="240" w:lineRule="auto"/>
        <w:rPr>
          <w:rFonts w:ascii="Times New Roman" w:hAnsi="Times New Roman" w:cs="Times New Roman"/>
          <w:b/>
          <w:sz w:val="24"/>
          <w:szCs w:val="24"/>
        </w:rPr>
      </w:pPr>
      <w:r w:rsidRPr="00196EBC">
        <w:rPr>
          <w:rFonts w:ascii="Times New Roman" w:hAnsi="Times New Roman" w:cs="Times New Roman"/>
          <w:b/>
          <w:sz w:val="24"/>
          <w:szCs w:val="24"/>
        </w:rPr>
        <w:t xml:space="preserve">[Currently Missing or Insufficient] </w:t>
      </w:r>
      <w:r>
        <w:rPr>
          <w:rFonts w:ascii="Times New Roman" w:hAnsi="Times New Roman" w:cs="Times New Roman"/>
          <w:b/>
          <w:sz w:val="24"/>
          <w:szCs w:val="24"/>
        </w:rPr>
        <w:t>–</w:t>
      </w:r>
      <w:r w:rsidRPr="00196EBC">
        <w:rPr>
          <w:rFonts w:ascii="Times New Roman" w:hAnsi="Times New Roman" w:cs="Times New Roman"/>
          <w:b/>
          <w:sz w:val="24"/>
          <w:szCs w:val="24"/>
        </w:rPr>
        <w:t xml:space="preserve"> </w:t>
      </w:r>
      <w:r w:rsidR="00ED72DA">
        <w:rPr>
          <w:rFonts w:ascii="Times New Roman" w:hAnsi="Times New Roman" w:cs="Times New Roman"/>
          <w:b/>
          <w:sz w:val="24"/>
          <w:szCs w:val="24"/>
        </w:rPr>
        <w:t>Also</w:t>
      </w:r>
      <w:r>
        <w:rPr>
          <w:rFonts w:ascii="Times New Roman" w:hAnsi="Times New Roman" w:cs="Times New Roman"/>
          <w:b/>
          <w:sz w:val="24"/>
          <w:szCs w:val="24"/>
        </w:rPr>
        <w:t xml:space="preserve"> </w:t>
      </w:r>
      <w:r w:rsidRPr="00196EBC">
        <w:rPr>
          <w:rFonts w:ascii="Times New Roman" w:hAnsi="Times New Roman" w:cs="Times New Roman"/>
          <w:b/>
          <w:sz w:val="24"/>
          <w:szCs w:val="24"/>
        </w:rPr>
        <w:t>relevant to policy issues needed for discussion and update.</w:t>
      </w:r>
    </w:p>
    <w:p w:rsidR="00196EBC" w:rsidRPr="00EB3013" w:rsidRDefault="00196EBC" w:rsidP="00196EBC">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 xml:space="preserve">How ISP study results should be used (deemed vs. custom?) </w:t>
      </w:r>
    </w:p>
    <w:p w:rsidR="00196EBC" w:rsidRPr="00EB3013" w:rsidRDefault="00196EBC" w:rsidP="00196EBC">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Things to avoid when applying ISP study outcomes for deemed vs. custom projects</w:t>
      </w:r>
    </w:p>
    <w:p w:rsidR="00196EBC" w:rsidRPr="00EB3013" w:rsidRDefault="00196EBC" w:rsidP="00196EBC">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Avoid treating market-based ISP study as a cookbook for single handily qualify a custom project</w:t>
      </w:r>
    </w:p>
    <w:p w:rsidR="00A8372E" w:rsidRDefault="009C2EE0" w:rsidP="003E00F3">
      <w:pPr>
        <w:pStyle w:val="Heading2"/>
      </w:pPr>
      <w:r>
        <w:t xml:space="preserve">2.2.2 </w:t>
      </w:r>
      <w:r w:rsidR="00F51EFD">
        <w:t xml:space="preserve">PG&amp;E Recommendations based upon </w:t>
      </w:r>
      <w:r w:rsidR="00BE4E39">
        <w:t>l</w:t>
      </w:r>
      <w:r w:rsidR="00F51EFD">
        <w:t xml:space="preserve">essons </w:t>
      </w:r>
      <w:r w:rsidR="00BE4E39">
        <w:t>l</w:t>
      </w:r>
      <w:r w:rsidR="00F51EFD">
        <w:t xml:space="preserve">earned </w:t>
      </w:r>
      <w:r w:rsidR="000449C6" w:rsidRPr="006A64DF">
        <w:t xml:space="preserve">(For </w:t>
      </w:r>
      <w:r w:rsidR="002C6634" w:rsidRPr="006A64DF">
        <w:t>classifying the study types, process, method, and effort to improve the existing Guide</w:t>
      </w:r>
      <w:r w:rsidR="000449C6" w:rsidRPr="006A64DF">
        <w:t>)</w:t>
      </w:r>
      <w:r w:rsidR="00A8372E" w:rsidRPr="006A64DF">
        <w:t xml:space="preserve"> </w:t>
      </w:r>
    </w:p>
    <w:p w:rsidR="00497C5F" w:rsidRDefault="00497C5F" w:rsidP="00497C5F"/>
    <w:p w:rsidR="00497C5F" w:rsidRDefault="00497C5F" w:rsidP="00497C5F">
      <w:r>
        <w:t xml:space="preserve">ISP </w:t>
      </w:r>
      <w:r>
        <w:t xml:space="preserve">Guide should address at least three distinct situations enlisted in the following table. For each situation, define roles and responsibilities (who does what), the investigation approach (including samples).  </w:t>
      </w:r>
    </w:p>
    <w:p w:rsidR="00497C5F" w:rsidRPr="00497C5F" w:rsidRDefault="00497C5F" w:rsidP="00497C5F"/>
    <w:tbl>
      <w:tblPr>
        <w:tblStyle w:val="TableGrid"/>
        <w:tblW w:w="8028" w:type="dxa"/>
        <w:tblInd w:w="360" w:type="dxa"/>
        <w:tblLayout w:type="fixed"/>
        <w:tblLook w:val="04A0" w:firstRow="1" w:lastRow="0" w:firstColumn="1" w:lastColumn="0" w:noHBand="0" w:noVBand="1"/>
      </w:tblPr>
      <w:tblGrid>
        <w:gridCol w:w="2988"/>
        <w:gridCol w:w="3690"/>
        <w:gridCol w:w="1350"/>
      </w:tblGrid>
      <w:tr w:rsidR="00D5298E" w:rsidRPr="00EB3013" w:rsidTr="003E00F3">
        <w:tc>
          <w:tcPr>
            <w:tcW w:w="2988" w:type="dxa"/>
          </w:tcPr>
          <w:p w:rsidR="00D5298E" w:rsidRPr="00312D66" w:rsidRDefault="00BE4E39" w:rsidP="00BE4E39">
            <w:pPr>
              <w:spacing w:after="240"/>
              <w:rPr>
                <w:rFonts w:eastAsia="Times New Roman"/>
                <w:b/>
              </w:rPr>
            </w:pPr>
            <w:r w:rsidRPr="00312D66">
              <w:rPr>
                <w:rFonts w:eastAsia="Times New Roman"/>
                <w:b/>
              </w:rPr>
              <w:t xml:space="preserve">ISP Study </w:t>
            </w:r>
            <w:r w:rsidR="00D5298E" w:rsidRPr="00312D66">
              <w:rPr>
                <w:rFonts w:eastAsia="Times New Roman"/>
                <w:b/>
              </w:rPr>
              <w:t xml:space="preserve">Type &amp; Approach </w:t>
            </w:r>
          </w:p>
        </w:tc>
        <w:tc>
          <w:tcPr>
            <w:tcW w:w="3690" w:type="dxa"/>
          </w:tcPr>
          <w:p w:rsidR="00D5298E" w:rsidRPr="00312D66" w:rsidRDefault="00D5298E" w:rsidP="00B73D70">
            <w:pPr>
              <w:spacing w:after="240"/>
              <w:rPr>
                <w:rFonts w:eastAsia="Times New Roman"/>
                <w:b/>
              </w:rPr>
            </w:pPr>
            <w:r w:rsidRPr="00312D66">
              <w:rPr>
                <w:rFonts w:eastAsia="Times New Roman"/>
                <w:b/>
              </w:rPr>
              <w:t>Samples</w:t>
            </w:r>
          </w:p>
        </w:tc>
        <w:tc>
          <w:tcPr>
            <w:tcW w:w="1350" w:type="dxa"/>
          </w:tcPr>
          <w:p w:rsidR="00D5298E" w:rsidRPr="00312D66" w:rsidRDefault="00D5298E" w:rsidP="00B73D70">
            <w:pPr>
              <w:spacing w:after="240"/>
              <w:rPr>
                <w:rFonts w:eastAsia="Times New Roman"/>
                <w:b/>
              </w:rPr>
            </w:pPr>
            <w:r w:rsidRPr="00312D66">
              <w:rPr>
                <w:rFonts w:eastAsia="Times New Roman"/>
                <w:b/>
              </w:rPr>
              <w:t>Rigor</w:t>
            </w:r>
          </w:p>
        </w:tc>
      </w:tr>
      <w:tr w:rsidR="00D5298E" w:rsidRPr="00EB3013" w:rsidTr="003E00F3">
        <w:tc>
          <w:tcPr>
            <w:tcW w:w="2988" w:type="dxa"/>
          </w:tcPr>
          <w:p w:rsidR="00D5298E" w:rsidRDefault="00D5298E" w:rsidP="00B73D70">
            <w:pPr>
              <w:spacing w:after="240"/>
              <w:rPr>
                <w:rFonts w:eastAsia="Times New Roman"/>
              </w:rPr>
            </w:pPr>
            <w:r w:rsidRPr="00EB3013">
              <w:rPr>
                <w:rFonts w:eastAsia="Times New Roman"/>
              </w:rPr>
              <w:t>Measure sunset for deemed program</w:t>
            </w:r>
          </w:p>
        </w:tc>
        <w:tc>
          <w:tcPr>
            <w:tcW w:w="3690" w:type="dxa"/>
          </w:tcPr>
          <w:p w:rsidR="00D5298E" w:rsidRPr="00EB3013" w:rsidRDefault="00D5298E" w:rsidP="00A0244A">
            <w:pPr>
              <w:spacing w:after="240"/>
              <w:rPr>
                <w:rFonts w:eastAsia="Times New Roman"/>
              </w:rPr>
            </w:pPr>
            <w:r w:rsidRPr="00EB3013">
              <w:rPr>
                <w:rFonts w:eastAsia="Times New Roman"/>
              </w:rPr>
              <w:t xml:space="preserve">Customer (participant &amp; non-participant) Vendors/suppliers/manufactures Designers </w:t>
            </w:r>
          </w:p>
          <w:p w:rsidR="00D5298E" w:rsidRDefault="00D5298E" w:rsidP="00B73D70">
            <w:pPr>
              <w:spacing w:after="240"/>
              <w:rPr>
                <w:rFonts w:eastAsia="Times New Roman"/>
              </w:rPr>
            </w:pPr>
            <w:r w:rsidRPr="00EB3013">
              <w:rPr>
                <w:rFonts w:eastAsia="Times New Roman"/>
              </w:rPr>
              <w:t>Sample size: small</w:t>
            </w:r>
          </w:p>
        </w:tc>
        <w:tc>
          <w:tcPr>
            <w:tcW w:w="1350" w:type="dxa"/>
          </w:tcPr>
          <w:p w:rsidR="00D5298E" w:rsidRDefault="00D5298E" w:rsidP="00B73D70">
            <w:pPr>
              <w:spacing w:after="240"/>
              <w:rPr>
                <w:rFonts w:eastAsia="Times New Roman"/>
              </w:rPr>
            </w:pPr>
            <w:r w:rsidRPr="00EB3013">
              <w:rPr>
                <w:rFonts w:eastAsia="Times New Roman"/>
              </w:rPr>
              <w:t>Low-rigor</w:t>
            </w:r>
          </w:p>
        </w:tc>
      </w:tr>
      <w:tr w:rsidR="00D5298E" w:rsidRPr="00EB3013" w:rsidTr="003E00F3">
        <w:tc>
          <w:tcPr>
            <w:tcW w:w="2988" w:type="dxa"/>
          </w:tcPr>
          <w:p w:rsidR="00D5298E" w:rsidRDefault="00D5298E" w:rsidP="00F51EFD">
            <w:pPr>
              <w:spacing w:after="240"/>
              <w:rPr>
                <w:rFonts w:eastAsia="Times New Roman"/>
              </w:rPr>
            </w:pPr>
            <w:r w:rsidRPr="00EB3013">
              <w:rPr>
                <w:rFonts w:eastAsia="Times New Roman"/>
              </w:rPr>
              <w:t>Market-based ISP (sector-wide, or specific measure that</w:t>
            </w:r>
            <w:r w:rsidR="00F51EFD">
              <w:rPr>
                <w:rFonts w:eastAsia="Times New Roman"/>
              </w:rPr>
              <w:t xml:space="preserve"> has broad market application)</w:t>
            </w:r>
          </w:p>
        </w:tc>
        <w:tc>
          <w:tcPr>
            <w:tcW w:w="3690" w:type="dxa"/>
          </w:tcPr>
          <w:p w:rsidR="00D5298E" w:rsidRPr="00EB3013" w:rsidRDefault="00D5298E" w:rsidP="00BD7BE3">
            <w:pPr>
              <w:spacing w:after="240"/>
              <w:rPr>
                <w:rFonts w:eastAsia="Times New Roman"/>
              </w:rPr>
            </w:pPr>
            <w:r w:rsidRPr="00EB3013">
              <w:rPr>
                <w:rFonts w:eastAsia="Times New Roman"/>
              </w:rPr>
              <w:t xml:space="preserve">Customers (participant &amp; non-participant) Vendors/suppliers/manufactures Designers </w:t>
            </w:r>
          </w:p>
          <w:p w:rsidR="00D5298E" w:rsidRDefault="00D5298E" w:rsidP="00B73D70">
            <w:pPr>
              <w:spacing w:after="240"/>
              <w:rPr>
                <w:rFonts w:eastAsia="Times New Roman"/>
              </w:rPr>
            </w:pPr>
            <w:r w:rsidRPr="00EB3013">
              <w:rPr>
                <w:rFonts w:eastAsia="Times New Roman"/>
              </w:rPr>
              <w:t xml:space="preserve">Sample size: </w:t>
            </w:r>
            <w:r w:rsidR="00F51EFD">
              <w:rPr>
                <w:rFonts w:eastAsia="Times New Roman"/>
              </w:rPr>
              <w:t xml:space="preserve">moderate to </w:t>
            </w:r>
            <w:r w:rsidRPr="00EB3013">
              <w:rPr>
                <w:rFonts w:eastAsia="Times New Roman"/>
              </w:rPr>
              <w:t>large</w:t>
            </w:r>
          </w:p>
        </w:tc>
        <w:tc>
          <w:tcPr>
            <w:tcW w:w="1350" w:type="dxa"/>
          </w:tcPr>
          <w:p w:rsidR="00D5298E" w:rsidRDefault="00D5298E" w:rsidP="00B73D70">
            <w:pPr>
              <w:spacing w:after="240"/>
              <w:rPr>
                <w:rFonts w:eastAsia="Times New Roman"/>
              </w:rPr>
            </w:pPr>
            <w:r w:rsidRPr="006A64DF">
              <w:rPr>
                <w:rFonts w:eastAsia="Times New Roman"/>
              </w:rPr>
              <w:t>High-rigor</w:t>
            </w:r>
            <w:r w:rsidR="00F51EFD">
              <w:rPr>
                <w:rFonts w:eastAsia="Times New Roman"/>
              </w:rPr>
              <w:t xml:space="preserve"> or low-rigor</w:t>
            </w:r>
          </w:p>
        </w:tc>
      </w:tr>
      <w:tr w:rsidR="00D5298E" w:rsidRPr="00EB3013" w:rsidTr="003E00F3">
        <w:tc>
          <w:tcPr>
            <w:tcW w:w="2988" w:type="dxa"/>
          </w:tcPr>
          <w:p w:rsidR="00D5298E" w:rsidRPr="00EB3013" w:rsidRDefault="00D5298E" w:rsidP="00B73D70">
            <w:pPr>
              <w:spacing w:after="240"/>
            </w:pPr>
            <w:r w:rsidRPr="00EB3013">
              <w:rPr>
                <w:rFonts w:eastAsia="Times New Roman"/>
              </w:rPr>
              <w:t>Custom- or site-specific ISP investigation</w:t>
            </w:r>
          </w:p>
        </w:tc>
        <w:tc>
          <w:tcPr>
            <w:tcW w:w="3690" w:type="dxa"/>
          </w:tcPr>
          <w:p w:rsidR="00D5298E" w:rsidRPr="00EB3013" w:rsidRDefault="00D5298E" w:rsidP="00B73D70">
            <w:pPr>
              <w:spacing w:after="240"/>
              <w:rPr>
                <w:rFonts w:eastAsia="Times New Roman"/>
              </w:rPr>
            </w:pPr>
            <w:r w:rsidRPr="00EB3013">
              <w:rPr>
                <w:rFonts w:eastAsia="Times New Roman"/>
              </w:rPr>
              <w:t xml:space="preserve">Vendors/suppliers/manufactures Designers </w:t>
            </w:r>
          </w:p>
          <w:p w:rsidR="00D5298E" w:rsidRPr="00EB3013" w:rsidRDefault="00D5298E" w:rsidP="00B73D70">
            <w:pPr>
              <w:spacing w:after="240"/>
              <w:rPr>
                <w:rFonts w:eastAsia="Times New Roman"/>
              </w:rPr>
            </w:pPr>
            <w:r w:rsidRPr="00EB3013">
              <w:rPr>
                <w:rFonts w:eastAsia="Times New Roman"/>
              </w:rPr>
              <w:lastRenderedPageBreak/>
              <w:t>Sample size: small</w:t>
            </w:r>
          </w:p>
          <w:p w:rsidR="00D5298E" w:rsidRPr="00EB3013" w:rsidRDefault="00D5298E" w:rsidP="00B73D70">
            <w:pPr>
              <w:spacing w:after="240"/>
            </w:pPr>
            <w:r w:rsidRPr="00EB3013">
              <w:rPr>
                <w:rFonts w:eastAsia="Times New Roman"/>
              </w:rPr>
              <w:t xml:space="preserve">Collaborative </w:t>
            </w:r>
            <w:r w:rsidR="00F51EFD">
              <w:rPr>
                <w:rFonts w:eastAsia="Times New Roman"/>
              </w:rPr>
              <w:t>R</w:t>
            </w:r>
            <w:r w:rsidRPr="00EB3013">
              <w:rPr>
                <w:rFonts w:eastAsia="Times New Roman"/>
              </w:rPr>
              <w:t>eview</w:t>
            </w:r>
            <w:r w:rsidR="00F51EFD">
              <w:rPr>
                <w:rFonts w:eastAsia="Times New Roman"/>
              </w:rPr>
              <w:t xml:space="preserve"> (CR)</w:t>
            </w:r>
            <w:r w:rsidRPr="00EB3013">
              <w:rPr>
                <w:rFonts w:eastAsia="Times New Roman"/>
              </w:rPr>
              <w:t xml:space="preserve"> with the customer (applicant) when necessary</w:t>
            </w:r>
          </w:p>
        </w:tc>
        <w:tc>
          <w:tcPr>
            <w:tcW w:w="1350" w:type="dxa"/>
          </w:tcPr>
          <w:p w:rsidR="00D5298E" w:rsidRDefault="00D5298E" w:rsidP="00B73D70">
            <w:pPr>
              <w:spacing w:after="240"/>
              <w:rPr>
                <w:rFonts w:eastAsia="Times New Roman"/>
              </w:rPr>
            </w:pPr>
            <w:r w:rsidRPr="00EB3013">
              <w:rPr>
                <w:rFonts w:eastAsia="Times New Roman"/>
              </w:rPr>
              <w:lastRenderedPageBreak/>
              <w:t>Low-rigor</w:t>
            </w:r>
          </w:p>
          <w:p w:rsidR="00F51EFD" w:rsidRPr="00EB3013" w:rsidRDefault="00F51EFD" w:rsidP="00B73D70">
            <w:pPr>
              <w:spacing w:after="240"/>
              <w:rPr>
                <w:rFonts w:eastAsia="Times New Roman"/>
              </w:rPr>
            </w:pPr>
            <w:r>
              <w:rPr>
                <w:rFonts w:eastAsia="Times New Roman"/>
              </w:rPr>
              <w:t xml:space="preserve">Large </w:t>
            </w:r>
            <w:r>
              <w:rPr>
                <w:rFonts w:eastAsia="Times New Roman"/>
              </w:rPr>
              <w:lastRenderedPageBreak/>
              <w:t xml:space="preserve">project requires </w:t>
            </w:r>
            <w:r w:rsidR="000876ED">
              <w:rPr>
                <w:rFonts w:eastAsia="Times New Roman"/>
              </w:rPr>
              <w:t>in-depth</w:t>
            </w:r>
            <w:r>
              <w:rPr>
                <w:rFonts w:eastAsia="Times New Roman"/>
              </w:rPr>
              <w:t xml:space="preserve"> CR</w:t>
            </w:r>
          </w:p>
        </w:tc>
      </w:tr>
    </w:tbl>
    <w:p w:rsidR="00235580" w:rsidRPr="00EB3013" w:rsidRDefault="00235580" w:rsidP="00B73D70">
      <w:pPr>
        <w:spacing w:after="240"/>
        <w:ind w:left="360"/>
      </w:pPr>
    </w:p>
    <w:p w:rsidR="00BE0BD7" w:rsidRDefault="00BE0BD7">
      <w:pPr>
        <w:spacing w:after="200" w:line="276" w:lineRule="auto"/>
        <w:rPr>
          <w:rFonts w:asciiTheme="majorHAnsi" w:eastAsiaTheme="majorEastAsia" w:hAnsiTheme="majorHAnsi" w:cstheme="majorBidi"/>
          <w:b/>
          <w:bCs/>
          <w:color w:val="365F91" w:themeColor="accent1" w:themeShade="BF"/>
          <w:sz w:val="28"/>
          <w:szCs w:val="28"/>
        </w:rPr>
      </w:pPr>
      <w:r>
        <w:br w:type="page"/>
      </w:r>
    </w:p>
    <w:p w:rsidR="000449C6" w:rsidRPr="00EB3013" w:rsidRDefault="00312D66" w:rsidP="003E00F3">
      <w:pPr>
        <w:pStyle w:val="Heading1"/>
      </w:pPr>
      <w:r>
        <w:lastRenderedPageBreak/>
        <w:t xml:space="preserve">3. </w:t>
      </w:r>
      <w:r w:rsidR="000449C6" w:rsidRPr="00EB3013">
        <w:t xml:space="preserve">Proposed </w:t>
      </w:r>
      <w:r w:rsidR="00F51EFD">
        <w:t>S</w:t>
      </w:r>
      <w:r w:rsidR="000449C6" w:rsidRPr="00EB3013">
        <w:t xml:space="preserve">olution </w:t>
      </w:r>
    </w:p>
    <w:p w:rsidR="005A69B5" w:rsidRDefault="002C6634" w:rsidP="00497C5F">
      <w:r w:rsidRPr="00EB3013">
        <w:t xml:space="preserve">In summary, </w:t>
      </w:r>
      <w:r w:rsidR="005A69B5">
        <w:t>the c</w:t>
      </w:r>
      <w:r w:rsidR="005A69B5">
        <w:t xml:space="preserve">urrent </w:t>
      </w:r>
      <w:r w:rsidR="005A69B5">
        <w:t xml:space="preserve">Guide is confusing as it mixes </w:t>
      </w:r>
      <w:r w:rsidR="005A69B5">
        <w:t xml:space="preserve">3 distinct uses </w:t>
      </w:r>
      <w:r w:rsidR="005A69B5">
        <w:t xml:space="preserve">and expectation </w:t>
      </w:r>
      <w:r w:rsidR="005A69B5">
        <w:t xml:space="preserve">of </w:t>
      </w:r>
      <w:r w:rsidR="00497C5F">
        <w:t xml:space="preserve">an </w:t>
      </w:r>
      <w:r w:rsidR="005A69B5">
        <w:t>ISP</w:t>
      </w:r>
      <w:r w:rsidR="00497C5F">
        <w:t xml:space="preserve"> study</w:t>
      </w:r>
      <w:r w:rsidR="005A69B5">
        <w:t>. We n</w:t>
      </w:r>
      <w:r w:rsidR="005A69B5">
        <w:t xml:space="preserve">eed a </w:t>
      </w:r>
      <w:r w:rsidR="005A69B5">
        <w:t xml:space="preserve">new </w:t>
      </w:r>
      <w:r w:rsidR="005A69B5">
        <w:t xml:space="preserve">Guide that addresses each distinct use of ISP </w:t>
      </w:r>
      <w:r w:rsidR="00497C5F">
        <w:t xml:space="preserve">study </w:t>
      </w:r>
      <w:r w:rsidR="005A69B5">
        <w:t>and provides guidance on how to carry out research to establish and implement ISP</w:t>
      </w:r>
      <w:r w:rsidR="00497C5F">
        <w:t xml:space="preserve"> </w:t>
      </w:r>
      <w:r w:rsidR="005A69B5">
        <w:t>s</w:t>
      </w:r>
      <w:r w:rsidR="00497C5F">
        <w:t>tudy</w:t>
      </w:r>
      <w:r w:rsidR="005A69B5">
        <w:t xml:space="preserve"> for each of these</w:t>
      </w:r>
      <w:r w:rsidR="005A69B5">
        <w:t>.  I</w:t>
      </w:r>
      <w:r w:rsidR="005A69B5">
        <w:t>SP initially meant to be used as another piece of evidence to corroborate a hunch by PA/PI that a measure in a specific market was becoming the norm and therefore, was ripe to be sunset from our portfolio of offerings</w:t>
      </w:r>
      <w:r w:rsidR="005A69B5">
        <w:t xml:space="preserve">. </w:t>
      </w:r>
      <w:r w:rsidR="005A69B5">
        <w:t>ISP was extended by CPUC to be used to establish the counterfactual baseline for custom projects where no code/standar</w:t>
      </w:r>
      <w:r w:rsidR="005A69B5">
        <w:t xml:space="preserve">d </w:t>
      </w:r>
      <w:r w:rsidR="005A69B5">
        <w:t>could be used and allowed for once-off exceptions but lacked clarity on how to address these instances</w:t>
      </w:r>
      <w:r w:rsidR="005A69B5">
        <w:t xml:space="preserve">.  </w:t>
      </w:r>
      <w:r w:rsidR="00497C5F">
        <w:t xml:space="preserve">The new Guide should probably include policy elements related to custom process. </w:t>
      </w:r>
    </w:p>
    <w:p w:rsidR="005A69B5" w:rsidRDefault="005A69B5" w:rsidP="00497C5F"/>
    <w:p w:rsidR="002C6634" w:rsidRPr="00EB3013" w:rsidRDefault="002C6634" w:rsidP="00497C5F">
      <w:r w:rsidRPr="00EB3013">
        <w:t>PG&amp;E staff believe</w:t>
      </w:r>
      <w:r w:rsidR="00D81123" w:rsidRPr="00EB3013">
        <w:t>s</w:t>
      </w:r>
      <w:r w:rsidRPr="00EB3013">
        <w:t xml:space="preserve"> that the existing Guide needs a major revision to improve its clarities, conciseness, readability, and usefulness. The overarching purpose of this updated guidance document is to draw upon the latest experience to improve practices and policies to make the ISP studies more cost effective and valuable.  </w:t>
      </w:r>
      <w:r w:rsidR="00D81123" w:rsidRPr="00EB3013">
        <w:t xml:space="preserve">We would be happy to provide straw-person proposal for the T2WG to start with and refine during the course of update per the Decision. </w:t>
      </w:r>
    </w:p>
    <w:p w:rsidR="00497C5F" w:rsidRDefault="00497C5F" w:rsidP="00B73D70">
      <w:pPr>
        <w:spacing w:after="240"/>
      </w:pPr>
    </w:p>
    <w:p w:rsidR="002C6634" w:rsidRPr="00EB3013" w:rsidRDefault="002C6634" w:rsidP="00B73D70">
      <w:pPr>
        <w:spacing w:after="240"/>
      </w:pPr>
      <w:r w:rsidRPr="00EB3013">
        <w:t>Goals of ISP studies are:</w:t>
      </w:r>
    </w:p>
    <w:p w:rsidR="002C6634" w:rsidRPr="00EB3013" w:rsidRDefault="002C6634" w:rsidP="00B73D70">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 xml:space="preserve">Support risk mitigation in program design, development and implementation </w:t>
      </w:r>
    </w:p>
    <w:p w:rsidR="002C6634" w:rsidRPr="00EB3013" w:rsidRDefault="002C6634" w:rsidP="00B73D70">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Support compliance and improve program cost-effectiveness</w:t>
      </w:r>
    </w:p>
    <w:p w:rsidR="002C6634" w:rsidRPr="00EB3013" w:rsidRDefault="002C6634" w:rsidP="00B73D70">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Support responsible administration of ratepayers funds</w:t>
      </w:r>
    </w:p>
    <w:p w:rsidR="002C6634" w:rsidRPr="00EB3013" w:rsidRDefault="002C6634" w:rsidP="00B73D70">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Advance statewide collaboration and knowledge sharing of current sectoral and end-user practices</w:t>
      </w:r>
    </w:p>
    <w:p w:rsidR="002C6634" w:rsidRPr="00755C65" w:rsidRDefault="002C6634" w:rsidP="00BE0BD7">
      <w:pPr>
        <w:spacing w:after="240"/>
      </w:pPr>
      <w:r w:rsidRPr="00EB3013">
        <w:t xml:space="preserve">The </w:t>
      </w:r>
      <w:r w:rsidR="00D81123" w:rsidRPr="00EB3013">
        <w:t xml:space="preserve">updated </w:t>
      </w:r>
      <w:r w:rsidRPr="00EB3013">
        <w:t xml:space="preserve">guide shall explain the concepts of Industry Standard Practice (ISP) </w:t>
      </w:r>
      <w:r w:rsidR="00D81123" w:rsidRPr="00EB3013">
        <w:t xml:space="preserve">clearly and consistently; </w:t>
      </w:r>
      <w:r w:rsidR="001653DE" w:rsidRPr="00EB3013">
        <w:t xml:space="preserve">the types of ISP studies for three different applications (see the above table); </w:t>
      </w:r>
      <w:r w:rsidRPr="00EB3013">
        <w:t>and to describe the processes for establishing ISP studies and implementing Industry Standard Practices.  This document sh</w:t>
      </w:r>
      <w:r w:rsidR="00923041" w:rsidRPr="00EB3013">
        <w:t>ould</w:t>
      </w:r>
      <w:r w:rsidRPr="00EB3013">
        <w:t xml:space="preserve"> refer to relevant CPUC policies, the terminology, the process of technology adoption, factors that likely indicate technologies becoming Industry Standard Practice, and process for developing and implementing an Industry Standard Practice study.</w:t>
      </w:r>
      <w:r w:rsidR="00DA3603">
        <w:t xml:space="preserve">  </w:t>
      </w:r>
      <w:r w:rsidRPr="00BE0BD7">
        <w:t xml:space="preserve">The </w:t>
      </w:r>
      <w:r w:rsidR="00C55C66" w:rsidRPr="00BE0BD7">
        <w:t xml:space="preserve">new </w:t>
      </w:r>
      <w:r w:rsidRPr="00BE0BD7">
        <w:t xml:space="preserve">guide </w:t>
      </w:r>
      <w:r w:rsidR="00C55C66" w:rsidRPr="00BE0BD7">
        <w:t xml:space="preserve">should </w:t>
      </w:r>
      <w:r w:rsidRPr="00BE0BD7">
        <w:t>cover the following topics:</w:t>
      </w:r>
    </w:p>
    <w:p w:rsidR="002C6634" w:rsidRPr="00EB3013" w:rsidRDefault="002C6634" w:rsidP="00755C65">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Definitions of Industry Standard Practice (ISP) and ISP study</w:t>
      </w:r>
    </w:p>
    <w:p w:rsidR="00200DB2" w:rsidRPr="00EB3013" w:rsidRDefault="002C6634" w:rsidP="00755C65">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Types of ISP studies and their triggers</w:t>
      </w:r>
    </w:p>
    <w:p w:rsidR="002C6634" w:rsidRPr="00EB3013" w:rsidRDefault="002C6634" w:rsidP="00755C65">
      <w:pPr>
        <w:pStyle w:val="ListParagraph"/>
        <w:numPr>
          <w:ilvl w:val="0"/>
          <w:numId w:val="3"/>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Process of requesting and performing an ISP study</w:t>
      </w:r>
    </w:p>
    <w:p w:rsidR="002C6634" w:rsidRPr="00EB3013"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Prescreen of ISP study</w:t>
      </w:r>
    </w:p>
    <w:p w:rsidR="002C6634" w:rsidRPr="00EB3013"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Submit a request for an ISP study</w:t>
      </w:r>
    </w:p>
    <w:p w:rsidR="002C6634" w:rsidRPr="00EB3013"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Review and determine purpose and scope of an ISP study</w:t>
      </w:r>
    </w:p>
    <w:p w:rsidR="002C6634" w:rsidRPr="00EB3013"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 xml:space="preserve">Perform ISP study/investigation (design, review, and administration of survey instruments, review and </w:t>
      </w:r>
      <w:r w:rsidR="00512CE8">
        <w:rPr>
          <w:rFonts w:ascii="Times New Roman" w:hAnsi="Times New Roman" w:cs="Times New Roman"/>
          <w:sz w:val="24"/>
          <w:szCs w:val="24"/>
        </w:rPr>
        <w:t xml:space="preserve">data </w:t>
      </w:r>
      <w:r w:rsidRPr="00EB3013">
        <w:rPr>
          <w:rFonts w:ascii="Times New Roman" w:hAnsi="Times New Roman" w:cs="Times New Roman"/>
          <w:sz w:val="24"/>
          <w:szCs w:val="24"/>
        </w:rPr>
        <w:t>analysis)</w:t>
      </w:r>
    </w:p>
    <w:p w:rsidR="002C6634" w:rsidRPr="00EB3013"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Report</w:t>
      </w:r>
      <w:r w:rsidR="00200DB2" w:rsidRPr="00EB3013">
        <w:rPr>
          <w:rFonts w:ascii="Times New Roman" w:hAnsi="Times New Roman" w:cs="Times New Roman"/>
          <w:sz w:val="24"/>
          <w:szCs w:val="24"/>
        </w:rPr>
        <w:t>,</w:t>
      </w:r>
      <w:r w:rsidRPr="00EB3013">
        <w:rPr>
          <w:rFonts w:ascii="Times New Roman" w:hAnsi="Times New Roman" w:cs="Times New Roman"/>
          <w:sz w:val="24"/>
          <w:szCs w:val="24"/>
        </w:rPr>
        <w:t xml:space="preserve"> review, and publish ISP study findings </w:t>
      </w:r>
    </w:p>
    <w:p w:rsidR="00200DB2" w:rsidRPr="00EB3013" w:rsidRDefault="00200DB2" w:rsidP="00007506">
      <w:pPr>
        <w:pStyle w:val="ListParagraph"/>
        <w:tabs>
          <w:tab w:val="left" w:pos="720"/>
          <w:tab w:val="left" w:pos="1440"/>
          <w:tab w:val="left" w:pos="2160"/>
          <w:tab w:val="left" w:pos="2880"/>
          <w:tab w:val="left" w:pos="3600"/>
        </w:tabs>
        <w:spacing w:after="240" w:line="240" w:lineRule="auto"/>
        <w:ind w:left="2880"/>
        <w:jc w:val="both"/>
        <w:rPr>
          <w:rFonts w:ascii="Times New Roman" w:hAnsi="Times New Roman" w:cs="Times New Roman"/>
          <w:sz w:val="24"/>
          <w:szCs w:val="24"/>
        </w:rPr>
      </w:pPr>
    </w:p>
    <w:p w:rsidR="006C7C24" w:rsidRDefault="006C7C24" w:rsidP="00755C65">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sidRPr="006C7C24">
        <w:rPr>
          <w:rFonts w:ascii="Times New Roman" w:hAnsi="Times New Roman" w:cs="Times New Roman"/>
          <w:sz w:val="24"/>
          <w:szCs w:val="24"/>
        </w:rPr>
        <w:t>policy, reporting, and claim e</w:t>
      </w:r>
      <w:r>
        <w:rPr>
          <w:rFonts w:ascii="Times New Roman" w:hAnsi="Times New Roman" w:cs="Times New Roman"/>
          <w:sz w:val="24"/>
          <w:szCs w:val="24"/>
        </w:rPr>
        <w:t xml:space="preserve">lements relevant to ISP studies, such as </w:t>
      </w:r>
    </w:p>
    <w:p w:rsidR="002C6634" w:rsidRDefault="002C663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 xml:space="preserve">Implementation </w:t>
      </w:r>
      <w:r w:rsidR="00C55C66" w:rsidRPr="00EB3013">
        <w:rPr>
          <w:rFonts w:ascii="Times New Roman" w:hAnsi="Times New Roman" w:cs="Times New Roman"/>
          <w:sz w:val="24"/>
          <w:szCs w:val="24"/>
        </w:rPr>
        <w:t xml:space="preserve">and </w:t>
      </w:r>
      <w:r w:rsidR="00200DB2" w:rsidRPr="00EB3013">
        <w:rPr>
          <w:rFonts w:ascii="Times New Roman" w:hAnsi="Times New Roman" w:cs="Times New Roman"/>
          <w:sz w:val="24"/>
          <w:szCs w:val="24"/>
        </w:rPr>
        <w:t xml:space="preserve">appropriate </w:t>
      </w:r>
      <w:r w:rsidR="00C55C66" w:rsidRPr="00EB3013">
        <w:rPr>
          <w:rFonts w:ascii="Times New Roman" w:hAnsi="Times New Roman" w:cs="Times New Roman"/>
          <w:sz w:val="24"/>
          <w:szCs w:val="24"/>
        </w:rPr>
        <w:t xml:space="preserve">use </w:t>
      </w:r>
      <w:r w:rsidRPr="00EB3013">
        <w:rPr>
          <w:rFonts w:ascii="Times New Roman" w:hAnsi="Times New Roman" w:cs="Times New Roman"/>
          <w:sz w:val="24"/>
          <w:szCs w:val="24"/>
        </w:rPr>
        <w:t>of ISP study findings</w:t>
      </w:r>
    </w:p>
    <w:p w:rsidR="006C7C24" w:rsidRDefault="006C7C24" w:rsidP="00755C65">
      <w:pPr>
        <w:pStyle w:val="ListParagraph"/>
        <w:numPr>
          <w:ilvl w:val="1"/>
          <w:numId w:val="1"/>
        </w:numPr>
        <w:spacing w:after="240" w:line="240" w:lineRule="auto"/>
        <w:rPr>
          <w:rFonts w:ascii="Times New Roman" w:hAnsi="Times New Roman" w:cs="Times New Roman"/>
          <w:sz w:val="24"/>
          <w:szCs w:val="24"/>
        </w:rPr>
      </w:pPr>
      <w:r w:rsidRPr="006C7C24">
        <w:rPr>
          <w:rFonts w:ascii="Times New Roman" w:hAnsi="Times New Roman" w:cs="Times New Roman"/>
          <w:sz w:val="24"/>
          <w:szCs w:val="24"/>
        </w:rPr>
        <w:lastRenderedPageBreak/>
        <w:t>Using ISP study outcomes for baseline implies that the savings estimated from</w:t>
      </w:r>
      <w:r>
        <w:rPr>
          <w:rFonts w:ascii="Times New Roman" w:hAnsi="Times New Roman" w:cs="Times New Roman"/>
          <w:sz w:val="24"/>
          <w:szCs w:val="24"/>
        </w:rPr>
        <w:t xml:space="preserve"> that baseline are NET savings - </w:t>
      </w:r>
      <w:r w:rsidRPr="006C7C24">
        <w:rPr>
          <w:rFonts w:ascii="Times New Roman" w:hAnsi="Times New Roman" w:cs="Times New Roman"/>
          <w:sz w:val="24"/>
          <w:szCs w:val="24"/>
        </w:rPr>
        <w:t xml:space="preserve">align ISP baselines with how C&amp;S baselines are used to estimate savings.  </w:t>
      </w:r>
    </w:p>
    <w:p w:rsidR="006C7C24" w:rsidRDefault="006C7C24" w:rsidP="00755C65">
      <w:pPr>
        <w:pStyle w:val="ListParagraph"/>
        <w:numPr>
          <w:ilvl w:val="1"/>
          <w:numId w:val="1"/>
        </w:numPr>
        <w:spacing w:after="240" w:line="240" w:lineRule="auto"/>
        <w:rPr>
          <w:rFonts w:ascii="Times New Roman" w:hAnsi="Times New Roman" w:cs="Times New Roman"/>
          <w:sz w:val="24"/>
          <w:szCs w:val="24"/>
        </w:rPr>
      </w:pPr>
      <w:r w:rsidRPr="00EB3013">
        <w:rPr>
          <w:rFonts w:ascii="Times New Roman" w:hAnsi="Times New Roman" w:cs="Times New Roman"/>
          <w:sz w:val="24"/>
          <w:szCs w:val="24"/>
        </w:rPr>
        <w:t>How and when to integrate the study and outcomes into the custom project review process in compliance with the resolutions</w:t>
      </w:r>
    </w:p>
    <w:p w:rsidR="006C7C24" w:rsidRPr="00EB3013" w:rsidRDefault="006C7C24" w:rsidP="00755C65">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Develop a viable custom protocol so that absence or incompletion of a market-based ISP study doesn’t present itself as the stopper for new project development</w:t>
      </w:r>
      <w:r w:rsidR="00503C2E">
        <w:rPr>
          <w:rFonts w:ascii="Times New Roman" w:hAnsi="Times New Roman" w:cs="Times New Roman"/>
          <w:sz w:val="24"/>
          <w:szCs w:val="24"/>
        </w:rPr>
        <w:t xml:space="preserve"> </w:t>
      </w:r>
      <w:r w:rsidR="00503C2E" w:rsidRPr="003057CE">
        <w:rPr>
          <w:rFonts w:ascii="Times New Roman" w:hAnsi="Times New Roman" w:cs="Times New Roman"/>
          <w:sz w:val="24"/>
          <w:szCs w:val="24"/>
          <w:highlight w:val="yellow"/>
        </w:rPr>
        <w:t>(See</w:t>
      </w:r>
      <w:r w:rsidR="00503C2E">
        <w:rPr>
          <w:rFonts w:ascii="Times New Roman" w:hAnsi="Times New Roman" w:cs="Times New Roman"/>
          <w:sz w:val="24"/>
          <w:szCs w:val="24"/>
        </w:rPr>
        <w:t xml:space="preserve"> </w:t>
      </w:r>
      <w:r w:rsidR="00503C2E" w:rsidRPr="003057CE">
        <w:rPr>
          <w:rFonts w:ascii="Times New Roman" w:hAnsi="Times New Roman" w:cs="Times New Roman"/>
          <w:sz w:val="24"/>
          <w:szCs w:val="24"/>
          <w:highlight w:val="yellow"/>
        </w:rPr>
        <w:t xml:space="preserve">PG&amp;E’s </w:t>
      </w:r>
      <w:r w:rsidR="00DA3603" w:rsidRPr="003057CE">
        <w:rPr>
          <w:rFonts w:ascii="Times New Roman" w:hAnsi="Times New Roman" w:cs="Times New Roman"/>
          <w:sz w:val="24"/>
          <w:szCs w:val="24"/>
          <w:highlight w:val="yellow"/>
        </w:rPr>
        <w:t>project development (</w:t>
      </w:r>
      <w:r w:rsidR="00503C2E" w:rsidRPr="003057CE">
        <w:rPr>
          <w:rFonts w:ascii="Times New Roman" w:hAnsi="Times New Roman" w:cs="Times New Roman"/>
          <w:sz w:val="24"/>
          <w:szCs w:val="24"/>
          <w:highlight w:val="yellow"/>
        </w:rPr>
        <w:t>PD</w:t>
      </w:r>
      <w:r w:rsidR="00DA3603" w:rsidRPr="003057CE">
        <w:rPr>
          <w:rFonts w:ascii="Times New Roman" w:hAnsi="Times New Roman" w:cs="Times New Roman"/>
          <w:sz w:val="24"/>
          <w:szCs w:val="24"/>
          <w:highlight w:val="yellow"/>
        </w:rPr>
        <w:t>)</w:t>
      </w:r>
      <w:r w:rsidR="00503C2E" w:rsidRPr="003057CE">
        <w:rPr>
          <w:rFonts w:ascii="Times New Roman" w:hAnsi="Times New Roman" w:cs="Times New Roman"/>
          <w:sz w:val="24"/>
          <w:szCs w:val="24"/>
          <w:highlight w:val="yellow"/>
        </w:rPr>
        <w:t xml:space="preserve"> protocol)</w:t>
      </w:r>
    </w:p>
    <w:p w:rsidR="00497C5F" w:rsidRDefault="00497C5F">
      <w:pPr>
        <w:spacing w:after="200" w:line="276" w:lineRule="auto"/>
        <w:rPr>
          <w:rFonts w:asciiTheme="majorHAnsi" w:eastAsiaTheme="majorEastAsia" w:hAnsiTheme="majorHAnsi" w:cstheme="majorBidi"/>
          <w:b/>
          <w:bCs/>
          <w:color w:val="365F91" w:themeColor="accent1" w:themeShade="BF"/>
          <w:sz w:val="28"/>
          <w:szCs w:val="28"/>
        </w:rPr>
      </w:pPr>
      <w:r>
        <w:br w:type="page"/>
      </w:r>
    </w:p>
    <w:p w:rsidR="002C6634" w:rsidRPr="002B2889" w:rsidRDefault="00ED72DA" w:rsidP="00BE0BD7">
      <w:pPr>
        <w:pStyle w:val="Heading1"/>
      </w:pPr>
      <w:r>
        <w:lastRenderedPageBreak/>
        <w:t xml:space="preserve">4. </w:t>
      </w:r>
      <w:r w:rsidR="00D50D42">
        <w:t>References</w:t>
      </w:r>
      <w:r>
        <w:t xml:space="preserve"> to Decision and existing ISP Guide</w:t>
      </w:r>
    </w:p>
    <w:p w:rsidR="0086613C" w:rsidRPr="00196EBC" w:rsidRDefault="0086613C" w:rsidP="002B2889">
      <w:pPr>
        <w:pStyle w:val="Heading2"/>
        <w:rPr>
          <w:sz w:val="20"/>
          <w:szCs w:val="20"/>
        </w:rPr>
      </w:pPr>
      <w:r w:rsidRPr="00196EBC">
        <w:rPr>
          <w:sz w:val="20"/>
          <w:szCs w:val="20"/>
        </w:rPr>
        <w:t xml:space="preserve">R.13-11-005 ALJ/JF2/lil PROPOSED DECISION, Page </w:t>
      </w:r>
      <w:r w:rsidR="002B2889" w:rsidRPr="00196EBC">
        <w:rPr>
          <w:sz w:val="20"/>
          <w:szCs w:val="20"/>
        </w:rPr>
        <w:t>–</w:t>
      </w:r>
      <w:r w:rsidRPr="00196EBC">
        <w:rPr>
          <w:sz w:val="20"/>
          <w:szCs w:val="20"/>
        </w:rPr>
        <w:t xml:space="preserve"> 38</w:t>
      </w:r>
      <w:r w:rsidR="002B2889" w:rsidRPr="00196EBC">
        <w:rPr>
          <w:sz w:val="20"/>
          <w:szCs w:val="20"/>
        </w:rPr>
        <w:t xml:space="preserve"> </w:t>
      </w:r>
      <w:r w:rsidR="00954754" w:rsidRPr="00196EBC">
        <w:rPr>
          <w:sz w:val="20"/>
          <w:szCs w:val="20"/>
        </w:rPr>
        <w:t xml:space="preserve">(Verbatim in Decision) </w:t>
      </w:r>
    </w:p>
    <w:p w:rsidR="0086613C" w:rsidRPr="00196EBC" w:rsidRDefault="0086613C" w:rsidP="002B2889">
      <w:pPr>
        <w:spacing w:after="240"/>
        <w:rPr>
          <w:sz w:val="20"/>
          <w:szCs w:val="20"/>
        </w:rPr>
      </w:pPr>
      <w:r w:rsidRPr="00196EBC">
        <w:rPr>
          <w:sz w:val="20"/>
          <w:szCs w:val="20"/>
        </w:rPr>
        <w:t>Another issue to be addressed in a collaborative setting is the development and application of Industry Standard Practice (ISP) determinations, as suggested by SCE in its comments on EM&amp;V.</w:t>
      </w:r>
    </w:p>
    <w:p w:rsidR="0086613C" w:rsidRPr="00196EBC" w:rsidRDefault="0086613C" w:rsidP="002B2889">
      <w:pPr>
        <w:spacing w:after="240"/>
        <w:rPr>
          <w:sz w:val="20"/>
          <w:szCs w:val="20"/>
        </w:rPr>
      </w:pPr>
      <w:r w:rsidRPr="00196EBC">
        <w:rPr>
          <w:sz w:val="20"/>
          <w:szCs w:val="20"/>
        </w:rPr>
        <w:t>We decline to stop reliance on ISP determinations entirely at this time, as suggested by CEEIC in their comments. Informal ISP studies were initiated by the utilities as a method of risk assessment for individual projects. Those studies can still be helpful in determining whether an implementer has achieved incremental energy savings by convincing the customer to go beyond the usual type of equipment purchased in that customer’s sub-segment, and for identifying larger ISP market studies that should be carried out by the program administrators.</w:t>
      </w:r>
    </w:p>
    <w:p w:rsidR="00F5423D" w:rsidRPr="00196EBC" w:rsidRDefault="0086613C" w:rsidP="002B2889">
      <w:pPr>
        <w:pStyle w:val="ListParagraph"/>
        <w:numPr>
          <w:ilvl w:val="0"/>
          <w:numId w:val="5"/>
        </w:numPr>
        <w:spacing w:after="240"/>
        <w:rPr>
          <w:rFonts w:ascii="Times New Roman" w:hAnsi="Times New Roman" w:cs="Times New Roman"/>
          <w:sz w:val="20"/>
          <w:szCs w:val="20"/>
        </w:rPr>
      </w:pPr>
      <w:r w:rsidRPr="00196EBC">
        <w:rPr>
          <w:rFonts w:ascii="Times New Roman" w:hAnsi="Times New Roman" w:cs="Times New Roman"/>
          <w:sz w:val="20"/>
          <w:szCs w:val="20"/>
        </w:rPr>
        <w:t xml:space="preserve">We agree with SCE that the current ISP Guidance Document should be revised. </w:t>
      </w:r>
    </w:p>
    <w:p w:rsidR="00F5423D" w:rsidRPr="00196EBC" w:rsidRDefault="0086613C" w:rsidP="002B2889">
      <w:pPr>
        <w:pStyle w:val="ListParagraph"/>
        <w:numPr>
          <w:ilvl w:val="0"/>
          <w:numId w:val="5"/>
        </w:numPr>
        <w:spacing w:after="240"/>
        <w:rPr>
          <w:rFonts w:ascii="Times New Roman" w:hAnsi="Times New Roman" w:cs="Times New Roman"/>
          <w:sz w:val="20"/>
          <w:szCs w:val="20"/>
        </w:rPr>
      </w:pPr>
      <w:r w:rsidRPr="00196EBC">
        <w:rPr>
          <w:rFonts w:ascii="Times New Roman" w:hAnsi="Times New Roman" w:cs="Times New Roman"/>
          <w:sz w:val="20"/>
          <w:szCs w:val="20"/>
        </w:rPr>
        <w:t xml:space="preserve">This should be a topic to be addressed in the collaborative working group convened by Commission staff and/or utilizing an existing collaborative forum. </w:t>
      </w:r>
    </w:p>
    <w:p w:rsidR="00F5423D" w:rsidRPr="00196EBC" w:rsidRDefault="0086613C" w:rsidP="002B2889">
      <w:pPr>
        <w:pStyle w:val="ListParagraph"/>
        <w:numPr>
          <w:ilvl w:val="0"/>
          <w:numId w:val="5"/>
        </w:numPr>
        <w:spacing w:after="240"/>
        <w:rPr>
          <w:rFonts w:ascii="Times New Roman" w:hAnsi="Times New Roman" w:cs="Times New Roman"/>
          <w:sz w:val="20"/>
          <w:szCs w:val="20"/>
        </w:rPr>
      </w:pPr>
      <w:r w:rsidRPr="00196EBC">
        <w:rPr>
          <w:rFonts w:ascii="Times New Roman" w:hAnsi="Times New Roman" w:cs="Times New Roman"/>
          <w:sz w:val="20"/>
          <w:szCs w:val="20"/>
        </w:rPr>
        <w:t xml:space="preserve">We also agree with the CEEIC’s contention in its EM&amp;V comments that broader ISP studies should be used as an approach to market assessment. </w:t>
      </w:r>
    </w:p>
    <w:p w:rsidR="0086613C" w:rsidRPr="00196EBC" w:rsidRDefault="0086613C" w:rsidP="002B2889">
      <w:pPr>
        <w:pStyle w:val="ListParagraph"/>
        <w:numPr>
          <w:ilvl w:val="0"/>
          <w:numId w:val="5"/>
        </w:numPr>
        <w:spacing w:after="240"/>
        <w:rPr>
          <w:rFonts w:ascii="Times New Roman" w:hAnsi="Times New Roman" w:cs="Times New Roman"/>
          <w:sz w:val="20"/>
          <w:szCs w:val="20"/>
        </w:rPr>
      </w:pPr>
      <w:r w:rsidRPr="00196EBC">
        <w:rPr>
          <w:rFonts w:ascii="Times New Roman" w:hAnsi="Times New Roman" w:cs="Times New Roman"/>
          <w:sz w:val="20"/>
          <w:szCs w:val="20"/>
        </w:rPr>
        <w:t xml:space="preserve">How these studies should be designed and carried out should be clarified in the revision to the existing ISP Guidance Document (i.e., “Industry Standard Practice Guide, Version 1.2A,” Final Living Document, April 2014, </w:t>
      </w:r>
      <w:hyperlink r:id="rId9" w:history="1">
        <w:r w:rsidRPr="00196EBC">
          <w:rPr>
            <w:rStyle w:val="Hyperlink"/>
            <w:rFonts w:ascii="Times New Roman" w:hAnsi="Times New Roman" w:cs="Times New Roman"/>
            <w:sz w:val="20"/>
            <w:szCs w:val="20"/>
          </w:rPr>
          <w:t>http://www.cpuc.ca.gov/General.aspx?id=4133</w:t>
        </w:r>
      </w:hyperlink>
      <w:r w:rsidRPr="00196EBC">
        <w:rPr>
          <w:rFonts w:ascii="Times New Roman" w:hAnsi="Times New Roman" w:cs="Times New Roman"/>
          <w:sz w:val="20"/>
          <w:szCs w:val="20"/>
        </w:rPr>
        <w:t xml:space="preserve">). </w:t>
      </w:r>
    </w:p>
    <w:p w:rsidR="00F5423D" w:rsidRPr="00196EBC" w:rsidRDefault="00F5423D" w:rsidP="002B2889">
      <w:pPr>
        <w:pStyle w:val="Heading2"/>
        <w:rPr>
          <w:sz w:val="20"/>
          <w:szCs w:val="20"/>
        </w:rPr>
      </w:pPr>
      <w:r w:rsidRPr="00196EBC">
        <w:rPr>
          <w:sz w:val="20"/>
          <w:szCs w:val="20"/>
        </w:rPr>
        <w:t>Industry Standard Practice Guide, Version 1.2A</w:t>
      </w:r>
      <w:r w:rsidR="00954754" w:rsidRPr="00196EBC">
        <w:rPr>
          <w:sz w:val="20"/>
          <w:szCs w:val="20"/>
        </w:rPr>
        <w:t xml:space="preserve"> (Verbatim in existing ISP Guide)</w:t>
      </w:r>
    </w:p>
    <w:p w:rsidR="00F5423D" w:rsidRPr="00196EBC" w:rsidRDefault="00F5423D" w:rsidP="002B2889">
      <w:pPr>
        <w:spacing w:after="240"/>
        <w:rPr>
          <w:sz w:val="20"/>
          <w:szCs w:val="20"/>
        </w:rPr>
      </w:pPr>
      <w:r w:rsidRPr="00196EBC">
        <w:rPr>
          <w:sz w:val="20"/>
          <w:szCs w:val="20"/>
        </w:rPr>
        <w:t>2.1 A basic definition for Industry Standard Practice: Industry Standard Practice (ISP) represents the typical equipment or commonly used current practice absent the program.</w:t>
      </w:r>
      <w:r w:rsidRPr="00196EBC">
        <w:rPr>
          <w:sz w:val="20"/>
          <w:szCs w:val="20"/>
        </w:rPr>
        <w:footnoteReference w:id="2"/>
      </w:r>
    </w:p>
    <w:p w:rsidR="00F5423D" w:rsidRPr="00196EBC" w:rsidRDefault="00F5423D" w:rsidP="00F5423D">
      <w:pPr>
        <w:spacing w:after="240"/>
        <w:rPr>
          <w:sz w:val="20"/>
          <w:szCs w:val="20"/>
        </w:rPr>
      </w:pPr>
      <w:r w:rsidRPr="00196EBC">
        <w:rPr>
          <w:sz w:val="20"/>
          <w:szCs w:val="20"/>
        </w:rPr>
        <w:t>2.7</w:t>
      </w:r>
      <w:r w:rsidRPr="00196EBC">
        <w:rPr>
          <w:sz w:val="20"/>
          <w:szCs w:val="20"/>
        </w:rPr>
        <w:tab/>
      </w:r>
      <w:r w:rsidRPr="00196EBC">
        <w:rPr>
          <w:sz w:val="20"/>
          <w:szCs w:val="20"/>
          <w:u w:val="single"/>
        </w:rPr>
        <w:t>ISP by Code or Regulation</w:t>
      </w:r>
      <w:r w:rsidR="00954754" w:rsidRPr="00196EBC">
        <w:rPr>
          <w:sz w:val="20"/>
          <w:szCs w:val="20"/>
        </w:rPr>
        <w:t xml:space="preserve">. </w:t>
      </w:r>
      <w:r w:rsidRPr="00196EBC">
        <w:rPr>
          <w:sz w:val="20"/>
          <w:szCs w:val="20"/>
        </w:rPr>
        <w:t xml:space="preserve">Codes and regulations enacted by federal and local governments, and regulatory agencies can mandate a particular technology to be utilized and therefore force it to be ISP.    This is also referred to as Code Baseline.  </w:t>
      </w:r>
      <w:r w:rsidR="00954754" w:rsidRPr="00196EBC">
        <w:rPr>
          <w:sz w:val="20"/>
          <w:szCs w:val="20"/>
        </w:rPr>
        <w:t xml:space="preserve"> </w:t>
      </w:r>
      <w:r w:rsidRPr="00196EBC">
        <w:rPr>
          <w:sz w:val="20"/>
          <w:szCs w:val="20"/>
        </w:rPr>
        <w:t>During an ISP study investigation, the technology or measure must still be fully evaluated because even though codes and regulations mandate its use, the industry may be installing a technology that is above and beyond the code baseline as standard practice.  This can occur when code standards have been long standing that are outdated, and new technology innovations have been adopted by the industry on its own volition.</w:t>
      </w:r>
    </w:p>
    <w:p w:rsidR="00F5423D" w:rsidRPr="00196EBC" w:rsidRDefault="00F5423D" w:rsidP="00F5423D">
      <w:pPr>
        <w:spacing w:after="240"/>
        <w:rPr>
          <w:sz w:val="20"/>
          <w:szCs w:val="20"/>
        </w:rPr>
      </w:pPr>
      <w:r w:rsidRPr="00196EBC">
        <w:rPr>
          <w:sz w:val="20"/>
          <w:szCs w:val="20"/>
        </w:rPr>
        <w:t>2.8</w:t>
      </w:r>
      <w:r w:rsidRPr="00196EBC">
        <w:rPr>
          <w:sz w:val="20"/>
          <w:szCs w:val="20"/>
        </w:rPr>
        <w:tab/>
      </w:r>
      <w:r w:rsidRPr="00196EBC">
        <w:rPr>
          <w:sz w:val="20"/>
          <w:szCs w:val="20"/>
          <w:u w:val="single"/>
        </w:rPr>
        <w:t>ISP by Default</w:t>
      </w:r>
      <w:r w:rsidR="00954754" w:rsidRPr="00196EBC">
        <w:rPr>
          <w:sz w:val="20"/>
          <w:szCs w:val="20"/>
        </w:rPr>
        <w:t xml:space="preserve">. </w:t>
      </w:r>
      <w:r w:rsidRPr="00196EBC">
        <w:rPr>
          <w:sz w:val="20"/>
          <w:szCs w:val="20"/>
        </w:rPr>
        <w:t xml:space="preserve">There are some applications where only one technology is available; no alternatives are commercially available.  This can occur when the Industry Standard Practice of one technology is well established over time and all other alternative technologies have died out and became obsolete. Since only one technology is available, it is ISP by default.  This also implies that there is only one level of efficiency available for the technology.  No incentives will apply. </w:t>
      </w:r>
    </w:p>
    <w:p w:rsidR="00F5423D" w:rsidRPr="00196EBC" w:rsidRDefault="00F5423D" w:rsidP="00F5423D">
      <w:pPr>
        <w:spacing w:after="240"/>
        <w:rPr>
          <w:sz w:val="20"/>
          <w:szCs w:val="20"/>
        </w:rPr>
      </w:pPr>
      <w:r w:rsidRPr="00196EBC">
        <w:rPr>
          <w:sz w:val="20"/>
          <w:szCs w:val="20"/>
        </w:rPr>
        <w:t>2.8</w:t>
      </w:r>
      <w:r w:rsidR="00954754" w:rsidRPr="00196EBC">
        <w:rPr>
          <w:sz w:val="20"/>
          <w:szCs w:val="20"/>
        </w:rPr>
        <w:t xml:space="preserve">      </w:t>
      </w:r>
      <w:r w:rsidRPr="00196EBC">
        <w:rPr>
          <w:sz w:val="20"/>
          <w:szCs w:val="20"/>
        </w:rPr>
        <w:t xml:space="preserve">No ISP.  It is also possible for an Industry standard practice not to exist.  This occurs when there is no common practice; where end users are installing more than one technology with none of them typically preferred. </w:t>
      </w:r>
    </w:p>
    <w:p w:rsidR="00F5423D" w:rsidRPr="00196EBC" w:rsidRDefault="00F5423D" w:rsidP="00F5423D">
      <w:pPr>
        <w:spacing w:after="240"/>
        <w:rPr>
          <w:sz w:val="20"/>
          <w:szCs w:val="20"/>
        </w:rPr>
      </w:pPr>
      <w:proofErr w:type="gramStart"/>
      <w:r w:rsidRPr="00196EBC">
        <w:rPr>
          <w:sz w:val="20"/>
          <w:szCs w:val="20"/>
        </w:rPr>
        <w:t>2.10</w:t>
      </w:r>
      <w:r w:rsidRPr="00196EBC">
        <w:rPr>
          <w:sz w:val="20"/>
          <w:szCs w:val="20"/>
        </w:rPr>
        <w:tab/>
        <w:t xml:space="preserve">ISP Risk </w:t>
      </w:r>
      <w:r w:rsidR="00ED72DA" w:rsidRPr="00196EBC">
        <w:rPr>
          <w:sz w:val="20"/>
          <w:szCs w:val="20"/>
        </w:rPr>
        <w:t>Assessments</w:t>
      </w:r>
      <w:r w:rsidRPr="00196EBC">
        <w:rPr>
          <w:sz w:val="20"/>
          <w:szCs w:val="20"/>
        </w:rPr>
        <w:t>.</w:t>
      </w:r>
      <w:proofErr w:type="gramEnd"/>
      <w:r w:rsidRPr="00196EBC">
        <w:rPr>
          <w:sz w:val="20"/>
          <w:szCs w:val="20"/>
        </w:rPr>
        <w:t xml:space="preserve"> The purpose of an “industry standard practice” (ISP) study is not to assess the potential energy savings that a proposed custom measure can achieve when compared to the existing old equipment.  Rather, the purpose is to recommend the appropriate baseline for calculating the potential energy savings.  The methodology may not always be intended to provide statistically significant measurements of market penetration rates; a preponderance of evidence of ISP would suffice most of the times.  The intent is to collect enough data to make an informed decision and to mitigate Program Administrator and Implementer’s risk that the claimed energy savings for the proposed project will be discounted or disallowed by the CPUC impact evaluation studies.</w:t>
      </w:r>
    </w:p>
    <w:p w:rsidR="00F5423D" w:rsidRPr="00196EBC" w:rsidRDefault="00F5423D" w:rsidP="002B2889">
      <w:pPr>
        <w:spacing w:after="240"/>
        <w:rPr>
          <w:sz w:val="20"/>
          <w:szCs w:val="20"/>
        </w:rPr>
      </w:pPr>
      <w:r w:rsidRPr="00196EBC">
        <w:rPr>
          <w:sz w:val="20"/>
          <w:szCs w:val="20"/>
        </w:rPr>
        <w:lastRenderedPageBreak/>
        <w:t>2.11</w:t>
      </w:r>
      <w:r w:rsidRPr="00196EBC">
        <w:rPr>
          <w:sz w:val="20"/>
          <w:szCs w:val="20"/>
        </w:rPr>
        <w:tab/>
        <w:t>What ISP Studies Don’t Do? Industry Standard Practice Studies do not evaluate how much energy will be saved by its implementation.  Nor do they survey installed market penetration, since this is not a good indicator of ISP.</w:t>
      </w:r>
    </w:p>
    <w:p w:rsidR="00F5423D" w:rsidRPr="00196EBC" w:rsidRDefault="00F5423D" w:rsidP="002B2889">
      <w:pPr>
        <w:spacing w:after="240"/>
        <w:rPr>
          <w:sz w:val="20"/>
          <w:szCs w:val="20"/>
        </w:rPr>
      </w:pPr>
      <w:r w:rsidRPr="00196EBC">
        <w:rPr>
          <w:sz w:val="20"/>
          <w:szCs w:val="20"/>
        </w:rPr>
        <w:t>3.1. What is an Industry Standard Practice Study? An ISP Study is an investigation as to what is presently the Industry Standard Practice for a technology/measure in a given application/market segment.</w:t>
      </w:r>
    </w:p>
    <w:p w:rsidR="00F5423D" w:rsidRPr="00196EBC" w:rsidRDefault="00F5423D" w:rsidP="002B2889">
      <w:pPr>
        <w:spacing w:after="240"/>
        <w:rPr>
          <w:sz w:val="20"/>
          <w:szCs w:val="20"/>
        </w:rPr>
      </w:pPr>
      <w:r w:rsidRPr="00196EBC">
        <w:rPr>
          <w:b/>
          <w:sz w:val="20"/>
          <w:szCs w:val="20"/>
        </w:rPr>
        <w:t>When ISP studies to support baselines are not conducted</w:t>
      </w:r>
      <w:r w:rsidRPr="00196EBC">
        <w:rPr>
          <w:sz w:val="20"/>
          <w:szCs w:val="20"/>
        </w:rPr>
        <w:t>, strong evidence or prior and currently valid ISP study must exist to waive the need for an ISP study when baseline considerations require it.</w:t>
      </w:r>
      <w:r w:rsidRPr="00196EBC">
        <w:rPr>
          <w:rStyle w:val="FootnoteReference"/>
          <w:sz w:val="20"/>
          <w:szCs w:val="20"/>
        </w:rPr>
        <w:footnoteReference w:id="3"/>
      </w:r>
      <w:r w:rsidRPr="00196EBC">
        <w:rPr>
          <w:sz w:val="20"/>
          <w:szCs w:val="20"/>
        </w:rPr>
        <w:t xml:space="preserve">  Strong evidence, subjective but must rely on multiple sources/evidence that could draw from the some of the following:</w:t>
      </w:r>
    </w:p>
    <w:p w:rsidR="00F5423D" w:rsidRPr="00196EBC" w:rsidRDefault="00F5423D" w:rsidP="002B2889">
      <w:pPr>
        <w:pStyle w:val="ListParagraph"/>
        <w:numPr>
          <w:ilvl w:val="0"/>
          <w:numId w:val="6"/>
        </w:numPr>
        <w:tabs>
          <w:tab w:val="left" w:pos="720"/>
          <w:tab w:val="left" w:pos="1440"/>
        </w:tabs>
        <w:spacing w:after="0" w:line="240" w:lineRule="auto"/>
        <w:ind w:left="1440"/>
        <w:jc w:val="both"/>
        <w:rPr>
          <w:rFonts w:ascii="Times New Roman" w:hAnsi="Times New Roman" w:cs="Times New Roman"/>
          <w:sz w:val="20"/>
          <w:szCs w:val="20"/>
        </w:rPr>
      </w:pPr>
      <w:r w:rsidRPr="00196EBC">
        <w:rPr>
          <w:rFonts w:ascii="Times New Roman" w:hAnsi="Times New Roman" w:cs="Times New Roman"/>
          <w:sz w:val="20"/>
          <w:szCs w:val="20"/>
        </w:rPr>
        <w:t>Years since the proposed technology has been introduced; secondary sources on market share</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Years the proposed technology has been in the program</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Literature to demonstrate that the proposed solution is not mature</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Demonstrated evidence of the IMC not meeting typical payback requirement of about three years</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Evidence of lack of widespread availability</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 xml:space="preserve">No regulatory or industry standard driving technology or process solution selection </w:t>
      </w:r>
    </w:p>
    <w:p w:rsidR="00F5423D" w:rsidRPr="00196EBC" w:rsidRDefault="00F5423D" w:rsidP="002B2889">
      <w:pPr>
        <w:numPr>
          <w:ilvl w:val="0"/>
          <w:numId w:val="6"/>
        </w:numPr>
        <w:tabs>
          <w:tab w:val="left" w:pos="720"/>
          <w:tab w:val="left" w:pos="1440"/>
        </w:tabs>
        <w:ind w:left="1440"/>
        <w:jc w:val="both"/>
        <w:rPr>
          <w:sz w:val="20"/>
          <w:szCs w:val="20"/>
        </w:rPr>
      </w:pPr>
      <w:r w:rsidRPr="00196EBC">
        <w:rPr>
          <w:sz w:val="20"/>
          <w:szCs w:val="20"/>
        </w:rPr>
        <w:t xml:space="preserve">Equipment performance concerns as demonstrated by customer conducting due diligence to reduce risk. </w:t>
      </w:r>
    </w:p>
    <w:p w:rsidR="00F5423D" w:rsidRPr="00F5423D" w:rsidRDefault="00F5423D" w:rsidP="002B2889"/>
    <w:p w:rsidR="00F5423D" w:rsidRPr="00EB3013" w:rsidRDefault="00F5423D" w:rsidP="002B2889">
      <w:pPr>
        <w:pStyle w:val="ListParagraph"/>
        <w:spacing w:after="240"/>
      </w:pPr>
    </w:p>
    <w:sectPr w:rsidR="00F5423D" w:rsidRPr="00EB3013" w:rsidSect="00926B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E8025" w15:done="0"/>
  <w15:commentEx w15:paraId="6006D3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7D" w:rsidRDefault="0013107D" w:rsidP="00F5423D">
      <w:r>
        <w:separator/>
      </w:r>
    </w:p>
  </w:endnote>
  <w:endnote w:type="continuationSeparator" w:id="0">
    <w:p w:rsidR="0013107D" w:rsidRDefault="0013107D" w:rsidP="00F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7D" w:rsidRDefault="0013107D" w:rsidP="00F5423D">
      <w:r>
        <w:separator/>
      </w:r>
    </w:p>
  </w:footnote>
  <w:footnote w:type="continuationSeparator" w:id="0">
    <w:p w:rsidR="0013107D" w:rsidRDefault="0013107D" w:rsidP="00F5423D">
      <w:r>
        <w:continuationSeparator/>
      </w:r>
    </w:p>
  </w:footnote>
  <w:footnote w:id="1">
    <w:p w:rsidR="00B03D40" w:rsidRDefault="00B03D40" w:rsidP="00B03D40">
      <w:pPr>
        <w:pStyle w:val="FootnoteText"/>
      </w:pPr>
      <w:r>
        <w:rPr>
          <w:rStyle w:val="FootnoteReference"/>
        </w:rPr>
        <w:footnoteRef/>
      </w:r>
      <w:r>
        <w:t xml:space="preserve"> Per the CPUC, D.12-05-015. Page 351: For purposes of establishing a baseline for energy savings, we interpret the standard practice case as a choice that represents the typical equipment or commonly-used practice, not necessarily predominantly used practice.” It also said, “Industry standard practice baselines are established to reflect typical actions absent the program.”</w:t>
      </w:r>
    </w:p>
  </w:footnote>
  <w:footnote w:id="2">
    <w:p w:rsidR="00F5423D" w:rsidRDefault="00F5423D" w:rsidP="00F5423D">
      <w:pPr>
        <w:pStyle w:val="FootnoteText"/>
      </w:pPr>
      <w:r>
        <w:rPr>
          <w:rStyle w:val="FootnoteReference"/>
        </w:rPr>
        <w:footnoteRef/>
      </w:r>
      <w:r>
        <w:t xml:space="preserve"> Per the CPUC, D.12-05-015. Page 351: For purposes of establishing a baseline for energy savings, we interpret the standard practice case as a choice that represents the typical equipment or commonly-used practice, not necessarily predominantly used practice.” It also said, “Industry standard practice baselines are established to reflect typical actions absent the program.”</w:t>
      </w:r>
    </w:p>
  </w:footnote>
  <w:footnote w:id="3">
    <w:p w:rsidR="00F5423D" w:rsidRDefault="00F5423D" w:rsidP="00F5423D">
      <w:pPr>
        <w:pStyle w:val="FootnoteText"/>
      </w:pPr>
      <w:r>
        <w:rPr>
          <w:rStyle w:val="FootnoteReference"/>
        </w:rPr>
        <w:footnoteRef/>
      </w:r>
      <w:r>
        <w:t xml:space="preserve"> See section 4.5 for One-off or Exceptions.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B8"/>
    <w:multiLevelType w:val="hybridMultilevel"/>
    <w:tmpl w:val="0D4EC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150170"/>
    <w:multiLevelType w:val="hybridMultilevel"/>
    <w:tmpl w:val="9606F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A63AB"/>
    <w:multiLevelType w:val="hybridMultilevel"/>
    <w:tmpl w:val="BB343DAA"/>
    <w:lvl w:ilvl="0" w:tplc="2C16CBF0">
      <w:start w:val="1"/>
      <w:numFmt w:val="bullet"/>
      <w:lvlText w:val=""/>
      <w:lvlJc w:val="righ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C64098F"/>
    <w:multiLevelType w:val="hybridMultilevel"/>
    <w:tmpl w:val="9EE8D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CB3CCC"/>
    <w:multiLevelType w:val="hybridMultilevel"/>
    <w:tmpl w:val="438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166D4"/>
    <w:multiLevelType w:val="hybridMultilevel"/>
    <w:tmpl w:val="5F0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0707F"/>
    <w:multiLevelType w:val="hybridMultilevel"/>
    <w:tmpl w:val="190E6E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7333CF"/>
    <w:multiLevelType w:val="hybridMultilevel"/>
    <w:tmpl w:val="73282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026F1"/>
    <w:multiLevelType w:val="hybridMultilevel"/>
    <w:tmpl w:val="3E5EF25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Rothenberg">
    <w15:presenceInfo w15:providerId="None" w15:userId="Keith Rothe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F3"/>
    <w:rsid w:val="00007506"/>
    <w:rsid w:val="000311A1"/>
    <w:rsid w:val="000405FB"/>
    <w:rsid w:val="000449C6"/>
    <w:rsid w:val="00077A71"/>
    <w:rsid w:val="00085498"/>
    <w:rsid w:val="000876ED"/>
    <w:rsid w:val="000B3C6C"/>
    <w:rsid w:val="00123A0B"/>
    <w:rsid w:val="0013107D"/>
    <w:rsid w:val="001433C9"/>
    <w:rsid w:val="0015035F"/>
    <w:rsid w:val="001653DE"/>
    <w:rsid w:val="00196EBC"/>
    <w:rsid w:val="001B1860"/>
    <w:rsid w:val="001C0ED5"/>
    <w:rsid w:val="001E2448"/>
    <w:rsid w:val="00200DB2"/>
    <w:rsid w:val="00217539"/>
    <w:rsid w:val="00235580"/>
    <w:rsid w:val="00255DB4"/>
    <w:rsid w:val="00272BE1"/>
    <w:rsid w:val="002835FB"/>
    <w:rsid w:val="00296863"/>
    <w:rsid w:val="002A3435"/>
    <w:rsid w:val="002B01AF"/>
    <w:rsid w:val="002B2889"/>
    <w:rsid w:val="002C6634"/>
    <w:rsid w:val="003057CE"/>
    <w:rsid w:val="00306DDE"/>
    <w:rsid w:val="00312D66"/>
    <w:rsid w:val="00382378"/>
    <w:rsid w:val="003B4186"/>
    <w:rsid w:val="003C0278"/>
    <w:rsid w:val="003E00F3"/>
    <w:rsid w:val="003E47E0"/>
    <w:rsid w:val="003E7318"/>
    <w:rsid w:val="004108F3"/>
    <w:rsid w:val="00430380"/>
    <w:rsid w:val="00453B3C"/>
    <w:rsid w:val="004725C5"/>
    <w:rsid w:val="004934CA"/>
    <w:rsid w:val="00497C5F"/>
    <w:rsid w:val="004A04DE"/>
    <w:rsid w:val="00503C2E"/>
    <w:rsid w:val="00512CE8"/>
    <w:rsid w:val="00571A5E"/>
    <w:rsid w:val="0058015B"/>
    <w:rsid w:val="005A69B5"/>
    <w:rsid w:val="005B3C1D"/>
    <w:rsid w:val="005D198B"/>
    <w:rsid w:val="00606588"/>
    <w:rsid w:val="0061157C"/>
    <w:rsid w:val="0065620B"/>
    <w:rsid w:val="006A19D3"/>
    <w:rsid w:val="006A64DF"/>
    <w:rsid w:val="006C7C24"/>
    <w:rsid w:val="006F0BFC"/>
    <w:rsid w:val="00744713"/>
    <w:rsid w:val="007528BD"/>
    <w:rsid w:val="00755C65"/>
    <w:rsid w:val="00760D3E"/>
    <w:rsid w:val="00767B0C"/>
    <w:rsid w:val="007B13CC"/>
    <w:rsid w:val="007E36B0"/>
    <w:rsid w:val="008252F8"/>
    <w:rsid w:val="0086613C"/>
    <w:rsid w:val="008759CE"/>
    <w:rsid w:val="0088539F"/>
    <w:rsid w:val="00923041"/>
    <w:rsid w:val="00926B17"/>
    <w:rsid w:val="009278E3"/>
    <w:rsid w:val="00954754"/>
    <w:rsid w:val="009603E1"/>
    <w:rsid w:val="009771B8"/>
    <w:rsid w:val="00997AC9"/>
    <w:rsid w:val="009A1B9E"/>
    <w:rsid w:val="009A21B7"/>
    <w:rsid w:val="009C296A"/>
    <w:rsid w:val="009C2EE0"/>
    <w:rsid w:val="009C377D"/>
    <w:rsid w:val="009F5AA8"/>
    <w:rsid w:val="00A655E3"/>
    <w:rsid w:val="00A82625"/>
    <w:rsid w:val="00A8372E"/>
    <w:rsid w:val="00AA3F5E"/>
    <w:rsid w:val="00B03D40"/>
    <w:rsid w:val="00B06971"/>
    <w:rsid w:val="00B3697A"/>
    <w:rsid w:val="00B73D70"/>
    <w:rsid w:val="00BD7094"/>
    <w:rsid w:val="00BE0BD7"/>
    <w:rsid w:val="00BE3563"/>
    <w:rsid w:val="00BE4E39"/>
    <w:rsid w:val="00C217B2"/>
    <w:rsid w:val="00C25277"/>
    <w:rsid w:val="00C25C02"/>
    <w:rsid w:val="00C4443B"/>
    <w:rsid w:val="00C55C66"/>
    <w:rsid w:val="00C823BE"/>
    <w:rsid w:val="00CB4473"/>
    <w:rsid w:val="00CC1644"/>
    <w:rsid w:val="00CE614D"/>
    <w:rsid w:val="00D403B1"/>
    <w:rsid w:val="00D5007C"/>
    <w:rsid w:val="00D50D42"/>
    <w:rsid w:val="00D5298E"/>
    <w:rsid w:val="00D81123"/>
    <w:rsid w:val="00D920D9"/>
    <w:rsid w:val="00DA3603"/>
    <w:rsid w:val="00DD16BD"/>
    <w:rsid w:val="00DE2ABD"/>
    <w:rsid w:val="00DE4600"/>
    <w:rsid w:val="00DE6181"/>
    <w:rsid w:val="00DF1CBF"/>
    <w:rsid w:val="00DF5A62"/>
    <w:rsid w:val="00E10B9F"/>
    <w:rsid w:val="00E33621"/>
    <w:rsid w:val="00E47EA1"/>
    <w:rsid w:val="00E90EAC"/>
    <w:rsid w:val="00E93B11"/>
    <w:rsid w:val="00EB3013"/>
    <w:rsid w:val="00ED3A79"/>
    <w:rsid w:val="00ED72DA"/>
    <w:rsid w:val="00F4469E"/>
    <w:rsid w:val="00F4787E"/>
    <w:rsid w:val="00F51EFD"/>
    <w:rsid w:val="00F51FCC"/>
    <w:rsid w:val="00F5423D"/>
    <w:rsid w:val="00F55B9E"/>
    <w:rsid w:val="00F6798B"/>
    <w:rsid w:val="00F95CBB"/>
    <w:rsid w:val="00F96690"/>
    <w:rsid w:val="00FA1511"/>
    <w:rsid w:val="00FD5E0F"/>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F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1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E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F3"/>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E47E0"/>
    <w:rPr>
      <w:rFonts w:ascii="Tahoma" w:hAnsi="Tahoma" w:cs="Tahoma"/>
      <w:sz w:val="16"/>
      <w:szCs w:val="16"/>
    </w:rPr>
  </w:style>
  <w:style w:type="character" w:customStyle="1" w:styleId="BalloonTextChar">
    <w:name w:val="Balloon Text Char"/>
    <w:basedOn w:val="DefaultParagraphFont"/>
    <w:link w:val="BalloonText"/>
    <w:uiPriority w:val="99"/>
    <w:semiHidden/>
    <w:rsid w:val="003E47E0"/>
    <w:rPr>
      <w:rFonts w:ascii="Tahoma" w:hAnsi="Tahoma" w:cs="Tahoma"/>
      <w:sz w:val="16"/>
      <w:szCs w:val="16"/>
    </w:rPr>
  </w:style>
  <w:style w:type="character" w:styleId="CommentReference">
    <w:name w:val="annotation reference"/>
    <w:basedOn w:val="DefaultParagraphFont"/>
    <w:uiPriority w:val="99"/>
    <w:semiHidden/>
    <w:unhideWhenUsed/>
    <w:rsid w:val="001433C9"/>
    <w:rPr>
      <w:sz w:val="16"/>
      <w:szCs w:val="16"/>
    </w:rPr>
  </w:style>
  <w:style w:type="paragraph" w:styleId="CommentText">
    <w:name w:val="annotation text"/>
    <w:basedOn w:val="Normal"/>
    <w:link w:val="CommentTextChar"/>
    <w:uiPriority w:val="99"/>
    <w:semiHidden/>
    <w:unhideWhenUsed/>
    <w:rsid w:val="001433C9"/>
    <w:rPr>
      <w:sz w:val="20"/>
      <w:szCs w:val="20"/>
    </w:rPr>
  </w:style>
  <w:style w:type="character" w:customStyle="1" w:styleId="CommentTextChar">
    <w:name w:val="Comment Text Char"/>
    <w:basedOn w:val="DefaultParagraphFont"/>
    <w:link w:val="CommentText"/>
    <w:uiPriority w:val="99"/>
    <w:semiHidden/>
    <w:rsid w:val="001433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3C9"/>
    <w:rPr>
      <w:b/>
      <w:bCs/>
    </w:rPr>
  </w:style>
  <w:style w:type="character" w:customStyle="1" w:styleId="CommentSubjectChar">
    <w:name w:val="Comment Subject Char"/>
    <w:basedOn w:val="CommentTextChar"/>
    <w:link w:val="CommentSubject"/>
    <w:uiPriority w:val="99"/>
    <w:semiHidden/>
    <w:rsid w:val="001433C9"/>
    <w:rPr>
      <w:rFonts w:ascii="Times New Roman" w:hAnsi="Times New Roman" w:cs="Times New Roman"/>
      <w:b/>
      <w:bCs/>
      <w:sz w:val="20"/>
      <w:szCs w:val="20"/>
    </w:rPr>
  </w:style>
  <w:style w:type="table" w:styleId="TableGrid">
    <w:name w:val="Table Grid"/>
    <w:basedOn w:val="TableNormal"/>
    <w:uiPriority w:val="59"/>
    <w:rsid w:val="0021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1B9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A1B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1B9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A1B9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B3C1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613C"/>
    <w:rPr>
      <w:color w:val="0000FF" w:themeColor="hyperlink"/>
      <w:u w:val="single"/>
    </w:rPr>
  </w:style>
  <w:style w:type="paragraph" w:styleId="FootnoteText">
    <w:name w:val="footnote text"/>
    <w:basedOn w:val="Normal"/>
    <w:link w:val="FootnoteTextChar"/>
    <w:uiPriority w:val="99"/>
    <w:semiHidden/>
    <w:unhideWhenUsed/>
    <w:rsid w:val="00F5423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423D"/>
    <w:rPr>
      <w:sz w:val="20"/>
      <w:szCs w:val="20"/>
    </w:rPr>
  </w:style>
  <w:style w:type="character" w:styleId="FootnoteReference">
    <w:name w:val="footnote reference"/>
    <w:basedOn w:val="DefaultParagraphFont"/>
    <w:uiPriority w:val="99"/>
    <w:semiHidden/>
    <w:unhideWhenUsed/>
    <w:rsid w:val="00F5423D"/>
    <w:rPr>
      <w:vertAlign w:val="superscript"/>
    </w:rPr>
  </w:style>
  <w:style w:type="character" w:customStyle="1" w:styleId="Heading3Char">
    <w:name w:val="Heading 3 Char"/>
    <w:basedOn w:val="DefaultParagraphFont"/>
    <w:link w:val="Heading3"/>
    <w:uiPriority w:val="9"/>
    <w:rsid w:val="00196EB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F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1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E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F3"/>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E47E0"/>
    <w:rPr>
      <w:rFonts w:ascii="Tahoma" w:hAnsi="Tahoma" w:cs="Tahoma"/>
      <w:sz w:val="16"/>
      <w:szCs w:val="16"/>
    </w:rPr>
  </w:style>
  <w:style w:type="character" w:customStyle="1" w:styleId="BalloonTextChar">
    <w:name w:val="Balloon Text Char"/>
    <w:basedOn w:val="DefaultParagraphFont"/>
    <w:link w:val="BalloonText"/>
    <w:uiPriority w:val="99"/>
    <w:semiHidden/>
    <w:rsid w:val="003E47E0"/>
    <w:rPr>
      <w:rFonts w:ascii="Tahoma" w:hAnsi="Tahoma" w:cs="Tahoma"/>
      <w:sz w:val="16"/>
      <w:szCs w:val="16"/>
    </w:rPr>
  </w:style>
  <w:style w:type="character" w:styleId="CommentReference">
    <w:name w:val="annotation reference"/>
    <w:basedOn w:val="DefaultParagraphFont"/>
    <w:uiPriority w:val="99"/>
    <w:semiHidden/>
    <w:unhideWhenUsed/>
    <w:rsid w:val="001433C9"/>
    <w:rPr>
      <w:sz w:val="16"/>
      <w:szCs w:val="16"/>
    </w:rPr>
  </w:style>
  <w:style w:type="paragraph" w:styleId="CommentText">
    <w:name w:val="annotation text"/>
    <w:basedOn w:val="Normal"/>
    <w:link w:val="CommentTextChar"/>
    <w:uiPriority w:val="99"/>
    <w:semiHidden/>
    <w:unhideWhenUsed/>
    <w:rsid w:val="001433C9"/>
    <w:rPr>
      <w:sz w:val="20"/>
      <w:szCs w:val="20"/>
    </w:rPr>
  </w:style>
  <w:style w:type="character" w:customStyle="1" w:styleId="CommentTextChar">
    <w:name w:val="Comment Text Char"/>
    <w:basedOn w:val="DefaultParagraphFont"/>
    <w:link w:val="CommentText"/>
    <w:uiPriority w:val="99"/>
    <w:semiHidden/>
    <w:rsid w:val="001433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3C9"/>
    <w:rPr>
      <w:b/>
      <w:bCs/>
    </w:rPr>
  </w:style>
  <w:style w:type="character" w:customStyle="1" w:styleId="CommentSubjectChar">
    <w:name w:val="Comment Subject Char"/>
    <w:basedOn w:val="CommentTextChar"/>
    <w:link w:val="CommentSubject"/>
    <w:uiPriority w:val="99"/>
    <w:semiHidden/>
    <w:rsid w:val="001433C9"/>
    <w:rPr>
      <w:rFonts w:ascii="Times New Roman" w:hAnsi="Times New Roman" w:cs="Times New Roman"/>
      <w:b/>
      <w:bCs/>
      <w:sz w:val="20"/>
      <w:szCs w:val="20"/>
    </w:rPr>
  </w:style>
  <w:style w:type="table" w:styleId="TableGrid">
    <w:name w:val="Table Grid"/>
    <w:basedOn w:val="TableNormal"/>
    <w:uiPriority w:val="59"/>
    <w:rsid w:val="0021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1B9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A1B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1B9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A1B9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B3C1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613C"/>
    <w:rPr>
      <w:color w:val="0000FF" w:themeColor="hyperlink"/>
      <w:u w:val="single"/>
    </w:rPr>
  </w:style>
  <w:style w:type="paragraph" w:styleId="FootnoteText">
    <w:name w:val="footnote text"/>
    <w:basedOn w:val="Normal"/>
    <w:link w:val="FootnoteTextChar"/>
    <w:uiPriority w:val="99"/>
    <w:semiHidden/>
    <w:unhideWhenUsed/>
    <w:rsid w:val="00F5423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423D"/>
    <w:rPr>
      <w:sz w:val="20"/>
      <w:szCs w:val="20"/>
    </w:rPr>
  </w:style>
  <w:style w:type="character" w:styleId="FootnoteReference">
    <w:name w:val="footnote reference"/>
    <w:basedOn w:val="DefaultParagraphFont"/>
    <w:uiPriority w:val="99"/>
    <w:semiHidden/>
    <w:unhideWhenUsed/>
    <w:rsid w:val="00F5423D"/>
    <w:rPr>
      <w:vertAlign w:val="superscript"/>
    </w:rPr>
  </w:style>
  <w:style w:type="character" w:customStyle="1" w:styleId="Heading3Char">
    <w:name w:val="Heading 3 Char"/>
    <w:basedOn w:val="DefaultParagraphFont"/>
    <w:link w:val="Heading3"/>
    <w:uiPriority w:val="9"/>
    <w:rsid w:val="00196EB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6198">
      <w:bodyDiv w:val="1"/>
      <w:marLeft w:val="0"/>
      <w:marRight w:val="0"/>
      <w:marTop w:val="0"/>
      <w:marBottom w:val="0"/>
      <w:divBdr>
        <w:top w:val="none" w:sz="0" w:space="0" w:color="auto"/>
        <w:left w:val="none" w:sz="0" w:space="0" w:color="auto"/>
        <w:bottom w:val="none" w:sz="0" w:space="0" w:color="auto"/>
        <w:right w:val="none" w:sz="0" w:space="0" w:color="auto"/>
      </w:divBdr>
    </w:div>
    <w:div w:id="1099253411">
      <w:bodyDiv w:val="1"/>
      <w:marLeft w:val="0"/>
      <w:marRight w:val="0"/>
      <w:marTop w:val="0"/>
      <w:marBottom w:val="0"/>
      <w:divBdr>
        <w:top w:val="none" w:sz="0" w:space="0" w:color="auto"/>
        <w:left w:val="none" w:sz="0" w:space="0" w:color="auto"/>
        <w:bottom w:val="none" w:sz="0" w:space="0" w:color="auto"/>
        <w:right w:val="none" w:sz="0" w:space="0" w:color="auto"/>
      </w:divBdr>
    </w:div>
    <w:div w:id="1697927172">
      <w:bodyDiv w:val="1"/>
      <w:marLeft w:val="0"/>
      <w:marRight w:val="0"/>
      <w:marTop w:val="0"/>
      <w:marBottom w:val="0"/>
      <w:divBdr>
        <w:top w:val="none" w:sz="0" w:space="0" w:color="auto"/>
        <w:left w:val="none" w:sz="0" w:space="0" w:color="auto"/>
        <w:bottom w:val="none" w:sz="0" w:space="0" w:color="auto"/>
        <w:right w:val="none" w:sz="0" w:space="0" w:color="auto"/>
      </w:divBdr>
    </w:div>
    <w:div w:id="20263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puc.ca.gov/General.aspx?id=413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8C81-DC4F-4162-8D37-AFDC2A3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Tim</dc:creator>
  <cp:lastModifiedBy>Xu, Tim</cp:lastModifiedBy>
  <cp:revision>3</cp:revision>
  <cp:lastPrinted>2016-04-28T23:40:00Z</cp:lastPrinted>
  <dcterms:created xsi:type="dcterms:W3CDTF">2016-12-22T18:50:00Z</dcterms:created>
  <dcterms:modified xsi:type="dcterms:W3CDTF">2016-12-22T18:53:00Z</dcterms:modified>
</cp:coreProperties>
</file>