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10728"/>
      </w:tblGrid>
      <w:tr w:rsidR="0076789F" w:rsidRPr="008426FF" w:rsidTr="00DE7E7B">
        <w:trPr>
          <w:trHeight w:val="1613"/>
        </w:trPr>
        <w:tc>
          <w:tcPr>
            <w:tcW w:w="10728" w:type="dxa"/>
          </w:tcPr>
          <w:p w:rsidR="008426FF" w:rsidRPr="008426FF" w:rsidRDefault="008426FF" w:rsidP="008426FF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 w:rsidRPr="008426FF">
              <w:rPr>
                <w:b/>
                <w:sz w:val="28"/>
                <w:szCs w:val="28"/>
                <w:u w:val="single"/>
              </w:rPr>
              <w:t>State Video Franchis</w:t>
            </w:r>
            <w:r w:rsidR="00073C01">
              <w:rPr>
                <w:b/>
                <w:sz w:val="28"/>
                <w:szCs w:val="28"/>
                <w:u w:val="single"/>
              </w:rPr>
              <w:t>e Holder Annual Report Components</w:t>
            </w:r>
          </w:p>
          <w:p w:rsidR="008426FF" w:rsidRDefault="008426FF" w:rsidP="005A1693">
            <w:pPr>
              <w:pStyle w:val="Default"/>
              <w:rPr>
                <w:b/>
                <w:sz w:val="28"/>
                <w:szCs w:val="28"/>
              </w:rPr>
            </w:pPr>
          </w:p>
          <w:p w:rsidR="008426FF" w:rsidRPr="00DE7E7B" w:rsidRDefault="005F5D05" w:rsidP="005A1693">
            <w:pPr>
              <w:pStyle w:val="Default"/>
              <w:rPr>
                <w:sz w:val="26"/>
                <w:szCs w:val="26"/>
              </w:rPr>
            </w:pPr>
            <w:r w:rsidRPr="00DE7E7B">
              <w:rPr>
                <w:sz w:val="26"/>
                <w:szCs w:val="26"/>
              </w:rPr>
              <w:t>A</w:t>
            </w:r>
            <w:r w:rsidR="008426FF" w:rsidRPr="00DE7E7B">
              <w:rPr>
                <w:sz w:val="26"/>
                <w:szCs w:val="26"/>
              </w:rPr>
              <w:t xml:space="preserve">ll State Video Franchise (SVF) Holders are required by </w:t>
            </w:r>
            <w:proofErr w:type="spellStart"/>
            <w:r w:rsidR="008426FF" w:rsidRPr="00DE7E7B">
              <w:rPr>
                <w:sz w:val="26"/>
                <w:szCs w:val="26"/>
              </w:rPr>
              <w:t>DIVCA</w:t>
            </w:r>
            <w:proofErr w:type="spellEnd"/>
            <w:r w:rsidR="008426FF" w:rsidRPr="00DE7E7B">
              <w:rPr>
                <w:sz w:val="26"/>
                <w:szCs w:val="26"/>
              </w:rPr>
              <w:t xml:space="preserve"> to submit an Annual Report </w:t>
            </w:r>
            <w:r w:rsidR="00BC4F47">
              <w:rPr>
                <w:sz w:val="26"/>
                <w:szCs w:val="26"/>
              </w:rPr>
              <w:t xml:space="preserve">to the CPUC </w:t>
            </w:r>
            <w:r w:rsidR="008426FF" w:rsidRPr="00DE7E7B">
              <w:rPr>
                <w:sz w:val="26"/>
                <w:szCs w:val="26"/>
              </w:rPr>
              <w:t>each year.</w:t>
            </w:r>
            <w:r w:rsidR="008426FF" w:rsidRPr="00DE7E7B">
              <w:rPr>
                <w:rStyle w:val="FootnoteReference"/>
                <w:sz w:val="26"/>
                <w:szCs w:val="26"/>
              </w:rPr>
              <w:footnoteReference w:id="1"/>
            </w:r>
            <w:r w:rsidR="00BC4F47">
              <w:rPr>
                <w:sz w:val="26"/>
                <w:szCs w:val="26"/>
              </w:rPr>
              <w:t xml:space="preserve">  Below is a </w:t>
            </w:r>
            <w:r w:rsidR="008426FF" w:rsidRPr="00DE7E7B">
              <w:rPr>
                <w:sz w:val="26"/>
                <w:szCs w:val="26"/>
              </w:rPr>
              <w:t>list of all the components of the Annual Report.</w:t>
            </w:r>
          </w:p>
          <w:p w:rsidR="008426FF" w:rsidRPr="00DE7E7B" w:rsidRDefault="008426FF" w:rsidP="005A1693">
            <w:pPr>
              <w:pStyle w:val="Default"/>
              <w:rPr>
                <w:b/>
                <w:sz w:val="26"/>
                <w:szCs w:val="26"/>
              </w:rPr>
            </w:pPr>
          </w:p>
          <w:p w:rsidR="0076789F" w:rsidRPr="00DE7E7B" w:rsidRDefault="0076789F" w:rsidP="005A1693">
            <w:pPr>
              <w:pStyle w:val="Default"/>
              <w:rPr>
                <w:b/>
                <w:sz w:val="26"/>
                <w:szCs w:val="26"/>
              </w:rPr>
            </w:pPr>
            <w:r w:rsidRPr="00DE7E7B">
              <w:rPr>
                <w:b/>
                <w:sz w:val="26"/>
                <w:szCs w:val="26"/>
              </w:rPr>
              <w:t xml:space="preserve">Annual Video Data </w:t>
            </w:r>
          </w:p>
          <w:p w:rsidR="008426FF" w:rsidRPr="00DE7E7B" w:rsidRDefault="0076789F" w:rsidP="008426FF">
            <w:pPr>
              <w:pStyle w:val="Default"/>
              <w:rPr>
                <w:sz w:val="26"/>
                <w:szCs w:val="26"/>
              </w:rPr>
            </w:pPr>
            <w:r w:rsidRPr="00DE7E7B">
              <w:rPr>
                <w:sz w:val="26"/>
                <w:szCs w:val="26"/>
              </w:rPr>
              <w:t xml:space="preserve"> </w:t>
            </w:r>
          </w:p>
          <w:p w:rsidR="008426FF" w:rsidRDefault="008426FF" w:rsidP="008426FF">
            <w:pPr>
              <w:pStyle w:val="Default"/>
            </w:pPr>
            <w:r w:rsidRPr="00DE7E7B">
              <w:rPr>
                <w:sz w:val="26"/>
                <w:szCs w:val="26"/>
              </w:rPr>
              <w:t xml:space="preserve">Video deployment and subscriber data </w:t>
            </w:r>
            <w:r w:rsidR="005F5D05" w:rsidRPr="00DE7E7B">
              <w:rPr>
                <w:sz w:val="26"/>
                <w:szCs w:val="26"/>
              </w:rPr>
              <w:t xml:space="preserve">for the calendar year ending December 31, 2016 </w:t>
            </w:r>
            <w:r w:rsidRPr="00DE7E7B">
              <w:rPr>
                <w:sz w:val="26"/>
                <w:szCs w:val="26"/>
              </w:rPr>
              <w:t xml:space="preserve">should be reported using the template </w:t>
            </w:r>
            <w:r w:rsidR="005F5D05" w:rsidRPr="00DE7E7B">
              <w:rPr>
                <w:sz w:val="26"/>
                <w:szCs w:val="26"/>
              </w:rPr>
              <w:t>(</w:t>
            </w:r>
            <w:r w:rsidRPr="00DE7E7B">
              <w:rPr>
                <w:sz w:val="26"/>
                <w:szCs w:val="26"/>
              </w:rPr>
              <w:t>E</w:t>
            </w:r>
            <w:r w:rsidR="005F5D05" w:rsidRPr="00DE7E7B">
              <w:rPr>
                <w:sz w:val="26"/>
                <w:szCs w:val="26"/>
              </w:rPr>
              <w:t>xcel s</w:t>
            </w:r>
            <w:r w:rsidRPr="00DE7E7B">
              <w:rPr>
                <w:sz w:val="26"/>
                <w:szCs w:val="26"/>
              </w:rPr>
              <w:t xml:space="preserve">preadsheet) that can be found in the </w:t>
            </w:r>
            <w:r w:rsidR="005F5D05" w:rsidRPr="00DE7E7B">
              <w:rPr>
                <w:sz w:val="26"/>
                <w:szCs w:val="26"/>
              </w:rPr>
              <w:t xml:space="preserve">Annual Reporting section of the </w:t>
            </w:r>
            <w:hyperlink r:id="rId8" w:anchor="AnnRep" w:history="1">
              <w:r w:rsidR="00BC4F47" w:rsidRPr="00BC4F47">
                <w:rPr>
                  <w:rStyle w:val="Hyperlink"/>
                  <w:sz w:val="26"/>
                  <w:szCs w:val="26"/>
                </w:rPr>
                <w:t>Video Franchising web page</w:t>
              </w:r>
            </w:hyperlink>
            <w:r w:rsidR="00BC4F47">
              <w:t xml:space="preserve"> .</w:t>
            </w:r>
            <w:r w:rsidR="00F44047">
              <w:t xml:space="preserve">  </w:t>
            </w:r>
            <w:bookmarkStart w:id="0" w:name="_GoBack"/>
            <w:bookmarkEnd w:id="0"/>
          </w:p>
          <w:p w:rsidR="008426FF" w:rsidRPr="00DE7E7B" w:rsidRDefault="008426FF" w:rsidP="008426FF">
            <w:pPr>
              <w:pStyle w:val="Default"/>
              <w:rPr>
                <w:sz w:val="26"/>
                <w:szCs w:val="26"/>
              </w:rPr>
            </w:pPr>
          </w:p>
          <w:p w:rsidR="0076789F" w:rsidRPr="00DE7E7B" w:rsidRDefault="00C60B96" w:rsidP="008426FF">
            <w:pPr>
              <w:pStyle w:val="Default"/>
              <w:rPr>
                <w:b/>
                <w:i/>
                <w:sz w:val="26"/>
                <w:szCs w:val="26"/>
              </w:rPr>
            </w:pPr>
            <w:r w:rsidRPr="00DE7E7B">
              <w:rPr>
                <w:sz w:val="26"/>
                <w:szCs w:val="26"/>
              </w:rPr>
              <w:t>V</w:t>
            </w:r>
            <w:r w:rsidR="0076789F" w:rsidRPr="00DE7E7B">
              <w:rPr>
                <w:sz w:val="26"/>
                <w:szCs w:val="26"/>
              </w:rPr>
              <w:t xml:space="preserve">ideo </w:t>
            </w:r>
            <w:r w:rsidR="005F5D05" w:rsidRPr="00DE7E7B">
              <w:rPr>
                <w:sz w:val="26"/>
                <w:szCs w:val="26"/>
              </w:rPr>
              <w:t xml:space="preserve">deployment and </w:t>
            </w:r>
            <w:r w:rsidRPr="00DE7E7B">
              <w:rPr>
                <w:sz w:val="26"/>
                <w:szCs w:val="26"/>
              </w:rPr>
              <w:t xml:space="preserve">video </w:t>
            </w:r>
            <w:r w:rsidR="005F5D05" w:rsidRPr="00DE7E7B">
              <w:rPr>
                <w:sz w:val="26"/>
                <w:szCs w:val="26"/>
              </w:rPr>
              <w:t xml:space="preserve">subscriber </w:t>
            </w:r>
            <w:r w:rsidR="0076789F" w:rsidRPr="00DE7E7B">
              <w:rPr>
                <w:sz w:val="26"/>
                <w:szCs w:val="26"/>
              </w:rPr>
              <w:t xml:space="preserve">data </w:t>
            </w:r>
            <w:r w:rsidRPr="00DE7E7B">
              <w:rPr>
                <w:sz w:val="26"/>
                <w:szCs w:val="26"/>
              </w:rPr>
              <w:t xml:space="preserve">must be reported using this template </w:t>
            </w:r>
            <w:r w:rsidR="000B6F4C">
              <w:rPr>
                <w:sz w:val="26"/>
                <w:szCs w:val="26"/>
              </w:rPr>
              <w:t>for the franchise holder</w:t>
            </w:r>
            <w:r w:rsidR="0076789F" w:rsidRPr="00DE7E7B">
              <w:rPr>
                <w:sz w:val="26"/>
                <w:szCs w:val="26"/>
              </w:rPr>
              <w:t xml:space="preserve"> </w:t>
            </w:r>
            <w:r w:rsidRPr="00DE7E7B">
              <w:rPr>
                <w:sz w:val="26"/>
                <w:szCs w:val="26"/>
              </w:rPr>
              <w:t xml:space="preserve">and </w:t>
            </w:r>
            <w:r w:rsidR="0076789F" w:rsidRPr="00DE7E7B">
              <w:rPr>
                <w:sz w:val="26"/>
                <w:szCs w:val="26"/>
              </w:rPr>
              <w:t>any affiliates</w:t>
            </w:r>
            <w:r w:rsidRPr="00DE7E7B">
              <w:rPr>
                <w:sz w:val="26"/>
                <w:szCs w:val="26"/>
              </w:rPr>
              <w:t>,</w:t>
            </w:r>
            <w:r w:rsidR="0076789F" w:rsidRPr="00DE7E7B">
              <w:rPr>
                <w:sz w:val="26"/>
                <w:szCs w:val="26"/>
              </w:rPr>
              <w:t xml:space="preserve"> </w:t>
            </w:r>
            <w:r w:rsidRPr="00DE7E7B">
              <w:rPr>
                <w:sz w:val="26"/>
                <w:szCs w:val="26"/>
              </w:rPr>
              <w:t>including</w:t>
            </w:r>
            <w:r w:rsidR="0076789F" w:rsidRPr="00DE7E7B">
              <w:rPr>
                <w:sz w:val="26"/>
                <w:szCs w:val="26"/>
              </w:rPr>
              <w:t xml:space="preserve"> </w:t>
            </w:r>
            <w:r w:rsidRPr="00DE7E7B">
              <w:rPr>
                <w:sz w:val="26"/>
                <w:szCs w:val="26"/>
              </w:rPr>
              <w:t xml:space="preserve">local cable franchises and </w:t>
            </w:r>
            <w:r w:rsidR="0076789F" w:rsidRPr="00DE7E7B">
              <w:rPr>
                <w:sz w:val="26"/>
                <w:szCs w:val="26"/>
              </w:rPr>
              <w:t>telephone corporations</w:t>
            </w:r>
            <w:r w:rsidRPr="00DE7E7B">
              <w:rPr>
                <w:sz w:val="26"/>
                <w:szCs w:val="26"/>
              </w:rPr>
              <w:t>,</w:t>
            </w:r>
            <w:r w:rsidR="0076789F" w:rsidRPr="00DE7E7B">
              <w:rPr>
                <w:sz w:val="26"/>
                <w:szCs w:val="26"/>
              </w:rPr>
              <w:t xml:space="preserve"> as of </w:t>
            </w:r>
            <w:r w:rsidR="005F5D05" w:rsidRPr="00DE7E7B">
              <w:rPr>
                <w:sz w:val="26"/>
                <w:szCs w:val="26"/>
              </w:rPr>
              <w:t xml:space="preserve">December 31, 2016. </w:t>
            </w:r>
          </w:p>
          <w:p w:rsidR="0076789F" w:rsidRPr="008426FF" w:rsidRDefault="0076789F" w:rsidP="005A1693">
            <w:pPr>
              <w:pStyle w:val="Default"/>
              <w:rPr>
                <w:b/>
                <w:sz w:val="28"/>
                <w:szCs w:val="28"/>
              </w:rPr>
            </w:pPr>
          </w:p>
          <w:p w:rsidR="0076789F" w:rsidRPr="00DE7E7B" w:rsidRDefault="0076789F" w:rsidP="005A1693">
            <w:pPr>
              <w:pStyle w:val="Default"/>
              <w:rPr>
                <w:b/>
                <w:sz w:val="26"/>
                <w:szCs w:val="26"/>
              </w:rPr>
            </w:pPr>
            <w:r w:rsidRPr="00DE7E7B">
              <w:rPr>
                <w:b/>
                <w:sz w:val="26"/>
                <w:szCs w:val="26"/>
              </w:rPr>
              <w:t>Annual Broadband Data</w:t>
            </w:r>
          </w:p>
          <w:p w:rsidR="0076789F" w:rsidRPr="00DE7E7B" w:rsidRDefault="0076789F" w:rsidP="005A1693">
            <w:pPr>
              <w:pStyle w:val="Default"/>
              <w:rPr>
                <w:b/>
                <w:sz w:val="26"/>
                <w:szCs w:val="26"/>
              </w:rPr>
            </w:pPr>
          </w:p>
          <w:p w:rsidR="0076789F" w:rsidRPr="00DE7E7B" w:rsidRDefault="0076789F" w:rsidP="005A1693">
            <w:pPr>
              <w:pStyle w:val="Default"/>
              <w:rPr>
                <w:sz w:val="26"/>
                <w:szCs w:val="26"/>
              </w:rPr>
            </w:pPr>
            <w:r w:rsidRPr="00DE7E7B">
              <w:rPr>
                <w:sz w:val="26"/>
                <w:szCs w:val="26"/>
              </w:rPr>
              <w:t xml:space="preserve">In addition to video data, </w:t>
            </w:r>
            <w:proofErr w:type="spellStart"/>
            <w:r w:rsidRPr="00DE7E7B">
              <w:rPr>
                <w:sz w:val="26"/>
                <w:szCs w:val="26"/>
              </w:rPr>
              <w:t>DIVCA</w:t>
            </w:r>
            <w:proofErr w:type="spellEnd"/>
            <w:r w:rsidRPr="00DE7E7B">
              <w:rPr>
                <w:sz w:val="26"/>
                <w:szCs w:val="26"/>
              </w:rPr>
              <w:t xml:space="preserve"> </w:t>
            </w:r>
            <w:r w:rsidR="00C60B96" w:rsidRPr="00DE7E7B">
              <w:rPr>
                <w:sz w:val="26"/>
                <w:szCs w:val="26"/>
              </w:rPr>
              <w:t xml:space="preserve">requires </w:t>
            </w:r>
            <w:r w:rsidRPr="00DE7E7B">
              <w:rPr>
                <w:sz w:val="26"/>
                <w:szCs w:val="26"/>
              </w:rPr>
              <w:t xml:space="preserve">all State Video Franchise Holders </w:t>
            </w:r>
            <w:r w:rsidR="00C60B96" w:rsidRPr="00DE7E7B">
              <w:rPr>
                <w:sz w:val="26"/>
                <w:szCs w:val="26"/>
              </w:rPr>
              <w:t>to</w:t>
            </w:r>
            <w:r w:rsidRPr="00DE7E7B">
              <w:rPr>
                <w:sz w:val="26"/>
                <w:szCs w:val="26"/>
              </w:rPr>
              <w:t xml:space="preserve"> also submit broadband </w:t>
            </w:r>
            <w:r w:rsidR="00C60B96" w:rsidRPr="00DE7E7B">
              <w:rPr>
                <w:sz w:val="26"/>
                <w:szCs w:val="26"/>
              </w:rPr>
              <w:t>availability (same as “</w:t>
            </w:r>
            <w:r w:rsidRPr="00DE7E7B">
              <w:rPr>
                <w:sz w:val="26"/>
                <w:szCs w:val="26"/>
              </w:rPr>
              <w:t>deployment</w:t>
            </w:r>
            <w:r w:rsidR="00C60B96" w:rsidRPr="00DE7E7B">
              <w:rPr>
                <w:sz w:val="26"/>
                <w:szCs w:val="26"/>
              </w:rPr>
              <w:t xml:space="preserve">”) </w:t>
            </w:r>
            <w:r w:rsidRPr="00DE7E7B">
              <w:rPr>
                <w:sz w:val="26"/>
                <w:szCs w:val="26"/>
              </w:rPr>
              <w:t>and broadband subscriber data</w:t>
            </w:r>
            <w:r w:rsidR="00C60B96" w:rsidRPr="00DE7E7B">
              <w:rPr>
                <w:sz w:val="26"/>
                <w:szCs w:val="26"/>
              </w:rPr>
              <w:t>.  The broadband data required is the same as the broadband data</w:t>
            </w:r>
            <w:r w:rsidR="000B6F4C">
              <w:rPr>
                <w:sz w:val="26"/>
                <w:szCs w:val="26"/>
              </w:rPr>
              <w:t xml:space="preserve"> for California</w:t>
            </w:r>
            <w:r w:rsidR="00C60B96" w:rsidRPr="00DE7E7B">
              <w:rPr>
                <w:sz w:val="26"/>
                <w:szCs w:val="26"/>
              </w:rPr>
              <w:t xml:space="preserve"> that most providers report to the FCC using </w:t>
            </w:r>
            <w:r w:rsidRPr="00DE7E7B">
              <w:rPr>
                <w:sz w:val="26"/>
                <w:szCs w:val="26"/>
              </w:rPr>
              <w:t>FCC Form 477</w:t>
            </w:r>
            <w:r w:rsidR="00C60B96" w:rsidRPr="00DE7E7B">
              <w:rPr>
                <w:sz w:val="26"/>
                <w:szCs w:val="26"/>
              </w:rPr>
              <w:t>.</w:t>
            </w:r>
            <w:r w:rsidRPr="00DE7E7B">
              <w:rPr>
                <w:sz w:val="26"/>
                <w:szCs w:val="26"/>
              </w:rPr>
              <w:t xml:space="preserve"> </w:t>
            </w:r>
            <w:r w:rsidR="00CC53BE" w:rsidRPr="00DE7E7B">
              <w:rPr>
                <w:sz w:val="26"/>
                <w:szCs w:val="26"/>
              </w:rPr>
              <w:t xml:space="preserve">Broadband data are to be submitted in the formats posted on the </w:t>
            </w:r>
            <w:hyperlink r:id="rId9" w:history="1">
              <w:r w:rsidR="00CC53BE" w:rsidRPr="00DE7E7B">
                <w:rPr>
                  <w:rStyle w:val="Hyperlink"/>
                  <w:sz w:val="26"/>
                  <w:szCs w:val="26"/>
                </w:rPr>
                <w:t>Broadband Mapping Program</w:t>
              </w:r>
            </w:hyperlink>
            <w:r w:rsidR="00CC53BE" w:rsidRPr="00DE7E7B">
              <w:rPr>
                <w:rStyle w:val="Hyperlink"/>
                <w:sz w:val="26"/>
                <w:szCs w:val="26"/>
              </w:rPr>
              <w:t xml:space="preserve"> </w:t>
            </w:r>
            <w:r w:rsidR="00CC53BE" w:rsidRPr="00DE7E7B">
              <w:rPr>
                <w:sz w:val="26"/>
                <w:szCs w:val="26"/>
              </w:rPr>
              <w:t xml:space="preserve">website.  Please download the data formats, workbooks, or shapefiles appropriate for your submission. The Link is: </w:t>
            </w:r>
            <w:hyperlink r:id="rId10" w:history="1">
              <w:r w:rsidR="00CC53BE" w:rsidRPr="00DE7E7B">
                <w:rPr>
                  <w:rStyle w:val="Hyperlink"/>
                  <w:sz w:val="26"/>
                  <w:szCs w:val="26"/>
                </w:rPr>
                <w:t>http://www.cpuc.ca.gov/General.aspx?id=2541</w:t>
              </w:r>
            </w:hyperlink>
          </w:p>
          <w:p w:rsidR="0076789F" w:rsidRPr="008426FF" w:rsidRDefault="0076789F" w:rsidP="005A1693">
            <w:pPr>
              <w:pStyle w:val="Default"/>
              <w:rPr>
                <w:sz w:val="28"/>
                <w:szCs w:val="28"/>
              </w:rPr>
            </w:pPr>
            <w:r w:rsidRPr="008426FF">
              <w:rPr>
                <w:sz w:val="28"/>
                <w:szCs w:val="28"/>
              </w:rPr>
              <w:t xml:space="preserve"> </w:t>
            </w:r>
          </w:p>
        </w:tc>
      </w:tr>
      <w:tr w:rsidR="0076789F" w:rsidRPr="008426FF" w:rsidTr="00DE7E7B">
        <w:trPr>
          <w:trHeight w:val="809"/>
        </w:trPr>
        <w:tc>
          <w:tcPr>
            <w:tcW w:w="10728" w:type="dxa"/>
          </w:tcPr>
          <w:p w:rsidR="0076789F" w:rsidRPr="00DE7E7B" w:rsidRDefault="0076789F" w:rsidP="005A1693">
            <w:pPr>
              <w:pStyle w:val="Default"/>
              <w:rPr>
                <w:b/>
                <w:sz w:val="26"/>
                <w:szCs w:val="26"/>
              </w:rPr>
            </w:pPr>
            <w:r w:rsidRPr="00DE7E7B">
              <w:rPr>
                <w:b/>
                <w:sz w:val="26"/>
                <w:szCs w:val="26"/>
              </w:rPr>
              <w:t xml:space="preserve">Employment Report </w:t>
            </w:r>
          </w:p>
          <w:p w:rsidR="0076789F" w:rsidRPr="00DE7E7B" w:rsidRDefault="0076789F" w:rsidP="005A1693">
            <w:pPr>
              <w:pStyle w:val="Default"/>
              <w:rPr>
                <w:sz w:val="26"/>
                <w:szCs w:val="26"/>
              </w:rPr>
            </w:pPr>
            <w:r w:rsidRPr="00DE7E7B">
              <w:rPr>
                <w:sz w:val="26"/>
                <w:szCs w:val="26"/>
              </w:rPr>
              <w:t xml:space="preserve"> </w:t>
            </w:r>
          </w:p>
          <w:p w:rsidR="0076789F" w:rsidRPr="00DE7E7B" w:rsidRDefault="0076789F" w:rsidP="005A1693">
            <w:pPr>
              <w:pStyle w:val="Default"/>
              <w:rPr>
                <w:sz w:val="26"/>
                <w:szCs w:val="26"/>
              </w:rPr>
            </w:pPr>
            <w:r w:rsidRPr="00DE7E7B">
              <w:rPr>
                <w:sz w:val="26"/>
                <w:szCs w:val="26"/>
              </w:rPr>
              <w:t xml:space="preserve">Required for franchise holders with more than 750 employees in California. </w:t>
            </w:r>
          </w:p>
          <w:p w:rsidR="0076789F" w:rsidRPr="00DE7E7B" w:rsidRDefault="0076789F" w:rsidP="005A1693">
            <w:pPr>
              <w:pStyle w:val="Default"/>
              <w:rPr>
                <w:sz w:val="26"/>
                <w:szCs w:val="26"/>
              </w:rPr>
            </w:pPr>
            <w:r w:rsidRPr="00DE7E7B">
              <w:rPr>
                <w:sz w:val="26"/>
                <w:szCs w:val="26"/>
              </w:rPr>
              <w:t xml:space="preserve"> </w:t>
            </w:r>
          </w:p>
        </w:tc>
      </w:tr>
      <w:tr w:rsidR="0076789F" w:rsidRPr="008426FF" w:rsidTr="00DE7E7B">
        <w:trPr>
          <w:trHeight w:val="970"/>
        </w:trPr>
        <w:tc>
          <w:tcPr>
            <w:tcW w:w="10728" w:type="dxa"/>
          </w:tcPr>
          <w:p w:rsidR="0076789F" w:rsidRPr="00DE7E7B" w:rsidRDefault="0076789F" w:rsidP="005A1693">
            <w:pPr>
              <w:pStyle w:val="Default"/>
              <w:rPr>
                <w:b/>
                <w:sz w:val="26"/>
                <w:szCs w:val="26"/>
              </w:rPr>
            </w:pPr>
            <w:r w:rsidRPr="00DE7E7B">
              <w:rPr>
                <w:b/>
                <w:sz w:val="26"/>
                <w:szCs w:val="26"/>
              </w:rPr>
              <w:t xml:space="preserve">Service to Community Centers </w:t>
            </w:r>
          </w:p>
          <w:p w:rsidR="0076789F" w:rsidRPr="00DE7E7B" w:rsidRDefault="0076789F" w:rsidP="005A1693">
            <w:pPr>
              <w:pStyle w:val="Default"/>
              <w:rPr>
                <w:sz w:val="26"/>
                <w:szCs w:val="26"/>
              </w:rPr>
            </w:pPr>
            <w:r w:rsidRPr="00DE7E7B">
              <w:rPr>
                <w:sz w:val="26"/>
                <w:szCs w:val="26"/>
              </w:rPr>
              <w:t xml:space="preserve"> </w:t>
            </w:r>
          </w:p>
          <w:p w:rsidR="0076789F" w:rsidRPr="00DE7E7B" w:rsidRDefault="0076789F" w:rsidP="005A1693">
            <w:pPr>
              <w:pStyle w:val="Default"/>
              <w:rPr>
                <w:sz w:val="26"/>
                <w:szCs w:val="26"/>
              </w:rPr>
            </w:pPr>
            <w:r w:rsidRPr="00DE7E7B">
              <w:rPr>
                <w:sz w:val="26"/>
                <w:szCs w:val="26"/>
              </w:rPr>
              <w:t>Required for state franchise holders that alone, or in combination with their affiliates, have</w:t>
            </w:r>
            <w:r w:rsidRPr="00DE7E7B">
              <w:rPr>
                <w:b/>
                <w:bCs/>
                <w:sz w:val="26"/>
                <w:szCs w:val="26"/>
              </w:rPr>
              <w:t xml:space="preserve"> </w:t>
            </w:r>
            <w:r w:rsidRPr="00DE7E7B">
              <w:rPr>
                <w:sz w:val="26"/>
                <w:szCs w:val="26"/>
              </w:rPr>
              <w:t xml:space="preserve">more than 1 million telephone customers in California.  </w:t>
            </w:r>
          </w:p>
          <w:p w:rsidR="0076789F" w:rsidRPr="00DE7E7B" w:rsidRDefault="0076789F" w:rsidP="005A1693">
            <w:pPr>
              <w:pStyle w:val="Default"/>
              <w:rPr>
                <w:sz w:val="26"/>
                <w:szCs w:val="26"/>
              </w:rPr>
            </w:pPr>
            <w:r w:rsidRPr="00DE7E7B">
              <w:rPr>
                <w:sz w:val="26"/>
                <w:szCs w:val="26"/>
              </w:rPr>
              <w:t xml:space="preserve"> </w:t>
            </w:r>
          </w:p>
        </w:tc>
      </w:tr>
      <w:tr w:rsidR="0076789F" w:rsidRPr="008426FF" w:rsidTr="00DE7E7B">
        <w:trPr>
          <w:trHeight w:val="648"/>
        </w:trPr>
        <w:tc>
          <w:tcPr>
            <w:tcW w:w="10728" w:type="dxa"/>
          </w:tcPr>
          <w:p w:rsidR="0076789F" w:rsidRPr="00DE7E7B" w:rsidRDefault="0076789F" w:rsidP="005A1693">
            <w:pPr>
              <w:pStyle w:val="Default"/>
              <w:rPr>
                <w:b/>
                <w:sz w:val="26"/>
                <w:szCs w:val="26"/>
              </w:rPr>
            </w:pPr>
            <w:r w:rsidRPr="00DE7E7B">
              <w:rPr>
                <w:b/>
                <w:sz w:val="26"/>
                <w:szCs w:val="26"/>
              </w:rPr>
              <w:t xml:space="preserve">Collective Bargaining Agreement </w:t>
            </w:r>
          </w:p>
          <w:p w:rsidR="0076789F" w:rsidRPr="00DE7E7B" w:rsidRDefault="0076789F" w:rsidP="005A1693">
            <w:pPr>
              <w:pStyle w:val="Default"/>
              <w:rPr>
                <w:sz w:val="26"/>
                <w:szCs w:val="26"/>
              </w:rPr>
            </w:pPr>
            <w:r w:rsidRPr="00DE7E7B">
              <w:rPr>
                <w:sz w:val="26"/>
                <w:szCs w:val="26"/>
              </w:rPr>
              <w:t xml:space="preserve"> </w:t>
            </w:r>
          </w:p>
          <w:p w:rsidR="0076789F" w:rsidRPr="00DE7E7B" w:rsidRDefault="0076789F" w:rsidP="005A1693">
            <w:pPr>
              <w:pStyle w:val="Default"/>
              <w:rPr>
                <w:sz w:val="26"/>
                <w:szCs w:val="26"/>
              </w:rPr>
            </w:pPr>
            <w:r w:rsidRPr="00DE7E7B">
              <w:rPr>
                <w:sz w:val="26"/>
                <w:szCs w:val="26"/>
              </w:rPr>
              <w:t xml:space="preserve">All companies should report whether their California employees are covered by collective bargaining agreements. </w:t>
            </w:r>
          </w:p>
        </w:tc>
      </w:tr>
      <w:tr w:rsidR="0076789F" w:rsidRPr="008426FF" w:rsidTr="00DE7E7B">
        <w:trPr>
          <w:trHeight w:val="127"/>
        </w:trPr>
        <w:tc>
          <w:tcPr>
            <w:tcW w:w="10728" w:type="dxa"/>
          </w:tcPr>
          <w:p w:rsidR="0076789F" w:rsidRPr="008426FF" w:rsidRDefault="0076789F" w:rsidP="005A1693">
            <w:pPr>
              <w:pStyle w:val="Default"/>
              <w:rPr>
                <w:sz w:val="28"/>
                <w:szCs w:val="28"/>
              </w:rPr>
            </w:pPr>
            <w:r w:rsidRPr="008426FF">
              <w:rPr>
                <w:sz w:val="28"/>
                <w:szCs w:val="28"/>
              </w:rPr>
              <w:t xml:space="preserve"> </w:t>
            </w:r>
          </w:p>
        </w:tc>
      </w:tr>
      <w:tr w:rsidR="0076789F" w:rsidRPr="008426FF" w:rsidTr="00DE7E7B">
        <w:trPr>
          <w:trHeight w:val="647"/>
        </w:trPr>
        <w:tc>
          <w:tcPr>
            <w:tcW w:w="10728" w:type="dxa"/>
          </w:tcPr>
          <w:p w:rsidR="0076789F" w:rsidRPr="008426FF" w:rsidRDefault="0076789F" w:rsidP="005A1693">
            <w:pPr>
              <w:pStyle w:val="Default"/>
              <w:rPr>
                <w:b/>
                <w:sz w:val="28"/>
                <w:szCs w:val="28"/>
              </w:rPr>
            </w:pPr>
            <w:r w:rsidRPr="008426FF">
              <w:rPr>
                <w:b/>
                <w:sz w:val="28"/>
                <w:szCs w:val="28"/>
              </w:rPr>
              <w:t>Workplace Diversity/</w:t>
            </w:r>
            <w:proofErr w:type="spellStart"/>
            <w:r w:rsidRPr="008426FF">
              <w:rPr>
                <w:b/>
                <w:sz w:val="28"/>
                <w:szCs w:val="28"/>
              </w:rPr>
              <w:t>EEO</w:t>
            </w:r>
            <w:proofErr w:type="spellEnd"/>
            <w:r w:rsidRPr="008426FF">
              <w:rPr>
                <w:b/>
                <w:sz w:val="28"/>
                <w:szCs w:val="28"/>
              </w:rPr>
              <w:t xml:space="preserve"> Report </w:t>
            </w:r>
          </w:p>
          <w:p w:rsidR="0076789F" w:rsidRPr="008426FF" w:rsidRDefault="0076789F" w:rsidP="005A1693">
            <w:pPr>
              <w:pStyle w:val="Default"/>
              <w:rPr>
                <w:sz w:val="28"/>
                <w:szCs w:val="28"/>
              </w:rPr>
            </w:pPr>
            <w:r w:rsidRPr="008426FF">
              <w:rPr>
                <w:sz w:val="28"/>
                <w:szCs w:val="28"/>
              </w:rPr>
              <w:t xml:space="preserve"> </w:t>
            </w:r>
          </w:p>
          <w:p w:rsidR="0076789F" w:rsidRPr="008426FF" w:rsidRDefault="0076789F" w:rsidP="005A1693">
            <w:pPr>
              <w:pStyle w:val="Default"/>
              <w:rPr>
                <w:sz w:val="28"/>
                <w:szCs w:val="28"/>
              </w:rPr>
            </w:pPr>
            <w:r w:rsidRPr="008426FF">
              <w:rPr>
                <w:sz w:val="28"/>
                <w:szCs w:val="28"/>
              </w:rPr>
              <w:t xml:space="preserve">All companies that file EEO-1 Forms with the Department of Labor should submit copies with their April 1 reports.   </w:t>
            </w:r>
          </w:p>
        </w:tc>
      </w:tr>
    </w:tbl>
    <w:p w:rsidR="00697DFA" w:rsidRPr="008426FF" w:rsidRDefault="00DD2C70" w:rsidP="00DE7E7B">
      <w:pPr>
        <w:rPr>
          <w:rFonts w:ascii="Times New Roman" w:hAnsi="Times New Roman"/>
          <w:sz w:val="28"/>
          <w:szCs w:val="28"/>
        </w:rPr>
      </w:pPr>
    </w:p>
    <w:sectPr w:rsidR="00697DFA" w:rsidRPr="008426FF" w:rsidSect="00DE7E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FF" w:rsidRDefault="008426FF" w:rsidP="008426FF">
      <w:pPr>
        <w:spacing w:after="0" w:line="240" w:lineRule="auto"/>
      </w:pPr>
      <w:r>
        <w:separator/>
      </w:r>
    </w:p>
  </w:endnote>
  <w:endnote w:type="continuationSeparator" w:id="0">
    <w:p w:rsidR="008426FF" w:rsidRDefault="008426FF" w:rsidP="0084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FF" w:rsidRDefault="008426FF" w:rsidP="008426FF">
      <w:pPr>
        <w:spacing w:after="0" w:line="240" w:lineRule="auto"/>
      </w:pPr>
      <w:r>
        <w:separator/>
      </w:r>
    </w:p>
  </w:footnote>
  <w:footnote w:type="continuationSeparator" w:id="0">
    <w:p w:rsidR="008426FF" w:rsidRDefault="008426FF" w:rsidP="008426FF">
      <w:pPr>
        <w:spacing w:after="0" w:line="240" w:lineRule="auto"/>
      </w:pPr>
      <w:r>
        <w:continuationSeparator/>
      </w:r>
    </w:p>
  </w:footnote>
  <w:footnote w:id="1">
    <w:p w:rsidR="008426FF" w:rsidRPr="008426FF" w:rsidRDefault="008426FF">
      <w:pPr>
        <w:pStyle w:val="FootnoteText"/>
        <w:rPr>
          <w:rFonts w:ascii="Times New Roman" w:hAnsi="Times New Roman"/>
        </w:rPr>
      </w:pPr>
      <w:r w:rsidRPr="008426FF">
        <w:rPr>
          <w:rStyle w:val="FootnoteReference"/>
          <w:rFonts w:ascii="Times New Roman" w:hAnsi="Times New Roman"/>
        </w:rPr>
        <w:footnoteRef/>
      </w:r>
      <w:r w:rsidRPr="008426FF">
        <w:rPr>
          <w:rFonts w:ascii="Times New Roman" w:hAnsi="Times New Roman"/>
        </w:rPr>
        <w:t xml:space="preserve"> Section 5960 of the CA Public Utilities Code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9F"/>
    <w:rsid w:val="00073C01"/>
    <w:rsid w:val="000B6F4C"/>
    <w:rsid w:val="005F5D05"/>
    <w:rsid w:val="00744460"/>
    <w:rsid w:val="0076789F"/>
    <w:rsid w:val="00805DD3"/>
    <w:rsid w:val="008426FF"/>
    <w:rsid w:val="00A12004"/>
    <w:rsid w:val="00BC4F47"/>
    <w:rsid w:val="00C60B96"/>
    <w:rsid w:val="00CC53BE"/>
    <w:rsid w:val="00DD2C70"/>
    <w:rsid w:val="00DE7E7B"/>
    <w:rsid w:val="00EE026E"/>
    <w:rsid w:val="00F4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9F"/>
    <w:pPr>
      <w:spacing w:after="200"/>
      <w:ind w:left="0"/>
    </w:pPr>
    <w:rPr>
      <w:rFonts w:eastAsiaTheme="minorEastAsia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8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78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76789F"/>
    <w:pPr>
      <w:widowControl w:val="0"/>
      <w:autoSpaceDE w:val="0"/>
      <w:autoSpaceDN w:val="0"/>
      <w:adjustRightInd w:val="0"/>
      <w:spacing w:line="240" w:lineRule="auto"/>
      <w:ind w:left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26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26FF"/>
    <w:rPr>
      <w:rFonts w:eastAsiaTheme="minorEastAs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26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5D05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rsid w:val="00CC53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53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3B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BE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4F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9F"/>
    <w:pPr>
      <w:spacing w:after="200"/>
      <w:ind w:left="0"/>
    </w:pPr>
    <w:rPr>
      <w:rFonts w:eastAsiaTheme="minorEastAsia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8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78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76789F"/>
    <w:pPr>
      <w:widowControl w:val="0"/>
      <w:autoSpaceDE w:val="0"/>
      <w:autoSpaceDN w:val="0"/>
      <w:adjustRightInd w:val="0"/>
      <w:spacing w:line="240" w:lineRule="auto"/>
      <w:ind w:left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26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26FF"/>
    <w:rPr>
      <w:rFonts w:eastAsiaTheme="minorEastAs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26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5D05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rsid w:val="00CC53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53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3B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BE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4F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uc.ca.gov/General.aspx?id=2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uc.ca.gov/General.aspx?id=25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c.ca.gov/General.aspx?id=2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CC43-385B-4EAA-8BAE-8CBB1DC1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Michael B.</dc:creator>
  <cp:lastModifiedBy>Pierce, Michael B.</cp:lastModifiedBy>
  <cp:revision>6</cp:revision>
  <cp:lastPrinted>2017-02-17T02:26:00Z</cp:lastPrinted>
  <dcterms:created xsi:type="dcterms:W3CDTF">2017-03-01T18:30:00Z</dcterms:created>
  <dcterms:modified xsi:type="dcterms:W3CDTF">2017-03-01T18:40:00Z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MAIL_MSG_ID1">
    <vt:lpwstr>oFAAspTNh41gn7AWtoD0dfbpcwodNK71ti4N0rh1SPkZiZmG6WgNfyYGiebaitubDp00FHD2LrbQBTTg
6kZix1AsCphFHtZrFEzpxmZspaUPJObnnH4LGJDDLlbxR6DOaRGcaZxWregMEmrg6kZix1AsCphF
HtZrFEzpxmZspaUPJObnnH4LGJDDLlbxR6DOaRGcNmMXY97TFsbV9iBT6S0CqPNVn9fx/rWVHvxk
o83kGnz/HDvmC9HsU</vt:lpwstr>
  </property>
  <property fmtid="{D5CDD505-2E9C-101B-9397-08002B2CF9AE}" pid="4" name="MAIL_MSG_ID2">
    <vt:lpwstr>IVxM3TjP43tgictiuO1GUqWvqt9wiyi0+IozM0J67hSMrMAGjkxqsESWxKn
eYD7Kf+SfzCqVgiPO/XIAtHjczgDf7uuaEe8k906pHx/1TR3</vt:lpwstr>
  </property>
  <property fmtid="{D5CDD505-2E9C-101B-9397-08002B2CF9AE}" pid="5" name="RESPONSE_SENDER_NAME">
    <vt:lpwstr>sAAAUYtyAkeNWR6mOOVWtSNSFT5HGXjSrVnuctsMIhiFrpQ=</vt:lpwstr>
  </property>
  <property fmtid="{D5CDD505-2E9C-101B-9397-08002B2CF9AE}" pid="6" name="EMAIL_OWNER_ADDRESS">
    <vt:lpwstr>4AAA6DouqOs9baFpKSbrNlbIL0cOoKe5JMOydTMAOhVuEwTzmQ0kj3q9zw==</vt:lpwstr>
  </property>
</Properties>
</file>