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F1" w:rsidRDefault="000816F1" w:rsidP="00D05E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2806A4" w:rsidTr="008D1C44">
        <w:trPr>
          <w:trHeight w:val="5499"/>
        </w:trPr>
        <w:tc>
          <w:tcPr>
            <w:tcW w:w="3960" w:type="dxa"/>
          </w:tcPr>
          <w:p w:rsidR="002806A4" w:rsidRDefault="002806A4" w:rsidP="000816F1">
            <w:pPr>
              <w:rPr>
                <w:b/>
                <w:color w:val="595959" w:themeColor="text1" w:themeTint="A6"/>
              </w:rPr>
            </w:pPr>
            <w:r>
              <w:rPr>
                <w:b/>
                <w:noProof/>
                <w:color w:val="595959" w:themeColor="text1" w:themeTint="A6"/>
              </w:rPr>
              <w:drawing>
                <wp:anchor distT="0" distB="0" distL="114300" distR="114300" simplePos="0" relativeHeight="251661312" behindDoc="0" locked="0" layoutInCell="1" allowOverlap="1">
                  <wp:simplePos x="0" y="0"/>
                  <wp:positionH relativeFrom="margin">
                    <wp:posOffset>-1905</wp:posOffset>
                  </wp:positionH>
                  <wp:positionV relativeFrom="margin">
                    <wp:posOffset>12065</wp:posOffset>
                  </wp:positionV>
                  <wp:extent cx="2303145" cy="34544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854632192.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303145" cy="345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830" w:type="dxa"/>
          </w:tcPr>
          <w:p w:rsidR="002806A4" w:rsidRPr="00E96C07" w:rsidRDefault="002806A4" w:rsidP="002806A4">
            <w:pPr>
              <w:spacing w:after="120"/>
              <w:rPr>
                <w:rFonts w:ascii="Century Gothic" w:eastAsia="Calibri" w:hAnsi="Century Gothic"/>
                <w:color w:val="595959" w:themeColor="text1" w:themeTint="A6"/>
                <w:spacing w:val="-20"/>
                <w:sz w:val="36"/>
                <w:szCs w:val="78"/>
              </w:rPr>
            </w:pPr>
            <w:r w:rsidRPr="00E96C07">
              <w:rPr>
                <w:rFonts w:ascii="Century Gothic" w:eastAsia="Calibri" w:hAnsi="Century Gothic"/>
                <w:color w:val="595959" w:themeColor="text1" w:themeTint="A6"/>
                <w:spacing w:val="-20"/>
                <w:sz w:val="36"/>
                <w:szCs w:val="78"/>
              </w:rPr>
              <w:t>Fact Sheet</w:t>
            </w:r>
          </w:p>
          <w:p w:rsidR="002806A4" w:rsidRPr="002806A4" w:rsidRDefault="002806A4" w:rsidP="002806A4">
            <w:pPr>
              <w:pBdr>
                <w:top w:val="single" w:sz="8" w:space="1" w:color="3F5A78"/>
              </w:pBdr>
              <w:rPr>
                <w:rFonts w:ascii="Century Gothic" w:hAnsi="Century Gothic"/>
                <w:b/>
                <w:color w:val="595959" w:themeColor="text1" w:themeTint="A6"/>
                <w:sz w:val="52"/>
              </w:rPr>
            </w:pPr>
            <w:r w:rsidRPr="002806A4">
              <w:rPr>
                <w:rFonts w:ascii="Century Gothic" w:hAnsi="Century Gothic"/>
                <w:color w:val="595959" w:themeColor="text1" w:themeTint="A6"/>
                <w:sz w:val="52"/>
              </w:rPr>
              <w:t>THE BROADBAND ADOPTION GRANT PROGRAM</w:t>
            </w:r>
          </w:p>
          <w:p w:rsidR="002806A4" w:rsidRDefault="002806A4" w:rsidP="002806A4">
            <w:pPr>
              <w:pBdr>
                <w:top w:val="single" w:sz="8" w:space="1" w:color="3F5A78"/>
              </w:pBdr>
              <w:rPr>
                <w:b/>
                <w:color w:val="595959" w:themeColor="text1" w:themeTint="A6"/>
              </w:rPr>
            </w:pPr>
          </w:p>
          <w:p w:rsidR="002806A4" w:rsidRPr="008D1C44" w:rsidRDefault="002806A4" w:rsidP="002806A4">
            <w:pPr>
              <w:pBdr>
                <w:top w:val="single" w:sz="8" w:space="1" w:color="3F5A78"/>
              </w:pBdr>
              <w:rPr>
                <w:color w:val="595959" w:themeColor="text1" w:themeTint="A6"/>
                <w:sz w:val="22"/>
                <w:szCs w:val="22"/>
              </w:rPr>
            </w:pPr>
            <w:r w:rsidRPr="008D1C44">
              <w:rPr>
                <w:b/>
                <w:color w:val="595959" w:themeColor="text1" w:themeTint="A6"/>
                <w:sz w:val="22"/>
                <w:szCs w:val="22"/>
              </w:rPr>
              <w:t>As many as 13% of Californians experience barriers that prevent them from utilizing and accessing the internet,</w:t>
            </w:r>
            <w:r w:rsidRPr="008D1C44">
              <w:rPr>
                <w:color w:val="595959" w:themeColor="text1" w:themeTint="A6"/>
                <w:sz w:val="22"/>
                <w:szCs w:val="22"/>
              </w:rPr>
              <w:t xml:space="preserve"> according to the </w:t>
            </w:r>
            <w:hyperlink r:id="rId9" w:history="1">
              <w:r w:rsidRPr="008D1C44">
                <w:rPr>
                  <w:rStyle w:val="Hyperlink"/>
                  <w:color w:val="595959" w:themeColor="text1" w:themeTint="A6"/>
                  <w:sz w:val="22"/>
                  <w:szCs w:val="22"/>
                </w:rPr>
                <w:t>2017 survey</w:t>
              </w:r>
            </w:hyperlink>
            <w:r w:rsidRPr="008D1C44">
              <w:rPr>
                <w:color w:val="595959" w:themeColor="text1" w:themeTint="A6"/>
                <w:sz w:val="22"/>
                <w:szCs w:val="22"/>
              </w:rPr>
              <w:t xml:space="preserve"> by the University of California Berkeley Institute of Governmental Studies survey for the California Emerging Technology Fund. </w:t>
            </w:r>
          </w:p>
          <w:p w:rsidR="002806A4" w:rsidRPr="008D1C44" w:rsidRDefault="002806A4" w:rsidP="002806A4">
            <w:pPr>
              <w:rPr>
                <w:color w:val="595959" w:themeColor="text1" w:themeTint="A6"/>
                <w:sz w:val="22"/>
                <w:szCs w:val="22"/>
              </w:rPr>
            </w:pPr>
          </w:p>
          <w:p w:rsidR="002806A4" w:rsidRPr="002806A4" w:rsidRDefault="002806A4" w:rsidP="002806A4">
            <w:pPr>
              <w:pBdr>
                <w:bottom w:val="single" w:sz="4" w:space="1" w:color="3F5A78"/>
              </w:pBdr>
              <w:rPr>
                <w:color w:val="595959" w:themeColor="text1" w:themeTint="A6"/>
              </w:rPr>
            </w:pPr>
            <w:r w:rsidRPr="008D1C44">
              <w:rPr>
                <w:color w:val="595959" w:themeColor="text1" w:themeTint="A6"/>
                <w:sz w:val="22"/>
                <w:szCs w:val="22"/>
              </w:rPr>
              <w:t xml:space="preserve">In 2017, California set an ambitious goal of being a national and global leader in the adoption of broadband technology, and </w:t>
            </w:r>
            <w:r w:rsidRPr="008D1C44">
              <w:rPr>
                <w:b/>
                <w:color w:val="595959" w:themeColor="text1" w:themeTint="A6"/>
                <w:sz w:val="22"/>
                <w:szCs w:val="22"/>
              </w:rPr>
              <w:t>designated $20 million for grants</w:t>
            </w:r>
            <w:r w:rsidRPr="008D1C44">
              <w:rPr>
                <w:color w:val="595959" w:themeColor="text1" w:themeTint="A6"/>
                <w:sz w:val="22"/>
                <w:szCs w:val="22"/>
              </w:rPr>
              <w:t xml:space="preserve"> to increase publicly available or after-school broadband access and digital inclusion. These funds will be distributed by the California Public Utilities Commission in the new Broadband Adoption Grant Program:</w:t>
            </w:r>
          </w:p>
        </w:tc>
        <w:bookmarkStart w:id="0" w:name="_GoBack"/>
        <w:bookmarkEnd w:id="0"/>
      </w:tr>
    </w:tbl>
    <w:p w:rsidR="000816F1" w:rsidRDefault="000816F1" w:rsidP="000816F1">
      <w:pPr>
        <w:rPr>
          <w:b/>
        </w:rPr>
      </w:pPr>
    </w:p>
    <w:tbl>
      <w:tblPr>
        <w:tblStyle w:val="TableGrid"/>
        <w:tblW w:w="0" w:type="auto"/>
        <w:tblLook w:val="04A0" w:firstRow="1" w:lastRow="0" w:firstColumn="1" w:lastColumn="0" w:noHBand="0" w:noVBand="1"/>
      </w:tblPr>
      <w:tblGrid>
        <w:gridCol w:w="5040"/>
        <w:gridCol w:w="540"/>
        <w:gridCol w:w="5210"/>
      </w:tblGrid>
      <w:tr w:rsidR="00E96C07" w:rsidRPr="008D1C44" w:rsidTr="00E96C07">
        <w:trPr>
          <w:trHeight w:val="2016"/>
        </w:trPr>
        <w:tc>
          <w:tcPr>
            <w:tcW w:w="5040" w:type="dxa"/>
            <w:tcBorders>
              <w:top w:val="nil"/>
              <w:left w:val="nil"/>
              <w:bottom w:val="nil"/>
              <w:right w:val="nil"/>
            </w:tcBorders>
          </w:tcPr>
          <w:p w:rsidR="00E96C07" w:rsidRPr="008D1C44" w:rsidRDefault="00E96C07" w:rsidP="00E96C07">
            <w:pPr>
              <w:pBdr>
                <w:top w:val="single" w:sz="4" w:space="1" w:color="3F5A78"/>
                <w:left w:val="single" w:sz="4" w:space="4" w:color="3F5A78"/>
                <w:bottom w:val="single" w:sz="4" w:space="1" w:color="3F5A78"/>
                <w:right w:val="single" w:sz="4" w:space="4" w:color="3F5A78"/>
              </w:pBdr>
              <w:shd w:val="clear" w:color="auto" w:fill="3F5A78"/>
              <w:rPr>
                <w:b/>
                <w:color w:val="F2F2F2" w:themeColor="background1" w:themeShade="F2"/>
                <w:sz w:val="22"/>
              </w:rPr>
            </w:pPr>
            <w:r w:rsidRPr="008D1C44">
              <w:rPr>
                <w:b/>
                <w:color w:val="F2F2F2" w:themeColor="background1" w:themeShade="F2"/>
                <w:sz w:val="22"/>
              </w:rPr>
              <w:t>Types of Grants</w:t>
            </w:r>
          </w:p>
          <w:p w:rsidR="00E96C07" w:rsidRPr="008D1C44" w:rsidRDefault="00E96C07" w:rsidP="00E96C07">
            <w:pPr>
              <w:rPr>
                <w:sz w:val="22"/>
                <w:szCs w:val="23"/>
                <w:lang w:val="en"/>
              </w:rPr>
            </w:pPr>
            <w:r w:rsidRPr="008D1C44">
              <w:rPr>
                <w:b/>
                <w:sz w:val="22"/>
                <w:szCs w:val="23"/>
              </w:rPr>
              <w:t>Digital Inclusion Projects</w:t>
            </w:r>
            <w:r w:rsidRPr="008D1C44">
              <w:rPr>
                <w:sz w:val="22"/>
                <w:szCs w:val="23"/>
                <w:lang w:val="en"/>
              </w:rPr>
              <w:t xml:space="preserve"> providing digital literacy training and public education to communities with limited broadband adoption.</w:t>
            </w:r>
          </w:p>
          <w:p w:rsidR="00E96C07" w:rsidRPr="008D1C44" w:rsidRDefault="00E96C07" w:rsidP="00E96C07">
            <w:pPr>
              <w:rPr>
                <w:sz w:val="22"/>
                <w:szCs w:val="23"/>
                <w:lang w:val="en"/>
              </w:rPr>
            </w:pPr>
          </w:p>
          <w:p w:rsidR="00E96C07" w:rsidRPr="008D1C44" w:rsidRDefault="00E96C07" w:rsidP="00E96C07">
            <w:pPr>
              <w:rPr>
                <w:sz w:val="22"/>
                <w:szCs w:val="23"/>
                <w:lang w:val="en"/>
              </w:rPr>
            </w:pPr>
            <w:r w:rsidRPr="008D1C44">
              <w:rPr>
                <w:b/>
                <w:sz w:val="22"/>
                <w:szCs w:val="23"/>
              </w:rPr>
              <w:t>Broadband Access Projects</w:t>
            </w:r>
            <w:r w:rsidRPr="008D1C44">
              <w:rPr>
                <w:sz w:val="22"/>
                <w:szCs w:val="23"/>
                <w:lang w:val="en"/>
              </w:rPr>
              <w:t xml:space="preserve"> providing publicly available or after-school broadband access that may include free broadband access in community training rooms or other public spaces, such as local government centers, senior citizen centers, schools, public libraries, nonprofit organizations, and community-based organizations.  These projects may also include community outreach, such as analysis, comparison of Internet plans within the community, and call centers that will increase broadband access and adoption.  </w:t>
            </w:r>
          </w:p>
          <w:p w:rsidR="00E96C07" w:rsidRPr="008D1C44" w:rsidRDefault="00E96C07" w:rsidP="00E96C07">
            <w:pPr>
              <w:rPr>
                <w:sz w:val="22"/>
                <w:lang w:val="en"/>
              </w:rPr>
            </w:pPr>
          </w:p>
          <w:p w:rsidR="00E96C07" w:rsidRPr="008D1C44" w:rsidRDefault="00E96C07" w:rsidP="00E96C07">
            <w:pPr>
              <w:pBdr>
                <w:top w:val="single" w:sz="4" w:space="1" w:color="3F5A78"/>
                <w:left w:val="single" w:sz="4" w:space="4" w:color="3F5A78"/>
                <w:bottom w:val="single" w:sz="4" w:space="1" w:color="3F5A78"/>
                <w:right w:val="single" w:sz="4" w:space="4" w:color="3F5A78"/>
                <w:between w:val="single" w:sz="4" w:space="1" w:color="3F5A78"/>
                <w:bar w:val="single" w:sz="4" w:color="3F5A78"/>
              </w:pBdr>
              <w:shd w:val="clear" w:color="auto" w:fill="3F5A78"/>
              <w:rPr>
                <w:b/>
                <w:color w:val="F2F2F2" w:themeColor="background1" w:themeShade="F2"/>
                <w:sz w:val="22"/>
                <w:lang w:val="en"/>
              </w:rPr>
            </w:pPr>
            <w:r w:rsidRPr="008D1C44">
              <w:rPr>
                <w:b/>
                <w:color w:val="F2F2F2" w:themeColor="background1" w:themeShade="F2"/>
                <w:sz w:val="22"/>
                <w:lang w:val="en"/>
              </w:rPr>
              <w:t>Eligible Entities</w:t>
            </w:r>
          </w:p>
          <w:p w:rsidR="00E96C07" w:rsidRPr="008D1C44" w:rsidRDefault="00E96C07" w:rsidP="00E96C07">
            <w:pPr>
              <w:rPr>
                <w:sz w:val="22"/>
                <w:szCs w:val="23"/>
              </w:rPr>
            </w:pPr>
            <w:r w:rsidRPr="008D1C44">
              <w:rPr>
                <w:sz w:val="22"/>
                <w:szCs w:val="23"/>
              </w:rPr>
              <w:t>Eligible Applicants include local governments, senior centers, schools, public libraries, non-profit organizations, and community-based organizations.</w:t>
            </w:r>
          </w:p>
          <w:p w:rsidR="00E96C07" w:rsidRPr="008D1C44" w:rsidRDefault="00E96C07" w:rsidP="00E96C07">
            <w:pPr>
              <w:rPr>
                <w:sz w:val="22"/>
                <w:szCs w:val="23"/>
              </w:rPr>
            </w:pPr>
          </w:p>
          <w:p w:rsidR="00E96C07" w:rsidRPr="008D1C44" w:rsidRDefault="00E96C07" w:rsidP="00E96C07">
            <w:pPr>
              <w:pBdr>
                <w:top w:val="single" w:sz="4" w:space="1" w:color="3F5A78"/>
                <w:left w:val="single" w:sz="4" w:space="4" w:color="3F5A78"/>
                <w:bottom w:val="single" w:sz="4" w:space="1" w:color="3F5A78"/>
                <w:right w:val="single" w:sz="4" w:space="4" w:color="3F5A78"/>
                <w:between w:val="single" w:sz="4" w:space="1" w:color="3F5A78"/>
                <w:bar w:val="single" w:sz="4" w:color="3F5A78"/>
              </w:pBdr>
              <w:shd w:val="clear" w:color="auto" w:fill="3F5A78"/>
              <w:rPr>
                <w:b/>
                <w:color w:val="F2F2F2" w:themeColor="background1" w:themeShade="F2"/>
                <w:sz w:val="22"/>
                <w:szCs w:val="23"/>
              </w:rPr>
            </w:pPr>
            <w:r w:rsidRPr="008D1C44">
              <w:rPr>
                <w:b/>
                <w:color w:val="F2F2F2" w:themeColor="background1" w:themeShade="F2"/>
                <w:sz w:val="22"/>
                <w:szCs w:val="23"/>
              </w:rPr>
              <w:t>Award Amounts</w:t>
            </w:r>
          </w:p>
          <w:p w:rsidR="00E96C07" w:rsidRPr="008D1C44" w:rsidRDefault="00E96C07" w:rsidP="00E96C07">
            <w:pPr>
              <w:rPr>
                <w:sz w:val="22"/>
                <w:szCs w:val="23"/>
              </w:rPr>
            </w:pPr>
            <w:r w:rsidRPr="008D1C44">
              <w:rPr>
                <w:sz w:val="22"/>
                <w:szCs w:val="23"/>
              </w:rPr>
              <w:t xml:space="preserve">The $20 million fund for Broadband Adoption programs will be awarded in biannual application cycles. </w:t>
            </w:r>
          </w:p>
          <w:p w:rsidR="00E96C07" w:rsidRPr="008D1C44" w:rsidRDefault="00E96C07" w:rsidP="00E96C07">
            <w:pPr>
              <w:rPr>
                <w:sz w:val="22"/>
              </w:rPr>
            </w:pPr>
          </w:p>
          <w:p w:rsidR="00E96C07" w:rsidRPr="008D1C44" w:rsidRDefault="00E96C07" w:rsidP="00E96C07">
            <w:pPr>
              <w:pBdr>
                <w:top w:val="single" w:sz="4" w:space="1" w:color="3F5A78"/>
                <w:left w:val="single" w:sz="4" w:space="4" w:color="3F5A78"/>
                <w:bottom w:val="single" w:sz="4" w:space="1" w:color="3F5A78"/>
                <w:right w:val="single" w:sz="4" w:space="4" w:color="3F5A78"/>
                <w:between w:val="single" w:sz="4" w:space="1" w:color="3F5A78"/>
                <w:bar w:val="single" w:sz="4" w:color="3F5A78"/>
              </w:pBdr>
              <w:shd w:val="clear" w:color="auto" w:fill="3F5A78"/>
              <w:rPr>
                <w:b/>
                <w:color w:val="F2F2F2" w:themeColor="background1" w:themeShade="F2"/>
                <w:sz w:val="22"/>
              </w:rPr>
            </w:pPr>
            <w:r w:rsidRPr="008D1C44">
              <w:rPr>
                <w:b/>
                <w:color w:val="F2F2F2" w:themeColor="background1" w:themeShade="F2"/>
                <w:sz w:val="22"/>
              </w:rPr>
              <w:t>Priorities</w:t>
            </w:r>
          </w:p>
          <w:p w:rsidR="00E96C07" w:rsidRPr="008D1C44" w:rsidRDefault="00E96C07" w:rsidP="000816F1">
            <w:pPr>
              <w:rPr>
                <w:sz w:val="22"/>
                <w:szCs w:val="23"/>
              </w:rPr>
            </w:pPr>
            <w:r w:rsidRPr="008D1C44">
              <w:rPr>
                <w:sz w:val="22"/>
                <w:szCs w:val="23"/>
              </w:rPr>
              <w:t xml:space="preserve">Communities with demonstrated low broadband access and/or low broadband subscription rates will be given preference, as well as low-income </w:t>
            </w:r>
            <w:r w:rsidR="008D1C44">
              <w:rPr>
                <w:sz w:val="22"/>
                <w:szCs w:val="23"/>
              </w:rPr>
              <w:t>communities, senior communities, and communities facing socioeconomic</w:t>
            </w:r>
          </w:p>
        </w:tc>
        <w:tc>
          <w:tcPr>
            <w:tcW w:w="540" w:type="dxa"/>
            <w:tcBorders>
              <w:top w:val="nil"/>
              <w:left w:val="nil"/>
              <w:bottom w:val="nil"/>
              <w:right w:val="nil"/>
            </w:tcBorders>
            <w:shd w:val="clear" w:color="auto" w:fill="auto"/>
          </w:tcPr>
          <w:p w:rsidR="00E96C07" w:rsidRPr="008D1C44" w:rsidRDefault="00421896" w:rsidP="000816F1">
            <w:pPr>
              <w:rPr>
                <w:b/>
                <w:sz w:val="22"/>
              </w:rPr>
            </w:pPr>
            <w:r w:rsidRPr="008D1C44">
              <w:rPr>
                <w:b/>
                <w:noProof/>
                <w:sz w:val="22"/>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-3176</wp:posOffset>
                      </wp:positionV>
                      <wp:extent cx="0" cy="54006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5400675"/>
                              </a:xfrm>
                              <a:prstGeom prst="line">
                                <a:avLst/>
                              </a:prstGeom>
                              <a:ln>
                                <a:solidFill>
                                  <a:srgbClr val="3F5A7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ECFDA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pt,-.25pt" to="1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" strokecolor="#3f5a78" strokeweight=".5pt">
                      <v:stroke joinstyle="miter"/>
                    </v:line>
                  </w:pict>
                </mc:Fallback>
              </mc:AlternateContent>
            </w:r>
          </w:p>
        </w:tc>
        <w:tc>
          <w:tcPr>
            <w:tcW w:w="5210" w:type="dxa"/>
            <w:tcBorders>
              <w:top w:val="nil"/>
              <w:left w:val="nil"/>
              <w:bottom w:val="nil"/>
              <w:right w:val="nil"/>
            </w:tcBorders>
          </w:tcPr>
          <w:p w:rsidR="00E96C07" w:rsidRPr="008D1C44" w:rsidRDefault="00E96C07" w:rsidP="00E96C07">
            <w:pPr>
              <w:rPr>
                <w:color w:val="595959" w:themeColor="text1" w:themeTint="A6"/>
                <w:sz w:val="22"/>
              </w:rPr>
            </w:pPr>
            <w:r w:rsidRPr="008D1C44">
              <w:rPr>
                <w:color w:val="595959" w:themeColor="text1" w:themeTint="A6"/>
                <w:sz w:val="22"/>
              </w:rPr>
              <w:t>barriers to broadband adoption.</w:t>
            </w:r>
          </w:p>
          <w:p w:rsidR="00E96C07" w:rsidRPr="008D1C44" w:rsidRDefault="00E96C07" w:rsidP="00E96C07">
            <w:pPr>
              <w:rPr>
                <w:b/>
                <w:color w:val="F2F2F2" w:themeColor="background1" w:themeShade="F2"/>
                <w:sz w:val="22"/>
              </w:rPr>
            </w:pPr>
          </w:p>
          <w:p w:rsidR="00E96C07" w:rsidRPr="008D1C44" w:rsidRDefault="00E96C07" w:rsidP="00E96C07">
            <w:pPr>
              <w:pBdr>
                <w:top w:val="single" w:sz="4" w:space="1" w:color="3F5A78"/>
                <w:left w:val="single" w:sz="4" w:space="4" w:color="3F5A78"/>
                <w:bottom w:val="single" w:sz="4" w:space="1" w:color="3F5A78"/>
                <w:right w:val="single" w:sz="4" w:space="4" w:color="3F5A78"/>
                <w:between w:val="single" w:sz="4" w:space="1" w:color="3F5A78"/>
                <w:bar w:val="single" w:sz="4" w:color="3F5A78"/>
              </w:pBdr>
              <w:shd w:val="clear" w:color="auto" w:fill="3F5A78"/>
              <w:rPr>
                <w:b/>
                <w:color w:val="F2F2F2" w:themeColor="background1" w:themeShade="F2"/>
                <w:sz w:val="22"/>
              </w:rPr>
            </w:pPr>
            <w:r w:rsidRPr="008D1C44">
              <w:rPr>
                <w:b/>
                <w:color w:val="F2F2F2" w:themeColor="background1" w:themeShade="F2"/>
                <w:sz w:val="22"/>
              </w:rPr>
              <w:t>Timeline</w:t>
            </w:r>
          </w:p>
          <w:p w:rsidR="00E96C07" w:rsidRPr="008D1C44" w:rsidRDefault="00F142E1" w:rsidP="00E96C07">
            <w:pPr>
              <w:rPr>
                <w:sz w:val="22"/>
                <w:lang w:val="en"/>
              </w:rPr>
            </w:pPr>
            <w:r>
              <w:rPr>
                <w:b/>
                <w:sz w:val="22"/>
              </w:rPr>
              <w:t>The deadline for the first round of applications is August 31</w:t>
            </w:r>
            <w:r w:rsidRPr="00F142E1">
              <w:rPr>
                <w:b/>
                <w:sz w:val="22"/>
                <w:vertAlign w:val="superscript"/>
              </w:rPr>
              <w:t>st</w:t>
            </w:r>
            <w:r>
              <w:rPr>
                <w:b/>
                <w:sz w:val="22"/>
              </w:rPr>
              <w:t>, 2018</w:t>
            </w:r>
            <w:r w:rsidR="00E96C07" w:rsidRPr="008D1C44">
              <w:rPr>
                <w:b/>
                <w:sz w:val="22"/>
              </w:rPr>
              <w:t>.</w:t>
            </w:r>
            <w:r w:rsidR="00E96C07" w:rsidRPr="008D1C44">
              <w:rPr>
                <w:sz w:val="22"/>
              </w:rPr>
              <w:t xml:space="preserve"> </w:t>
            </w:r>
            <w:r w:rsidR="00E96C07" w:rsidRPr="008D1C44">
              <w:rPr>
                <w:sz w:val="22"/>
                <w:lang w:val="en"/>
              </w:rPr>
              <w:t xml:space="preserve">Program rules were </w:t>
            </w:r>
            <w:r>
              <w:rPr>
                <w:sz w:val="22"/>
              </w:rPr>
              <w:t>adopted</w:t>
            </w:r>
            <w:r w:rsidR="00E96C07" w:rsidRPr="008D1C44">
              <w:rPr>
                <w:sz w:val="22"/>
              </w:rPr>
              <w:t xml:space="preserve"> in a </w:t>
            </w:r>
            <w:hyperlink r:id="rId10" w:history="1">
              <w:r w:rsidR="00E96C07" w:rsidRPr="008D1C44">
                <w:rPr>
                  <w:rStyle w:val="Hyperlink"/>
                  <w:sz w:val="22"/>
                </w:rPr>
                <w:t>Commission</w:t>
              </w:r>
              <w:r>
                <w:rPr>
                  <w:rStyle w:val="Hyperlink"/>
                  <w:sz w:val="22"/>
                </w:rPr>
                <w:t xml:space="preserve"> </w:t>
              </w:r>
              <w:r w:rsidR="00E96C07" w:rsidRPr="008D1C44">
                <w:rPr>
                  <w:rStyle w:val="Hyperlink"/>
                  <w:sz w:val="22"/>
                </w:rPr>
                <w:t>Decision</w:t>
              </w:r>
            </w:hyperlink>
            <w:r w:rsidR="00E96C07" w:rsidRPr="008D1C44">
              <w:rPr>
                <w:sz w:val="22"/>
              </w:rPr>
              <w:t xml:space="preserve"> on </w:t>
            </w:r>
            <w:r>
              <w:rPr>
                <w:sz w:val="22"/>
              </w:rPr>
              <w:t>June 21, 2018</w:t>
            </w:r>
            <w:r w:rsidR="00E96C07" w:rsidRPr="008D1C44">
              <w:rPr>
                <w:sz w:val="22"/>
                <w:lang w:val="en"/>
              </w:rPr>
              <w:t>.</w:t>
            </w:r>
          </w:p>
          <w:p w:rsidR="00E96C07" w:rsidRPr="008D1C44" w:rsidRDefault="00E96C07" w:rsidP="000816F1">
            <w:pPr>
              <w:rPr>
                <w:b/>
                <w:sz w:val="22"/>
              </w:rPr>
            </w:pPr>
          </w:p>
          <w:p w:rsidR="00E96C07" w:rsidRPr="008D1C44" w:rsidRDefault="00E96C07" w:rsidP="00E96C07">
            <w:pPr>
              <w:pBdr>
                <w:top w:val="single" w:sz="4" w:space="1" w:color="3F5A78"/>
                <w:left w:val="single" w:sz="4" w:space="4" w:color="3F5A78"/>
                <w:bottom w:val="single" w:sz="4" w:space="1" w:color="3F5A78"/>
                <w:right w:val="single" w:sz="4" w:space="4" w:color="3F5A78"/>
                <w:between w:val="single" w:sz="4" w:space="1" w:color="3F5A78"/>
                <w:bar w:val="single" w:sz="4" w:color="3F5A78"/>
              </w:pBdr>
              <w:shd w:val="clear" w:color="auto" w:fill="3F5A78"/>
              <w:rPr>
                <w:b/>
                <w:color w:val="F2F2F2" w:themeColor="background1" w:themeShade="F2"/>
                <w:sz w:val="22"/>
              </w:rPr>
            </w:pPr>
            <w:r w:rsidRPr="008D1C44">
              <w:rPr>
                <w:b/>
                <w:color w:val="F2F2F2" w:themeColor="background1" w:themeShade="F2"/>
                <w:sz w:val="22"/>
              </w:rPr>
              <w:t>Background</w:t>
            </w:r>
          </w:p>
          <w:p w:rsidR="00E96C07" w:rsidRPr="008D1C44" w:rsidRDefault="00E96C07" w:rsidP="00E96C07">
            <w:pPr>
              <w:rPr>
                <w:b/>
                <w:sz w:val="22"/>
              </w:rPr>
            </w:pPr>
            <w:r w:rsidRPr="008D1C44">
              <w:rPr>
                <w:sz w:val="22"/>
              </w:rPr>
              <w:t xml:space="preserve">The adoption funding was made available in 2017 by the </w:t>
            </w:r>
            <w:hyperlink r:id="rId11" w:history="1">
              <w:r w:rsidRPr="008D1C44">
                <w:rPr>
                  <w:rStyle w:val="Hyperlink"/>
                  <w:sz w:val="22"/>
                </w:rPr>
                <w:t>Internet for All Now Act</w:t>
              </w:r>
            </w:hyperlink>
            <w:r w:rsidRPr="008D1C44">
              <w:rPr>
                <w:sz w:val="22"/>
              </w:rPr>
              <w:t>, which promotes broadband adoption and infrastructure deployment by providing an additional $330 million to unserved areas with a goal of providing broadband access to no less than 98 percent of California households in each region</w:t>
            </w:r>
            <w:r w:rsidRPr="008D1C44">
              <w:rPr>
                <w:b/>
                <w:sz w:val="22"/>
              </w:rPr>
              <w:t>.</w:t>
            </w:r>
          </w:p>
          <w:p w:rsidR="00E96C07" w:rsidRPr="008D1C44" w:rsidRDefault="00E96C07" w:rsidP="000816F1">
            <w:pPr>
              <w:rPr>
                <w:b/>
                <w:sz w:val="22"/>
              </w:rPr>
            </w:pPr>
          </w:p>
          <w:p w:rsidR="00E96C07" w:rsidRPr="008D1C44" w:rsidRDefault="00E96C07" w:rsidP="00E96C07">
            <w:pPr>
              <w:pBdr>
                <w:top w:val="single" w:sz="4" w:space="1" w:color="3F5A78"/>
                <w:left w:val="single" w:sz="4" w:space="4" w:color="3F5A78"/>
                <w:bottom w:val="single" w:sz="4" w:space="1" w:color="3F5A78"/>
                <w:right w:val="single" w:sz="4" w:space="4" w:color="3F5A78"/>
                <w:between w:val="single" w:sz="4" w:space="1" w:color="3F5A78"/>
                <w:bar w:val="single" w:sz="4" w:color="3F5A78"/>
              </w:pBdr>
              <w:shd w:val="clear" w:color="auto" w:fill="3F5A78"/>
              <w:rPr>
                <w:b/>
                <w:color w:val="F2F2F2" w:themeColor="background1" w:themeShade="F2"/>
                <w:sz w:val="22"/>
              </w:rPr>
            </w:pPr>
            <w:r w:rsidRPr="008D1C44">
              <w:rPr>
                <w:b/>
                <w:color w:val="F2F2F2" w:themeColor="background1" w:themeShade="F2"/>
                <w:sz w:val="22"/>
              </w:rPr>
              <w:t>Learn More</w:t>
            </w:r>
          </w:p>
          <w:p w:rsidR="008D1C44" w:rsidRDefault="00E96C07" w:rsidP="00E96C07">
            <w:pPr>
              <w:rPr>
                <w:sz w:val="22"/>
              </w:rPr>
            </w:pPr>
            <w:r w:rsidRPr="008D1C44">
              <w:rPr>
                <w:sz w:val="22"/>
              </w:rPr>
              <w:t xml:space="preserve">For more information about the California Advanced Services Fund and the Broadband Adoption program, please visit: </w:t>
            </w:r>
            <w:hyperlink r:id="rId12" w:history="1">
              <w:r w:rsidRPr="008D1C44">
                <w:rPr>
                  <w:rStyle w:val="Hyperlink"/>
                  <w:sz w:val="22"/>
                </w:rPr>
                <w:t>www.cpuc.ca.gov/casf/</w:t>
              </w:r>
            </w:hyperlink>
          </w:p>
          <w:p w:rsidR="008D1C44" w:rsidRDefault="008D1C44" w:rsidP="00E96C07">
            <w:pPr>
              <w:rPr>
                <w:sz w:val="22"/>
              </w:rPr>
            </w:pPr>
            <w:r>
              <w:rPr>
                <w:noProof/>
              </w:rPr>
              <w:drawing>
                <wp:anchor distT="0" distB="0" distL="114300" distR="114300" simplePos="0" relativeHeight="251663360" behindDoc="0" locked="0" layoutInCell="1" allowOverlap="1" wp14:anchorId="2ED4F34F" wp14:editId="3A86FA16">
                  <wp:simplePos x="0" y="0"/>
                  <wp:positionH relativeFrom="margin">
                    <wp:posOffset>1816042</wp:posOffset>
                  </wp:positionH>
                  <wp:positionV relativeFrom="margin">
                    <wp:posOffset>3687734</wp:posOffset>
                  </wp:positionV>
                  <wp:extent cx="1280795" cy="1280160"/>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79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C44" w:rsidRDefault="008D1C44" w:rsidP="00E96C07">
            <w:pPr>
              <w:rPr>
                <w:sz w:val="22"/>
              </w:rPr>
            </w:pPr>
          </w:p>
          <w:p w:rsidR="008D1C44" w:rsidRDefault="008D1C44" w:rsidP="00E96C07">
            <w:pPr>
              <w:rPr>
                <w:sz w:val="22"/>
              </w:rPr>
            </w:pPr>
          </w:p>
          <w:p w:rsidR="008D1C44" w:rsidRPr="008D1C44" w:rsidRDefault="00E96C07" w:rsidP="00E96C07">
            <w:pPr>
              <w:rPr>
                <w:b/>
                <w:sz w:val="22"/>
              </w:rPr>
            </w:pPr>
            <w:r w:rsidRPr="008D1C44">
              <w:rPr>
                <w:b/>
                <w:sz w:val="22"/>
              </w:rPr>
              <w:t>Questions? Interested in submitting an application?</w:t>
            </w:r>
          </w:p>
          <w:p w:rsidR="008D1C44" w:rsidRPr="008D1C44" w:rsidRDefault="008D1C44" w:rsidP="00E96C07">
            <w:pPr>
              <w:rPr>
                <w:b/>
                <w:sz w:val="22"/>
              </w:rPr>
            </w:pPr>
          </w:p>
          <w:p w:rsidR="00E96C07" w:rsidRPr="008D1C44" w:rsidRDefault="00E96C07" w:rsidP="000816F1">
            <w:pPr>
              <w:rPr>
                <w:sz w:val="22"/>
              </w:rPr>
            </w:pPr>
            <w:r w:rsidRPr="008D1C44">
              <w:rPr>
                <w:b/>
                <w:sz w:val="22"/>
              </w:rPr>
              <w:t xml:space="preserve"> Email us at: </w:t>
            </w:r>
            <w:hyperlink r:id="rId14" w:history="1">
              <w:r w:rsidRPr="008D1C44">
                <w:rPr>
                  <w:rStyle w:val="Hyperlink"/>
                  <w:b/>
                  <w:sz w:val="22"/>
                </w:rPr>
                <w:t>casf_adoption@cpuc.ca.gov</w:t>
              </w:r>
            </w:hyperlink>
            <w:r w:rsidRPr="008D1C44">
              <w:rPr>
                <w:sz w:val="22"/>
              </w:rPr>
              <w:t xml:space="preserve"> </w:t>
            </w:r>
          </w:p>
        </w:tc>
      </w:tr>
    </w:tbl>
    <w:p w:rsidR="000816F1" w:rsidRPr="000816F1" w:rsidRDefault="000816F1" w:rsidP="000816F1">
      <w:pPr>
        <w:rPr>
          <w:b/>
        </w:rPr>
      </w:pPr>
    </w:p>
    <w:sectPr w:rsidR="000816F1" w:rsidRPr="000816F1" w:rsidSect="000816F1">
      <w:headerReference w:type="default" r:id="rId15"/>
      <w:pgSz w:w="12240" w:h="15840"/>
      <w:pgMar w:top="720"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88" w:rsidRDefault="00CE3988" w:rsidP="000816F1">
      <w:r>
        <w:separator/>
      </w:r>
    </w:p>
  </w:endnote>
  <w:endnote w:type="continuationSeparator" w:id="0">
    <w:p w:rsidR="00CE3988" w:rsidRDefault="00CE3988" w:rsidP="0008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88" w:rsidRDefault="00CE3988" w:rsidP="000816F1">
      <w:r>
        <w:separator/>
      </w:r>
    </w:p>
  </w:footnote>
  <w:footnote w:type="continuationSeparator" w:id="0">
    <w:p w:rsidR="00CE3988" w:rsidRDefault="00CE3988" w:rsidP="0008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A4" w:rsidRDefault="002806A4">
    <w:pPr>
      <w:pStyle w:val="Header"/>
    </w:pPr>
    <w:r>
      <w:rPr>
        <w:noProof/>
      </w:rPr>
      <w:drawing>
        <wp:anchor distT="0" distB="0" distL="114300" distR="114300" simplePos="0" relativeHeight="251659264" behindDoc="0" locked="0" layoutInCell="1" allowOverlap="1" wp14:anchorId="060C6EB0" wp14:editId="25FF145B">
          <wp:simplePos x="0" y="0"/>
          <wp:positionH relativeFrom="column">
            <wp:posOffset>-912333</wp:posOffset>
          </wp:positionH>
          <wp:positionV relativeFrom="paragraph">
            <wp:posOffset>-457200</wp:posOffset>
          </wp:positionV>
          <wp:extent cx="7772400" cy="649605"/>
          <wp:effectExtent l="0" t="0" r="0" b="0"/>
          <wp:wrapNone/>
          <wp:docPr id="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F47FE"/>
    <w:multiLevelType w:val="hybridMultilevel"/>
    <w:tmpl w:val="26480E86"/>
    <w:lvl w:ilvl="0" w:tplc="04090001">
      <w:start w:val="1"/>
      <w:numFmt w:val="bullet"/>
      <w:lvlText w:val=""/>
      <w:lvlJc w:val="left"/>
      <w:pPr>
        <w:ind w:left="720" w:hanging="360"/>
      </w:pPr>
      <w:rPr>
        <w:rFonts w:ascii="Symbol" w:hAnsi="Symbol" w:hint="default"/>
        <w:caps w:val="0"/>
        <w:strike w:val="0"/>
        <w:dstrike w:val="0"/>
        <w:vanish w:val="0"/>
        <w:color w:val="1F386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C1BD3"/>
    <w:multiLevelType w:val="hybridMultilevel"/>
    <w:tmpl w:val="56B01BF6"/>
    <w:lvl w:ilvl="0" w:tplc="04090001">
      <w:start w:val="1"/>
      <w:numFmt w:val="bullet"/>
      <w:lvlText w:val=""/>
      <w:lvlJc w:val="left"/>
      <w:pPr>
        <w:ind w:left="720" w:hanging="360"/>
      </w:pPr>
      <w:rPr>
        <w:rFonts w:ascii="Symbol" w:hAnsi="Symbol" w:hint="default"/>
        <w:caps w:val="0"/>
        <w:strike w:val="0"/>
        <w:dstrike w:val="0"/>
        <w:vanish w:val="0"/>
        <w:color w:val="1F386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F1"/>
    <w:rsid w:val="000816F1"/>
    <w:rsid w:val="00243032"/>
    <w:rsid w:val="002806A4"/>
    <w:rsid w:val="00392A83"/>
    <w:rsid w:val="00393D98"/>
    <w:rsid w:val="00421896"/>
    <w:rsid w:val="00423CF8"/>
    <w:rsid w:val="004A1DA1"/>
    <w:rsid w:val="004F084F"/>
    <w:rsid w:val="0069625C"/>
    <w:rsid w:val="008038E2"/>
    <w:rsid w:val="008D1C44"/>
    <w:rsid w:val="00950E39"/>
    <w:rsid w:val="00C9363C"/>
    <w:rsid w:val="00CE3988"/>
    <w:rsid w:val="00D05EA1"/>
    <w:rsid w:val="00D70DFD"/>
    <w:rsid w:val="00E96C07"/>
    <w:rsid w:val="00F142E1"/>
    <w:rsid w:val="00F7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F1"/>
    <w:pPr>
      <w:spacing w:after="0" w:line="240" w:lineRule="auto"/>
    </w:pPr>
    <w:rPr>
      <w:rFonts w:ascii="Garamond" w:eastAsia="Times New Roman" w:hAnsi="Garamond" w:cs="Times New Roman"/>
      <w:color w:val="595959"/>
      <w:sz w:val="24"/>
      <w:szCs w:val="24"/>
    </w:rPr>
  </w:style>
  <w:style w:type="paragraph" w:styleId="Heading1">
    <w:name w:val="heading 1"/>
    <w:basedOn w:val="Normal"/>
    <w:next w:val="Normal"/>
    <w:link w:val="Heading1Char"/>
    <w:qFormat/>
    <w:rsid w:val="000816F1"/>
    <w:pPr>
      <w:framePr w:hSpace="187" w:wrap="around" w:vAnchor="text" w:hAnchor="text" w:xAlign="center" w:y="1"/>
      <w:pBdr>
        <w:bottom w:val="single" w:sz="8" w:space="1" w:color="A5C0DE"/>
      </w:pBdr>
      <w:spacing w:after="120"/>
      <w:ind w:left="432"/>
      <w:suppressOverlap/>
      <w:outlineLvl w:val="0"/>
    </w:pPr>
    <w:rPr>
      <w:rFonts w:ascii="Century Gothic" w:eastAsia="Calibri" w:hAnsi="Century Gothic"/>
      <w:color w:val="A5C0DE"/>
      <w:spacing w:val="-20"/>
      <w:sz w:val="56"/>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6F1"/>
    <w:rPr>
      <w:rFonts w:ascii="Century Gothic" w:eastAsia="Calibri" w:hAnsi="Century Gothic" w:cs="Times New Roman"/>
      <w:color w:val="A5C0DE"/>
      <w:spacing w:val="-20"/>
      <w:sz w:val="56"/>
      <w:szCs w:val="78"/>
    </w:rPr>
  </w:style>
  <w:style w:type="paragraph" w:styleId="Header">
    <w:name w:val="header"/>
    <w:basedOn w:val="Normal"/>
    <w:link w:val="HeaderChar"/>
    <w:uiPriority w:val="99"/>
    <w:unhideWhenUsed/>
    <w:rsid w:val="000816F1"/>
    <w:pPr>
      <w:tabs>
        <w:tab w:val="center" w:pos="4680"/>
        <w:tab w:val="right" w:pos="9360"/>
      </w:tabs>
    </w:pPr>
  </w:style>
  <w:style w:type="character" w:customStyle="1" w:styleId="HeaderChar">
    <w:name w:val="Header Char"/>
    <w:basedOn w:val="DefaultParagraphFont"/>
    <w:link w:val="Header"/>
    <w:uiPriority w:val="99"/>
    <w:rsid w:val="000816F1"/>
    <w:rPr>
      <w:rFonts w:ascii="Garamond" w:eastAsia="Times New Roman" w:hAnsi="Garamond" w:cs="Times New Roman"/>
      <w:color w:val="595959"/>
      <w:sz w:val="24"/>
      <w:szCs w:val="24"/>
    </w:rPr>
  </w:style>
  <w:style w:type="paragraph" w:styleId="Footer">
    <w:name w:val="footer"/>
    <w:basedOn w:val="Normal"/>
    <w:link w:val="FooterChar"/>
    <w:uiPriority w:val="99"/>
    <w:unhideWhenUsed/>
    <w:rsid w:val="000816F1"/>
    <w:pPr>
      <w:tabs>
        <w:tab w:val="center" w:pos="4680"/>
        <w:tab w:val="right" w:pos="9360"/>
      </w:tabs>
    </w:pPr>
  </w:style>
  <w:style w:type="character" w:customStyle="1" w:styleId="FooterChar">
    <w:name w:val="Footer Char"/>
    <w:basedOn w:val="DefaultParagraphFont"/>
    <w:link w:val="Footer"/>
    <w:uiPriority w:val="99"/>
    <w:rsid w:val="000816F1"/>
    <w:rPr>
      <w:rFonts w:ascii="Garamond" w:eastAsia="Times New Roman" w:hAnsi="Garamond" w:cs="Times New Roman"/>
      <w:color w:val="595959"/>
      <w:sz w:val="24"/>
      <w:szCs w:val="24"/>
    </w:rPr>
  </w:style>
  <w:style w:type="paragraph" w:styleId="ListParagraph">
    <w:name w:val="List Paragraph"/>
    <w:basedOn w:val="Normal"/>
    <w:uiPriority w:val="34"/>
    <w:qFormat/>
    <w:rsid w:val="000816F1"/>
    <w:pPr>
      <w:ind w:left="720"/>
    </w:pPr>
  </w:style>
  <w:style w:type="character" w:styleId="Hyperlink">
    <w:name w:val="Hyperlink"/>
    <w:basedOn w:val="DefaultParagraphFont"/>
    <w:uiPriority w:val="99"/>
    <w:unhideWhenUsed/>
    <w:rsid w:val="00E96C07"/>
    <w:rPr>
      <w:color w:val="0563C1" w:themeColor="hyperlink"/>
      <w:u w:val="single"/>
    </w:rPr>
  </w:style>
  <w:style w:type="table" w:styleId="TableGrid">
    <w:name w:val="Table Grid"/>
    <w:basedOn w:val="TableNormal"/>
    <w:uiPriority w:val="39"/>
    <w:rsid w:val="00E9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2E1"/>
    <w:rPr>
      <w:sz w:val="16"/>
      <w:szCs w:val="16"/>
    </w:rPr>
  </w:style>
  <w:style w:type="paragraph" w:styleId="CommentText">
    <w:name w:val="annotation text"/>
    <w:basedOn w:val="Normal"/>
    <w:link w:val="CommentTextChar"/>
    <w:uiPriority w:val="99"/>
    <w:semiHidden/>
    <w:unhideWhenUsed/>
    <w:rsid w:val="00F142E1"/>
    <w:rPr>
      <w:sz w:val="20"/>
      <w:szCs w:val="20"/>
    </w:rPr>
  </w:style>
  <w:style w:type="character" w:customStyle="1" w:styleId="CommentTextChar">
    <w:name w:val="Comment Text Char"/>
    <w:basedOn w:val="DefaultParagraphFont"/>
    <w:link w:val="CommentText"/>
    <w:uiPriority w:val="99"/>
    <w:semiHidden/>
    <w:rsid w:val="00F142E1"/>
    <w:rPr>
      <w:rFonts w:ascii="Garamond" w:eastAsia="Times New Roman" w:hAnsi="Garamond" w:cs="Times New Roman"/>
      <w:color w:val="595959"/>
      <w:sz w:val="20"/>
      <w:szCs w:val="20"/>
    </w:rPr>
  </w:style>
  <w:style w:type="paragraph" w:styleId="CommentSubject">
    <w:name w:val="annotation subject"/>
    <w:basedOn w:val="CommentText"/>
    <w:next w:val="CommentText"/>
    <w:link w:val="CommentSubjectChar"/>
    <w:uiPriority w:val="99"/>
    <w:semiHidden/>
    <w:unhideWhenUsed/>
    <w:rsid w:val="00F142E1"/>
    <w:rPr>
      <w:b/>
      <w:bCs/>
    </w:rPr>
  </w:style>
  <w:style w:type="character" w:customStyle="1" w:styleId="CommentSubjectChar">
    <w:name w:val="Comment Subject Char"/>
    <w:basedOn w:val="CommentTextChar"/>
    <w:link w:val="CommentSubject"/>
    <w:uiPriority w:val="99"/>
    <w:semiHidden/>
    <w:rsid w:val="00F142E1"/>
    <w:rPr>
      <w:rFonts w:ascii="Garamond" w:eastAsia="Times New Roman" w:hAnsi="Garamond" w:cs="Times New Roman"/>
      <w:b/>
      <w:bCs/>
      <w:color w:val="595959"/>
      <w:sz w:val="20"/>
      <w:szCs w:val="20"/>
    </w:rPr>
  </w:style>
  <w:style w:type="paragraph" w:styleId="BalloonText">
    <w:name w:val="Balloon Text"/>
    <w:basedOn w:val="Normal"/>
    <w:link w:val="BalloonTextChar"/>
    <w:uiPriority w:val="99"/>
    <w:semiHidden/>
    <w:unhideWhenUsed/>
    <w:rsid w:val="00F142E1"/>
    <w:rPr>
      <w:rFonts w:ascii="Tahoma" w:hAnsi="Tahoma" w:cs="Tahoma"/>
      <w:sz w:val="16"/>
      <w:szCs w:val="16"/>
    </w:rPr>
  </w:style>
  <w:style w:type="character" w:customStyle="1" w:styleId="BalloonTextChar">
    <w:name w:val="Balloon Text Char"/>
    <w:basedOn w:val="DefaultParagraphFont"/>
    <w:link w:val="BalloonText"/>
    <w:uiPriority w:val="99"/>
    <w:semiHidden/>
    <w:rsid w:val="00F142E1"/>
    <w:rPr>
      <w:rFonts w:ascii="Tahoma" w:eastAsia="Times New Roman" w:hAnsi="Tahoma" w:cs="Tahoma"/>
      <w:color w:val="59595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F1"/>
    <w:pPr>
      <w:spacing w:after="0" w:line="240" w:lineRule="auto"/>
    </w:pPr>
    <w:rPr>
      <w:rFonts w:ascii="Garamond" w:eastAsia="Times New Roman" w:hAnsi="Garamond" w:cs="Times New Roman"/>
      <w:color w:val="595959"/>
      <w:sz w:val="24"/>
      <w:szCs w:val="24"/>
    </w:rPr>
  </w:style>
  <w:style w:type="paragraph" w:styleId="Heading1">
    <w:name w:val="heading 1"/>
    <w:basedOn w:val="Normal"/>
    <w:next w:val="Normal"/>
    <w:link w:val="Heading1Char"/>
    <w:qFormat/>
    <w:rsid w:val="000816F1"/>
    <w:pPr>
      <w:framePr w:hSpace="187" w:wrap="around" w:vAnchor="text" w:hAnchor="text" w:xAlign="center" w:y="1"/>
      <w:pBdr>
        <w:bottom w:val="single" w:sz="8" w:space="1" w:color="A5C0DE"/>
      </w:pBdr>
      <w:spacing w:after="120"/>
      <w:ind w:left="432"/>
      <w:suppressOverlap/>
      <w:outlineLvl w:val="0"/>
    </w:pPr>
    <w:rPr>
      <w:rFonts w:ascii="Century Gothic" w:eastAsia="Calibri" w:hAnsi="Century Gothic"/>
      <w:color w:val="A5C0DE"/>
      <w:spacing w:val="-20"/>
      <w:sz w:val="56"/>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6F1"/>
    <w:rPr>
      <w:rFonts w:ascii="Century Gothic" w:eastAsia="Calibri" w:hAnsi="Century Gothic" w:cs="Times New Roman"/>
      <w:color w:val="A5C0DE"/>
      <w:spacing w:val="-20"/>
      <w:sz w:val="56"/>
      <w:szCs w:val="78"/>
    </w:rPr>
  </w:style>
  <w:style w:type="paragraph" w:styleId="Header">
    <w:name w:val="header"/>
    <w:basedOn w:val="Normal"/>
    <w:link w:val="HeaderChar"/>
    <w:uiPriority w:val="99"/>
    <w:unhideWhenUsed/>
    <w:rsid w:val="000816F1"/>
    <w:pPr>
      <w:tabs>
        <w:tab w:val="center" w:pos="4680"/>
        <w:tab w:val="right" w:pos="9360"/>
      </w:tabs>
    </w:pPr>
  </w:style>
  <w:style w:type="character" w:customStyle="1" w:styleId="HeaderChar">
    <w:name w:val="Header Char"/>
    <w:basedOn w:val="DefaultParagraphFont"/>
    <w:link w:val="Header"/>
    <w:uiPriority w:val="99"/>
    <w:rsid w:val="000816F1"/>
    <w:rPr>
      <w:rFonts w:ascii="Garamond" w:eastAsia="Times New Roman" w:hAnsi="Garamond" w:cs="Times New Roman"/>
      <w:color w:val="595959"/>
      <w:sz w:val="24"/>
      <w:szCs w:val="24"/>
    </w:rPr>
  </w:style>
  <w:style w:type="paragraph" w:styleId="Footer">
    <w:name w:val="footer"/>
    <w:basedOn w:val="Normal"/>
    <w:link w:val="FooterChar"/>
    <w:uiPriority w:val="99"/>
    <w:unhideWhenUsed/>
    <w:rsid w:val="000816F1"/>
    <w:pPr>
      <w:tabs>
        <w:tab w:val="center" w:pos="4680"/>
        <w:tab w:val="right" w:pos="9360"/>
      </w:tabs>
    </w:pPr>
  </w:style>
  <w:style w:type="character" w:customStyle="1" w:styleId="FooterChar">
    <w:name w:val="Footer Char"/>
    <w:basedOn w:val="DefaultParagraphFont"/>
    <w:link w:val="Footer"/>
    <w:uiPriority w:val="99"/>
    <w:rsid w:val="000816F1"/>
    <w:rPr>
      <w:rFonts w:ascii="Garamond" w:eastAsia="Times New Roman" w:hAnsi="Garamond" w:cs="Times New Roman"/>
      <w:color w:val="595959"/>
      <w:sz w:val="24"/>
      <w:szCs w:val="24"/>
    </w:rPr>
  </w:style>
  <w:style w:type="paragraph" w:styleId="ListParagraph">
    <w:name w:val="List Paragraph"/>
    <w:basedOn w:val="Normal"/>
    <w:uiPriority w:val="34"/>
    <w:qFormat/>
    <w:rsid w:val="000816F1"/>
    <w:pPr>
      <w:ind w:left="720"/>
    </w:pPr>
  </w:style>
  <w:style w:type="character" w:styleId="Hyperlink">
    <w:name w:val="Hyperlink"/>
    <w:basedOn w:val="DefaultParagraphFont"/>
    <w:uiPriority w:val="99"/>
    <w:unhideWhenUsed/>
    <w:rsid w:val="00E96C07"/>
    <w:rPr>
      <w:color w:val="0563C1" w:themeColor="hyperlink"/>
      <w:u w:val="single"/>
    </w:rPr>
  </w:style>
  <w:style w:type="table" w:styleId="TableGrid">
    <w:name w:val="Table Grid"/>
    <w:basedOn w:val="TableNormal"/>
    <w:uiPriority w:val="39"/>
    <w:rsid w:val="00E9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2E1"/>
    <w:rPr>
      <w:sz w:val="16"/>
      <w:szCs w:val="16"/>
    </w:rPr>
  </w:style>
  <w:style w:type="paragraph" w:styleId="CommentText">
    <w:name w:val="annotation text"/>
    <w:basedOn w:val="Normal"/>
    <w:link w:val="CommentTextChar"/>
    <w:uiPriority w:val="99"/>
    <w:semiHidden/>
    <w:unhideWhenUsed/>
    <w:rsid w:val="00F142E1"/>
    <w:rPr>
      <w:sz w:val="20"/>
      <w:szCs w:val="20"/>
    </w:rPr>
  </w:style>
  <w:style w:type="character" w:customStyle="1" w:styleId="CommentTextChar">
    <w:name w:val="Comment Text Char"/>
    <w:basedOn w:val="DefaultParagraphFont"/>
    <w:link w:val="CommentText"/>
    <w:uiPriority w:val="99"/>
    <w:semiHidden/>
    <w:rsid w:val="00F142E1"/>
    <w:rPr>
      <w:rFonts w:ascii="Garamond" w:eastAsia="Times New Roman" w:hAnsi="Garamond" w:cs="Times New Roman"/>
      <w:color w:val="595959"/>
      <w:sz w:val="20"/>
      <w:szCs w:val="20"/>
    </w:rPr>
  </w:style>
  <w:style w:type="paragraph" w:styleId="CommentSubject">
    <w:name w:val="annotation subject"/>
    <w:basedOn w:val="CommentText"/>
    <w:next w:val="CommentText"/>
    <w:link w:val="CommentSubjectChar"/>
    <w:uiPriority w:val="99"/>
    <w:semiHidden/>
    <w:unhideWhenUsed/>
    <w:rsid w:val="00F142E1"/>
    <w:rPr>
      <w:b/>
      <w:bCs/>
    </w:rPr>
  </w:style>
  <w:style w:type="character" w:customStyle="1" w:styleId="CommentSubjectChar">
    <w:name w:val="Comment Subject Char"/>
    <w:basedOn w:val="CommentTextChar"/>
    <w:link w:val="CommentSubject"/>
    <w:uiPriority w:val="99"/>
    <w:semiHidden/>
    <w:rsid w:val="00F142E1"/>
    <w:rPr>
      <w:rFonts w:ascii="Garamond" w:eastAsia="Times New Roman" w:hAnsi="Garamond" w:cs="Times New Roman"/>
      <w:b/>
      <w:bCs/>
      <w:color w:val="595959"/>
      <w:sz w:val="20"/>
      <w:szCs w:val="20"/>
    </w:rPr>
  </w:style>
  <w:style w:type="paragraph" w:styleId="BalloonText">
    <w:name w:val="Balloon Text"/>
    <w:basedOn w:val="Normal"/>
    <w:link w:val="BalloonTextChar"/>
    <w:uiPriority w:val="99"/>
    <w:semiHidden/>
    <w:unhideWhenUsed/>
    <w:rsid w:val="00F142E1"/>
    <w:rPr>
      <w:rFonts w:ascii="Tahoma" w:hAnsi="Tahoma" w:cs="Tahoma"/>
      <w:sz w:val="16"/>
      <w:szCs w:val="16"/>
    </w:rPr>
  </w:style>
  <w:style w:type="character" w:customStyle="1" w:styleId="BalloonTextChar">
    <w:name w:val="Balloon Text Char"/>
    <w:basedOn w:val="DefaultParagraphFont"/>
    <w:link w:val="BalloonText"/>
    <w:uiPriority w:val="99"/>
    <w:semiHidden/>
    <w:rsid w:val="00F142E1"/>
    <w:rPr>
      <w:rFonts w:ascii="Tahoma" w:eastAsia="Times New Roman" w:hAnsi="Tahoma" w:cs="Tahoma"/>
      <w:color w:val="59595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uc.ca.gov/cas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info.legislature.ca.gov/faces/billTextClient.xhtml?bill_id=201720180AB166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puc.ca.gov/PublishedDocs/Published/G000/M216/K788/216788828.PDF" TargetMode="External"/><Relationship Id="rId4" Type="http://schemas.openxmlformats.org/officeDocument/2006/relationships/settings" Target="settings.xml"/><Relationship Id="rId9" Type="http://schemas.openxmlformats.org/officeDocument/2006/relationships/hyperlink" Target="http://www.cetfund.org/progress/annualsurvey" TargetMode="External"/><Relationship Id="rId14" Type="http://schemas.openxmlformats.org/officeDocument/2006/relationships/hyperlink" Target="mailto:casf_adoption@cpuc.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Bonine, Lelaine</dc:creator>
  <cp:lastModifiedBy>Cheim, Taylor G.</cp:lastModifiedBy>
  <cp:revision>5</cp:revision>
  <cp:lastPrinted>2018-06-22T20:17:00Z</cp:lastPrinted>
  <dcterms:created xsi:type="dcterms:W3CDTF">2018-06-13T22:56:00Z</dcterms:created>
  <dcterms:modified xsi:type="dcterms:W3CDTF">2018-06-22T20:19:00Z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0FAAcuWl1SbNzhHD7w0Dg7/wHQodNK71ti4N0rh1SPkZiZmG6WgNfyYGiebaitubDp00FHD2LrbQBTTg
6kZix1AsCphFHtZrFEzpxmZspaUPJObnnH4LGJDDLlbxR6DOaRGcaZxWregMEmpJj6Ym/meowKrj
+bzPHbcBOYKeLA4I60HEQTgdlhfmRrFbdoEu8/Q00bg4dhzxJiIp2+CXjpwpvaLbHsVxtdDbu2E3
1/K6hG7ADoOeZrW+q</vt:lpwstr>
  </property>
  <property fmtid="{D5CDD505-2E9C-101B-9397-08002B2CF9AE}" pid="3" name="MAIL_MSG_ID2">
    <vt:lpwstr>snjYCe6ndpqN/iweQMJdUBBJIqao7VlaaCwlMk9WLSNZ9O+XyHkZXT8ytUH
Q0M12qbzlesjH3jtnIOhCAhF3oeJsJqY6MOOrjyKKOVk4jYVP3Pft5FsoJk=</vt:lpwstr>
  </property>
  <property fmtid="{D5CDD505-2E9C-101B-9397-08002B2CF9AE}" pid="4" name="RESPONSE_SENDER_NAME">
    <vt:lpwstr>sAAAb0xRtPDW5Uvyt9kqqQy1v4VvLLItE6/eL298EHy1fLI=</vt:lpwstr>
  </property>
  <property fmtid="{D5CDD505-2E9C-101B-9397-08002B2CF9AE}" pid="5" name="EMAIL_OWNER_ADDRESS">
    <vt:lpwstr>4AAA6DouqOs9baFpKSbrNlbIL0cOoKe5JMOydTMAOhVuEwTzmQ0kj3q9zw==</vt:lpwstr>
  </property>
</Properties>
</file>