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C83" w:rsidRDefault="006C5C83" w:rsidP="006C5C83">
      <w:pPr>
        <w:jc w:val="center"/>
      </w:pPr>
      <w:r>
        <w:t>Informal Comments by Jeanne Clinton</w:t>
      </w:r>
      <w:r>
        <w:rPr>
          <w:rStyle w:val="FootnoteReference"/>
        </w:rPr>
        <w:footnoteReference w:id="1"/>
      </w:r>
      <w:r>
        <w:t>, representing self, June 15, 2017</w:t>
      </w:r>
    </w:p>
    <w:p w:rsidR="006C5C83" w:rsidRDefault="006C5C83" w:rsidP="006C5C83">
      <w:pPr>
        <w:jc w:val="center"/>
      </w:pPr>
      <w:r>
        <w:t>Request of CPUC President Michael Picker regarding</w:t>
      </w:r>
    </w:p>
    <w:p w:rsidR="006C5C83" w:rsidRPr="006C5C83" w:rsidRDefault="006C5C83" w:rsidP="00A658E8">
      <w:pPr>
        <w:spacing w:after="240"/>
        <w:jc w:val="center"/>
        <w:rPr>
          <w:b/>
        </w:rPr>
      </w:pPr>
      <w:r w:rsidRPr="006C5C83">
        <w:rPr>
          <w:b/>
        </w:rPr>
        <w:t>Customer and Retail Choice En Banc Panel Discussions and White Paper</w:t>
      </w:r>
    </w:p>
    <w:tbl>
      <w:tblPr>
        <w:tblStyle w:val="TableGrid"/>
        <w:tblW w:w="0" w:type="auto"/>
        <w:tblLayout w:type="fixed"/>
        <w:tblLook w:val="04A0" w:firstRow="1" w:lastRow="0" w:firstColumn="1" w:lastColumn="0" w:noHBand="0" w:noVBand="1"/>
      </w:tblPr>
      <w:tblGrid>
        <w:gridCol w:w="2155"/>
        <w:gridCol w:w="7195"/>
      </w:tblGrid>
      <w:tr w:rsidR="006C5C83" w:rsidTr="00A658E8">
        <w:trPr>
          <w:tblHeader/>
        </w:trPr>
        <w:tc>
          <w:tcPr>
            <w:tcW w:w="2155" w:type="dxa"/>
          </w:tcPr>
          <w:p w:rsidR="006C5C83" w:rsidRPr="0072483C" w:rsidRDefault="006C5C83">
            <w:pPr>
              <w:rPr>
                <w:b/>
              </w:rPr>
            </w:pPr>
            <w:r w:rsidRPr="0072483C">
              <w:rPr>
                <w:b/>
              </w:rPr>
              <w:t>Panel and Question Reference</w:t>
            </w:r>
          </w:p>
        </w:tc>
        <w:tc>
          <w:tcPr>
            <w:tcW w:w="7195" w:type="dxa"/>
          </w:tcPr>
          <w:p w:rsidR="006C5C83" w:rsidRPr="0072483C" w:rsidRDefault="006C5C83">
            <w:pPr>
              <w:rPr>
                <w:b/>
              </w:rPr>
            </w:pPr>
            <w:r w:rsidRPr="0072483C">
              <w:rPr>
                <w:b/>
              </w:rPr>
              <w:t>Comment</w:t>
            </w:r>
          </w:p>
        </w:tc>
      </w:tr>
      <w:tr w:rsidR="006C5C83" w:rsidTr="00A658E8">
        <w:tc>
          <w:tcPr>
            <w:tcW w:w="2155" w:type="dxa"/>
          </w:tcPr>
          <w:p w:rsidR="006C5C83" w:rsidRDefault="0072483C" w:rsidP="00A658E8">
            <w:pPr>
              <w:ind w:left="144"/>
            </w:pPr>
            <w:r>
              <w:t xml:space="preserve">I. </w:t>
            </w:r>
            <w:r w:rsidR="006C5C83">
              <w:t>A and B and IV. B</w:t>
            </w:r>
          </w:p>
        </w:tc>
        <w:tc>
          <w:tcPr>
            <w:tcW w:w="7195" w:type="dxa"/>
          </w:tcPr>
          <w:p w:rsidR="009F1897" w:rsidRDefault="006C5C83" w:rsidP="0072483C">
            <w:r w:rsidRPr="006C5C83">
              <w:rPr>
                <w:b/>
              </w:rPr>
              <w:t>Treatme</w:t>
            </w:r>
            <w:r w:rsidR="008E15B9">
              <w:rPr>
                <w:b/>
              </w:rPr>
              <w:t>nt of Non-Residential Customer Commitments to P</w:t>
            </w:r>
            <w:r w:rsidRPr="006C5C83">
              <w:rPr>
                <w:b/>
              </w:rPr>
              <w:t xml:space="preserve">urchase </w:t>
            </w:r>
            <w:r w:rsidR="008E15B9">
              <w:rPr>
                <w:b/>
              </w:rPr>
              <w:t>“R</w:t>
            </w:r>
            <w:r w:rsidRPr="006C5C83">
              <w:rPr>
                <w:b/>
              </w:rPr>
              <w:t xml:space="preserve">enewable” or </w:t>
            </w:r>
            <w:r w:rsidR="008E15B9">
              <w:rPr>
                <w:b/>
              </w:rPr>
              <w:t>“G</w:t>
            </w:r>
            <w:r w:rsidRPr="006C5C83">
              <w:rPr>
                <w:b/>
              </w:rPr>
              <w:t>reen</w:t>
            </w:r>
            <w:r w:rsidR="008E15B9">
              <w:rPr>
                <w:b/>
              </w:rPr>
              <w:t>” E</w:t>
            </w:r>
            <w:r w:rsidRPr="006C5C83">
              <w:rPr>
                <w:b/>
              </w:rPr>
              <w:t xml:space="preserve">nergy. </w:t>
            </w:r>
            <w:r>
              <w:t xml:space="preserve">Many large corporations have committed to purchase green energy nationwide across their facilities. </w:t>
            </w:r>
            <w:r w:rsidR="00FD71CB">
              <w:t xml:space="preserve">Some may do this by </w:t>
            </w:r>
            <w:r w:rsidR="0072483C">
              <w:t>purchasing ownership or o</w:t>
            </w:r>
            <w:r>
              <w:t xml:space="preserve">utput commitments to renewable energy production facilities. Others may </w:t>
            </w:r>
            <w:r w:rsidR="0072483C">
              <w:t xml:space="preserve">make such commitments via green power aggregators not dedicated to specific renewable facilities. California needs to clarify how such arrangements are to be treated, e.g. as a) recognized </w:t>
            </w:r>
            <w:r>
              <w:t xml:space="preserve">“offsets” </w:t>
            </w:r>
            <w:r w:rsidR="0072483C">
              <w:t xml:space="preserve">to </w:t>
            </w:r>
            <w:r>
              <w:t xml:space="preserve">energy otherwise purchased by their chosen provider (utilities, CCAs, or ESPs) or b) </w:t>
            </w:r>
            <w:r w:rsidR="0072483C">
              <w:t xml:space="preserve">as a </w:t>
            </w:r>
            <w:r>
              <w:t>purchase of RECs</w:t>
            </w:r>
            <w:r w:rsidR="0072483C">
              <w:t xml:space="preserve"> but not commodity</w:t>
            </w:r>
            <w:r>
              <w:t xml:space="preserve"> in a </w:t>
            </w:r>
            <w:r w:rsidR="0072483C">
              <w:t xml:space="preserve">non-California-recognized </w:t>
            </w:r>
            <w:r>
              <w:t>self-regulating market</w:t>
            </w:r>
            <w:r w:rsidR="0072483C">
              <w:t xml:space="preserve">. In turn, </w:t>
            </w:r>
            <w:r w:rsidR="009F1897">
              <w:t xml:space="preserve">California energy </w:t>
            </w:r>
            <w:r w:rsidR="0072483C">
              <w:t xml:space="preserve">policy </w:t>
            </w:r>
            <w:r w:rsidR="009F1897">
              <w:t>positions are</w:t>
            </w:r>
            <w:r w:rsidR="0072483C">
              <w:t xml:space="preserve"> needed on</w:t>
            </w:r>
            <w:r w:rsidR="009F1897">
              <w:t>:</w:t>
            </w:r>
            <w:r w:rsidR="0072483C">
              <w:t xml:space="preserve"> </w:t>
            </w:r>
          </w:p>
          <w:p w:rsidR="009F1897" w:rsidRDefault="0072483C" w:rsidP="009F1897">
            <w:pPr>
              <w:pStyle w:val="ListParagraph"/>
              <w:numPr>
                <w:ilvl w:val="0"/>
                <w:numId w:val="2"/>
              </w:numPr>
            </w:pPr>
            <w:r>
              <w:t xml:space="preserve">what such arrangements mean for the default provider, </w:t>
            </w:r>
          </w:p>
          <w:p w:rsidR="009F1897" w:rsidRDefault="0072483C" w:rsidP="009F1897">
            <w:pPr>
              <w:pStyle w:val="ListParagraph"/>
              <w:numPr>
                <w:ilvl w:val="0"/>
                <w:numId w:val="2"/>
              </w:numPr>
            </w:pPr>
            <w:r>
              <w:t xml:space="preserve">end user or provider contributions to fixed and maintenance costs of the grid, </w:t>
            </w:r>
          </w:p>
          <w:p w:rsidR="009F1897" w:rsidRDefault="0072483C" w:rsidP="009F1897">
            <w:pPr>
              <w:pStyle w:val="ListParagraph"/>
              <w:numPr>
                <w:ilvl w:val="0"/>
                <w:numId w:val="2"/>
              </w:numPr>
            </w:pPr>
            <w:r>
              <w:t xml:space="preserve">acceptable tenors </w:t>
            </w:r>
            <w:r w:rsidR="009F1897">
              <w:t xml:space="preserve">(e. g. </w:t>
            </w:r>
            <w:r w:rsidR="00A658E8">
              <w:t>minimums</w:t>
            </w:r>
            <w:r w:rsidR="009F1897">
              <w:t xml:space="preserve"> or standard time periods) </w:t>
            </w:r>
            <w:r>
              <w:t>for such arrangements</w:t>
            </w:r>
            <w:r w:rsidR="009F1897">
              <w:t>, and</w:t>
            </w:r>
          </w:p>
          <w:p w:rsidR="006C5C83" w:rsidRDefault="009F1897" w:rsidP="009F1897">
            <w:pPr>
              <w:pStyle w:val="ListParagraph"/>
              <w:numPr>
                <w:ilvl w:val="0"/>
                <w:numId w:val="2"/>
              </w:numPr>
            </w:pPr>
            <w:r>
              <w:t>how to “count” such procurement commitments against renewable or other clean energy goals or targets</w:t>
            </w:r>
            <w:r w:rsidR="0072483C">
              <w:t>.</w:t>
            </w:r>
          </w:p>
        </w:tc>
      </w:tr>
      <w:tr w:rsidR="006C5C83" w:rsidTr="00A658E8">
        <w:tc>
          <w:tcPr>
            <w:tcW w:w="2155" w:type="dxa"/>
          </w:tcPr>
          <w:p w:rsidR="006C5C83" w:rsidRDefault="0072483C" w:rsidP="00A658E8">
            <w:pPr>
              <w:ind w:left="144"/>
            </w:pPr>
            <w:r>
              <w:t xml:space="preserve">II. </w:t>
            </w:r>
            <w:r w:rsidR="006C5C83">
              <w:t>A</w:t>
            </w:r>
            <w:r w:rsidR="008E15B9">
              <w:t xml:space="preserve"> and C.</w:t>
            </w:r>
          </w:p>
        </w:tc>
        <w:tc>
          <w:tcPr>
            <w:tcW w:w="7195" w:type="dxa"/>
          </w:tcPr>
          <w:p w:rsidR="006C5C83" w:rsidRDefault="008E15B9" w:rsidP="008E15B9">
            <w:r w:rsidRPr="008E15B9">
              <w:rPr>
                <w:b/>
              </w:rPr>
              <w:t xml:space="preserve">Continuity of Tariff Structures to </w:t>
            </w:r>
            <w:r>
              <w:rPr>
                <w:b/>
              </w:rPr>
              <w:t>E</w:t>
            </w:r>
            <w:r w:rsidRPr="008E15B9">
              <w:rPr>
                <w:b/>
              </w:rPr>
              <w:t xml:space="preserve">nable </w:t>
            </w:r>
            <w:r>
              <w:rPr>
                <w:b/>
              </w:rPr>
              <w:t>Customer F</w:t>
            </w:r>
            <w:r w:rsidRPr="008E15B9">
              <w:rPr>
                <w:b/>
              </w:rPr>
              <w:t xml:space="preserve">inancial </w:t>
            </w:r>
            <w:r>
              <w:rPr>
                <w:b/>
              </w:rPr>
              <w:t>Analysis of Distributed Clean Energy C</w:t>
            </w:r>
            <w:r w:rsidRPr="008E15B9">
              <w:rPr>
                <w:b/>
              </w:rPr>
              <w:t>hoices</w:t>
            </w:r>
            <w:r>
              <w:t xml:space="preserve">. Whether </w:t>
            </w:r>
            <w:r w:rsidR="00A658E8">
              <w:t>contemplating</w:t>
            </w:r>
            <w:r>
              <w:t xml:space="preserve"> direct customer investment in DERs or </w:t>
            </w:r>
            <w:r w:rsidR="00A658E8">
              <w:t>execution</w:t>
            </w:r>
            <w:r>
              <w:t xml:space="preserve"> of PPAs, end users (and their DER providers) need to have a certain amount of confidence in the stability of </w:t>
            </w:r>
            <w:r w:rsidR="00FD71CB">
              <w:t xml:space="preserve">default </w:t>
            </w:r>
            <w:r>
              <w:t xml:space="preserve">tariff STRUCTURES, if not their absolute values. This means that the existence and general level of demand charges and time-of-use definitions and price </w:t>
            </w:r>
            <w:r w:rsidR="00A658E8">
              <w:t>variations</w:t>
            </w:r>
            <w:r>
              <w:t xml:space="preserve"> need to be reasonably predictable, and with structures that can be relied on for some minimum tenors, such as 10 years. That may be too short, however, for technology solutions with 20-25 year expected lifetimes. This kind of predictability is essential to inform investment and acceptance choices in behind-the-meter DERs for clean energy</w:t>
            </w:r>
            <w:r w:rsidR="00FD71CB">
              <w:t>, assuming it is state policy to encourage these</w:t>
            </w:r>
            <w:r>
              <w:t>.</w:t>
            </w:r>
          </w:p>
        </w:tc>
      </w:tr>
      <w:tr w:rsidR="006C5C83" w:rsidTr="00A658E8">
        <w:tc>
          <w:tcPr>
            <w:tcW w:w="2155" w:type="dxa"/>
          </w:tcPr>
          <w:p w:rsidR="006C5C83" w:rsidRDefault="0072483C" w:rsidP="00A658E8">
            <w:pPr>
              <w:ind w:left="144"/>
            </w:pPr>
            <w:r>
              <w:t xml:space="preserve">III. </w:t>
            </w:r>
            <w:r w:rsidR="006C5C83">
              <w:t>B., IV. A and D.</w:t>
            </w:r>
          </w:p>
        </w:tc>
        <w:tc>
          <w:tcPr>
            <w:tcW w:w="7195" w:type="dxa"/>
          </w:tcPr>
          <w:p w:rsidR="00A658E8" w:rsidRDefault="00B82271" w:rsidP="00FD71CB">
            <w:pPr>
              <w:spacing w:after="120"/>
            </w:pPr>
            <w:r w:rsidRPr="00B82271">
              <w:rPr>
                <w:b/>
              </w:rPr>
              <w:t>Other Types of Investments; Regulatory Steps; and Utility Profit Changes</w:t>
            </w:r>
            <w:r>
              <w:t xml:space="preserve">.  End users have historically paid for their energy consumption on a pay-as-you-go basis, via their monthly utility or ESP bills. End users are NOT asked to front the capital </w:t>
            </w:r>
            <w:r w:rsidR="00FD71CB">
              <w:t xml:space="preserve">or arrange financing </w:t>
            </w:r>
            <w:r>
              <w:t xml:space="preserve">to build 20-30 </w:t>
            </w:r>
            <w:r w:rsidR="00A658E8">
              <w:t>years’ worth</w:t>
            </w:r>
            <w:r>
              <w:t xml:space="preserve"> of energy supply facilities and </w:t>
            </w:r>
            <w:r w:rsidR="00A658E8">
              <w:t>infrastructure</w:t>
            </w:r>
            <w:r>
              <w:t xml:space="preserve">. Yet, end users and building/industry owners ARE expected to front the </w:t>
            </w:r>
            <w:r w:rsidR="00A658E8">
              <w:t>capital</w:t>
            </w:r>
            <w:r>
              <w:t xml:space="preserve"> necessary for behind-the-meter clean energy solutions – whether EE, solar, storage, or DR investments. (In some cases, third-parties have evolved to take on ownership of the assets, </w:t>
            </w:r>
            <w:r>
              <w:lastRenderedPageBreak/>
              <w:t xml:space="preserve">including </w:t>
            </w:r>
            <w:r w:rsidR="00A658E8">
              <w:t>arranging</w:t>
            </w:r>
            <w:r>
              <w:t xml:space="preserve"> capital sources and structuring user payment arrangements.) Efficiency is perhaps the singular </w:t>
            </w:r>
            <w:r w:rsidRPr="00B82271">
              <w:t xml:space="preserve">behind-the-meter resource where the </w:t>
            </w:r>
            <w:r>
              <w:t xml:space="preserve">real estate/ facility </w:t>
            </w:r>
            <w:r w:rsidRPr="00B82271">
              <w:t>owne</w:t>
            </w:r>
            <w:r>
              <w:t>r</w:t>
            </w:r>
            <w:r w:rsidRPr="00B82271">
              <w:t xml:space="preserve"> still must take on the capital obligation for EE inves</w:t>
            </w:r>
            <w:r>
              <w:t>t</w:t>
            </w:r>
            <w:r w:rsidRPr="00B82271">
              <w:t>ments.</w:t>
            </w:r>
            <w:r>
              <w:t xml:space="preserve"> Most real estate and business investment paradigms fall far short of 20-30 year horizons, and view </w:t>
            </w:r>
            <w:r w:rsidR="00FD71CB">
              <w:t>as a relative low priority</w:t>
            </w:r>
            <w:r w:rsidR="00FD71CB">
              <w:t xml:space="preserve"> </w:t>
            </w:r>
            <w:r>
              <w:t>off-setting monthly/annual energy operating costs. As we look at new frameworks for supplying energy and supporting infrastructure t</w:t>
            </w:r>
            <w:r w:rsidR="00FD71CB">
              <w:t>o achieve our</w:t>
            </w:r>
            <w:r>
              <w:t xml:space="preserve"> clean energy and GHG goals, it may be an ideal time to explore the potential for utilities to extend their traditional capital structures and customer payment arrangements to support efficiency investments behind-the-meter. </w:t>
            </w:r>
          </w:p>
          <w:p w:rsidR="00FC1F99" w:rsidRDefault="00B82271" w:rsidP="00FD71CB">
            <w:pPr>
              <w:spacing w:after="120"/>
            </w:pPr>
            <w:r>
              <w:t xml:space="preserve">Various models can be explored, </w:t>
            </w:r>
            <w:r w:rsidR="00A658E8">
              <w:t>including</w:t>
            </w:r>
            <w:r>
              <w:t xml:space="preserve"> “EE-as-a-Service”, </w:t>
            </w:r>
            <w:r w:rsidR="00A658E8">
              <w:t>utility</w:t>
            </w:r>
            <w:r>
              <w:t xml:space="preserve"> ownership of the assets, utility “nega-watt” PPAs for demand reduction delivered under third-party performance contracts, and </w:t>
            </w:r>
            <w:r w:rsidR="00C04873">
              <w:t xml:space="preserve">tariff-based cost recovery for EE equipment installed or services rendered. </w:t>
            </w:r>
          </w:p>
          <w:p w:rsidR="00A658E8" w:rsidRDefault="00FC1F99" w:rsidP="00194466">
            <w:pPr>
              <w:spacing w:after="120"/>
            </w:pPr>
            <w:r>
              <w:t xml:space="preserve">An examination of new structures could look at the bigger picture of how to amass and “secure” the need for tens of billions of </w:t>
            </w:r>
            <w:r w:rsidR="00A658E8">
              <w:t xml:space="preserve">dollars of </w:t>
            </w:r>
            <w:r>
              <w:t>invest</w:t>
            </w:r>
            <w:r w:rsidR="00A658E8">
              <w:t>men</w:t>
            </w:r>
            <w:r>
              <w:t xml:space="preserve">t, and how to surpass current </w:t>
            </w:r>
            <w:r w:rsidR="00A658E8">
              <w:t>limitations</w:t>
            </w:r>
            <w:r>
              <w:t xml:space="preserve"> on short-term investment horizons of building and business owners, credit qualifications, and “split incentive” problems between owners and renters. Oher arrangements could be explored to obtain the workable forms of efficiency leases and PPAs, akin to innovations seen in distributed solar markets.</w:t>
            </w:r>
          </w:p>
          <w:p w:rsidR="0002739D" w:rsidRDefault="0002739D" w:rsidP="00194466">
            <w:r w:rsidRPr="0002739D">
              <w:t xml:space="preserve">Key aspects to explore </w:t>
            </w:r>
            <w:r w:rsidR="00194466">
              <w:t>regarding</w:t>
            </w:r>
            <w:r w:rsidRPr="0002739D">
              <w:t xml:space="preserve"> such potential structures would include the utility roles in such capital commitment arrangements (asset owner, counter-party, “bank”), cost of capital, potential for quality standards or equivalent performance assurances, market appeal of different offerings or structures, utility profit (profit margins or return on equity) arrangements, and assurances of competitive markets for solutions providers.</w:t>
            </w:r>
          </w:p>
        </w:tc>
      </w:tr>
      <w:tr w:rsidR="006C5C83" w:rsidTr="00A658E8">
        <w:tc>
          <w:tcPr>
            <w:tcW w:w="2155" w:type="dxa"/>
          </w:tcPr>
          <w:p w:rsidR="006C5C83" w:rsidRDefault="0072483C" w:rsidP="00A658E8">
            <w:pPr>
              <w:ind w:left="144"/>
            </w:pPr>
            <w:r>
              <w:lastRenderedPageBreak/>
              <w:t xml:space="preserve">IV. </w:t>
            </w:r>
            <w:r w:rsidR="006C5C83">
              <w:t>D.</w:t>
            </w:r>
          </w:p>
        </w:tc>
        <w:tc>
          <w:tcPr>
            <w:tcW w:w="7195" w:type="dxa"/>
          </w:tcPr>
          <w:p w:rsidR="006C5C83" w:rsidRDefault="00DD5D01" w:rsidP="00194466">
            <w:r w:rsidRPr="00DD5D01">
              <w:rPr>
                <w:b/>
              </w:rPr>
              <w:t xml:space="preserve">Locus of EE Administration Among Proliferation of Clean Energy Providers.  </w:t>
            </w:r>
            <w:r w:rsidRPr="00DD5D01">
              <w:t>As the numbers of</w:t>
            </w:r>
            <w:r>
              <w:rPr>
                <w:b/>
              </w:rPr>
              <w:t xml:space="preserve"> </w:t>
            </w:r>
            <w:r w:rsidRPr="006F2120">
              <w:t xml:space="preserve">power commodity providers expand, it will become increasingly important to consolidate EE administration either at statewide or large sub-state regional levels. Two of the greatest challenges to achieving economically appealing </w:t>
            </w:r>
            <w:r w:rsidRPr="006F2120">
              <w:t>energy efficiency</w:t>
            </w:r>
            <w:r w:rsidRPr="006F2120">
              <w:t xml:space="preserve"> potential are to make simplified offers </w:t>
            </w:r>
            <w:r w:rsidR="00194466">
              <w:t>and to reflect scale economies in pricing</w:t>
            </w:r>
            <w:r w:rsidRPr="006F2120">
              <w:t xml:space="preserve"> delivery. Having separate program administration by as </w:t>
            </w:r>
            <w:r w:rsidR="00A658E8" w:rsidRPr="006F2120">
              <w:t>many</w:t>
            </w:r>
            <w:r w:rsidRPr="006F2120">
              <w:t xml:space="preserve"> as 4 IOUs, 40+ POUs, a dozen or more CCA</w:t>
            </w:r>
            <w:r w:rsidR="00194466">
              <w:t>s</w:t>
            </w:r>
            <w:r w:rsidRPr="006F2120">
              <w:t xml:space="preserve">, a dozen or more ESPs, and </w:t>
            </w:r>
            <w:r w:rsidR="00A658E8" w:rsidRPr="006F2120">
              <w:t>numerous</w:t>
            </w:r>
            <w:r w:rsidRPr="006F2120">
              <w:t xml:space="preserve"> local governments and other special </w:t>
            </w:r>
            <w:r w:rsidR="00A658E8" w:rsidRPr="006F2120">
              <w:t>entities</w:t>
            </w:r>
            <w:r w:rsidRPr="006F2120">
              <w:t xml:space="preserve"> cannot support </w:t>
            </w:r>
            <w:r w:rsidR="00194466">
              <w:t xml:space="preserve">either </w:t>
            </w:r>
            <w:r w:rsidRPr="006F2120">
              <w:t xml:space="preserve">the necessary simplified offers </w:t>
            </w:r>
            <w:r w:rsidR="00194466">
              <w:t xml:space="preserve">or </w:t>
            </w:r>
            <w:r w:rsidRPr="006F2120">
              <w:t xml:space="preserve">scaled </w:t>
            </w:r>
            <w:r w:rsidR="00194466">
              <w:t xml:space="preserve">delivery </w:t>
            </w:r>
            <w:r w:rsidRPr="006F2120">
              <w:t xml:space="preserve">pricing. Consolidation of “program” designs and delivery selection will be essential to capture an optimal </w:t>
            </w:r>
            <w:r w:rsidR="00A658E8" w:rsidRPr="006F2120">
              <w:t>quantity</w:t>
            </w:r>
            <w:r w:rsidRPr="006F2120">
              <w:t xml:space="preserve"> of cost-effective efficiency. Payment arrangements </w:t>
            </w:r>
            <w:r w:rsidR="00194466">
              <w:t xml:space="preserve">to support </w:t>
            </w:r>
            <w:bookmarkStart w:id="0" w:name="_GoBack"/>
            <w:bookmarkEnd w:id="0"/>
            <w:r w:rsidRPr="006F2120">
              <w:t xml:space="preserve">this consolidated administration can be accomplished through a combination of IRP planning and </w:t>
            </w:r>
            <w:r w:rsidR="006F2120" w:rsidRPr="006F2120">
              <w:t>resource procurement payment allocations.</w:t>
            </w:r>
          </w:p>
        </w:tc>
      </w:tr>
    </w:tbl>
    <w:p w:rsidR="006C5C83" w:rsidRDefault="006C5C83" w:rsidP="00A658E8"/>
    <w:sectPr w:rsidR="006C5C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C1A" w:rsidRDefault="00184C1A" w:rsidP="006C5C83">
      <w:pPr>
        <w:spacing w:after="0" w:line="240" w:lineRule="auto"/>
      </w:pPr>
      <w:r>
        <w:separator/>
      </w:r>
    </w:p>
  </w:endnote>
  <w:endnote w:type="continuationSeparator" w:id="0">
    <w:p w:rsidR="00184C1A" w:rsidRDefault="00184C1A" w:rsidP="006C5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C1A" w:rsidRDefault="00184C1A" w:rsidP="006C5C83">
      <w:pPr>
        <w:spacing w:after="0" w:line="240" w:lineRule="auto"/>
      </w:pPr>
      <w:r>
        <w:separator/>
      </w:r>
    </w:p>
  </w:footnote>
  <w:footnote w:type="continuationSeparator" w:id="0">
    <w:p w:rsidR="00184C1A" w:rsidRDefault="00184C1A" w:rsidP="006C5C83">
      <w:pPr>
        <w:spacing w:after="0" w:line="240" w:lineRule="auto"/>
      </w:pPr>
      <w:r>
        <w:continuationSeparator/>
      </w:r>
    </w:p>
  </w:footnote>
  <w:footnote w:id="1">
    <w:p w:rsidR="006C5C83" w:rsidRPr="006C5C83" w:rsidRDefault="006C5C83">
      <w:pPr>
        <w:pStyle w:val="FootnoteText"/>
        <w:rPr>
          <w:sz w:val="16"/>
          <w:szCs w:val="16"/>
        </w:rPr>
      </w:pPr>
      <w:r>
        <w:rPr>
          <w:rStyle w:val="FootnoteReference"/>
        </w:rPr>
        <w:footnoteRef/>
      </w:r>
      <w:r>
        <w:t xml:space="preserve"> </w:t>
      </w:r>
      <w:r w:rsidRPr="006C5C83">
        <w:rPr>
          <w:sz w:val="16"/>
          <w:szCs w:val="16"/>
        </w:rPr>
        <w:t>Jeanne Clinton</w:t>
      </w:r>
      <w:r>
        <w:rPr>
          <w:sz w:val="16"/>
          <w:szCs w:val="16"/>
        </w:rPr>
        <w:t>, Berkeley, California</w:t>
      </w:r>
      <w:r w:rsidRPr="006C5C83">
        <w:rPr>
          <w:sz w:val="16"/>
          <w:szCs w:val="16"/>
        </w:rPr>
        <w:t xml:space="preserve">; </w:t>
      </w:r>
      <w:hyperlink r:id="rId1" w:history="1">
        <w:r w:rsidRPr="006C5C83">
          <w:rPr>
            <w:rStyle w:val="Hyperlink"/>
            <w:sz w:val="16"/>
            <w:szCs w:val="16"/>
          </w:rPr>
          <w:t>jclinton94705@gmail.com</w:t>
        </w:r>
      </w:hyperlink>
      <w:r w:rsidRPr="006C5C83">
        <w:rPr>
          <w:sz w:val="16"/>
          <w:szCs w:val="16"/>
        </w:rPr>
        <w:t>; Tel: 510/277-2250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7F05"/>
    <w:multiLevelType w:val="hybridMultilevel"/>
    <w:tmpl w:val="4078A920"/>
    <w:lvl w:ilvl="0" w:tplc="06F414A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585E4F"/>
    <w:multiLevelType w:val="hybridMultilevel"/>
    <w:tmpl w:val="55260700"/>
    <w:lvl w:ilvl="0" w:tplc="6A3044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83"/>
    <w:rsid w:val="0002739D"/>
    <w:rsid w:val="00184C1A"/>
    <w:rsid w:val="00194466"/>
    <w:rsid w:val="003E4C7B"/>
    <w:rsid w:val="006C5C83"/>
    <w:rsid w:val="006F2120"/>
    <w:rsid w:val="0072483C"/>
    <w:rsid w:val="00810950"/>
    <w:rsid w:val="008E15B9"/>
    <w:rsid w:val="009F1897"/>
    <w:rsid w:val="00A658E8"/>
    <w:rsid w:val="00B82271"/>
    <w:rsid w:val="00C04873"/>
    <w:rsid w:val="00DD5D01"/>
    <w:rsid w:val="00FC1F99"/>
    <w:rsid w:val="00FD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5C447-AD65-4D07-8DBB-AAF7C8AC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5C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5C83"/>
    <w:rPr>
      <w:sz w:val="20"/>
      <w:szCs w:val="20"/>
    </w:rPr>
  </w:style>
  <w:style w:type="character" w:styleId="FootnoteReference">
    <w:name w:val="footnote reference"/>
    <w:basedOn w:val="DefaultParagraphFont"/>
    <w:uiPriority w:val="99"/>
    <w:semiHidden/>
    <w:unhideWhenUsed/>
    <w:rsid w:val="006C5C83"/>
    <w:rPr>
      <w:vertAlign w:val="superscript"/>
    </w:rPr>
  </w:style>
  <w:style w:type="character" w:styleId="Hyperlink">
    <w:name w:val="Hyperlink"/>
    <w:basedOn w:val="DefaultParagraphFont"/>
    <w:uiPriority w:val="99"/>
    <w:unhideWhenUsed/>
    <w:rsid w:val="006C5C83"/>
    <w:rPr>
      <w:color w:val="0563C1" w:themeColor="hyperlink"/>
      <w:u w:val="single"/>
    </w:rPr>
  </w:style>
  <w:style w:type="table" w:styleId="TableGrid">
    <w:name w:val="Table Grid"/>
    <w:basedOn w:val="TableNormal"/>
    <w:uiPriority w:val="39"/>
    <w:rsid w:val="006C5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jclinton9470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77E40-6F56-432E-AA77-BAAECA0CE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dc:creator>
  <cp:keywords/>
  <dc:description/>
  <cp:lastModifiedBy>Jeanne</cp:lastModifiedBy>
  <cp:revision>7</cp:revision>
  <dcterms:created xsi:type="dcterms:W3CDTF">2017-06-15T23:06:00Z</dcterms:created>
  <dcterms:modified xsi:type="dcterms:W3CDTF">2017-06-16T00:21:00Z</dcterms:modified>
</cp:coreProperties>
</file>